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jc w:val="center"/>
        <w:rPr>
          <w:rFonts w:ascii="宋体" w:hAnsi="宋体" w:eastAsia="宋体" w:cs="Symbol"/>
          <w:b/>
          <w:bCs/>
          <w:sz w:val="36"/>
          <w:szCs w:val="36"/>
          <w:highlight w:val="none"/>
          <w:u w:val="none"/>
        </w:rPr>
      </w:pPr>
      <w:r>
        <w:rPr>
          <w:rFonts w:hint="eastAsia" w:ascii="宋体" w:hAnsi="宋体" w:eastAsia="宋体" w:cs="Symbol"/>
          <w:b/>
          <w:bCs/>
          <w:sz w:val="36"/>
          <w:szCs w:val="36"/>
          <w:highlight w:val="none"/>
          <w:u w:val="none"/>
        </w:rPr>
        <w:t xml:space="preserve">  福州法务区平台系统监理服务</w:t>
      </w:r>
    </w:p>
    <w:p>
      <w:pPr>
        <w:spacing w:before="240" w:beforeLines="100"/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420" w:lineRule="atLeast"/>
        <w:jc w:val="center"/>
        <w:outlineLvl w:val="1"/>
        <w:rPr>
          <w:rFonts w:ascii="宋体" w:hAnsi="宋体" w:eastAsia="宋体" w:cs="Symbol"/>
          <w:szCs w:val="20"/>
        </w:rPr>
      </w:pPr>
      <w:r>
        <w:rPr>
          <w:rFonts w:ascii="宋体" w:hAnsi="宋体" w:eastAsia="宋体" w:cs="Symbol"/>
          <w:szCs w:val="20"/>
        </w:rPr>
        <w:br w:type="page"/>
      </w:r>
      <w:bookmarkStart w:id="0" w:name="_Toc387695927"/>
      <w:bookmarkStart w:id="1" w:name="_Toc391036880"/>
    </w:p>
    <w:bookmarkEnd w:id="0"/>
    <w:bookmarkEnd w:id="1"/>
    <w:p>
      <w:pPr>
        <w:snapToGrid w:val="0"/>
        <w:spacing w:after="240" w:afterLines="100" w:line="420" w:lineRule="atLeast"/>
        <w:jc w:val="center"/>
        <w:rPr>
          <w:rFonts w:ascii="宋体" w:hAnsi="宋体" w:eastAsia="宋体" w:cs="Symbol"/>
          <w:b/>
          <w:bCs/>
          <w:sz w:val="32"/>
          <w:szCs w:val="20"/>
        </w:rPr>
      </w:pPr>
      <w:bookmarkStart w:id="2" w:name="_Toc393127597"/>
      <w:bookmarkStart w:id="3" w:name="_Toc383438894"/>
      <w:bookmarkStart w:id="4" w:name="_Toc393127947"/>
      <w:bookmarkStart w:id="5" w:name="_Toc392577102"/>
      <w:r>
        <w:rPr>
          <w:rFonts w:hint="eastAsia" w:ascii="宋体" w:hAnsi="宋体" w:eastAsia="宋体" w:cs="Symbol"/>
          <w:b/>
          <w:bCs/>
          <w:sz w:val="32"/>
          <w:szCs w:val="20"/>
        </w:rPr>
        <w:t>目    录</w:t>
      </w:r>
      <w:bookmarkEnd w:id="2"/>
      <w:bookmarkEnd w:id="3"/>
      <w:bookmarkEnd w:id="4"/>
      <w:bookmarkEnd w:id="5"/>
    </w:p>
    <w:sdt>
      <w:sdtPr>
        <w:rPr>
          <w:lang w:val="zh-CN"/>
        </w:rPr>
        <w:id w:val="110260648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_Toc8959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第一章 报 价 书</w:t>
          </w:r>
          <w:r>
            <w:tab/>
          </w:r>
          <w:r>
            <w:fldChar w:fldCharType="begin"/>
          </w:r>
          <w:r>
            <w:instrText xml:space="preserve"> PAGEREF _Toc8959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_Toc3885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 xml:space="preserve">第二章 </w:t>
          </w:r>
          <w:r>
            <w:rPr>
              <w:rFonts w:hint="eastAsia" w:ascii="宋体" w:hAnsi="宋体" w:eastAsia="宋体" w:cs="Symbol"/>
              <w:szCs w:val="20"/>
              <w:highlight w:val="none"/>
              <w:lang w:eastAsia="zh-CN"/>
            </w:rPr>
            <w:t>服务</w:t>
          </w:r>
          <w:r>
            <w:rPr>
              <w:rFonts w:hint="eastAsia" w:ascii="宋体" w:hAnsi="宋体" w:eastAsia="宋体" w:cs="Symbol"/>
              <w:szCs w:val="20"/>
            </w:rPr>
            <w:t>报价一览表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_Toc22509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第三章 服务承诺书</w:t>
          </w:r>
          <w:r>
            <w:tab/>
          </w:r>
          <w:r>
            <w:fldChar w:fldCharType="begin"/>
          </w:r>
          <w:r>
            <w:instrText xml:space="preserve"> PAGEREF _Toc22509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72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_Toc17475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20"/>
            </w:rPr>
            <w:t>第四章 相关</w:t>
          </w:r>
          <w:r>
            <w:rPr>
              <w:rFonts w:hint="default" w:ascii="宋体" w:hAnsi="宋体" w:eastAsia="宋体" w:cs="Symbol"/>
              <w:szCs w:val="20"/>
            </w:rPr>
            <w:t>证明</w:t>
          </w:r>
          <w:r>
            <w:rPr>
              <w:rFonts w:hint="eastAsia" w:ascii="宋体" w:hAnsi="宋体" w:eastAsia="宋体" w:cs="Symbol"/>
              <w:szCs w:val="20"/>
            </w:rPr>
            <w:t>材料</w:t>
          </w:r>
          <w:r>
            <w:tab/>
          </w:r>
          <w:r>
            <w:fldChar w:fldCharType="begin"/>
          </w:r>
          <w:r>
            <w:instrText xml:space="preserve"> PAGEREF _Toc17475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_Toc8242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1</w:t>
          </w:r>
          <w:r>
            <w:rPr>
              <w:rFonts w:hint="eastAsia" w:ascii="宋体" w:hAnsi="宋体" w:eastAsia="宋体" w:cs="Symbol"/>
              <w:szCs w:val="32"/>
            </w:rPr>
            <w:t>、企业法定代表人身份证复印件</w:t>
          </w:r>
          <w:r>
            <w:tab/>
          </w:r>
          <w:r>
            <w:fldChar w:fldCharType="begin"/>
          </w:r>
          <w:r>
            <w:instrText xml:space="preserve"> PAGEREF _Toc8242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_Toc2950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Symbol"/>
              <w:szCs w:val="32"/>
              <w:lang w:val="en-US" w:eastAsia="zh-CN"/>
            </w:rPr>
            <w:t>2</w:t>
          </w:r>
          <w:r>
            <w:rPr>
              <w:rFonts w:hint="eastAsia" w:ascii="宋体" w:hAnsi="宋体" w:eastAsia="宋体" w:cs="Symbol"/>
              <w:szCs w:val="32"/>
            </w:rPr>
            <w:t>、法人营业执照（副本）复印件</w:t>
          </w:r>
          <w:r>
            <w:tab/>
          </w:r>
          <w:r>
            <w:fldChar w:fldCharType="begin"/>
          </w:r>
          <w:r>
            <w:instrText xml:space="preserve"> PAGEREF _Toc2950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723"/>
              <w:tab w:val="clear" w:pos="9713"/>
            </w:tabs>
          </w:pPr>
          <w:r>
            <w:rPr>
              <w:rFonts w:ascii="宋体" w:hAnsi="宋体" w:eastAsia="宋体"/>
              <w:bCs/>
              <w:szCs w:val="24"/>
              <w:lang w:val="zh-CN"/>
            </w:rPr>
            <w:fldChar w:fldCharType="begin"/>
          </w:r>
          <w:r>
            <w:rPr>
              <w:rFonts w:ascii="宋体" w:hAnsi="宋体" w:eastAsia="宋体"/>
              <w:bCs/>
              <w:szCs w:val="24"/>
              <w:lang w:val="zh-CN"/>
            </w:rPr>
            <w:instrText xml:space="preserve"> HYPERLINK \l _Toc26199 </w:instrText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3、</w:t>
          </w:r>
          <w:r>
            <w:rPr>
              <w:rFonts w:hint="default" w:ascii="宋体" w:hAnsi="宋体" w:eastAsia="宋体" w:cs="宋体"/>
              <w:bCs w:val="0"/>
              <w:kern w:val="2"/>
              <w:szCs w:val="32"/>
              <w:lang w:eastAsia="zh-CN" w:bidi="ar"/>
            </w:rPr>
            <w:t>其他</w:t>
          </w:r>
          <w:r>
            <w:rPr>
              <w:rFonts w:hint="eastAsia" w:ascii="宋体" w:hAnsi="宋体" w:eastAsia="宋体" w:cs="宋体"/>
              <w:bCs w:val="0"/>
              <w:kern w:val="2"/>
              <w:szCs w:val="32"/>
              <w:lang w:val="en-US" w:eastAsia="zh-CN" w:bidi="ar"/>
            </w:rPr>
            <w:t>相关材料</w:t>
          </w:r>
          <w:r>
            <w:tab/>
          </w:r>
          <w:r>
            <w:fldChar w:fldCharType="begin"/>
          </w:r>
          <w:r>
            <w:instrText xml:space="preserve"> PAGEREF _Toc26199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 w:eastAsia="宋体"/>
              <w:bCs/>
              <w:szCs w:val="24"/>
              <w:lang w:val="zh-CN"/>
            </w:rPr>
            <w:fldChar w:fldCharType="end"/>
          </w:r>
        </w:p>
        <w:p>
          <w:pPr>
            <w:keepNext w:val="0"/>
            <w:keepLines w:val="0"/>
            <w:widowControl w:val="0"/>
            <w:suppressLineNumbers w:val="0"/>
            <w:spacing w:before="0" w:beforeAutospacing="0" w:after="0" w:afterAutospacing="0" w:line="360" w:lineRule="auto"/>
            <w:ind w:left="0" w:right="0"/>
            <w:jc w:val="both"/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bookmarkStart w:id="6" w:name="_Toc334625556"/>
      <w:bookmarkStart w:id="7" w:name="_Toc392577104"/>
      <w:bookmarkStart w:id="8" w:name="_Toc383438896"/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9" w:name="_Toc8959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9"/>
    </w:p>
    <w:bookmarkEnd w:id="6"/>
    <w:bookmarkEnd w:id="7"/>
    <w:bookmarkEnd w:id="8"/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根据贵方</w:t>
      </w:r>
      <w:r>
        <w:rPr>
          <w:rFonts w:hint="eastAsia" w:ascii="宋体" w:hAnsi="宋体" w:eastAsia="宋体" w:cs="Symbol"/>
          <w:color w:val="auto"/>
          <w:sz w:val="24"/>
          <w:szCs w:val="24"/>
          <w:u w:val="single"/>
        </w:rPr>
        <w:t xml:space="preserve"> 福州法务区平台系统监理服务 </w:t>
      </w:r>
      <w:r>
        <w:rPr>
          <w:rFonts w:hint="eastAsia" w:ascii="宋体" w:hAnsi="宋体" w:eastAsia="宋体" w:cs="Symbol"/>
          <w:color w:val="auto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公开询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价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采购需求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本</w:t>
      </w:r>
      <w:r>
        <w:rPr>
          <w:rFonts w:hint="eastAsia" w:ascii="宋体" w:hAnsi="宋体" w:eastAsia="宋体" w:cs="Symbol"/>
          <w:color w:val="auto"/>
          <w:sz w:val="24"/>
          <w:szCs w:val="24"/>
          <w:lang w:eastAsia="zh-CN"/>
        </w:rPr>
        <w:t>公司决定作为报价人参与报价，并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提交下述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报价文件(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val="en-US" w:eastAsia="zh-CN"/>
        </w:rPr>
        <w:t>一式两套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</w:rPr>
        <w:t>)：</w:t>
      </w:r>
    </w:p>
    <w:p>
      <w:pPr>
        <w:spacing w:line="500" w:lineRule="exact"/>
        <w:ind w:firstLine="480"/>
        <w:rPr>
          <w:rFonts w:ascii="宋体" w:hAnsi="宋体" w:eastAsia="宋体" w:cs="Symbol"/>
          <w:color w:val="auto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>1、</w:t>
      </w:r>
      <w:r>
        <w:rPr>
          <w:rFonts w:hint="eastAsia" w:ascii="宋体" w:hAnsi="宋体" w:eastAsia="宋体" w:cs="Symbol"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宋体" w:hAnsi="宋体" w:eastAsia="宋体" w:cs="Symbol"/>
          <w:color w:val="auto"/>
          <w:sz w:val="24"/>
          <w:szCs w:val="24"/>
        </w:rPr>
        <w:t>报价一览表；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、服务承诺书；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Symbol"/>
          <w:sz w:val="24"/>
          <w:szCs w:val="24"/>
        </w:rPr>
        <w:t>、企业法定代表人身份证复印件；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Symbol"/>
          <w:sz w:val="24"/>
          <w:szCs w:val="24"/>
        </w:rPr>
        <w:t>、法人营业执照（副本）复印件；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Symbol"/>
          <w:sz w:val="24"/>
          <w:szCs w:val="24"/>
        </w:rPr>
        <w:t>、其他相关材料。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>
      <w:pPr>
        <w:spacing w:line="500" w:lineRule="exact"/>
        <w:ind w:firstLine="480"/>
        <w:rPr>
          <w:rFonts w:hint="eastAsia" w:ascii="宋体" w:hAnsi="宋体" w:eastAsia="宋体" w:cs="Symbol"/>
          <w:sz w:val="24"/>
          <w:szCs w:val="24"/>
          <w:lang w:val="en-US" w:eastAsia="zh-CN"/>
        </w:rPr>
      </w:pPr>
    </w:p>
    <w:p>
      <w:pPr>
        <w:spacing w:line="500" w:lineRule="exact"/>
        <w:ind w:firstLine="480"/>
        <w:rPr>
          <w:rFonts w:hint="default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签章</w:t>
      </w:r>
      <w:r>
        <w:rPr>
          <w:rFonts w:hint="eastAsia" w:ascii="宋体" w:hAnsi="宋体" w:eastAsia="宋体" w:cs="Symbol"/>
          <w:sz w:val="24"/>
          <w:szCs w:val="24"/>
        </w:rPr>
        <w:t>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</w:p>
    <w:p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>
      <w:pPr>
        <w:tabs>
          <w:tab w:val="left" w:pos="5355"/>
        </w:tabs>
        <w:spacing w:line="500" w:lineRule="exact"/>
        <w:ind w:firstLine="3684" w:firstLineChars="1535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7"/>
        <w:numPr>
          <w:ilvl w:val="0"/>
          <w:numId w:val="0"/>
        </w:numPr>
        <w:spacing w:line="500" w:lineRule="exact"/>
        <w:ind w:leftChars="0"/>
        <w:jc w:val="center"/>
        <w:outlineLvl w:val="0"/>
        <w:rPr>
          <w:rFonts w:hint="eastAsia" w:ascii="宋体" w:hAnsi="宋体" w:eastAsia="宋体" w:cs="Symbol"/>
          <w:b/>
          <w:sz w:val="36"/>
          <w:szCs w:val="20"/>
          <w:lang w:eastAsia="zh-CN"/>
        </w:rPr>
      </w:pPr>
    </w:p>
    <w:p>
      <w:pPr>
        <w:pStyle w:val="27"/>
        <w:numPr>
          <w:ilvl w:val="0"/>
          <w:numId w:val="0"/>
        </w:numPr>
        <w:spacing w:line="500" w:lineRule="exact"/>
        <w:ind w:leftChars="0"/>
        <w:jc w:val="center"/>
        <w:outlineLvl w:val="0"/>
        <w:rPr>
          <w:rFonts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Symbol"/>
          <w:b/>
          <w:sz w:val="36"/>
          <w:szCs w:val="20"/>
          <w:highlight w:val="none"/>
        </w:rPr>
        <w:t>福州法务区平台系统监理服务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Symbol"/>
          <w:b/>
          <w:color w:val="000000" w:themeColor="text1"/>
          <w:sz w:val="36"/>
          <w:szCs w:val="20"/>
          <w:highlight w:val="none"/>
          <w14:textFill>
            <w14:solidFill>
              <w14:schemeClr w14:val="tx1"/>
            </w14:solidFill>
          </w14:textFill>
        </w:rPr>
        <w:t>价一览表</w:t>
      </w:r>
    </w:p>
    <w:p>
      <w:pPr>
        <w:tabs>
          <w:tab w:val="left" w:pos="5355"/>
        </w:tabs>
        <w:spacing w:before="120" w:beforeLines="50" w:after="240" w:afterLines="100" w:line="500" w:lineRule="exact"/>
        <w:jc w:val="center"/>
        <w:outlineLvl w:val="1"/>
        <w:rPr>
          <w:rFonts w:ascii="宋体" w:hAnsi="宋体" w:eastAsia="宋体" w:cs="Symbo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23"/>
        <w:gridCol w:w="4966"/>
        <w:gridCol w:w="130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品目号</w:t>
            </w:r>
          </w:p>
        </w:tc>
        <w:tc>
          <w:tcPr>
            <w:tcW w:w="18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Symbol"/>
                <w:color w:val="auto"/>
                <w:szCs w:val="21"/>
              </w:rPr>
              <w:t>名称</w:t>
            </w:r>
          </w:p>
        </w:tc>
        <w:tc>
          <w:tcPr>
            <w:tcW w:w="4966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服务内容</w:t>
            </w: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及要求</w:t>
            </w:r>
          </w:p>
        </w:tc>
        <w:tc>
          <w:tcPr>
            <w:tcW w:w="13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highlight w:val="none"/>
                <w:lang w:eastAsia="zh-CN"/>
              </w:rPr>
              <w:t>总价（元）</w:t>
            </w:r>
          </w:p>
        </w:tc>
        <w:tc>
          <w:tcPr>
            <w:tcW w:w="13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eastAsia="zh-CN"/>
              </w:rPr>
              <w:t>服务工期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823" w:type="dxa"/>
            <w:vAlign w:val="center"/>
          </w:tcPr>
          <w:p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Cs w:val="21"/>
              </w:rPr>
              <w:t>福州法务区平台系统监理服务</w:t>
            </w:r>
          </w:p>
        </w:tc>
        <w:tc>
          <w:tcPr>
            <w:tcW w:w="4966" w:type="dxa"/>
            <w:vAlign w:val="center"/>
          </w:tcPr>
          <w:p>
            <w:pPr>
              <w:spacing w:line="360" w:lineRule="exact"/>
              <w:ind w:firstLine="48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福州法务区平台系统</w:t>
            </w:r>
            <w:r>
              <w:rPr>
                <w:rFonts w:hint="eastAsia" w:ascii="宋体" w:hAnsi="宋体" w:cs="Symbol"/>
                <w:sz w:val="21"/>
                <w:szCs w:val="21"/>
              </w:rPr>
              <w:t>进行全程监理，包含但不限于以下建设内容的监理：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1.负责本项目全过程监理，即质量、进度、投资控制，合同和信息管理，项目协调等工作。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2.参与现场施工监督，设备检测、系统联调、系统单元测试、集成测试、培训、试运行和项目验收、竣工移交、相关各类项目会议的组织、记录，项目文档的起草、归档、移交等管理工作。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Symbol"/>
                <w:sz w:val="21"/>
                <w:szCs w:val="21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3.针对项目建设情况，向业主提出合理化的改进改良建议。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Symbo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Symbol"/>
                <w:sz w:val="21"/>
                <w:szCs w:val="21"/>
              </w:rPr>
              <w:t>4.协助业主单位对项目各方的工作协调、督办等，并提供7*24小时的免费现场全程监理服务。</w:t>
            </w:r>
          </w:p>
        </w:tc>
        <w:tc>
          <w:tcPr>
            <w:tcW w:w="1307" w:type="dxa"/>
            <w:vAlign w:val="center"/>
          </w:tcPr>
          <w:p>
            <w:pPr>
              <w:jc w:val="left"/>
              <w:rPr>
                <w:rFonts w:hint="eastAsia" w:ascii="宋体" w:hAnsi="宋体" w:eastAsia="宋体" w:cs="Symbol"/>
                <w:b/>
                <w:color w:val="auto"/>
                <w:szCs w:val="21"/>
                <w:highlight w:val="yellow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500" w:lineRule="exact"/>
              <w:rPr>
                <w:rFonts w:ascii="宋体" w:hAnsi="宋体" w:eastAsia="宋体" w:cs="Symbol"/>
                <w:color w:val="auto"/>
                <w:szCs w:val="21"/>
              </w:rPr>
            </w:pPr>
            <w:r>
              <w:rPr>
                <w:rFonts w:hint="eastAsia" w:ascii="宋体" w:hAnsi="宋体" w:eastAsia="宋体" w:cs="Symbol"/>
                <w:color w:val="auto"/>
                <w:sz w:val="21"/>
                <w:szCs w:val="21"/>
                <w:highlight w:val="none"/>
              </w:rPr>
              <w:t>福州法务区平台系统</w:t>
            </w:r>
            <w:r>
              <w:rPr>
                <w:rFonts w:hint="eastAsia" w:ascii="宋体" w:hAnsi="宋体" w:eastAsia="宋体" w:cs="Symbol"/>
                <w:color w:val="auto"/>
                <w:sz w:val="21"/>
                <w:szCs w:val="21"/>
                <w:highlight w:val="none"/>
                <w:lang w:val="en-US" w:eastAsia="zh-CN"/>
              </w:rPr>
              <w:t>项目开工至竣工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54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报价总合计人民币（大写）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元（￥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（小写）    </w:t>
            </w:r>
            <w:r>
              <w:rPr>
                <w:rFonts w:hint="eastAsia" w:ascii="宋体" w:hAnsi="宋体" w:eastAsia="宋体" w:cs="Symbo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</w:tc>
      </w:tr>
    </w:tbl>
    <w:p>
      <w:pPr>
        <w:spacing w:line="500" w:lineRule="exact"/>
        <w:ind w:firstLine="480"/>
        <w:rPr>
          <w:rFonts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160" w:firstLineChars="9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  <w:bookmarkStart w:id="10" w:name="_Toc392577107"/>
      <w:bookmarkStart w:id="11" w:name="_Toc383438899"/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bookmarkEnd w:id="10"/>
    <w:bookmarkEnd w:id="11"/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hint="eastAsia" w:ascii="宋体" w:hAnsi="宋体" w:eastAsia="宋体" w:cs="Symbol"/>
          <w:b/>
          <w:sz w:val="36"/>
          <w:szCs w:val="20"/>
        </w:rPr>
        <w:t xml:space="preserve"> </w:t>
      </w:r>
      <w:bookmarkStart w:id="12" w:name="_Toc22509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2"/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致：数字福建鼓楼示范区建设领导小组办公室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福州法务区平台系统监理服务 </w:t>
      </w:r>
      <w:r>
        <w:rPr>
          <w:rFonts w:hint="eastAsia" w:ascii="宋体" w:hAnsi="宋体" w:eastAsia="宋体" w:cs="Symbol"/>
          <w:sz w:val="24"/>
          <w:szCs w:val="24"/>
        </w:rPr>
        <w:t>项目询价采购中，如果中标，报价人保证按询价文件的要求，我们做到以下：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1、工期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2、质量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3、服务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3" w:name="_Toc17475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hint="default"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3"/>
    </w:p>
    <w:p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Symbol"/>
          <w:sz w:val="28"/>
          <w:szCs w:val="28"/>
        </w:rPr>
        <w:t>、企业法定代表人身份证复印件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Symbol"/>
          <w:sz w:val="28"/>
          <w:szCs w:val="28"/>
        </w:rPr>
        <w:t>、法人营业执照（副本）复印件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Symbol"/>
          <w:sz w:val="28"/>
          <w:szCs w:val="28"/>
          <w:lang w:eastAsia="zh-CN"/>
        </w:rPr>
      </w:pPr>
      <w:r>
        <w:rPr>
          <w:rFonts w:hint="eastAsia" w:ascii="宋体" w:hAnsi="宋体" w:eastAsia="宋体" w:cs="Symbol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Symbol"/>
          <w:sz w:val="28"/>
          <w:szCs w:val="28"/>
          <w:lang w:eastAsia="zh-CN"/>
        </w:rPr>
        <w:t>、其他相关材料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（加盖公章）</w:t>
      </w:r>
    </w:p>
    <w:p>
      <w:bookmarkStart w:id="14" w:name="_Toc392577114"/>
      <w:bookmarkStart w:id="15" w:name="_Toc383438906"/>
      <w:r>
        <w:br w:type="page"/>
      </w:r>
    </w:p>
    <w:bookmarkEnd w:id="14"/>
    <w:bookmarkEnd w:id="15"/>
    <w:p>
      <w:pPr>
        <w:spacing w:line="500" w:lineRule="exact"/>
        <w:jc w:val="center"/>
        <w:outlineLvl w:val="1"/>
        <w:rPr>
          <w:rFonts w:hint="eastAsia" w:ascii="宋体" w:hAnsi="宋体" w:eastAsia="宋体" w:cs="Symbol"/>
          <w:b/>
          <w:sz w:val="32"/>
          <w:szCs w:val="32"/>
        </w:rPr>
      </w:pPr>
      <w:bookmarkStart w:id="16" w:name="_Toc8242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Symbol"/>
          <w:b/>
          <w:sz w:val="32"/>
          <w:szCs w:val="32"/>
        </w:rPr>
        <w:t>、企业法定代表人身份证复印件</w:t>
      </w:r>
      <w:bookmarkEnd w:id="16"/>
    </w:p>
    <w:p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Cs w:val="21"/>
        </w:rPr>
        <w:t>（注：企业法定代表人身份证复印件须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  <w:r>
        <w:rPr>
          <w:rFonts w:ascii="宋体" w:hAnsi="宋体" w:eastAsia="宋体" w:cs="Symbol"/>
          <w:sz w:val="24"/>
          <w:szCs w:val="24"/>
          <w:u w:val="single"/>
        </w:rPr>
        <w:br w:type="page"/>
      </w: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7" w:name="_Toc392577115"/>
      <w:bookmarkStart w:id="18" w:name="_Toc383438907"/>
      <w:bookmarkStart w:id="19" w:name="_Toc2950"/>
      <w:r>
        <w:rPr>
          <w:rFonts w:hint="eastAsia" w:ascii="宋体" w:hAnsi="宋体" w:eastAsia="宋体" w:cs="Symbo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Symbol"/>
          <w:b/>
          <w:sz w:val="32"/>
          <w:szCs w:val="32"/>
        </w:rPr>
        <w:t>、法人营业执照</w:t>
      </w:r>
      <w:bookmarkEnd w:id="17"/>
      <w:bookmarkEnd w:id="18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19"/>
    </w:p>
    <w:p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(注：法人营业执照提供复印件，由企业加盖公章并注明复印件与原件一致。)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Symbol"/>
          <w:b/>
          <w:bCs w:val="0"/>
          <w:color w:val="auto"/>
          <w:kern w:val="2"/>
          <w:sz w:val="32"/>
          <w:szCs w:val="32"/>
        </w:rPr>
      </w:pPr>
      <w:bookmarkStart w:id="20" w:name="_Toc26199"/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3、</w:t>
      </w:r>
      <w:r>
        <w:rPr>
          <w:rFonts w:hint="default" w:ascii="宋体" w:hAnsi="宋体" w:eastAsia="宋体" w:cs="宋体"/>
          <w:b/>
          <w:bCs w:val="0"/>
          <w:color w:val="auto"/>
          <w:kern w:val="2"/>
          <w:sz w:val="32"/>
          <w:szCs w:val="32"/>
          <w:lang w:eastAsia="zh-CN" w:bidi="ar"/>
        </w:rPr>
        <w:t>其他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"/>
        </w:rPr>
        <w:t>相关材料</w:t>
      </w:r>
      <w:bookmarkEnd w:id="20"/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4"/>
          <w:szCs w:val="24"/>
          <w:highlight w:val="none"/>
        </w:rPr>
        <w:t>近三年经营活动没有重大违法记录的书面声明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（加盖公章）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）业绩合同复印件（加盖公章）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......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cs="仿宋_GB2312" w:asciiTheme="minorEastAsia" w:hAnsiTheme="minorEastAsia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spacing w:line="500" w:lineRule="exact"/>
        <w:rPr>
          <w:rFonts w:ascii="宋体" w:hAnsi="宋体" w:eastAsia="宋体" w:cs="Wingdings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Symbol"/>
          <w:color w:val="auto"/>
          <w:sz w:val="24"/>
          <w:szCs w:val="24"/>
        </w:rPr>
        <w:t xml:space="preserve">  </w:t>
      </w:r>
      <w:bookmarkStart w:id="21" w:name="_GoBack"/>
      <w:bookmarkEnd w:id="21"/>
    </w:p>
    <w:sectPr>
      <w:footerReference r:id="rId5" w:type="first"/>
      <w:footerReference r:id="rId3" w:type="default"/>
      <w:footerReference r:id="rId4" w:type="even"/>
      <w:pgSz w:w="11906" w:h="16838"/>
      <w:pgMar w:top="1247" w:right="924" w:bottom="1089" w:left="1259" w:header="851" w:footer="588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5937592"/>
      <w:docPartObj>
        <w:docPartGallery w:val="autotext"/>
      </w:docPartObj>
    </w:sdtPr>
    <w:sdtEndPr>
      <w:rPr>
        <w:rFonts w:asciiTheme="minorEastAsia" w:hAnsiTheme="minorEastAsia" w:eastAsiaTheme="minorEastAsia"/>
      </w:rPr>
    </w:sdtEndPr>
    <w:sdtContent>
      <w:p>
        <w:pPr>
          <w:pStyle w:val="7"/>
          <w:jc w:val="center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1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30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D"/>
    <w:rsid w:val="00004045"/>
    <w:rsid w:val="00010B70"/>
    <w:rsid w:val="000241C8"/>
    <w:rsid w:val="0006157B"/>
    <w:rsid w:val="00071E2E"/>
    <w:rsid w:val="00074FF8"/>
    <w:rsid w:val="000770A5"/>
    <w:rsid w:val="00090048"/>
    <w:rsid w:val="0009420A"/>
    <w:rsid w:val="000A3C3F"/>
    <w:rsid w:val="000B2E1A"/>
    <w:rsid w:val="000C1407"/>
    <w:rsid w:val="000D204F"/>
    <w:rsid w:val="000E2F9F"/>
    <w:rsid w:val="000F3A62"/>
    <w:rsid w:val="000F6AC4"/>
    <w:rsid w:val="00112C49"/>
    <w:rsid w:val="00135492"/>
    <w:rsid w:val="0013722C"/>
    <w:rsid w:val="00141EC0"/>
    <w:rsid w:val="00142DD3"/>
    <w:rsid w:val="00145C00"/>
    <w:rsid w:val="00150032"/>
    <w:rsid w:val="00164841"/>
    <w:rsid w:val="00181132"/>
    <w:rsid w:val="0019547C"/>
    <w:rsid w:val="001969C5"/>
    <w:rsid w:val="001A04A7"/>
    <w:rsid w:val="001A17AD"/>
    <w:rsid w:val="001B626B"/>
    <w:rsid w:val="001E716D"/>
    <w:rsid w:val="001F2EBF"/>
    <w:rsid w:val="002023D9"/>
    <w:rsid w:val="00210DE9"/>
    <w:rsid w:val="00255C20"/>
    <w:rsid w:val="002658EC"/>
    <w:rsid w:val="0028614A"/>
    <w:rsid w:val="002A06F0"/>
    <w:rsid w:val="002B39FD"/>
    <w:rsid w:val="002B6090"/>
    <w:rsid w:val="002B7379"/>
    <w:rsid w:val="002C7D74"/>
    <w:rsid w:val="002D4682"/>
    <w:rsid w:val="002D6917"/>
    <w:rsid w:val="002E66B5"/>
    <w:rsid w:val="002F7572"/>
    <w:rsid w:val="003108BC"/>
    <w:rsid w:val="00314002"/>
    <w:rsid w:val="00320FE3"/>
    <w:rsid w:val="00321C38"/>
    <w:rsid w:val="00323921"/>
    <w:rsid w:val="00325E95"/>
    <w:rsid w:val="00342E29"/>
    <w:rsid w:val="00355FD5"/>
    <w:rsid w:val="003635C0"/>
    <w:rsid w:val="003878C0"/>
    <w:rsid w:val="003A67BD"/>
    <w:rsid w:val="003A6EA3"/>
    <w:rsid w:val="003B2491"/>
    <w:rsid w:val="003B5E8E"/>
    <w:rsid w:val="003D2594"/>
    <w:rsid w:val="003D61F4"/>
    <w:rsid w:val="003E0EB1"/>
    <w:rsid w:val="003E151A"/>
    <w:rsid w:val="00406198"/>
    <w:rsid w:val="00414A4B"/>
    <w:rsid w:val="00417F72"/>
    <w:rsid w:val="004313D4"/>
    <w:rsid w:val="00433010"/>
    <w:rsid w:val="004334F0"/>
    <w:rsid w:val="00454D6A"/>
    <w:rsid w:val="00462E36"/>
    <w:rsid w:val="00464ECB"/>
    <w:rsid w:val="00467EE6"/>
    <w:rsid w:val="0048201A"/>
    <w:rsid w:val="00494668"/>
    <w:rsid w:val="004A6844"/>
    <w:rsid w:val="004B4A01"/>
    <w:rsid w:val="004C0254"/>
    <w:rsid w:val="004D3DED"/>
    <w:rsid w:val="004D5161"/>
    <w:rsid w:val="004E21FC"/>
    <w:rsid w:val="004E2990"/>
    <w:rsid w:val="0050266C"/>
    <w:rsid w:val="00510765"/>
    <w:rsid w:val="00512DCD"/>
    <w:rsid w:val="005237A4"/>
    <w:rsid w:val="0055322A"/>
    <w:rsid w:val="00553521"/>
    <w:rsid w:val="005536CC"/>
    <w:rsid w:val="00560C76"/>
    <w:rsid w:val="00565BAB"/>
    <w:rsid w:val="00570C4A"/>
    <w:rsid w:val="00572F53"/>
    <w:rsid w:val="00580929"/>
    <w:rsid w:val="00580F13"/>
    <w:rsid w:val="00594DB0"/>
    <w:rsid w:val="005A20AB"/>
    <w:rsid w:val="005D4BCB"/>
    <w:rsid w:val="005D7AC6"/>
    <w:rsid w:val="005E5F54"/>
    <w:rsid w:val="005F3FFA"/>
    <w:rsid w:val="00603D9B"/>
    <w:rsid w:val="00604FCB"/>
    <w:rsid w:val="00626E35"/>
    <w:rsid w:val="0062708D"/>
    <w:rsid w:val="00635024"/>
    <w:rsid w:val="00651255"/>
    <w:rsid w:val="006542C8"/>
    <w:rsid w:val="00664AB1"/>
    <w:rsid w:val="00687933"/>
    <w:rsid w:val="006920B6"/>
    <w:rsid w:val="006B7310"/>
    <w:rsid w:val="006C11E5"/>
    <w:rsid w:val="006C682C"/>
    <w:rsid w:val="006C7E34"/>
    <w:rsid w:val="007020D3"/>
    <w:rsid w:val="00710A2A"/>
    <w:rsid w:val="00721483"/>
    <w:rsid w:val="00721FA1"/>
    <w:rsid w:val="00722EE4"/>
    <w:rsid w:val="007252D6"/>
    <w:rsid w:val="00750089"/>
    <w:rsid w:val="00782631"/>
    <w:rsid w:val="00784F03"/>
    <w:rsid w:val="007D0CB3"/>
    <w:rsid w:val="007D196C"/>
    <w:rsid w:val="007D2C9B"/>
    <w:rsid w:val="007D5E6F"/>
    <w:rsid w:val="007E5353"/>
    <w:rsid w:val="007E7016"/>
    <w:rsid w:val="007F34AF"/>
    <w:rsid w:val="007F790A"/>
    <w:rsid w:val="008035A0"/>
    <w:rsid w:val="008055AE"/>
    <w:rsid w:val="00807949"/>
    <w:rsid w:val="0081157D"/>
    <w:rsid w:val="00811BFB"/>
    <w:rsid w:val="00821505"/>
    <w:rsid w:val="00825B11"/>
    <w:rsid w:val="00827228"/>
    <w:rsid w:val="00834CF0"/>
    <w:rsid w:val="00836BCA"/>
    <w:rsid w:val="00842ADB"/>
    <w:rsid w:val="00845FF5"/>
    <w:rsid w:val="00856354"/>
    <w:rsid w:val="00856FF1"/>
    <w:rsid w:val="00864204"/>
    <w:rsid w:val="00871452"/>
    <w:rsid w:val="00877C4E"/>
    <w:rsid w:val="0088187D"/>
    <w:rsid w:val="0089075B"/>
    <w:rsid w:val="00891B63"/>
    <w:rsid w:val="00892B3A"/>
    <w:rsid w:val="008B31BD"/>
    <w:rsid w:val="008C176D"/>
    <w:rsid w:val="008D1D33"/>
    <w:rsid w:val="008D4584"/>
    <w:rsid w:val="008F469D"/>
    <w:rsid w:val="0091490F"/>
    <w:rsid w:val="0091649C"/>
    <w:rsid w:val="00920347"/>
    <w:rsid w:val="009506D9"/>
    <w:rsid w:val="00966027"/>
    <w:rsid w:val="009661C0"/>
    <w:rsid w:val="009738E3"/>
    <w:rsid w:val="009844E1"/>
    <w:rsid w:val="009A5F04"/>
    <w:rsid w:val="009B0AF0"/>
    <w:rsid w:val="009B7860"/>
    <w:rsid w:val="009D716C"/>
    <w:rsid w:val="009E3FB4"/>
    <w:rsid w:val="009F67A2"/>
    <w:rsid w:val="009F6D41"/>
    <w:rsid w:val="009F7742"/>
    <w:rsid w:val="009F7B8B"/>
    <w:rsid w:val="00A107E0"/>
    <w:rsid w:val="00A11B21"/>
    <w:rsid w:val="00A1521F"/>
    <w:rsid w:val="00A21262"/>
    <w:rsid w:val="00A37077"/>
    <w:rsid w:val="00A37D7B"/>
    <w:rsid w:val="00A4487B"/>
    <w:rsid w:val="00A5294C"/>
    <w:rsid w:val="00A61C04"/>
    <w:rsid w:val="00A63AE7"/>
    <w:rsid w:val="00A676F8"/>
    <w:rsid w:val="00A70B14"/>
    <w:rsid w:val="00A91493"/>
    <w:rsid w:val="00AB1597"/>
    <w:rsid w:val="00AB4F86"/>
    <w:rsid w:val="00AC7070"/>
    <w:rsid w:val="00AC739E"/>
    <w:rsid w:val="00AD0CC7"/>
    <w:rsid w:val="00AE5BB5"/>
    <w:rsid w:val="00AF0D35"/>
    <w:rsid w:val="00AF59AF"/>
    <w:rsid w:val="00AF7706"/>
    <w:rsid w:val="00B04ADC"/>
    <w:rsid w:val="00B124AD"/>
    <w:rsid w:val="00B147E2"/>
    <w:rsid w:val="00B24553"/>
    <w:rsid w:val="00B30F96"/>
    <w:rsid w:val="00B36795"/>
    <w:rsid w:val="00B9304A"/>
    <w:rsid w:val="00BA3871"/>
    <w:rsid w:val="00BB45F9"/>
    <w:rsid w:val="00BC03FB"/>
    <w:rsid w:val="00BC79D8"/>
    <w:rsid w:val="00BD4210"/>
    <w:rsid w:val="00BE077F"/>
    <w:rsid w:val="00BF5B27"/>
    <w:rsid w:val="00C17C12"/>
    <w:rsid w:val="00C26E04"/>
    <w:rsid w:val="00C31089"/>
    <w:rsid w:val="00C33158"/>
    <w:rsid w:val="00C34419"/>
    <w:rsid w:val="00C43CC6"/>
    <w:rsid w:val="00C90469"/>
    <w:rsid w:val="00CB4DF2"/>
    <w:rsid w:val="00CB5D21"/>
    <w:rsid w:val="00CB79CD"/>
    <w:rsid w:val="00CC17EF"/>
    <w:rsid w:val="00CC3B49"/>
    <w:rsid w:val="00CC3F49"/>
    <w:rsid w:val="00CF4005"/>
    <w:rsid w:val="00CF59E0"/>
    <w:rsid w:val="00D066AA"/>
    <w:rsid w:val="00D1645A"/>
    <w:rsid w:val="00D164C2"/>
    <w:rsid w:val="00D22EC8"/>
    <w:rsid w:val="00D22F10"/>
    <w:rsid w:val="00D300DD"/>
    <w:rsid w:val="00D53630"/>
    <w:rsid w:val="00D640C1"/>
    <w:rsid w:val="00D66C4D"/>
    <w:rsid w:val="00D729E6"/>
    <w:rsid w:val="00DA208D"/>
    <w:rsid w:val="00DA30A6"/>
    <w:rsid w:val="00DB4B4E"/>
    <w:rsid w:val="00DB55EA"/>
    <w:rsid w:val="00DC173D"/>
    <w:rsid w:val="00DC6097"/>
    <w:rsid w:val="00DC74BC"/>
    <w:rsid w:val="00DD2278"/>
    <w:rsid w:val="00DD53F6"/>
    <w:rsid w:val="00DF3C6C"/>
    <w:rsid w:val="00DF461C"/>
    <w:rsid w:val="00E07F42"/>
    <w:rsid w:val="00E205A0"/>
    <w:rsid w:val="00E33987"/>
    <w:rsid w:val="00E457D4"/>
    <w:rsid w:val="00E53881"/>
    <w:rsid w:val="00E75E9B"/>
    <w:rsid w:val="00E81C7C"/>
    <w:rsid w:val="00E96E9B"/>
    <w:rsid w:val="00EA0315"/>
    <w:rsid w:val="00EB2ADA"/>
    <w:rsid w:val="00EC6DC4"/>
    <w:rsid w:val="00ED2D53"/>
    <w:rsid w:val="00ED6DC5"/>
    <w:rsid w:val="00EE6AA7"/>
    <w:rsid w:val="00EF528B"/>
    <w:rsid w:val="00F12FD1"/>
    <w:rsid w:val="00F232A5"/>
    <w:rsid w:val="00F278FA"/>
    <w:rsid w:val="00F57ACA"/>
    <w:rsid w:val="00F94F75"/>
    <w:rsid w:val="00FA5712"/>
    <w:rsid w:val="00FA72B5"/>
    <w:rsid w:val="00FB006A"/>
    <w:rsid w:val="00FB0A62"/>
    <w:rsid w:val="00FB7D4A"/>
    <w:rsid w:val="00FD20D6"/>
    <w:rsid w:val="00FD4A99"/>
    <w:rsid w:val="00FD4EF2"/>
    <w:rsid w:val="00FE35EB"/>
    <w:rsid w:val="0BFA4E15"/>
    <w:rsid w:val="0EDE1035"/>
    <w:rsid w:val="12296365"/>
    <w:rsid w:val="205C02BE"/>
    <w:rsid w:val="27720935"/>
    <w:rsid w:val="2B9A6795"/>
    <w:rsid w:val="2BE65468"/>
    <w:rsid w:val="2F401002"/>
    <w:rsid w:val="2FFEA80A"/>
    <w:rsid w:val="31E61B1E"/>
    <w:rsid w:val="338C1947"/>
    <w:rsid w:val="3682779D"/>
    <w:rsid w:val="57FB4F0E"/>
    <w:rsid w:val="5C302CED"/>
    <w:rsid w:val="5E8533E3"/>
    <w:rsid w:val="65A8135A"/>
    <w:rsid w:val="6E5D42AB"/>
    <w:rsid w:val="75346E00"/>
    <w:rsid w:val="76E911A8"/>
    <w:rsid w:val="FDA52510"/>
    <w:rsid w:val="FF1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8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1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7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713"/>
      </w:tabs>
      <w:spacing w:line="360" w:lineRule="auto"/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rPr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8">
    <w:name w:val="正文缩进 Char"/>
    <w:link w:val="3"/>
    <w:qFormat/>
    <w:uiPriority w:val="0"/>
    <w:rPr>
      <w:rFonts w:eastAsia="CG Times"/>
    </w:rPr>
  </w:style>
  <w:style w:type="character" w:customStyle="1" w:styleId="19">
    <w:name w:val="页脚 Char"/>
    <w:basedOn w:val="13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0">
    <w:name w:val="页眉 Char1"/>
    <w:basedOn w:val="13"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3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2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15"/>
    <w:basedOn w:val="13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29">
    <w:name w:val="16"/>
    <w:basedOn w:val="13"/>
    <w:qFormat/>
    <w:uiPriority w:val="0"/>
    <w:rPr>
      <w:rFonts w:hint="default" w:ascii="Calibri" w:hAnsi="Calibri" w:cs="Calibri"/>
    </w:rPr>
  </w:style>
  <w:style w:type="character" w:customStyle="1" w:styleId="30">
    <w:name w:val="10"/>
    <w:basedOn w:val="1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559</Words>
  <Characters>3187</Characters>
  <Lines>1</Lines>
  <Paragraphs>1</Paragraphs>
  <TotalTime>6</TotalTime>
  <ScaleCrop>false</ScaleCrop>
  <LinksUpToDate>false</LinksUpToDate>
  <CharactersWithSpaces>3739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2014-07-15T03:13:00Z</dcterms:created>
  <dc:creator>upupup</dc:creator>
  <cp:lastModifiedBy>黄靖芳</cp:lastModifiedBy>
  <cp:lastPrinted>2021-12-20T01:59:00Z</cp:lastPrinted>
  <dcterms:modified xsi:type="dcterms:W3CDTF">2021-12-24T07:14:31Z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8888F8E878A24085927BB35F0C7A2982</vt:lpwstr>
  </property>
</Properties>
</file>