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点位竞价报价单</w:t>
      </w:r>
      <w:bookmarkEnd w:id="0"/>
    </w:p>
    <w:p>
      <w:pPr>
        <w:pStyle w:val="4"/>
        <w:widowControl w:val="0"/>
        <w:wordWrap w:val="0"/>
        <w:spacing w:line="440" w:lineRule="exact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>
      <w:pPr>
        <w:pStyle w:val="4"/>
        <w:widowControl w:val="0"/>
        <w:wordWrap w:val="0"/>
        <w:spacing w:line="440" w:lineRule="exact"/>
        <w:ind w:firstLine="48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壹刻钟城市运营服务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壹刻钟城市运营服务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达明美食街点位的竞价。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竞价点位为：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经营产品（业态）为：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竞价标的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人民币（大写）：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汉字</w:t>
      </w:r>
      <w:r>
        <w:rPr>
          <w:rFonts w:hint="eastAsia" w:ascii="仿宋_GB2312" w:hAnsi="仿宋_GB2312" w:eastAsia="仿宋_GB2312" w:cs="仿宋_GB2312"/>
          <w:sz w:val="32"/>
          <w:szCs w:val="32"/>
        </w:rPr>
        <w:t>范例：零 壹 贰 叁 肆 伍 陆 柒 捌 玖）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（小写）￥：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竞租人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名称（全称并加盖公章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或手印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669A4F-0A5C-464E-8F4F-8778F6C030A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4F454EC-05FE-44DB-9856-E4F7BD2DFF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E2FBC3-D8DD-4977-A83C-2EE61AEC3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c5YjFmMjRkZDhiZWFjN2I5MGU2MDM5NzcwMTQifQ=="/>
  </w:docVars>
  <w:rsids>
    <w:rsidRoot w:val="616C1C3F"/>
    <w:rsid w:val="616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2024-06-27T08:27:00Z</dcterms:created>
  <dc:creator>cx—Juliet</dc:creator>
  <cp:lastModifiedBy>cx—Juliet</cp:lastModifiedBy>
  <dcterms:modified xsi:type="dcterms:W3CDTF">2024-06-27T08:28:06Z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DA044F04518C4F2781C22513336F8CC0_11</vt:lpwstr>
  </property>
</Properties>
</file>