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福州市鼓楼区自然资源和规划局批而未供批文分类清理工作项目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询价通知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rPr>
          <w:rFonts w:hint="eastAsia" w:ascii="仿宋_GB2312" w:hAnsi="仿宋_GB2312" w:eastAsia="仿宋_GB2312" w:cs="仿宋_GB2312"/>
        </w:rPr>
      </w:pPr>
      <w:r>
        <w:rPr>
          <w:rFonts w:hint="eastAsia" w:ascii="楷体" w:hAnsi="楷体" w:eastAsia="楷体" w:cs="楷体"/>
        </w:rPr>
        <w:t>1.项目名称：</w:t>
      </w:r>
      <w:r>
        <w:rPr>
          <w:rFonts w:hint="eastAsia" w:ascii="仿宋_GB2312" w:hAnsi="仿宋_GB2312" w:eastAsia="仿宋_GB2312" w:cs="仿宋_GB2312"/>
        </w:rPr>
        <w:t>福州市</w:t>
      </w:r>
      <w:r>
        <w:rPr>
          <w:rFonts w:hint="eastAsia" w:ascii="仿宋_GB2312" w:hAnsi="仿宋_GB2312" w:eastAsia="仿宋_GB2312" w:cs="仿宋_GB2312"/>
          <w:lang w:val="en-US" w:eastAsia="zh-CN"/>
        </w:rPr>
        <w:t>鼓楼</w:t>
      </w:r>
      <w:r>
        <w:rPr>
          <w:rFonts w:hint="eastAsia" w:ascii="仿宋_GB2312" w:hAnsi="仿宋_GB2312" w:eastAsia="仿宋_GB2312" w:cs="仿宋_GB2312"/>
        </w:rPr>
        <w:t>区</w:t>
      </w:r>
      <w:r>
        <w:rPr>
          <w:rFonts w:hint="eastAsia" w:ascii="仿宋_GB2312" w:hAnsi="仿宋_GB2312" w:eastAsia="仿宋_GB2312" w:cs="仿宋_GB2312"/>
          <w:lang w:val="en-US" w:eastAsia="zh-CN"/>
        </w:rPr>
        <w:t>自然资源和规划局批而未供批文分类清理工作项目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楷体" w:cs="仿宋_GB2312"/>
          <w:lang w:val="en-US" w:eastAsia="zh-CN"/>
        </w:rPr>
      </w:pPr>
      <w:r>
        <w:rPr>
          <w:rFonts w:hint="eastAsia" w:ascii="楷体" w:hAnsi="楷体" w:eastAsia="楷体" w:cs="楷体"/>
        </w:rPr>
        <w:t>2.采购单位：</w:t>
      </w:r>
      <w:r>
        <w:rPr>
          <w:rFonts w:hint="eastAsia" w:ascii="仿宋_GB2312" w:hAnsi="仿宋_GB2312" w:eastAsia="仿宋_GB2312" w:cs="仿宋_GB2312"/>
          <w:lang w:val="en-US" w:eastAsia="zh-CN"/>
        </w:rPr>
        <w:t>福州市鼓楼区自然资源和规划局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楷体" w:hAnsi="楷体" w:eastAsia="楷体" w:cs="楷体"/>
        </w:rPr>
        <w:t>3.项目</w:t>
      </w:r>
      <w:r>
        <w:rPr>
          <w:rFonts w:hint="eastAsia" w:ascii="楷体" w:hAnsi="楷体" w:eastAsia="楷体" w:cs="楷体"/>
          <w:lang w:val="en-US" w:eastAsia="zh-CN"/>
        </w:rPr>
        <w:t>服务</w:t>
      </w:r>
      <w:r>
        <w:rPr>
          <w:rFonts w:hint="eastAsia" w:ascii="楷体" w:hAnsi="楷体" w:eastAsia="楷体" w:cs="楷体"/>
        </w:rPr>
        <w:t>地点：</w:t>
      </w:r>
      <w:r>
        <w:rPr>
          <w:rFonts w:hint="eastAsia" w:ascii="仿宋_GB2312" w:hAnsi="仿宋_GB2312" w:eastAsia="仿宋_GB2312" w:cs="仿宋_GB2312"/>
          <w:lang w:val="en-US" w:eastAsia="zh-CN"/>
        </w:rPr>
        <w:t>福建省福州市鼓楼区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4.联系人及联系方式：谢家炜、17805991865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5.</w:t>
      </w:r>
      <w:r>
        <w:rPr>
          <w:rFonts w:hint="eastAsia" w:ascii="楷体" w:hAnsi="楷体" w:eastAsia="楷体" w:cs="楷体"/>
        </w:rPr>
        <w:t>采购内容：</w:t>
      </w:r>
      <w:r>
        <w:rPr>
          <w:rFonts w:hint="eastAsia" w:ascii="仿宋_GB2312" w:hAnsi="仿宋_GB2312" w:eastAsia="仿宋_GB2312" w:cs="仿宋_GB2312"/>
          <w:lang w:val="en-US" w:eastAsia="zh-CN"/>
        </w:rPr>
        <w:t>涵盖规划图、国土变更调查成果图、遥感影像图和对应批文等佐证材料，以及台账表和gdb格式的矢量数据等数据成果。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rPr>
          <w:rFonts w:hint="eastAsia" w:ascii="仿宋_GB2312" w:hAnsi="仿宋_GB2312" w:eastAsia="仿宋_GB2312" w:cs="仿宋_GB2312"/>
        </w:rPr>
      </w:pPr>
      <w:r>
        <w:rPr>
          <w:rFonts w:hint="eastAsia" w:ascii="楷体" w:hAnsi="楷体" w:eastAsia="楷体" w:cs="楷体"/>
          <w:lang w:val="en-US" w:eastAsia="zh-CN"/>
        </w:rPr>
        <w:t>6</w:t>
      </w:r>
      <w:r>
        <w:rPr>
          <w:rFonts w:hint="eastAsia" w:ascii="楷体" w:hAnsi="楷体" w:eastAsia="楷体" w:cs="楷体"/>
        </w:rPr>
        <w:t>.预算金额：</w:t>
      </w:r>
      <w:r>
        <w:rPr>
          <w:rFonts w:hint="eastAsia" w:ascii="仿宋_GB2312" w:hAnsi="仿宋_GB2312" w:eastAsia="仿宋_GB2312" w:cs="仿宋_GB2312"/>
        </w:rPr>
        <w:t>人民币</w:t>
      </w:r>
      <w:r>
        <w:rPr>
          <w:rFonts w:hint="eastAsia" w:ascii="仿宋_GB2312" w:hAnsi="仿宋_GB2312" w:eastAsia="仿宋_GB2312" w:cs="仿宋_GB2312"/>
          <w:lang w:val="en-US" w:eastAsia="zh-CN"/>
        </w:rPr>
        <w:t>50000</w:t>
      </w:r>
      <w:r>
        <w:rPr>
          <w:rFonts w:hint="eastAsia" w:ascii="仿宋_GB2312" w:hAnsi="仿宋_GB2312" w:eastAsia="仿宋_GB2312" w:cs="仿宋_GB2312"/>
        </w:rPr>
        <w:t>元（</w:t>
      </w:r>
      <w:r>
        <w:rPr>
          <w:rFonts w:hint="eastAsia" w:ascii="仿宋_GB2312" w:hAnsi="仿宋_GB2312" w:eastAsia="仿宋_GB2312" w:cs="仿宋_GB2312"/>
          <w:lang w:val="en-US" w:eastAsia="zh-CN"/>
        </w:rPr>
        <w:t>伍万元</w:t>
      </w:r>
      <w:r>
        <w:rPr>
          <w:rFonts w:hint="eastAsia" w:ascii="仿宋_GB2312" w:hAnsi="仿宋_GB2312" w:eastAsia="仿宋_GB2312" w:cs="仿宋_GB2312"/>
        </w:rPr>
        <w:t>），超过预算的报价将被视为无效报价。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0" w:hanging="2560" w:hangingChars="8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7.询价起止日期：</w:t>
      </w:r>
      <w:r>
        <w:rPr>
          <w:rFonts w:hint="eastAsia" w:ascii="仿宋_GB2312" w:hAnsi="仿宋_GB2312" w:eastAsia="仿宋_GB2312" w:cs="仿宋_GB2312"/>
          <w:lang w:val="en-US" w:eastAsia="zh-CN"/>
        </w:rPr>
        <w:t>2025.7.15 - 2025.7.18（不少于3个工作日）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eastAsia="黑体" w:cs="黑体"/>
          <w:lang w:val="en-US" w:eastAsia="zh-CN"/>
        </w:rPr>
        <w:t>项目具体内容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根据省厅统一下发2009年至2023年自然资源部认定的批而未供批文清单以及相应的矢量数据。逐宗梳理，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根据实际情况，按以下4个类型梳理形成不具备供应可能的批文清单和数据库。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/>
        </w:rPr>
        <w:t>（一）重复统计和错误备案批文。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一是国务院批准用地中，因农用地转用和土地征收审批层级不同（省政府批准农转用、国务院批准土地征收），产生的重复统计。二是国务院批准用地中，供地时关联了省级转发的用地批复文，产生的重复统计。三是涉及跨省域增减挂钩建新地块土地征收的批文。四是单独选址建设项目压占城镇村批次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/>
        </w:rPr>
        <w:t>（二）不具备供应可能的批文。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一是位于永久基本农田范围内，不符合占用永久基本农田条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件的。二是位于生态保护红线内，不符合生态保护红线管控规则的。三是位于城镇开发边界外的城镇批次用地，不符合国土空间规划、未建设且市、县核实确认不再利用的。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center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/>
        </w:rPr>
        <w:t>（三）政策原因不进行供应的批文。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一是农村“两公”、一二三产和采矿项目、农村村民住宅等使用集体建设用地涉及的农用地转用批文。二是军事项目、水利水电工程淹没区等办理农用地转用和土地征收审批时，只征不转的区域。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/>
        </w:rPr>
        <w:t>（四）特殊情况应办但未办供应手续的批文。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一是上述3类之外，无法供应的交通、能源、水利、特殊用地等单独选址建设项目用地。二是符合国土空间规划和划拨用地目录，但存在未供即用、实际已建的项目用地（工业、商业、住宅等经营性用地除外）。三是代征市政道路、绿地以及不能单独利用的边角地、零星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348C5"/>
    <w:rsid w:val="1060471E"/>
    <w:rsid w:val="18BC2C2B"/>
    <w:rsid w:val="1BF65A9A"/>
    <w:rsid w:val="356139FC"/>
    <w:rsid w:val="4E740B67"/>
    <w:rsid w:val="52F1382E"/>
    <w:rsid w:val="565B104F"/>
    <w:rsid w:val="569A6561"/>
    <w:rsid w:val="6F2A249C"/>
    <w:rsid w:val="6F7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2021-03-08T08:00:00Z</dcterms:created>
  <dc:creator>Administrator</dc:creator>
  <cp:lastModifiedBy>规划科内网</cp:lastModifiedBy>
  <dcterms:modified xsi:type="dcterms:W3CDTF">2025-07-15T02:48:03Z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TemplateDocerSaveRecord">
    <vt:lpwstr>eyJoZGlkIjoiYjRlNzcwZDZlYThkYjRiZDg0ZmI3M2EwY2ExMzA2OWEiLCJ1c2VySWQiOiIyNDk0MTQ2NDUifQ==</vt:lpwstr>
  </property>
  <property fmtid="{D5CDD505-2E9C-101B-9397-08002B2CF9AE}" pid="4" name="ICV">
    <vt:lpwstr>9BD38E303248465089E6FD77360E86FE</vt:lpwstr>
  </property>
</Properties>
</file>