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321212">
      <w:pPr>
        <w:pStyle w:val="142"/>
        <w:spacing w:line="360" w:lineRule="auto"/>
        <w:jc w:val="center"/>
        <w:rPr>
          <w:rFonts w:hint="default"/>
          <w:b/>
          <w:sz w:val="72"/>
        </w:rPr>
      </w:pPr>
    </w:p>
    <w:p w14:paraId="70D7B8FE">
      <w:pPr>
        <w:pStyle w:val="142"/>
        <w:spacing w:line="360" w:lineRule="auto"/>
        <w:jc w:val="center"/>
        <w:rPr>
          <w:rFonts w:hint="default"/>
          <w:b/>
          <w:sz w:val="72"/>
        </w:rPr>
      </w:pPr>
    </w:p>
    <w:p w14:paraId="2AC843D2">
      <w:pPr>
        <w:pStyle w:val="142"/>
        <w:spacing w:line="360" w:lineRule="auto"/>
        <w:jc w:val="center"/>
        <w:rPr>
          <w:rFonts w:hint="default"/>
          <w:b/>
          <w:sz w:val="160"/>
        </w:rPr>
      </w:pPr>
      <w:r>
        <w:rPr>
          <w:b/>
          <w:sz w:val="72"/>
        </w:rPr>
        <w:t>福建省政府采购项目</w:t>
      </w:r>
    </w:p>
    <w:p w14:paraId="09C67B34">
      <w:pPr>
        <w:pStyle w:val="142"/>
        <w:spacing w:line="360" w:lineRule="auto"/>
        <w:jc w:val="center"/>
        <w:rPr>
          <w:rFonts w:hint="default"/>
          <w:b/>
          <w:sz w:val="160"/>
        </w:rPr>
      </w:pPr>
      <w:r>
        <w:rPr>
          <w:b/>
          <w:sz w:val="72"/>
        </w:rPr>
        <w:t>竞争性磋商文件</w:t>
      </w:r>
    </w:p>
    <w:p w14:paraId="7A48AD82">
      <w:pPr>
        <w:pStyle w:val="142"/>
        <w:spacing w:line="360" w:lineRule="auto"/>
        <w:jc w:val="center"/>
        <w:rPr>
          <w:rFonts w:hint="default"/>
          <w:b/>
          <w:sz w:val="160"/>
          <w:highlight w:val="none"/>
        </w:rPr>
      </w:pPr>
      <w:r>
        <w:rPr>
          <w:b/>
          <w:sz w:val="72"/>
          <w:highlight w:val="none"/>
        </w:rPr>
        <w:t>（服务类）</w:t>
      </w:r>
    </w:p>
    <w:p w14:paraId="4590CFE8">
      <w:pPr>
        <w:pStyle w:val="142"/>
        <w:rPr>
          <w:rFonts w:hint="default"/>
          <w:highlight w:val="none"/>
        </w:rPr>
      </w:pPr>
    </w:p>
    <w:p w14:paraId="4AEEEDA1">
      <w:pPr>
        <w:pStyle w:val="142"/>
        <w:rPr>
          <w:rFonts w:hint="default"/>
          <w:highlight w:val="none"/>
        </w:rPr>
      </w:pPr>
    </w:p>
    <w:p w14:paraId="49430A76">
      <w:pPr>
        <w:pStyle w:val="142"/>
        <w:rPr>
          <w:rFonts w:hint="default"/>
          <w:highlight w:val="none"/>
        </w:rPr>
      </w:pPr>
    </w:p>
    <w:p w14:paraId="6ED85B9A">
      <w:pPr>
        <w:pStyle w:val="142"/>
        <w:rPr>
          <w:rFonts w:hint="default"/>
          <w:highlight w:val="none"/>
        </w:rPr>
      </w:pPr>
    </w:p>
    <w:p w14:paraId="0DFE33B2">
      <w:pPr>
        <w:pStyle w:val="142"/>
        <w:rPr>
          <w:rFonts w:hint="default"/>
          <w:highlight w:val="none"/>
        </w:rPr>
      </w:pPr>
    </w:p>
    <w:p w14:paraId="21FA97F8">
      <w:pPr>
        <w:pStyle w:val="142"/>
        <w:rPr>
          <w:rFonts w:hint="default"/>
          <w:highlight w:val="none"/>
        </w:rPr>
      </w:pPr>
    </w:p>
    <w:p w14:paraId="30DD0253">
      <w:pPr>
        <w:pStyle w:val="142"/>
        <w:spacing w:line="360" w:lineRule="auto"/>
        <w:rPr>
          <w:rFonts w:hint="eastAsia" w:asciiTheme="minorEastAsia" w:hAnsiTheme="minorEastAsia" w:eastAsiaTheme="minorEastAsia"/>
          <w:b/>
          <w:sz w:val="40"/>
          <w:szCs w:val="21"/>
          <w:highlight w:val="none"/>
          <w:lang w:eastAsia="zh-CN"/>
        </w:rPr>
      </w:pPr>
      <w:r>
        <w:rPr>
          <w:rFonts w:asciiTheme="minorEastAsia" w:hAnsiTheme="minorEastAsia"/>
          <w:b/>
          <w:sz w:val="32"/>
          <w:szCs w:val="21"/>
          <w:highlight w:val="none"/>
        </w:rPr>
        <w:t>项目名称：</w:t>
      </w:r>
      <w:r>
        <w:rPr>
          <w:rFonts w:hint="eastAsia" w:asciiTheme="minorEastAsia" w:hAnsiTheme="minorEastAsia"/>
          <w:b/>
          <w:sz w:val="32"/>
          <w:szCs w:val="21"/>
          <w:highlight w:val="none"/>
          <w:lang w:eastAsia="zh-CN"/>
        </w:rPr>
        <w:t>商务楼宇星级评定服务项目</w:t>
      </w:r>
    </w:p>
    <w:p w14:paraId="13BB2649">
      <w:pPr>
        <w:pStyle w:val="142"/>
        <w:spacing w:line="360" w:lineRule="auto"/>
        <w:rPr>
          <w:rFonts w:hint="eastAsia" w:asciiTheme="minorEastAsia" w:hAnsiTheme="minorEastAsia" w:eastAsiaTheme="minorEastAsia"/>
          <w:b/>
          <w:sz w:val="40"/>
          <w:szCs w:val="21"/>
          <w:highlight w:val="none"/>
          <w:lang w:eastAsia="zh-CN"/>
        </w:rPr>
      </w:pPr>
      <w:r>
        <w:rPr>
          <w:rFonts w:asciiTheme="minorEastAsia" w:hAnsiTheme="minorEastAsia"/>
          <w:b/>
          <w:sz w:val="32"/>
          <w:szCs w:val="21"/>
          <w:highlight w:val="none"/>
        </w:rPr>
        <w:t>项目编号：</w:t>
      </w:r>
      <w:r>
        <w:rPr>
          <w:rFonts w:hint="eastAsia" w:asciiTheme="minorEastAsia" w:hAnsiTheme="minorEastAsia"/>
          <w:b/>
          <w:sz w:val="32"/>
          <w:highlight w:val="none"/>
          <w:lang w:eastAsia="zh-CN"/>
        </w:rPr>
        <w:t>JJXM(CS)2025119</w:t>
      </w:r>
    </w:p>
    <w:p w14:paraId="4800A513">
      <w:pPr>
        <w:pStyle w:val="142"/>
        <w:spacing w:line="360" w:lineRule="auto"/>
        <w:rPr>
          <w:rFonts w:hint="eastAsia" w:asciiTheme="minorEastAsia" w:hAnsiTheme="minorEastAsia" w:eastAsiaTheme="minorEastAsia"/>
          <w:b/>
          <w:sz w:val="32"/>
          <w:highlight w:val="none"/>
          <w:lang w:eastAsia="zh-CN"/>
        </w:rPr>
      </w:pPr>
      <w:r>
        <w:rPr>
          <w:rFonts w:asciiTheme="minorEastAsia" w:hAnsiTheme="minorEastAsia"/>
          <w:b/>
          <w:sz w:val="32"/>
          <w:szCs w:val="21"/>
          <w:highlight w:val="none"/>
        </w:rPr>
        <w:t>采购人：</w:t>
      </w:r>
      <w:r>
        <w:rPr>
          <w:rFonts w:hint="eastAsia" w:asciiTheme="minorEastAsia" w:hAnsiTheme="minorEastAsia"/>
          <w:b/>
          <w:sz w:val="32"/>
          <w:highlight w:val="none"/>
          <w:lang w:eastAsia="zh-CN"/>
        </w:rPr>
        <w:t>福州市鼓楼区发展和改革局</w:t>
      </w:r>
    </w:p>
    <w:p w14:paraId="430D9454">
      <w:pPr>
        <w:pStyle w:val="142"/>
        <w:spacing w:line="360" w:lineRule="auto"/>
        <w:rPr>
          <w:rFonts w:hint="default" w:asciiTheme="minorEastAsia" w:hAnsiTheme="minorEastAsia"/>
          <w:b/>
          <w:sz w:val="32"/>
        </w:rPr>
      </w:pPr>
    </w:p>
    <w:p w14:paraId="3EC8DE76">
      <w:pPr>
        <w:pStyle w:val="142"/>
        <w:spacing w:line="360" w:lineRule="auto"/>
        <w:rPr>
          <w:rFonts w:hint="default" w:asciiTheme="minorEastAsia" w:hAnsiTheme="minorEastAsia"/>
          <w:b/>
          <w:sz w:val="32"/>
        </w:rPr>
      </w:pPr>
    </w:p>
    <w:p w14:paraId="25099764">
      <w:pPr>
        <w:pStyle w:val="142"/>
        <w:spacing w:line="360" w:lineRule="auto"/>
        <w:rPr>
          <w:rFonts w:hint="default" w:asciiTheme="minorEastAsia" w:hAnsiTheme="minorEastAsia"/>
          <w:b/>
          <w:sz w:val="32"/>
        </w:rPr>
      </w:pPr>
    </w:p>
    <w:p w14:paraId="5E9BC683">
      <w:pPr>
        <w:pStyle w:val="142"/>
        <w:spacing w:line="360" w:lineRule="auto"/>
        <w:jc w:val="center"/>
        <w:rPr>
          <w:rFonts w:hint="default" w:asciiTheme="minorEastAsia" w:hAnsiTheme="minorEastAsia"/>
          <w:b/>
          <w:sz w:val="40"/>
        </w:rPr>
      </w:pPr>
      <w:r>
        <w:rPr>
          <w:rFonts w:cs="宋体" w:asciiTheme="minorEastAsia" w:hAnsiTheme="minorEastAsia"/>
          <w:b/>
          <w:sz w:val="32"/>
          <w:szCs w:val="36"/>
        </w:rPr>
        <w:t>招标</w:t>
      </w:r>
      <w:r>
        <w:rPr>
          <w:rFonts w:asciiTheme="minorEastAsia" w:hAnsiTheme="minorEastAsia"/>
          <w:b/>
          <w:sz w:val="32"/>
        </w:rPr>
        <w:t>代理机构：福建金桔项目管理有限公司</w:t>
      </w:r>
    </w:p>
    <w:p w14:paraId="4A2A95AD">
      <w:pPr>
        <w:pStyle w:val="142"/>
        <w:spacing w:line="360" w:lineRule="auto"/>
        <w:jc w:val="center"/>
        <w:rPr>
          <w:rFonts w:hint="default" w:asciiTheme="minorEastAsia" w:hAnsiTheme="minorEastAsia"/>
          <w:b/>
          <w:sz w:val="40"/>
        </w:rPr>
      </w:pPr>
      <w:r>
        <w:rPr>
          <w:rFonts w:asciiTheme="minorEastAsia" w:hAnsiTheme="minorEastAsia"/>
          <w:b/>
          <w:sz w:val="32"/>
        </w:rPr>
        <w:t>编制时间：2025年</w:t>
      </w:r>
      <w:r>
        <w:rPr>
          <w:rFonts w:hint="eastAsia" w:asciiTheme="minorEastAsia" w:hAnsiTheme="minorEastAsia"/>
          <w:b/>
          <w:sz w:val="32"/>
          <w:lang w:val="en-US" w:eastAsia="zh-CN"/>
        </w:rPr>
        <w:t>12</w:t>
      </w:r>
      <w:r>
        <w:rPr>
          <w:rFonts w:asciiTheme="minorEastAsia" w:hAnsiTheme="minorEastAsia"/>
          <w:b/>
          <w:sz w:val="32"/>
        </w:rPr>
        <w:t>月</w:t>
      </w:r>
    </w:p>
    <w:p w14:paraId="12481E52">
      <w:pPr>
        <w:rPr>
          <w:rFonts w:cs="宋体" w:asciiTheme="minorEastAsia" w:hAnsiTheme="minorEastAsia" w:eastAsiaTheme="minorEastAsia"/>
          <w:b/>
          <w:sz w:val="40"/>
          <w:szCs w:val="36"/>
        </w:rPr>
      </w:pPr>
    </w:p>
    <w:p w14:paraId="6E6A27F8">
      <w:pPr>
        <w:widowControl/>
        <w:jc w:val="left"/>
        <w:rPr>
          <w:rFonts w:cs="宋体" w:asciiTheme="minorEastAsia" w:hAnsiTheme="minorEastAsia" w:eastAsiaTheme="minorEastAsia"/>
          <w:b/>
          <w:sz w:val="40"/>
          <w:szCs w:val="36"/>
        </w:rPr>
      </w:pPr>
      <w:r>
        <w:rPr>
          <w:rFonts w:cs="宋体" w:asciiTheme="minorEastAsia" w:hAnsiTheme="minorEastAsia" w:eastAsiaTheme="minorEastAsia"/>
          <w:b/>
          <w:sz w:val="40"/>
          <w:szCs w:val="36"/>
        </w:rPr>
        <w:br w:type="page"/>
      </w:r>
    </w:p>
    <w:p w14:paraId="185FA783">
      <w:pPr>
        <w:spacing w:line="360" w:lineRule="auto"/>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40"/>
          <w:szCs w:val="36"/>
        </w:rPr>
        <w:t>目   录</w:t>
      </w:r>
    </w:p>
    <w:p w14:paraId="675ED996">
      <w:pPr>
        <w:pStyle w:val="20"/>
        <w:spacing w:line="360" w:lineRule="auto"/>
        <w:jc w:val="center"/>
        <w:rPr>
          <w:rFonts w:cs="宋体" w:asciiTheme="minorEastAsia" w:hAnsiTheme="minorEastAsia" w:eastAsiaTheme="minorEastAsia"/>
          <w:b/>
          <w:sz w:val="36"/>
          <w:szCs w:val="36"/>
        </w:rPr>
      </w:pPr>
    </w:p>
    <w:p w14:paraId="2A917758">
      <w:pPr>
        <w:pStyle w:val="27"/>
        <w:tabs>
          <w:tab w:val="right" w:leader="dot" w:pos="9736"/>
        </w:tabs>
        <w:rPr>
          <w:rFonts w:asciiTheme="minorEastAsia" w:hAnsiTheme="minorEastAsia" w:eastAsiaTheme="minorEastAsia" w:cstheme="minorBidi"/>
          <w:sz w:val="28"/>
          <w:szCs w:val="24"/>
        </w:rPr>
      </w:pPr>
      <w:r>
        <w:rPr>
          <w:rFonts w:hint="eastAsia" w:cs="宋体" w:asciiTheme="minorEastAsia" w:hAnsiTheme="minorEastAsia" w:eastAsiaTheme="minorEastAsia"/>
          <w:sz w:val="28"/>
          <w:szCs w:val="28"/>
        </w:rPr>
        <w:fldChar w:fldCharType="begin"/>
      </w:r>
      <w:r>
        <w:rPr>
          <w:rFonts w:hint="eastAsia" w:cs="宋体" w:asciiTheme="minorEastAsia" w:hAnsiTheme="minorEastAsia" w:eastAsiaTheme="minorEastAsia"/>
          <w:sz w:val="28"/>
          <w:szCs w:val="28"/>
        </w:rPr>
        <w:instrText xml:space="preserve">TOC \o "1-3" \h \u </w:instrText>
      </w:r>
      <w:r>
        <w:rPr>
          <w:rFonts w:hint="eastAsia" w:cs="宋体" w:asciiTheme="minorEastAsia" w:hAnsiTheme="minorEastAsia" w:eastAsiaTheme="minorEastAsia"/>
          <w:sz w:val="28"/>
          <w:szCs w:val="28"/>
        </w:rPr>
        <w:fldChar w:fldCharType="separate"/>
      </w:r>
      <w:r>
        <w:fldChar w:fldCharType="begin"/>
      </w:r>
      <w:r>
        <w:instrText xml:space="preserve"> HYPERLINK \l "_Toc164434219" </w:instrText>
      </w:r>
      <w:r>
        <w:fldChar w:fldCharType="separate"/>
      </w:r>
      <w:r>
        <w:rPr>
          <w:rStyle w:val="46"/>
          <w:rFonts w:hint="eastAsia" w:cs="宋体" w:asciiTheme="minorEastAsia" w:hAnsiTheme="minorEastAsia" w:eastAsiaTheme="minorEastAsia"/>
          <w:bCs/>
          <w:sz w:val="28"/>
          <w:szCs w:val="24"/>
        </w:rPr>
        <w:t>第一章磋商邀请</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_Toc164434219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3</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544C55AE">
      <w:pPr>
        <w:pStyle w:val="30"/>
        <w:tabs>
          <w:tab w:val="right" w:leader="dot" w:pos="9736"/>
        </w:tabs>
        <w:rPr>
          <w:rFonts w:asciiTheme="minorEastAsia" w:hAnsiTheme="minorEastAsia" w:eastAsiaTheme="minorEastAsia" w:cstheme="minorBidi"/>
          <w:sz w:val="28"/>
          <w:szCs w:val="24"/>
        </w:rPr>
      </w:pPr>
      <w:r>
        <w:fldChar w:fldCharType="begin"/>
      </w:r>
      <w:r>
        <w:instrText xml:space="preserve"> HYPERLINK \l "_Toc164434220" </w:instrText>
      </w:r>
      <w:r>
        <w:fldChar w:fldCharType="separate"/>
      </w:r>
      <w:r>
        <w:rPr>
          <w:rStyle w:val="46"/>
          <w:rFonts w:hint="eastAsia" w:cs="宋体" w:asciiTheme="minorEastAsia" w:hAnsiTheme="minorEastAsia" w:eastAsiaTheme="minorEastAsia"/>
          <w:sz w:val="28"/>
          <w:szCs w:val="24"/>
        </w:rPr>
        <w:t>磋商项目一览表</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_Toc164434220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6</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2830F9B1">
      <w:pPr>
        <w:pStyle w:val="27"/>
        <w:tabs>
          <w:tab w:val="right" w:leader="dot" w:pos="9736"/>
        </w:tabs>
        <w:rPr>
          <w:rFonts w:asciiTheme="minorEastAsia" w:hAnsiTheme="minorEastAsia" w:eastAsiaTheme="minorEastAsia" w:cstheme="minorBidi"/>
          <w:sz w:val="28"/>
          <w:szCs w:val="24"/>
        </w:rPr>
      </w:pPr>
      <w:r>
        <w:fldChar w:fldCharType="begin"/>
      </w:r>
      <w:r>
        <w:instrText xml:space="preserve"> HYPERLINK \l "_Toc164434221" </w:instrText>
      </w:r>
      <w:r>
        <w:fldChar w:fldCharType="separate"/>
      </w:r>
      <w:r>
        <w:rPr>
          <w:rStyle w:val="46"/>
          <w:rFonts w:hint="eastAsia" w:cs="宋体" w:asciiTheme="minorEastAsia" w:hAnsiTheme="minorEastAsia" w:eastAsiaTheme="minorEastAsia"/>
          <w:sz w:val="28"/>
          <w:szCs w:val="24"/>
        </w:rPr>
        <w:t>第二章供应商须知</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_Toc164434221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7</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5B52117D">
      <w:pPr>
        <w:pStyle w:val="30"/>
        <w:tabs>
          <w:tab w:val="right" w:leader="dot" w:pos="9736"/>
        </w:tabs>
        <w:rPr>
          <w:rFonts w:asciiTheme="minorEastAsia" w:hAnsiTheme="minorEastAsia" w:eastAsiaTheme="minorEastAsia" w:cstheme="minorBidi"/>
          <w:sz w:val="28"/>
          <w:szCs w:val="24"/>
        </w:rPr>
      </w:pPr>
      <w:r>
        <w:fldChar w:fldCharType="begin"/>
      </w:r>
      <w:r>
        <w:instrText xml:space="preserve"> HYPERLINK \l "_Toc164434222" </w:instrText>
      </w:r>
      <w:r>
        <w:fldChar w:fldCharType="separate"/>
      </w:r>
      <w:r>
        <w:rPr>
          <w:rStyle w:val="46"/>
          <w:rFonts w:hint="eastAsia" w:cs="宋体" w:asciiTheme="minorEastAsia" w:hAnsiTheme="minorEastAsia" w:eastAsiaTheme="minorEastAsia"/>
          <w:sz w:val="28"/>
          <w:szCs w:val="24"/>
        </w:rPr>
        <w:t>供应商须知前附表</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_Toc164434222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7</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3241551D">
      <w:pPr>
        <w:pStyle w:val="30"/>
        <w:tabs>
          <w:tab w:val="right" w:leader="dot" w:pos="9736"/>
        </w:tabs>
        <w:rPr>
          <w:rFonts w:asciiTheme="minorEastAsia" w:hAnsiTheme="minorEastAsia" w:eastAsiaTheme="minorEastAsia" w:cstheme="minorBidi"/>
          <w:sz w:val="28"/>
          <w:szCs w:val="24"/>
        </w:rPr>
      </w:pPr>
      <w:r>
        <w:fldChar w:fldCharType="begin"/>
      </w:r>
      <w:r>
        <w:instrText xml:space="preserve"> HYPERLINK \l "_Toc164434223" </w:instrText>
      </w:r>
      <w:r>
        <w:fldChar w:fldCharType="separate"/>
      </w:r>
      <w:r>
        <w:rPr>
          <w:rStyle w:val="46"/>
          <w:rFonts w:hint="eastAsia" w:cs="宋体" w:asciiTheme="minorEastAsia" w:hAnsiTheme="minorEastAsia" w:eastAsiaTheme="minorEastAsia"/>
          <w:sz w:val="28"/>
          <w:szCs w:val="24"/>
        </w:rPr>
        <w:t>附件</w:t>
      </w:r>
      <w:r>
        <w:rPr>
          <w:rStyle w:val="46"/>
          <w:rFonts w:cs="宋体" w:asciiTheme="minorEastAsia" w:hAnsiTheme="minorEastAsia" w:eastAsiaTheme="minorEastAsia"/>
          <w:sz w:val="28"/>
          <w:szCs w:val="24"/>
        </w:rPr>
        <w:t>A:</w:t>
      </w:r>
      <w:r>
        <w:rPr>
          <w:rStyle w:val="46"/>
          <w:rFonts w:hint="eastAsia" w:cs="宋体" w:asciiTheme="minorEastAsia" w:hAnsiTheme="minorEastAsia" w:eastAsiaTheme="minorEastAsia"/>
          <w:sz w:val="28"/>
          <w:szCs w:val="24"/>
        </w:rPr>
        <w:t>评标标准</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_Toc164434223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12</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56CF49B5">
      <w:pPr>
        <w:pStyle w:val="30"/>
        <w:tabs>
          <w:tab w:val="right" w:leader="dot" w:pos="9736"/>
        </w:tabs>
        <w:rPr>
          <w:rFonts w:asciiTheme="minorEastAsia" w:hAnsiTheme="minorEastAsia" w:eastAsiaTheme="minorEastAsia" w:cstheme="minorBidi"/>
          <w:sz w:val="28"/>
          <w:szCs w:val="24"/>
        </w:rPr>
      </w:pPr>
      <w:r>
        <w:fldChar w:fldCharType="begin"/>
      </w:r>
      <w:r>
        <w:instrText xml:space="preserve"> HYPERLINK \l "_Toc164434224" </w:instrText>
      </w:r>
      <w:r>
        <w:fldChar w:fldCharType="separate"/>
      </w:r>
      <w:r>
        <w:rPr>
          <w:rStyle w:val="46"/>
          <w:rFonts w:hint="eastAsia" w:cs="宋体" w:asciiTheme="minorEastAsia" w:hAnsiTheme="minorEastAsia" w:eastAsiaTheme="minorEastAsia"/>
          <w:sz w:val="28"/>
          <w:szCs w:val="24"/>
        </w:rPr>
        <w:t>一、说明</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_Toc164434224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14</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7A276ED4">
      <w:pPr>
        <w:pStyle w:val="27"/>
        <w:tabs>
          <w:tab w:val="right" w:leader="dot" w:pos="9736"/>
        </w:tabs>
        <w:ind w:firstLine="420"/>
        <w:rPr>
          <w:rFonts w:asciiTheme="minorEastAsia" w:hAnsiTheme="minorEastAsia" w:eastAsiaTheme="minorEastAsia" w:cstheme="minorBidi"/>
          <w:sz w:val="28"/>
          <w:szCs w:val="24"/>
        </w:rPr>
      </w:pPr>
      <w:r>
        <w:fldChar w:fldCharType="begin"/>
      </w:r>
      <w:r>
        <w:instrText xml:space="preserve"> HYPERLINK \l "_Toc164434225" </w:instrText>
      </w:r>
      <w:r>
        <w:fldChar w:fldCharType="separate"/>
      </w:r>
      <w:r>
        <w:rPr>
          <w:rStyle w:val="46"/>
          <w:rFonts w:hint="eastAsia" w:cs="宋体" w:asciiTheme="minorEastAsia" w:hAnsiTheme="minorEastAsia" w:eastAsiaTheme="minorEastAsia"/>
          <w:bCs/>
          <w:sz w:val="28"/>
          <w:szCs w:val="24"/>
        </w:rPr>
        <w:t>二、磋商文件</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_Toc164434225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15</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0AD009C8">
      <w:pPr>
        <w:pStyle w:val="30"/>
        <w:tabs>
          <w:tab w:val="right" w:leader="dot" w:pos="9736"/>
        </w:tabs>
        <w:rPr>
          <w:rFonts w:asciiTheme="minorEastAsia" w:hAnsiTheme="minorEastAsia" w:eastAsiaTheme="minorEastAsia" w:cstheme="minorBidi"/>
          <w:sz w:val="28"/>
          <w:szCs w:val="24"/>
        </w:rPr>
      </w:pPr>
      <w:r>
        <w:fldChar w:fldCharType="begin"/>
      </w:r>
      <w:r>
        <w:instrText xml:space="preserve"> HYPERLINK \l "_Toc164434226" </w:instrText>
      </w:r>
      <w:r>
        <w:fldChar w:fldCharType="separate"/>
      </w:r>
      <w:r>
        <w:rPr>
          <w:rStyle w:val="46"/>
          <w:rFonts w:hint="eastAsia" w:cs="宋体" w:asciiTheme="minorEastAsia" w:hAnsiTheme="minorEastAsia" w:eastAsiaTheme="minorEastAsia"/>
          <w:sz w:val="28"/>
          <w:szCs w:val="24"/>
        </w:rPr>
        <w:t>三、响应文件的编写</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_Toc164434226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16</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4F6526FE">
      <w:pPr>
        <w:pStyle w:val="30"/>
        <w:tabs>
          <w:tab w:val="right" w:leader="dot" w:pos="9736"/>
        </w:tabs>
        <w:rPr>
          <w:rFonts w:asciiTheme="minorEastAsia" w:hAnsiTheme="minorEastAsia" w:eastAsiaTheme="minorEastAsia" w:cstheme="minorBidi"/>
          <w:sz w:val="28"/>
          <w:szCs w:val="24"/>
        </w:rPr>
      </w:pPr>
      <w:r>
        <w:fldChar w:fldCharType="begin"/>
      </w:r>
      <w:r>
        <w:instrText xml:space="preserve"> HYPERLINK \l "_Toc164434227" </w:instrText>
      </w:r>
      <w:r>
        <w:fldChar w:fldCharType="separate"/>
      </w:r>
      <w:r>
        <w:rPr>
          <w:rStyle w:val="46"/>
          <w:rFonts w:hint="eastAsia" w:cs="宋体" w:asciiTheme="minorEastAsia" w:hAnsiTheme="minorEastAsia" w:eastAsiaTheme="minorEastAsia"/>
          <w:sz w:val="28"/>
          <w:szCs w:val="24"/>
        </w:rPr>
        <w:t>四、响应文件的提交</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_Toc164434227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18</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3CA8EBB4">
      <w:pPr>
        <w:pStyle w:val="30"/>
        <w:tabs>
          <w:tab w:val="right" w:leader="dot" w:pos="9736"/>
        </w:tabs>
        <w:rPr>
          <w:rFonts w:asciiTheme="minorEastAsia" w:hAnsiTheme="minorEastAsia" w:eastAsiaTheme="minorEastAsia" w:cstheme="minorBidi"/>
          <w:sz w:val="28"/>
          <w:szCs w:val="24"/>
        </w:rPr>
      </w:pPr>
      <w:r>
        <w:fldChar w:fldCharType="begin"/>
      </w:r>
      <w:r>
        <w:instrText xml:space="preserve"> HYPERLINK \l "_Toc164434228" </w:instrText>
      </w:r>
      <w:r>
        <w:fldChar w:fldCharType="separate"/>
      </w:r>
      <w:r>
        <w:rPr>
          <w:rStyle w:val="46"/>
          <w:rFonts w:hint="eastAsia" w:cs="宋体" w:asciiTheme="minorEastAsia" w:hAnsiTheme="minorEastAsia" w:eastAsiaTheme="minorEastAsia"/>
          <w:sz w:val="28"/>
          <w:szCs w:val="24"/>
        </w:rPr>
        <w:t>五、磋商程序</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_Toc164434228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19</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19BB6873">
      <w:pPr>
        <w:pStyle w:val="30"/>
        <w:tabs>
          <w:tab w:val="right" w:leader="dot" w:pos="9736"/>
        </w:tabs>
        <w:rPr>
          <w:rFonts w:asciiTheme="minorEastAsia" w:hAnsiTheme="minorEastAsia" w:eastAsiaTheme="minorEastAsia" w:cstheme="minorBidi"/>
          <w:sz w:val="28"/>
          <w:szCs w:val="24"/>
        </w:rPr>
      </w:pPr>
      <w:r>
        <w:fldChar w:fldCharType="begin"/>
      </w:r>
      <w:r>
        <w:instrText xml:space="preserve"> HYPERLINK \l "_Toc164434229" </w:instrText>
      </w:r>
      <w:r>
        <w:fldChar w:fldCharType="separate"/>
      </w:r>
      <w:r>
        <w:rPr>
          <w:rStyle w:val="46"/>
          <w:rFonts w:hint="eastAsia" w:cs="宋体" w:asciiTheme="minorEastAsia" w:hAnsiTheme="minorEastAsia" w:eastAsiaTheme="minorEastAsia"/>
          <w:sz w:val="28"/>
          <w:szCs w:val="24"/>
        </w:rPr>
        <w:t>六、响应文件的评估和比较</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_Toc164434229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20</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37DFCB69">
      <w:pPr>
        <w:pStyle w:val="30"/>
        <w:tabs>
          <w:tab w:val="right" w:leader="dot" w:pos="9736"/>
        </w:tabs>
        <w:rPr>
          <w:rFonts w:asciiTheme="minorEastAsia" w:hAnsiTheme="minorEastAsia" w:eastAsiaTheme="minorEastAsia" w:cstheme="minorBidi"/>
          <w:sz w:val="28"/>
          <w:szCs w:val="24"/>
        </w:rPr>
      </w:pPr>
      <w:r>
        <w:fldChar w:fldCharType="begin"/>
      </w:r>
      <w:r>
        <w:instrText xml:space="preserve"> HYPERLINK \l "_Toc164434230" </w:instrText>
      </w:r>
      <w:r>
        <w:fldChar w:fldCharType="separate"/>
      </w:r>
      <w:r>
        <w:rPr>
          <w:rStyle w:val="46"/>
          <w:rFonts w:hint="eastAsia" w:cs="宋体" w:asciiTheme="minorEastAsia" w:hAnsiTheme="minorEastAsia" w:eastAsiaTheme="minorEastAsia"/>
          <w:sz w:val="28"/>
          <w:szCs w:val="24"/>
        </w:rPr>
        <w:t>七、成交与签订合同</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_Toc164434230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22</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04BEA65D">
      <w:pPr>
        <w:pStyle w:val="27"/>
        <w:tabs>
          <w:tab w:val="right" w:leader="dot" w:pos="9736"/>
        </w:tabs>
        <w:rPr>
          <w:rFonts w:asciiTheme="minorEastAsia" w:hAnsiTheme="minorEastAsia" w:eastAsiaTheme="minorEastAsia" w:cstheme="minorBidi"/>
          <w:sz w:val="28"/>
          <w:szCs w:val="24"/>
        </w:rPr>
      </w:pPr>
      <w:r>
        <w:fldChar w:fldCharType="begin"/>
      </w:r>
      <w:r>
        <w:instrText xml:space="preserve"> HYPERLINK \l "_Toc164434231" </w:instrText>
      </w:r>
      <w:r>
        <w:fldChar w:fldCharType="separate"/>
      </w:r>
      <w:r>
        <w:rPr>
          <w:rStyle w:val="46"/>
          <w:rFonts w:hint="eastAsia" w:cs="宋体" w:asciiTheme="minorEastAsia" w:hAnsiTheme="minorEastAsia" w:eastAsiaTheme="minorEastAsia"/>
          <w:sz w:val="28"/>
          <w:szCs w:val="24"/>
        </w:rPr>
        <w:t>第三章磋商内容及要求</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_Toc164434231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24</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35A5B958">
      <w:pPr>
        <w:pStyle w:val="27"/>
        <w:tabs>
          <w:tab w:val="right" w:leader="dot" w:pos="9736"/>
        </w:tabs>
        <w:rPr>
          <w:rFonts w:asciiTheme="minorEastAsia" w:hAnsiTheme="minorEastAsia" w:eastAsiaTheme="minorEastAsia" w:cstheme="minorBidi"/>
          <w:sz w:val="28"/>
          <w:szCs w:val="24"/>
        </w:rPr>
      </w:pPr>
      <w:r>
        <w:fldChar w:fldCharType="begin"/>
      </w:r>
      <w:r>
        <w:instrText xml:space="preserve"> HYPERLINK \l "_Toc164434232" </w:instrText>
      </w:r>
      <w:r>
        <w:fldChar w:fldCharType="separate"/>
      </w:r>
      <w:r>
        <w:rPr>
          <w:rStyle w:val="46"/>
          <w:rFonts w:hint="eastAsia" w:cs="宋体" w:asciiTheme="minorEastAsia" w:hAnsiTheme="minorEastAsia" w:eastAsiaTheme="minorEastAsia"/>
          <w:sz w:val="28"/>
          <w:szCs w:val="24"/>
        </w:rPr>
        <w:t>第四章政府采购合同（参考文本）</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_Toc164434232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27</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2DA09487">
      <w:pPr>
        <w:pStyle w:val="27"/>
        <w:tabs>
          <w:tab w:val="right" w:leader="dot" w:pos="9736"/>
        </w:tabs>
        <w:rPr>
          <w:rFonts w:asciiTheme="minorEastAsia" w:hAnsiTheme="minorEastAsia" w:eastAsiaTheme="minorEastAsia" w:cstheme="minorBidi"/>
          <w:sz w:val="28"/>
          <w:szCs w:val="24"/>
        </w:rPr>
      </w:pPr>
      <w:r>
        <w:fldChar w:fldCharType="begin"/>
      </w:r>
      <w:r>
        <w:instrText xml:space="preserve"> HYPERLINK \l "_Toc164434233" </w:instrText>
      </w:r>
      <w:r>
        <w:fldChar w:fldCharType="separate"/>
      </w:r>
      <w:r>
        <w:rPr>
          <w:rStyle w:val="46"/>
          <w:rFonts w:hint="eastAsia" w:asciiTheme="minorEastAsia" w:hAnsiTheme="minorEastAsia" w:eastAsiaTheme="minorEastAsia"/>
          <w:sz w:val="28"/>
          <w:szCs w:val="24"/>
        </w:rPr>
        <w:t>第五章首次响应文件格式</w:t>
      </w:r>
      <w:r>
        <w:rPr>
          <w:rFonts w:asciiTheme="minorEastAsia" w:hAnsiTheme="minorEastAsia" w:eastAsiaTheme="minorEastAsia"/>
          <w:sz w:val="28"/>
          <w:szCs w:val="24"/>
        </w:rPr>
        <w:tab/>
      </w:r>
      <w:r>
        <w:rPr>
          <w:rFonts w:asciiTheme="minorEastAsia" w:hAnsiTheme="minorEastAsia" w:eastAsiaTheme="minorEastAsia"/>
          <w:sz w:val="28"/>
          <w:szCs w:val="24"/>
        </w:rPr>
        <w:fldChar w:fldCharType="begin"/>
      </w:r>
      <w:r>
        <w:rPr>
          <w:rFonts w:asciiTheme="minorEastAsia" w:hAnsiTheme="minorEastAsia" w:eastAsiaTheme="minorEastAsia"/>
          <w:sz w:val="28"/>
          <w:szCs w:val="24"/>
        </w:rPr>
        <w:instrText xml:space="preserve"> PAGEREF _Toc164434233 \h </w:instrText>
      </w:r>
      <w:r>
        <w:rPr>
          <w:rFonts w:asciiTheme="minorEastAsia" w:hAnsiTheme="minorEastAsia" w:eastAsiaTheme="minorEastAsia"/>
          <w:sz w:val="28"/>
          <w:szCs w:val="24"/>
        </w:rPr>
        <w:fldChar w:fldCharType="separate"/>
      </w:r>
      <w:r>
        <w:rPr>
          <w:rFonts w:asciiTheme="minorEastAsia" w:hAnsiTheme="minorEastAsia" w:eastAsiaTheme="minorEastAsia"/>
          <w:sz w:val="28"/>
          <w:szCs w:val="24"/>
        </w:rPr>
        <w:t>32</w:t>
      </w:r>
      <w:r>
        <w:rPr>
          <w:rFonts w:asciiTheme="minorEastAsia" w:hAnsiTheme="minorEastAsia" w:eastAsiaTheme="minorEastAsia"/>
          <w:sz w:val="28"/>
          <w:szCs w:val="24"/>
        </w:rPr>
        <w:fldChar w:fldCharType="end"/>
      </w:r>
      <w:r>
        <w:rPr>
          <w:rFonts w:asciiTheme="minorEastAsia" w:hAnsiTheme="minorEastAsia" w:eastAsiaTheme="minorEastAsia"/>
          <w:sz w:val="28"/>
          <w:szCs w:val="24"/>
        </w:rPr>
        <w:fldChar w:fldCharType="end"/>
      </w:r>
    </w:p>
    <w:p w14:paraId="701FAF38">
      <w:pPr>
        <w:pStyle w:val="6"/>
        <w:tabs>
          <w:tab w:val="right" w:leader="dot" w:pos="9781"/>
        </w:tabs>
        <w:snapToGrid w:val="0"/>
        <w:spacing w:line="480" w:lineRule="auto"/>
        <w:ind w:firstLine="0"/>
        <w:rPr>
          <w:rFonts w:cs="宋体" w:asciiTheme="minorEastAsia" w:hAnsiTheme="minorEastAsia" w:eastAsiaTheme="minorEastAsia"/>
          <w:sz w:val="24"/>
          <w:szCs w:val="24"/>
        </w:rPr>
      </w:pPr>
      <w:r>
        <w:rPr>
          <w:rFonts w:hint="eastAsia" w:cs="宋体" w:asciiTheme="minorEastAsia" w:hAnsiTheme="minorEastAsia" w:eastAsiaTheme="minorEastAsia"/>
          <w:sz w:val="28"/>
          <w:szCs w:val="28"/>
        </w:rPr>
        <w:fldChar w:fldCharType="end"/>
      </w:r>
    </w:p>
    <w:p w14:paraId="47D1A4F5">
      <w:pPr>
        <w:pStyle w:val="6"/>
        <w:snapToGrid w:val="0"/>
        <w:spacing w:line="360" w:lineRule="auto"/>
        <w:ind w:firstLine="480" w:firstLineChars="200"/>
        <w:rPr>
          <w:rFonts w:cs="宋体" w:asciiTheme="minorEastAsia" w:hAnsiTheme="minorEastAsia" w:eastAsiaTheme="minorEastAsia"/>
          <w:sz w:val="24"/>
          <w:szCs w:val="24"/>
        </w:rPr>
      </w:pPr>
    </w:p>
    <w:p w14:paraId="4D67D0C6">
      <w:pPr>
        <w:pStyle w:val="6"/>
        <w:snapToGrid w:val="0"/>
        <w:spacing w:line="360" w:lineRule="auto"/>
        <w:ind w:firstLine="480" w:firstLineChars="200"/>
        <w:rPr>
          <w:rFonts w:cs="宋体" w:asciiTheme="minorEastAsia" w:hAnsiTheme="minorEastAsia" w:eastAsiaTheme="minorEastAsia"/>
          <w:sz w:val="24"/>
          <w:szCs w:val="24"/>
        </w:rPr>
      </w:pPr>
    </w:p>
    <w:p w14:paraId="75736F1C">
      <w:pPr>
        <w:pStyle w:val="6"/>
        <w:snapToGrid w:val="0"/>
        <w:spacing w:line="360" w:lineRule="auto"/>
        <w:ind w:firstLine="480" w:firstLineChars="200"/>
        <w:rPr>
          <w:rFonts w:cs="宋体" w:asciiTheme="minorEastAsia" w:hAnsiTheme="minorEastAsia" w:eastAsiaTheme="minorEastAsia"/>
          <w:sz w:val="24"/>
          <w:szCs w:val="24"/>
        </w:rPr>
      </w:pPr>
    </w:p>
    <w:p w14:paraId="7531B5A8">
      <w:pPr>
        <w:pStyle w:val="6"/>
        <w:snapToGrid w:val="0"/>
        <w:spacing w:line="360" w:lineRule="auto"/>
        <w:ind w:firstLine="480" w:firstLineChars="200"/>
        <w:rPr>
          <w:rFonts w:cs="宋体" w:asciiTheme="minorEastAsia" w:hAnsiTheme="minorEastAsia" w:eastAsiaTheme="minorEastAsia"/>
          <w:szCs w:val="21"/>
        </w:rPr>
      </w:pPr>
      <w:r>
        <w:rPr>
          <w:rFonts w:hint="eastAsia" w:cs="宋体" w:asciiTheme="minorEastAsia" w:hAnsiTheme="minorEastAsia" w:eastAsiaTheme="minorEastAsia"/>
          <w:sz w:val="24"/>
          <w:szCs w:val="24"/>
        </w:rPr>
        <w:t>注：本磋商文</w:t>
      </w:r>
      <w:r>
        <w:rPr>
          <w:rFonts w:hint="eastAsia" w:cs="宋体" w:asciiTheme="minorEastAsia" w:hAnsiTheme="minorEastAsia" w:eastAsiaTheme="minorEastAsia"/>
          <w:sz w:val="24"/>
          <w:szCs w:val="24"/>
          <w:highlight w:val="none"/>
        </w:rPr>
        <w:t>件共</w:t>
      </w:r>
      <w:r>
        <w:rPr>
          <w:rFonts w:hint="eastAsia" w:cs="宋体" w:asciiTheme="minorEastAsia" w:hAnsiTheme="minorEastAsia" w:eastAsiaTheme="minorEastAsia"/>
          <w:sz w:val="24"/>
          <w:szCs w:val="24"/>
          <w:highlight w:val="none"/>
          <w:u w:val="single"/>
          <w:lang w:val="en-US" w:eastAsia="zh-CN"/>
        </w:rPr>
        <w:t>54</w:t>
      </w:r>
      <w:r>
        <w:rPr>
          <w:rFonts w:hint="eastAsia" w:cs="宋体" w:asciiTheme="minorEastAsia" w:hAnsiTheme="minorEastAsia" w:eastAsiaTheme="minorEastAsia"/>
          <w:sz w:val="24"/>
          <w:szCs w:val="24"/>
          <w:highlight w:val="none"/>
        </w:rPr>
        <w:t>页</w:t>
      </w:r>
      <w:r>
        <w:rPr>
          <w:rFonts w:hint="eastAsia" w:cs="宋体" w:asciiTheme="minorEastAsia" w:hAnsiTheme="minorEastAsia" w:eastAsiaTheme="minorEastAsia"/>
          <w:sz w:val="24"/>
          <w:szCs w:val="24"/>
        </w:rPr>
        <w:t>（含封面），请购买磋商文件的供应商自行核对，如发现缺、损等情况，自领取磋商文件之日起二日内向福建金桔项目管理有限公司提出，否则，由此造成的一切后果由供应商自负。</w:t>
      </w:r>
    </w:p>
    <w:p w14:paraId="5269CD01">
      <w:pPr>
        <w:spacing w:line="360" w:lineRule="auto"/>
        <w:jc w:val="center"/>
        <w:outlineLvl w:val="0"/>
        <w:rPr>
          <w:rFonts w:cs="宋体" w:asciiTheme="minorEastAsia" w:hAnsiTheme="minorEastAsia" w:eastAsiaTheme="minorEastAsia"/>
          <w:b/>
          <w:bCs/>
          <w:sz w:val="32"/>
          <w:szCs w:val="32"/>
          <w:highlight w:val="none"/>
        </w:rPr>
      </w:pPr>
      <w:bookmarkStart w:id="0" w:name="_Toc164434219"/>
      <w:bookmarkStart w:id="1" w:name="_Toc421107715"/>
      <w:r>
        <w:rPr>
          <w:rFonts w:hint="eastAsia" w:cs="宋体" w:asciiTheme="minorEastAsia" w:hAnsiTheme="minorEastAsia" w:eastAsiaTheme="minorEastAsia"/>
          <w:b/>
          <w:bCs/>
          <w:sz w:val="32"/>
          <w:szCs w:val="32"/>
          <w:highlight w:val="none"/>
        </w:rPr>
        <w:t>第一章 磋商邀请</w:t>
      </w:r>
      <w:bookmarkEnd w:id="0"/>
      <w:bookmarkEnd w:id="1"/>
    </w:p>
    <w:p w14:paraId="5DE75B53">
      <w:pPr>
        <w:spacing w:line="40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受</w:t>
      </w:r>
      <w:r>
        <w:rPr>
          <w:rFonts w:hint="eastAsia" w:cs="宋体" w:asciiTheme="minorEastAsia" w:hAnsiTheme="minorEastAsia" w:eastAsiaTheme="minorEastAsia"/>
          <w:b/>
          <w:sz w:val="24"/>
          <w:szCs w:val="24"/>
          <w:highlight w:val="none"/>
          <w:u w:val="single"/>
          <w:lang w:eastAsia="zh-CN"/>
        </w:rPr>
        <w:t>福州市鼓楼区发展和改革局</w:t>
      </w:r>
      <w:r>
        <w:rPr>
          <w:rFonts w:hint="eastAsia" w:cs="宋体" w:asciiTheme="minorEastAsia" w:hAnsiTheme="minorEastAsia" w:eastAsiaTheme="minorEastAsia"/>
          <w:sz w:val="24"/>
          <w:szCs w:val="24"/>
          <w:highlight w:val="none"/>
        </w:rPr>
        <w:t>委托，对</w:t>
      </w:r>
      <w:r>
        <w:rPr>
          <w:rFonts w:hint="eastAsia" w:cs="宋体" w:asciiTheme="minorEastAsia" w:hAnsiTheme="minorEastAsia" w:eastAsiaTheme="minorEastAsia"/>
          <w:b/>
          <w:sz w:val="24"/>
          <w:szCs w:val="24"/>
          <w:highlight w:val="none"/>
          <w:u w:val="single"/>
          <w:lang w:eastAsia="zh-CN"/>
        </w:rPr>
        <w:t>商务楼宇星级评定服务项目</w:t>
      </w:r>
      <w:r>
        <w:rPr>
          <w:rFonts w:hint="eastAsia" w:cs="宋体" w:asciiTheme="minorEastAsia" w:hAnsiTheme="minorEastAsia" w:eastAsiaTheme="minorEastAsia"/>
          <w:sz w:val="24"/>
          <w:szCs w:val="24"/>
          <w:highlight w:val="none"/>
        </w:rPr>
        <w:t>进行竞争性磋商，现欢迎国内合格的供应商前来提交密封的响应文件。</w:t>
      </w:r>
    </w:p>
    <w:p w14:paraId="79882CD4">
      <w:pPr>
        <w:tabs>
          <w:tab w:val="left" w:pos="3600"/>
        </w:tabs>
        <w:spacing w:line="460" w:lineRule="exact"/>
        <w:ind w:firstLine="482" w:firstLineChars="200"/>
        <w:rPr>
          <w:rFonts w:hint="eastAsia" w:cs="宋体" w:asciiTheme="minorEastAsia" w:hAnsiTheme="minorEastAsia" w:eastAsiaTheme="minorEastAsia"/>
          <w:sz w:val="24"/>
          <w:szCs w:val="24"/>
          <w:highlight w:val="none"/>
          <w:u w:val="single"/>
          <w:lang w:eastAsia="zh-CN"/>
        </w:rPr>
      </w:pPr>
      <w:r>
        <w:rPr>
          <w:rFonts w:hint="eastAsia" w:cs="宋体" w:asciiTheme="minorEastAsia" w:hAnsiTheme="minorEastAsia" w:eastAsiaTheme="minorEastAsia"/>
          <w:b/>
          <w:bCs/>
          <w:sz w:val="24"/>
          <w:szCs w:val="24"/>
          <w:highlight w:val="none"/>
        </w:rPr>
        <w:t>1、项目编号：</w:t>
      </w:r>
      <w:r>
        <w:rPr>
          <w:rFonts w:hint="eastAsia" w:cs="宋体" w:asciiTheme="minorEastAsia" w:hAnsiTheme="minorEastAsia" w:eastAsiaTheme="minorEastAsia"/>
          <w:sz w:val="24"/>
          <w:szCs w:val="24"/>
          <w:highlight w:val="none"/>
          <w:u w:val="single"/>
          <w:lang w:eastAsia="zh-CN"/>
        </w:rPr>
        <w:t>JJXM(CS)2025119</w:t>
      </w:r>
    </w:p>
    <w:p w14:paraId="1DF8C50C">
      <w:pPr>
        <w:spacing w:line="460" w:lineRule="exact"/>
        <w:ind w:firstLine="482" w:firstLineChars="200"/>
        <w:rPr>
          <w:rFonts w:hint="eastAsia" w:cs="宋体" w:asciiTheme="minorEastAsia" w:hAnsiTheme="minorEastAsia" w:eastAsiaTheme="minorEastAsia"/>
          <w:sz w:val="24"/>
          <w:szCs w:val="24"/>
          <w:highlight w:val="none"/>
          <w:u w:val="single"/>
          <w:lang w:eastAsia="zh-CN"/>
        </w:rPr>
      </w:pPr>
      <w:r>
        <w:rPr>
          <w:rFonts w:hint="eastAsia" w:cs="宋体" w:asciiTheme="minorEastAsia" w:hAnsiTheme="minorEastAsia" w:eastAsiaTheme="minorEastAsia"/>
          <w:b/>
          <w:bCs/>
          <w:sz w:val="24"/>
          <w:szCs w:val="24"/>
          <w:highlight w:val="none"/>
        </w:rPr>
        <w:t>2、磋商项目：</w:t>
      </w:r>
      <w:r>
        <w:rPr>
          <w:rFonts w:hint="eastAsia" w:cs="宋体" w:asciiTheme="minorEastAsia" w:hAnsiTheme="minorEastAsia" w:eastAsiaTheme="minorEastAsia"/>
          <w:sz w:val="24"/>
          <w:szCs w:val="24"/>
          <w:highlight w:val="none"/>
          <w:u w:val="single"/>
          <w:lang w:eastAsia="zh-CN"/>
        </w:rPr>
        <w:t>商务楼宇星级评定服务项目</w:t>
      </w:r>
    </w:p>
    <w:p w14:paraId="173796F1">
      <w:pPr>
        <w:spacing w:line="40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szCs w:val="24"/>
        </w:rPr>
        <w:t>3、磋商货物（服务）名称、数量及主要技术规格：</w:t>
      </w:r>
      <w:r>
        <w:rPr>
          <w:rFonts w:hint="eastAsia" w:cs="宋体" w:asciiTheme="minorEastAsia" w:hAnsiTheme="minorEastAsia" w:eastAsiaTheme="minorEastAsia"/>
          <w:sz w:val="24"/>
          <w:szCs w:val="24"/>
        </w:rPr>
        <w:t>详见磋商服务</w:t>
      </w:r>
      <w:r>
        <w:rPr>
          <w:rFonts w:hint="eastAsia" w:cs="宋体" w:asciiTheme="minorEastAsia" w:hAnsiTheme="minorEastAsia" w:eastAsiaTheme="minorEastAsia"/>
          <w:sz w:val="24"/>
        </w:rPr>
        <w:t>及第三章磋商内容及要求。</w:t>
      </w:r>
    </w:p>
    <w:p w14:paraId="4EA3C41F">
      <w:pPr>
        <w:spacing w:line="400" w:lineRule="exact"/>
        <w:ind w:firstLine="482" w:firstLineChars="200"/>
        <w:rPr>
          <w:rFonts w:cs="宋体" w:asciiTheme="minorEastAsia" w:hAnsiTheme="minorEastAsia" w:eastAsiaTheme="minorEastAsia"/>
          <w:bCs/>
          <w:sz w:val="24"/>
        </w:rPr>
      </w:pPr>
      <w:r>
        <w:rPr>
          <w:rFonts w:hint="eastAsia" w:cs="宋体" w:asciiTheme="minorEastAsia" w:hAnsiTheme="minorEastAsia" w:eastAsiaTheme="minorEastAsia"/>
          <w:b/>
          <w:bCs/>
          <w:sz w:val="24"/>
        </w:rPr>
        <w:t>4、磋商文件购买时间、地点：</w:t>
      </w:r>
      <w:r>
        <w:rPr>
          <w:rFonts w:hint="eastAsia" w:cs="宋体" w:asciiTheme="minorEastAsia" w:hAnsiTheme="minorEastAsia" w:eastAsiaTheme="minorEastAsia"/>
          <w:bCs/>
          <w:sz w:val="24"/>
        </w:rPr>
        <w:t>凡有意参加投标者，以磋商公告时间为准，每日9:00至12:00，14:30至17:00（北京时间，下同），获取磋商文件。未在规定时间内获取磋商文件的潜在供应商将失去磋商资格。 获取磋商文件需提供以下材料： （1）营业执照副本复印件。 注：须加盖供应商公章，并注明“与原件一致”，未提供相关材料，我司将不予发售磋商文件。</w:t>
      </w:r>
    </w:p>
    <w:p w14:paraId="20DCF2DF">
      <w:pPr>
        <w:spacing w:line="40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获取磋商文件方式：</w:t>
      </w:r>
    </w:p>
    <w:p w14:paraId="5C92FBC4">
      <w:pPr>
        <w:spacing w:line="400" w:lineRule="exact"/>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（1）现场获取：直接至福建金桔项目管理有限公司（福州市鼓楼区洪山镇洪山园路52号华润万象城（三期）S11#楼3层16办公）填写《招标文件获取登记表》并提供报名材料。</w:t>
      </w:r>
    </w:p>
    <w:p w14:paraId="71CC38C6">
      <w:pPr>
        <w:spacing w:line="400" w:lineRule="exact"/>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（2）通过邮件获取磋商文件（在本项目招标公告页面下载附件），完整填写《招标文件获取登记表》同时将《招标文件获取登记表》、获取磋商文件时需提供的资料发邮件至我司（</w:t>
      </w:r>
      <w:r>
        <w:rPr>
          <w:rFonts w:hint="eastAsia" w:cs="宋体" w:asciiTheme="minorEastAsia" w:hAnsiTheme="minorEastAsia" w:eastAsiaTheme="minorEastAsia"/>
          <w:b/>
          <w:bCs/>
          <w:sz w:val="24"/>
        </w:rPr>
        <w:t>均须加盖公章</w:t>
      </w:r>
      <w:r>
        <w:rPr>
          <w:rFonts w:hint="eastAsia" w:cs="宋体" w:asciiTheme="minorEastAsia" w:hAnsiTheme="minorEastAsia" w:eastAsiaTheme="minorEastAsia"/>
          <w:bCs/>
          <w:sz w:val="24"/>
        </w:rPr>
        <w:t>），未达到以上要求者，不予办理。</w:t>
      </w:r>
    </w:p>
    <w:p w14:paraId="25941EFE">
      <w:pPr>
        <w:spacing w:line="400" w:lineRule="exact"/>
        <w:ind w:firstLine="480" w:firstLineChars="200"/>
        <w:rPr>
          <w:rFonts w:cs="宋体" w:asciiTheme="minorEastAsia" w:hAnsiTheme="minorEastAsia" w:eastAsiaTheme="minorEastAsia"/>
          <w:b/>
          <w:sz w:val="24"/>
          <w:highlight w:val="yellow"/>
        </w:rPr>
      </w:pPr>
      <w:r>
        <w:rPr>
          <w:rFonts w:hint="eastAsia" w:cs="宋体" w:asciiTheme="minorEastAsia" w:hAnsiTheme="minorEastAsia" w:eastAsiaTheme="minorEastAsia"/>
          <w:bCs/>
          <w:sz w:val="24"/>
        </w:rPr>
        <w:t>具体流程：①邮件递交材料。供应商邮件递交报名材料，包括但不限于以下内容：邮件主题：项目名称+项目编号+公司名称；邮件内容：列明公司名称、法定代表人或授权代表人姓名及联系方式；邮件附件：需采用A4纸幅面，将以上报名材料加盖企业鲜章，按顺序制作成1个PDF格式文件，文件名称与主题一致，复印件扫描无效。 邮箱地址：2622209469@qq.com。②材料审核。15时前提交报名材料，一般在当天以邮件形式告知审核结果，15时后提交的，第二个工作日12时前告知。逾期未收到审核结果的，请主动联系采购机构（0591-28331996）。审核未通过的，请在磋商文件发放时间内重新提交。报名时间以代理机构审核报名材料回复通过为准。</w:t>
      </w:r>
    </w:p>
    <w:p w14:paraId="12ADD982">
      <w:pPr>
        <w:spacing w:line="40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5、磋商文件售价</w:t>
      </w:r>
      <w:r>
        <w:rPr>
          <w:rFonts w:hint="eastAsia" w:cs="宋体" w:asciiTheme="minorEastAsia" w:hAnsiTheme="minorEastAsia" w:eastAsiaTheme="minorEastAsia"/>
          <w:b/>
          <w:bCs/>
          <w:sz w:val="24"/>
          <w:highlight w:val="none"/>
        </w:rPr>
        <w:t>：</w:t>
      </w:r>
      <w:r>
        <w:rPr>
          <w:rFonts w:hint="eastAsia" w:cs="宋体" w:asciiTheme="minorEastAsia" w:hAnsiTheme="minorEastAsia" w:eastAsiaTheme="minorEastAsia"/>
          <w:b/>
          <w:bCs/>
          <w:sz w:val="24"/>
          <w:highlight w:val="none"/>
          <w:lang w:eastAsia="zh-CN"/>
        </w:rPr>
        <w:t>免费</w:t>
      </w:r>
      <w:r>
        <w:rPr>
          <w:rFonts w:hint="eastAsia" w:cs="宋体" w:asciiTheme="minorEastAsia" w:hAnsiTheme="minorEastAsia" w:eastAsiaTheme="minorEastAsia"/>
          <w:sz w:val="24"/>
          <w:highlight w:val="none"/>
        </w:rPr>
        <w:t>（纸质文本或电子文档磋商文件）。纸质文本磋商文件与电子文档磋商文件具有同等法律效力，磋商</w:t>
      </w:r>
      <w:r>
        <w:rPr>
          <w:rFonts w:hint="eastAsia" w:cs="宋体" w:asciiTheme="minorEastAsia" w:hAnsiTheme="minorEastAsia" w:eastAsiaTheme="minorEastAsia"/>
          <w:sz w:val="24"/>
        </w:rPr>
        <w:t>文件售后不退。磋商文件电子文档与纸质文本不一致时，以纸质文本为准。</w:t>
      </w:r>
    </w:p>
    <w:p w14:paraId="6558D02D">
      <w:pPr>
        <w:spacing w:line="40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6、提交首次响应文件截止时间：</w:t>
      </w:r>
      <w:r>
        <w:rPr>
          <w:rFonts w:hint="eastAsia" w:cs="宋体" w:asciiTheme="minorEastAsia" w:hAnsiTheme="minorEastAsia" w:eastAsiaTheme="minorEastAsia"/>
          <w:kern w:val="0"/>
          <w:sz w:val="24"/>
        </w:rPr>
        <w:t>以磋商公告时间为准，供应商应在此之前将</w:t>
      </w:r>
      <w:r>
        <w:rPr>
          <w:rFonts w:hint="eastAsia" w:cs="宋体" w:asciiTheme="minorEastAsia" w:hAnsiTheme="minorEastAsia" w:eastAsiaTheme="minorEastAsia"/>
          <w:sz w:val="24"/>
        </w:rPr>
        <w:t>响应文件提交到福建金桔项目管理有限公司（ 福州市鼓楼区洪山镇洪山园路52号华润万象城（三期）S11#楼3层16办公）开标大厅，逾期收到的或不符合规定的响应文件将被拒收，并将其原封不动地退回供应商。</w:t>
      </w:r>
    </w:p>
    <w:p w14:paraId="150818DF">
      <w:pPr>
        <w:widowControl/>
        <w:spacing w:line="400" w:lineRule="exact"/>
        <w:ind w:firstLine="482" w:firstLineChars="200"/>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7、</w:t>
      </w:r>
      <w:r>
        <w:rPr>
          <w:rFonts w:hint="eastAsia" w:cs="宋体" w:asciiTheme="minorEastAsia" w:hAnsiTheme="minorEastAsia" w:eastAsiaTheme="minorEastAsia"/>
          <w:b/>
          <w:bCs/>
          <w:kern w:val="0"/>
          <w:sz w:val="24"/>
        </w:rPr>
        <w:t>质疑与投诉</w:t>
      </w:r>
    </w:p>
    <w:p w14:paraId="2D61D849">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根据《政府采购质疑和投诉办法》第十条规定：供应商认为采购文件、采购过程、中标或者成交结果使自己的权益受到损害的，可以在知道或者应知其权益受到损害之日起7个工作日内，以书面形式向采购人、采购代理机构提出质疑。</w:t>
      </w:r>
    </w:p>
    <w:p w14:paraId="1419895F">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7.2根据《政府采购质疑和投诉办法》第十一条规定：提出质疑的供应商（以下简称质疑供应商）应当是参与所质疑项目采购活动的供应商。</w:t>
      </w:r>
    </w:p>
    <w:p w14:paraId="0F47D6E4">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潜在供应商已依法获取其可质疑的采购文件的，可以对该文件提出质疑。对采购文件提出质疑的，应当在获取采购文件或者采购文件公告期限届满之日起7个工作日内提出。</w:t>
      </w:r>
    </w:p>
    <w:p w14:paraId="341B18F2">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7.3根据《政府采购质疑和投诉办法》第十三条规定：采购人、采购代理机构不得拒收质疑供应商在法定质疑期内发出的质疑函，应当在收到质疑函后7个工作日内作出答复，并以书面形式通知质疑供应商和其他有关供应商。</w:t>
      </w:r>
    </w:p>
    <w:p w14:paraId="5696939D">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7.4根据《政府采购质疑和投诉办法》第十四条规定：供应商对评审过程、中标或者成交结果提出质疑的，采购人、采购代理机构可以组织原评标委员会、竞争性谈判小组、询价小组或者竞争性磋商小组协助答复质疑。</w:t>
      </w:r>
    </w:p>
    <w:p w14:paraId="37295D06">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7.5根据《政府采购质疑和投诉办法》第二十条规定：供应商投诉的事项不得超出已质疑事项的范围，但基于质疑答复内容提出的投诉事项除外。</w:t>
      </w:r>
    </w:p>
    <w:p w14:paraId="20E9EB70">
      <w:pPr>
        <w:spacing w:line="400" w:lineRule="exact"/>
        <w:ind w:firstLine="482" w:firstLineChars="20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rPr>
        <w:t>8、</w:t>
      </w:r>
      <w:r>
        <w:rPr>
          <w:rFonts w:hint="eastAsia" w:cs="宋体" w:asciiTheme="minorEastAsia" w:hAnsiTheme="minorEastAsia" w:eastAsiaTheme="minorEastAsia"/>
          <w:b/>
          <w:bCs/>
          <w:sz w:val="24"/>
          <w:highlight w:val="none"/>
        </w:rPr>
        <w:t>发布公告的媒介</w:t>
      </w:r>
    </w:p>
    <w:p w14:paraId="23570F31">
      <w:pPr>
        <w:spacing w:line="400" w:lineRule="exact"/>
        <w:ind w:firstLine="480" w:firstLineChars="200"/>
        <w:rPr>
          <w:rFonts w:hint="eastAsia" w:cs="宋体" w:asciiTheme="minorEastAsia" w:hAnsiTheme="minorEastAsia" w:eastAsiaTheme="minorEastAsia"/>
          <w:bCs/>
          <w:sz w:val="24"/>
          <w:highlight w:val="none"/>
        </w:rPr>
      </w:pPr>
      <w:r>
        <w:rPr>
          <w:rFonts w:hint="eastAsia" w:cs="宋体" w:asciiTheme="minorEastAsia" w:hAnsiTheme="minorEastAsia" w:eastAsiaTheme="minorEastAsia"/>
          <w:sz w:val="24"/>
          <w:highlight w:val="none"/>
        </w:rPr>
        <w:t>与本次磋商有关的公告信息同时在</w:t>
      </w:r>
      <w:r>
        <w:rPr>
          <w:rFonts w:hint="eastAsia" w:cs="宋体" w:asciiTheme="minorEastAsia" w:hAnsiTheme="minorEastAsia" w:eastAsiaTheme="minorEastAsia"/>
          <w:bCs/>
          <w:sz w:val="24"/>
          <w:highlight w:val="none"/>
        </w:rPr>
        <w:t>以下</w:t>
      </w:r>
      <w:r>
        <w:rPr>
          <w:rFonts w:hint="eastAsia" w:cs="宋体" w:asciiTheme="minorEastAsia" w:hAnsiTheme="minorEastAsia" w:eastAsiaTheme="minorEastAsia"/>
          <w:sz w:val="24"/>
          <w:highlight w:val="none"/>
        </w:rPr>
        <w:t>媒介</w:t>
      </w:r>
      <w:r>
        <w:rPr>
          <w:rFonts w:hint="eastAsia" w:cs="宋体" w:asciiTheme="minorEastAsia" w:hAnsiTheme="minorEastAsia" w:eastAsiaTheme="minorEastAsia"/>
          <w:bCs/>
          <w:sz w:val="24"/>
          <w:highlight w:val="none"/>
        </w:rPr>
        <w:t>发布，请供应商关注。</w:t>
      </w:r>
    </w:p>
    <w:p w14:paraId="748DE02D">
      <w:pPr>
        <w:spacing w:line="400" w:lineRule="exact"/>
        <w:ind w:firstLine="480" w:firstLineChars="200"/>
      </w:pPr>
      <w:r>
        <w:rPr>
          <w:rFonts w:hint="eastAsia" w:ascii="宋体" w:hAnsi="宋体" w:eastAsia="宋体" w:cs="宋体"/>
          <w:sz w:val="24"/>
          <w:szCs w:val="24"/>
          <w:highlight w:val="none"/>
        </w:rPr>
        <w:t>工采通电子招投标交易平台（http://www.easy-prt.com）</w:t>
      </w:r>
    </w:p>
    <w:p w14:paraId="3D57A6BE">
      <w:pPr>
        <w:spacing w:line="400" w:lineRule="exact"/>
        <w:ind w:firstLine="480" w:firstLineChars="200"/>
        <w:rPr>
          <w:rFonts w:hint="eastAsia"/>
        </w:rPr>
      </w:pPr>
      <w:r>
        <w:rPr>
          <w:rFonts w:hint="eastAsia" w:cs="宋体" w:asciiTheme="minorEastAsia" w:hAnsiTheme="minorEastAsia" w:eastAsiaTheme="minorEastAsia"/>
          <w:bCs/>
          <w:sz w:val="24"/>
          <w:highlight w:val="none"/>
        </w:rPr>
        <w:t>福州市鼓楼区人民政府(https://www.gl.gov.cn/)</w:t>
      </w:r>
    </w:p>
    <w:p w14:paraId="5504EBFB">
      <w:pPr>
        <w:spacing w:line="400" w:lineRule="exact"/>
        <w:ind w:firstLine="482" w:firstLineChars="20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9、联系方式</w:t>
      </w:r>
    </w:p>
    <w:p w14:paraId="619A012E">
      <w:pPr>
        <w:snapToGrid w:val="0"/>
        <w:spacing w:line="400" w:lineRule="exact"/>
        <w:ind w:firstLine="480" w:firstLineChars="200"/>
        <w:rPr>
          <w:rFonts w:hint="eastAsia" w:cs="宋体" w:asciiTheme="minorEastAsia" w:hAnsiTheme="minorEastAsia" w:eastAsiaTheme="minorEastAsia"/>
          <w:b/>
          <w:sz w:val="24"/>
          <w:szCs w:val="24"/>
          <w:highlight w:val="none"/>
          <w:u w:val="single"/>
          <w:lang w:eastAsia="zh-CN"/>
        </w:rPr>
      </w:pPr>
      <w:r>
        <w:rPr>
          <w:rFonts w:hint="eastAsia" w:cs="宋体" w:asciiTheme="minorEastAsia" w:hAnsiTheme="minorEastAsia" w:eastAsiaTheme="minorEastAsia"/>
          <w:sz w:val="24"/>
          <w:highlight w:val="none"/>
        </w:rPr>
        <w:t>采购人：</w:t>
      </w:r>
      <w:r>
        <w:rPr>
          <w:rFonts w:hint="eastAsia" w:cs="宋体" w:asciiTheme="minorEastAsia" w:hAnsiTheme="minorEastAsia" w:eastAsiaTheme="minorEastAsia"/>
          <w:sz w:val="24"/>
          <w:highlight w:val="none"/>
          <w:lang w:eastAsia="zh-CN"/>
        </w:rPr>
        <w:t>福州市鼓楼区发展和改革局</w:t>
      </w:r>
    </w:p>
    <w:p w14:paraId="394E7B8E">
      <w:pPr>
        <w:snapToGrid w:val="0"/>
        <w:spacing w:line="40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地  址：福州市鼓楼区东街街道津泰路98号</w:t>
      </w:r>
    </w:p>
    <w:p w14:paraId="2021C996">
      <w:pPr>
        <w:adjustRightInd w:val="0"/>
        <w:snapToGrid w:val="0"/>
        <w:spacing w:line="400" w:lineRule="exact"/>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联系方式：</w:t>
      </w:r>
      <w:r>
        <w:rPr>
          <w:rFonts w:hint="eastAsia" w:cs="宋体" w:asciiTheme="minorEastAsia" w:hAnsiTheme="minorEastAsia" w:eastAsiaTheme="minorEastAsia"/>
          <w:sz w:val="24"/>
          <w:highlight w:val="none"/>
          <w:lang w:eastAsia="zh-CN"/>
        </w:rPr>
        <w:t>陈先生</w:t>
      </w:r>
      <w:r>
        <w:rPr>
          <w:rFonts w:hint="eastAsia" w:cs="宋体" w:asciiTheme="minorEastAsia" w:hAnsiTheme="minorEastAsia" w:eastAsiaTheme="minorEastAsia"/>
          <w:sz w:val="24"/>
          <w:highlight w:val="none"/>
          <w:lang w:val="en-US" w:eastAsia="zh-CN"/>
        </w:rPr>
        <w:t xml:space="preserve"> </w:t>
      </w:r>
      <w:r>
        <w:rPr>
          <w:rFonts w:hint="eastAsia" w:cs="宋体" w:asciiTheme="minorEastAsia" w:hAnsiTheme="minorEastAsia" w:eastAsiaTheme="minorEastAsia"/>
          <w:sz w:val="24"/>
          <w:highlight w:val="none"/>
        </w:rPr>
        <w:t>0591-87551943</w:t>
      </w:r>
    </w:p>
    <w:p w14:paraId="0C7C30B8">
      <w:pPr>
        <w:snapToGrid w:val="0"/>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招标代理机构：福建金桔项目管理有限公司</w:t>
      </w:r>
    </w:p>
    <w:p w14:paraId="1CE3E98E">
      <w:pPr>
        <w:snapToGrid w:val="0"/>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地  址： 福州市鼓楼区洪山镇洪山园路52号华润万象城（三期）S11#楼3层16办公</w:t>
      </w:r>
    </w:p>
    <w:p w14:paraId="3ECD590D">
      <w:pPr>
        <w:snapToGrid w:val="0"/>
        <w:spacing w:line="400" w:lineRule="exact"/>
        <w:ind w:firstLine="480" w:firstLineChars="200"/>
        <w:rPr>
          <w:rFonts w:cs="宋体" w:asciiTheme="minorEastAsia" w:hAnsiTheme="minorEastAsia" w:eastAsiaTheme="minorEastAsia"/>
          <w:sz w:val="24"/>
          <w:highlight w:val="yellow"/>
        </w:rPr>
      </w:pPr>
      <w:r>
        <w:rPr>
          <w:rFonts w:hint="eastAsia" w:cs="宋体" w:asciiTheme="minorEastAsia" w:hAnsiTheme="minorEastAsia" w:eastAsiaTheme="minorEastAsia"/>
          <w:sz w:val="24"/>
        </w:rPr>
        <w:t>联系方式：</w:t>
      </w:r>
      <w:r>
        <w:rPr>
          <w:rFonts w:hint="eastAsia" w:cs="宋体" w:asciiTheme="minorEastAsia" w:hAnsiTheme="minorEastAsia" w:eastAsiaTheme="minorEastAsia"/>
          <w:sz w:val="24"/>
          <w:highlight w:val="none"/>
          <w:lang w:eastAsia="zh-CN"/>
        </w:rPr>
        <w:t>池思谊、王晖</w:t>
      </w:r>
      <w:r>
        <w:rPr>
          <w:rFonts w:hint="eastAsia" w:cs="宋体" w:asciiTheme="minorEastAsia" w:hAnsiTheme="minorEastAsia" w:eastAsiaTheme="minorEastAsia"/>
          <w:sz w:val="24"/>
          <w:highlight w:val="none"/>
        </w:rPr>
        <w:t xml:space="preserve"> 0591-28331996</w:t>
      </w:r>
    </w:p>
    <w:p w14:paraId="102075A9">
      <w:pPr>
        <w:adjustRightInd w:val="0"/>
        <w:snapToGrid w:val="0"/>
        <w:spacing w:line="400" w:lineRule="exact"/>
        <w:ind w:firstLine="361" w:firstLineChars="150"/>
        <w:rPr>
          <w:rFonts w:cs="宋体" w:asciiTheme="minorEastAsia" w:hAnsiTheme="minorEastAsia" w:eastAsiaTheme="minorEastAsia"/>
          <w:b/>
          <w:sz w:val="24"/>
        </w:rPr>
      </w:pPr>
      <w:r>
        <w:rPr>
          <w:rFonts w:hint="eastAsia" w:cs="宋体" w:asciiTheme="minorEastAsia" w:hAnsiTheme="minorEastAsia" w:eastAsiaTheme="minorEastAsia"/>
          <w:b/>
          <w:sz w:val="24"/>
        </w:rPr>
        <w:t>10、账户信息</w:t>
      </w:r>
    </w:p>
    <w:tbl>
      <w:tblPr>
        <w:tblStyle w:val="39"/>
        <w:tblW w:w="9962"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51"/>
        <w:gridCol w:w="31"/>
        <w:gridCol w:w="7926"/>
        <w:gridCol w:w="54"/>
      </w:tblGrid>
      <w:tr w14:paraId="18077DFD">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54" w:type="dxa"/>
          <w:trHeight w:val="454" w:hRule="atLeast"/>
          <w:jc w:val="center"/>
        </w:trPr>
        <w:tc>
          <w:tcPr>
            <w:tcW w:w="9908" w:type="dxa"/>
            <w:gridSpan w:val="3"/>
            <w:vAlign w:val="center"/>
          </w:tcPr>
          <w:p w14:paraId="276DADA8">
            <w:pPr>
              <w:snapToGrid w:val="0"/>
              <w:spacing w:line="40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招标代理服务费缴交账户</w:t>
            </w:r>
          </w:p>
        </w:tc>
      </w:tr>
      <w:tr w14:paraId="4990599E">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54" w:type="dxa"/>
          <w:trHeight w:val="454" w:hRule="atLeast"/>
          <w:jc w:val="center"/>
        </w:trPr>
        <w:tc>
          <w:tcPr>
            <w:tcW w:w="1982" w:type="dxa"/>
            <w:gridSpan w:val="2"/>
            <w:vAlign w:val="center"/>
          </w:tcPr>
          <w:p w14:paraId="1CBBD6A0">
            <w:pPr>
              <w:snapToGrid w:val="0"/>
              <w:spacing w:line="40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开户行</w:t>
            </w:r>
          </w:p>
        </w:tc>
        <w:tc>
          <w:tcPr>
            <w:tcW w:w="7926" w:type="dxa"/>
            <w:vAlign w:val="center"/>
          </w:tcPr>
          <w:p w14:paraId="3D8F2ACC">
            <w:pPr>
              <w:snapToGrid w:val="0"/>
              <w:spacing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招商银行股份有限公司福州仓山支行</w:t>
            </w:r>
          </w:p>
        </w:tc>
      </w:tr>
      <w:tr w14:paraId="457F2291">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54" w:type="dxa"/>
          <w:trHeight w:val="454" w:hRule="atLeast"/>
          <w:jc w:val="center"/>
        </w:trPr>
        <w:tc>
          <w:tcPr>
            <w:tcW w:w="1982" w:type="dxa"/>
            <w:gridSpan w:val="2"/>
            <w:vAlign w:val="center"/>
          </w:tcPr>
          <w:p w14:paraId="71CDCE54">
            <w:pPr>
              <w:snapToGrid w:val="0"/>
              <w:spacing w:line="40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账号</w:t>
            </w:r>
          </w:p>
        </w:tc>
        <w:tc>
          <w:tcPr>
            <w:tcW w:w="7926" w:type="dxa"/>
            <w:vAlign w:val="center"/>
          </w:tcPr>
          <w:p w14:paraId="0E3C3CF7">
            <w:pPr>
              <w:snapToGrid w:val="0"/>
              <w:spacing w:line="400" w:lineRule="exact"/>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5919 0753 0410 201</w:t>
            </w:r>
          </w:p>
        </w:tc>
      </w:tr>
      <w:tr w14:paraId="3567EAD3">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54" w:type="dxa"/>
          <w:trHeight w:val="454" w:hRule="atLeast"/>
          <w:jc w:val="center"/>
        </w:trPr>
        <w:tc>
          <w:tcPr>
            <w:tcW w:w="1982" w:type="dxa"/>
            <w:gridSpan w:val="2"/>
            <w:vAlign w:val="center"/>
          </w:tcPr>
          <w:p w14:paraId="43A2AE3C">
            <w:pPr>
              <w:snapToGrid w:val="0"/>
              <w:spacing w:line="40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开户名</w:t>
            </w:r>
          </w:p>
        </w:tc>
        <w:tc>
          <w:tcPr>
            <w:tcW w:w="7926" w:type="dxa"/>
            <w:vAlign w:val="center"/>
          </w:tcPr>
          <w:p w14:paraId="46D53E0C">
            <w:pPr>
              <w:snapToGrid w:val="0"/>
              <w:spacing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福建金桔项目管理有限公司</w:t>
            </w:r>
          </w:p>
        </w:tc>
      </w:tr>
      <w:tr w14:paraId="1C58F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962" w:type="dxa"/>
            <w:gridSpan w:val="4"/>
            <w:vAlign w:val="center"/>
          </w:tcPr>
          <w:p w14:paraId="57E49A1A">
            <w:pPr>
              <w:snapToGrid w:val="0"/>
              <w:spacing w:line="40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保证金账户</w:t>
            </w:r>
          </w:p>
        </w:tc>
      </w:tr>
      <w:tr w14:paraId="777C3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51" w:type="dxa"/>
            <w:vAlign w:val="center"/>
          </w:tcPr>
          <w:p w14:paraId="0B9A7775">
            <w:pPr>
              <w:snapToGrid w:val="0"/>
              <w:spacing w:line="40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开户行</w:t>
            </w:r>
          </w:p>
        </w:tc>
        <w:tc>
          <w:tcPr>
            <w:tcW w:w="8011" w:type="dxa"/>
            <w:gridSpan w:val="3"/>
            <w:vAlign w:val="center"/>
          </w:tcPr>
          <w:p w14:paraId="2C747CF5">
            <w:pPr>
              <w:snapToGrid w:val="0"/>
              <w:spacing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兴业银行股份有限公司福州屏山支行</w:t>
            </w:r>
          </w:p>
        </w:tc>
      </w:tr>
      <w:tr w14:paraId="116CB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51" w:type="dxa"/>
            <w:vAlign w:val="center"/>
          </w:tcPr>
          <w:p w14:paraId="223B3CC2">
            <w:pPr>
              <w:snapToGrid w:val="0"/>
              <w:spacing w:line="40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账号</w:t>
            </w:r>
          </w:p>
        </w:tc>
        <w:tc>
          <w:tcPr>
            <w:tcW w:w="8011" w:type="dxa"/>
            <w:gridSpan w:val="3"/>
            <w:vAlign w:val="center"/>
          </w:tcPr>
          <w:p w14:paraId="3BD8085B">
            <w:pPr>
              <w:snapToGrid w:val="0"/>
              <w:spacing w:line="400" w:lineRule="exact"/>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116020100100132937</w:t>
            </w:r>
          </w:p>
        </w:tc>
      </w:tr>
      <w:tr w14:paraId="3A043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51" w:type="dxa"/>
            <w:vAlign w:val="center"/>
          </w:tcPr>
          <w:p w14:paraId="38F51109">
            <w:pPr>
              <w:snapToGrid w:val="0"/>
              <w:spacing w:line="40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开户名</w:t>
            </w:r>
          </w:p>
        </w:tc>
        <w:tc>
          <w:tcPr>
            <w:tcW w:w="8011" w:type="dxa"/>
            <w:gridSpan w:val="3"/>
            <w:vAlign w:val="center"/>
          </w:tcPr>
          <w:p w14:paraId="0C79D36B">
            <w:pPr>
              <w:snapToGrid w:val="0"/>
              <w:spacing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福建金桔项目管理有限公司</w:t>
            </w:r>
          </w:p>
        </w:tc>
      </w:tr>
      <w:tr w14:paraId="68171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962" w:type="dxa"/>
            <w:gridSpan w:val="4"/>
            <w:vAlign w:val="center"/>
          </w:tcPr>
          <w:p w14:paraId="5055D8F4">
            <w:pPr>
              <w:snapToGrid w:val="0"/>
              <w:spacing w:line="400" w:lineRule="exact"/>
              <w:ind w:firstLine="458" w:firstLineChars="200"/>
              <w:rPr>
                <w:rFonts w:asciiTheme="minorEastAsia" w:hAnsiTheme="minorEastAsia" w:eastAsiaTheme="minorEastAsia" w:cstheme="minorEastAsia"/>
                <w:b/>
                <w:spacing w:val="-6"/>
                <w:sz w:val="24"/>
                <w:szCs w:val="24"/>
              </w:rPr>
            </w:pPr>
            <w:r>
              <w:rPr>
                <w:rFonts w:hint="eastAsia" w:asciiTheme="minorEastAsia" w:hAnsiTheme="minorEastAsia" w:eastAsiaTheme="minorEastAsia" w:cstheme="minorEastAsia"/>
                <w:b/>
                <w:spacing w:val="-6"/>
                <w:sz w:val="24"/>
                <w:szCs w:val="24"/>
              </w:rPr>
              <w:t>注：</w:t>
            </w:r>
          </w:p>
          <w:p w14:paraId="468066BD">
            <w:pPr>
              <w:snapToGrid w:val="0"/>
              <w:spacing w:line="400" w:lineRule="exact"/>
              <w:ind w:firstLine="458" w:firstLineChars="200"/>
              <w:rPr>
                <w:rFonts w:asciiTheme="minorEastAsia" w:hAnsiTheme="minorEastAsia" w:eastAsiaTheme="minorEastAsia" w:cstheme="minorEastAsia"/>
                <w:b/>
                <w:spacing w:val="-6"/>
                <w:sz w:val="24"/>
                <w:szCs w:val="24"/>
              </w:rPr>
            </w:pPr>
            <w:r>
              <w:rPr>
                <w:rFonts w:hint="eastAsia" w:asciiTheme="minorEastAsia" w:hAnsiTheme="minorEastAsia" w:eastAsiaTheme="minorEastAsia" w:cstheme="minorEastAsia"/>
                <w:b/>
                <w:spacing w:val="-6"/>
                <w:sz w:val="24"/>
                <w:szCs w:val="24"/>
              </w:rPr>
              <w:t>1、供应商认真审查清楚相应账号，磋商保证金缴错账号而产生的一切后果由其自行承担。</w:t>
            </w:r>
          </w:p>
          <w:p w14:paraId="6C863609">
            <w:pPr>
              <w:snapToGrid w:val="0"/>
              <w:spacing w:line="400" w:lineRule="exact"/>
              <w:ind w:firstLine="458" w:firstLineChars="200"/>
              <w:rPr>
                <w:rFonts w:asciiTheme="minorEastAsia" w:hAnsiTheme="minorEastAsia" w:eastAsiaTheme="minorEastAsia" w:cstheme="minorEastAsia"/>
                <w:b/>
                <w:spacing w:val="-6"/>
                <w:sz w:val="24"/>
                <w:szCs w:val="24"/>
              </w:rPr>
            </w:pPr>
            <w:r>
              <w:rPr>
                <w:rFonts w:hint="eastAsia" w:asciiTheme="minorEastAsia" w:hAnsiTheme="minorEastAsia" w:eastAsiaTheme="minorEastAsia" w:cstheme="minorEastAsia"/>
                <w:b/>
                <w:spacing w:val="-6"/>
                <w:sz w:val="24"/>
                <w:szCs w:val="24"/>
              </w:rPr>
              <w:t>2、转账单或电汇单上需注明“</w:t>
            </w:r>
            <w:r>
              <w:rPr>
                <w:rFonts w:hint="eastAsia" w:asciiTheme="minorEastAsia" w:hAnsiTheme="minorEastAsia" w:eastAsiaTheme="minorEastAsia" w:cstheme="minorEastAsia"/>
                <w:b/>
                <w:spacing w:val="-6"/>
                <w:sz w:val="24"/>
                <w:szCs w:val="24"/>
                <w:lang w:eastAsia="zh-CN"/>
              </w:rPr>
              <w:t>JJXM(CS)2025119</w:t>
            </w:r>
            <w:r>
              <w:rPr>
                <w:rFonts w:asciiTheme="minorEastAsia" w:hAnsiTheme="minorEastAsia" w:eastAsiaTheme="minorEastAsia" w:cstheme="minorEastAsia"/>
                <w:b/>
                <w:spacing w:val="-6"/>
                <w:sz w:val="24"/>
                <w:szCs w:val="24"/>
              </w:rPr>
              <w:t xml:space="preserve"> </w:t>
            </w:r>
            <w:r>
              <w:rPr>
                <w:rFonts w:hint="eastAsia" w:asciiTheme="minorEastAsia" w:hAnsiTheme="minorEastAsia" w:eastAsiaTheme="minorEastAsia" w:cstheme="minorEastAsia"/>
                <w:b/>
                <w:spacing w:val="-6"/>
                <w:sz w:val="24"/>
                <w:szCs w:val="24"/>
              </w:rPr>
              <w:t>保证金”。</w:t>
            </w:r>
          </w:p>
        </w:tc>
      </w:tr>
    </w:tbl>
    <w:p w14:paraId="28A86BFD">
      <w:pPr>
        <w:widowControl/>
        <w:spacing w:line="400" w:lineRule="exact"/>
        <w:ind w:firstLine="482" w:firstLineChars="200"/>
        <w:jc w:val="left"/>
        <w:rPr>
          <w:rFonts w:cs="宋体" w:asciiTheme="minorEastAsia" w:hAnsiTheme="minorEastAsia" w:eastAsiaTheme="minorEastAsia"/>
          <w:sz w:val="24"/>
        </w:rPr>
      </w:pPr>
      <w:r>
        <w:rPr>
          <w:rFonts w:hint="eastAsia" w:cs="宋体" w:asciiTheme="minorEastAsia" w:hAnsiTheme="minorEastAsia" w:eastAsiaTheme="minorEastAsia"/>
          <w:b/>
          <w:bCs/>
          <w:sz w:val="24"/>
          <w:szCs w:val="24"/>
        </w:rPr>
        <w:t>注：未成交供应商的磋商保证金退还时间为《成交通知书》发出后</w:t>
      </w:r>
      <w:r>
        <w:rPr>
          <w:rFonts w:cs="宋体" w:asciiTheme="minorEastAsia" w:hAnsiTheme="minorEastAsia" w:eastAsiaTheme="minorEastAsia"/>
          <w:b/>
          <w:bCs/>
          <w:sz w:val="24"/>
          <w:szCs w:val="24"/>
        </w:rPr>
        <w:t>5</w:t>
      </w:r>
      <w:r>
        <w:rPr>
          <w:rFonts w:hint="eastAsia" w:cs="宋体" w:asciiTheme="minorEastAsia" w:hAnsiTheme="minorEastAsia" w:eastAsiaTheme="minorEastAsia"/>
          <w:b/>
          <w:bCs/>
          <w:sz w:val="24"/>
          <w:szCs w:val="24"/>
        </w:rPr>
        <w:t>个工作日内，未成交供应商应向福建金桔项目管理有限公司提供《退回保证金申请函》及开户许可证复印件并加盖公章，办理退还磋商保证金手续，《退回保证金申请函》上必须提供与存入保证金时相同的银行账号和开户行；成交人签订采购合同后在</w:t>
      </w:r>
      <w:r>
        <w:rPr>
          <w:rFonts w:cs="宋体" w:asciiTheme="minorEastAsia" w:hAnsiTheme="minorEastAsia" w:eastAsiaTheme="minorEastAsia"/>
          <w:b/>
          <w:bCs/>
          <w:sz w:val="24"/>
          <w:szCs w:val="24"/>
        </w:rPr>
        <w:t>5</w:t>
      </w:r>
      <w:r>
        <w:rPr>
          <w:rFonts w:hint="eastAsia" w:cs="宋体" w:asciiTheme="minorEastAsia" w:hAnsiTheme="minorEastAsia" w:eastAsiaTheme="minorEastAsia"/>
          <w:b/>
          <w:bCs/>
          <w:sz w:val="24"/>
          <w:szCs w:val="24"/>
        </w:rPr>
        <w:t>个工作日内，持</w:t>
      </w:r>
      <w:r>
        <w:rPr>
          <w:rFonts w:hint="eastAsia" w:cs="宋体" w:asciiTheme="minorEastAsia" w:hAnsiTheme="minorEastAsia" w:eastAsiaTheme="minorEastAsia"/>
          <w:b/>
          <w:sz w:val="24"/>
          <w:szCs w:val="24"/>
        </w:rPr>
        <w:t>采购合同（原件或复印件加盖成交人公章）、《退回保证金申请函》及开户许可证复印件并加盖公章</w:t>
      </w:r>
      <w:r>
        <w:rPr>
          <w:rFonts w:hint="eastAsia" w:cs="宋体" w:asciiTheme="minorEastAsia" w:hAnsiTheme="minorEastAsia" w:eastAsiaTheme="minorEastAsia"/>
          <w:b/>
          <w:bCs/>
          <w:sz w:val="24"/>
          <w:szCs w:val="24"/>
        </w:rPr>
        <w:t>，到福建金桔项目管理有限公司退还保证金手续。</w:t>
      </w:r>
    </w:p>
    <w:p w14:paraId="663F1126">
      <w:pPr>
        <w:widowControl/>
        <w:jc w:val="left"/>
        <w:rPr>
          <w:rFonts w:cs="宋体" w:asciiTheme="minorEastAsia" w:hAnsiTheme="minorEastAsia" w:eastAsiaTheme="minorEastAsia"/>
          <w:b/>
          <w:sz w:val="32"/>
        </w:rPr>
      </w:pPr>
      <w:r>
        <w:rPr>
          <w:rFonts w:cs="宋体" w:asciiTheme="minorEastAsia" w:hAnsiTheme="minorEastAsia" w:eastAsiaTheme="minorEastAsia"/>
          <w:b/>
          <w:sz w:val="32"/>
        </w:rPr>
        <w:br w:type="page"/>
      </w:r>
    </w:p>
    <w:p w14:paraId="4BFF8378">
      <w:pPr>
        <w:spacing w:line="360" w:lineRule="auto"/>
        <w:jc w:val="center"/>
        <w:outlineLvl w:val="1"/>
        <w:rPr>
          <w:rFonts w:cs="宋体" w:asciiTheme="minorEastAsia" w:hAnsiTheme="minorEastAsia" w:eastAsiaTheme="minorEastAsia"/>
          <w:b/>
          <w:sz w:val="24"/>
          <w:szCs w:val="24"/>
        </w:rPr>
      </w:pPr>
      <w:bookmarkStart w:id="2" w:name="_Toc164434220"/>
      <w:r>
        <w:rPr>
          <w:rFonts w:hint="eastAsia" w:cs="宋体" w:asciiTheme="minorEastAsia" w:hAnsiTheme="minorEastAsia" w:eastAsiaTheme="minorEastAsia"/>
          <w:b/>
          <w:sz w:val="32"/>
        </w:rPr>
        <w:t>磋商项目一览表</w:t>
      </w:r>
      <w:bookmarkEnd w:id="2"/>
    </w:p>
    <w:p w14:paraId="20DC1AC5">
      <w:pPr>
        <w:spacing w:line="360" w:lineRule="auto"/>
        <w:jc w:val="righ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货币单位：人民币</w:t>
      </w:r>
    </w:p>
    <w:tbl>
      <w:tblPr>
        <w:tblStyle w:val="39"/>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963"/>
        <w:gridCol w:w="2055"/>
        <w:gridCol w:w="2310"/>
        <w:gridCol w:w="1492"/>
        <w:gridCol w:w="1207"/>
      </w:tblGrid>
      <w:tr w14:paraId="790E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35" w:type="dxa"/>
            <w:noWrap/>
            <w:vAlign w:val="center"/>
          </w:tcPr>
          <w:p w14:paraId="7E21A7D9">
            <w:pPr>
              <w:pStyle w:val="20"/>
              <w:spacing w:line="36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合同包</w:t>
            </w:r>
          </w:p>
        </w:tc>
        <w:tc>
          <w:tcPr>
            <w:tcW w:w="1963" w:type="dxa"/>
            <w:noWrap/>
            <w:vAlign w:val="center"/>
          </w:tcPr>
          <w:p w14:paraId="68D72C3A">
            <w:pPr>
              <w:pStyle w:val="20"/>
              <w:spacing w:line="36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项目名称</w:t>
            </w:r>
          </w:p>
        </w:tc>
        <w:tc>
          <w:tcPr>
            <w:tcW w:w="2055" w:type="dxa"/>
            <w:vAlign w:val="center"/>
          </w:tcPr>
          <w:p w14:paraId="09980333">
            <w:pPr>
              <w:widowControl/>
              <w:spacing w:line="420" w:lineRule="exact"/>
              <w:jc w:val="center"/>
              <w:textAlignment w:val="baseline"/>
              <w:rPr>
                <w:rFonts w:cs="宋体" w:asciiTheme="minorEastAsia" w:hAnsiTheme="minorEastAsia" w:eastAsiaTheme="minorEastAsia"/>
                <w:b/>
                <w:kern w:val="0"/>
                <w:sz w:val="24"/>
                <w:szCs w:val="24"/>
              </w:rPr>
            </w:pPr>
            <w:r>
              <w:rPr>
                <w:rFonts w:hint="eastAsia" w:cs="宋体" w:asciiTheme="minorEastAsia" w:hAnsiTheme="minorEastAsia" w:eastAsiaTheme="minorEastAsia"/>
                <w:b/>
                <w:bCs/>
                <w:sz w:val="24"/>
                <w:szCs w:val="24"/>
              </w:rPr>
              <w:t>服务及要求</w:t>
            </w:r>
          </w:p>
        </w:tc>
        <w:tc>
          <w:tcPr>
            <w:tcW w:w="2310" w:type="dxa"/>
            <w:vAlign w:val="center"/>
          </w:tcPr>
          <w:p w14:paraId="716FC7B9">
            <w:pPr>
              <w:pStyle w:val="37"/>
              <w:spacing w:after="0" w:line="360" w:lineRule="auto"/>
              <w:ind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492" w:type="dxa"/>
            <w:vAlign w:val="center"/>
          </w:tcPr>
          <w:p w14:paraId="0F0D7936">
            <w:pPr>
              <w:pStyle w:val="37"/>
              <w:spacing w:after="0" w:line="360" w:lineRule="auto"/>
              <w:ind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预算</w:t>
            </w:r>
          </w:p>
        </w:tc>
        <w:tc>
          <w:tcPr>
            <w:tcW w:w="1207" w:type="dxa"/>
            <w:noWrap/>
            <w:vAlign w:val="center"/>
          </w:tcPr>
          <w:p w14:paraId="4B257AC1">
            <w:pPr>
              <w:spacing w:line="360" w:lineRule="auto"/>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保证金</w:t>
            </w:r>
          </w:p>
        </w:tc>
      </w:tr>
      <w:tr w14:paraId="2C8B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935" w:type="dxa"/>
            <w:noWrap/>
            <w:vAlign w:val="center"/>
          </w:tcPr>
          <w:p w14:paraId="1CEDFF20">
            <w:pPr>
              <w:pStyle w:val="20"/>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1963" w:type="dxa"/>
            <w:shd w:val="clear" w:color="auto" w:fill="auto"/>
            <w:noWrap/>
            <w:vAlign w:val="center"/>
          </w:tcPr>
          <w:p w14:paraId="10F617BD">
            <w:pPr>
              <w:spacing w:line="360" w:lineRule="exact"/>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kern w:val="0"/>
                <w:sz w:val="24"/>
                <w:szCs w:val="24"/>
                <w:lang w:eastAsia="zh-CN"/>
              </w:rPr>
              <w:t>商务楼宇星级评定服务项目</w:t>
            </w:r>
          </w:p>
        </w:tc>
        <w:tc>
          <w:tcPr>
            <w:tcW w:w="2055" w:type="dxa"/>
            <w:vAlign w:val="center"/>
          </w:tcPr>
          <w:p w14:paraId="36FAED15">
            <w:pPr>
              <w:widowControl/>
              <w:spacing w:line="420" w:lineRule="exact"/>
              <w:jc w:val="center"/>
              <w:textAlignment w:val="baseline"/>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详见竞争性磋商文件第三章“磋商内容及要求”</w:t>
            </w:r>
          </w:p>
        </w:tc>
        <w:tc>
          <w:tcPr>
            <w:tcW w:w="2310" w:type="dxa"/>
            <w:vAlign w:val="center"/>
          </w:tcPr>
          <w:p w14:paraId="09351C3F">
            <w:pPr>
              <w:pStyle w:val="118"/>
              <w:spacing w:line="360" w:lineRule="exact"/>
              <w:ind w:firstLine="0" w:firstLineChars="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实</w:t>
            </w:r>
            <w:r>
              <w:rPr>
                <w:rFonts w:hint="eastAsia" w:cs="宋体" w:asciiTheme="minorEastAsia" w:hAnsiTheme="minorEastAsia" w:eastAsiaTheme="minorEastAsia"/>
                <w:sz w:val="24"/>
                <w:szCs w:val="24"/>
                <w:highlight w:val="none"/>
              </w:rPr>
              <w:t>地勘评约</w:t>
            </w:r>
            <w:r>
              <w:rPr>
                <w:rFonts w:hint="eastAsia" w:cs="宋体" w:asciiTheme="minorEastAsia" w:hAnsiTheme="minorEastAsia" w:eastAsiaTheme="minorEastAsia"/>
                <w:sz w:val="24"/>
                <w:szCs w:val="24"/>
                <w:highlight w:val="none"/>
                <w:lang w:val="en-US" w:eastAsia="zh-CN"/>
              </w:rPr>
              <w:t>7座</w:t>
            </w:r>
            <w:r>
              <w:rPr>
                <w:rFonts w:hint="eastAsia" w:cs="宋体" w:asciiTheme="minorEastAsia" w:hAnsiTheme="minorEastAsia" w:eastAsiaTheme="minorEastAsia"/>
                <w:sz w:val="24"/>
                <w:szCs w:val="24"/>
                <w:highlight w:val="none"/>
              </w:rPr>
              <w:t>，复评约2</w:t>
            </w:r>
            <w:r>
              <w:rPr>
                <w:rFonts w:hint="eastAsia" w:cs="宋体" w:asciiTheme="minorEastAsia" w:hAnsiTheme="minorEastAsia" w:eastAsiaTheme="minorEastAsia"/>
                <w:sz w:val="24"/>
                <w:szCs w:val="24"/>
                <w:highlight w:val="none"/>
                <w:lang w:val="en-US" w:eastAsia="zh-CN"/>
              </w:rPr>
              <w:t>6</w:t>
            </w:r>
            <w:r>
              <w:rPr>
                <w:rFonts w:hint="eastAsia" w:cs="宋体" w:asciiTheme="minorEastAsia" w:hAnsiTheme="minorEastAsia" w:eastAsiaTheme="minorEastAsia"/>
                <w:sz w:val="24"/>
                <w:szCs w:val="24"/>
                <w:highlight w:val="none"/>
              </w:rPr>
              <w:t>座</w:t>
            </w:r>
            <w:r>
              <w:rPr>
                <w:rFonts w:hint="eastAsia" w:cs="宋体" w:asciiTheme="minorEastAsia" w:hAnsiTheme="minorEastAsia" w:eastAsiaTheme="minorEastAsia"/>
                <w:sz w:val="24"/>
                <w:szCs w:val="24"/>
              </w:rPr>
              <w:t>，具体数量以合同为准</w:t>
            </w:r>
          </w:p>
        </w:tc>
        <w:tc>
          <w:tcPr>
            <w:tcW w:w="1492" w:type="dxa"/>
            <w:shd w:val="clear" w:color="auto" w:fill="auto"/>
            <w:vAlign w:val="center"/>
          </w:tcPr>
          <w:p w14:paraId="70A13361">
            <w:pPr>
              <w:pStyle w:val="118"/>
              <w:spacing w:line="360" w:lineRule="exact"/>
              <w:ind w:firstLine="0" w:firstLineChars="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100000</w:t>
            </w:r>
            <w:r>
              <w:rPr>
                <w:rFonts w:hint="eastAsia" w:cs="宋体" w:asciiTheme="minorEastAsia" w:hAnsiTheme="minorEastAsia" w:eastAsiaTheme="minorEastAsia"/>
                <w:sz w:val="24"/>
                <w:szCs w:val="24"/>
              </w:rPr>
              <w:t>元</w:t>
            </w:r>
          </w:p>
        </w:tc>
        <w:tc>
          <w:tcPr>
            <w:tcW w:w="1207" w:type="dxa"/>
            <w:shd w:val="clear" w:color="auto" w:fill="auto"/>
            <w:noWrap/>
            <w:vAlign w:val="center"/>
          </w:tcPr>
          <w:p w14:paraId="78EFBF45">
            <w:pPr>
              <w:pStyle w:val="118"/>
              <w:spacing w:line="360" w:lineRule="exact"/>
              <w:ind w:firstLine="0" w:firstLineChars="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2000</w:t>
            </w:r>
            <w:r>
              <w:rPr>
                <w:rFonts w:hint="eastAsia" w:cs="宋体" w:asciiTheme="minorEastAsia" w:hAnsiTheme="minorEastAsia" w:eastAsiaTheme="minorEastAsia"/>
                <w:sz w:val="24"/>
                <w:szCs w:val="24"/>
              </w:rPr>
              <w:t>元</w:t>
            </w:r>
          </w:p>
        </w:tc>
      </w:tr>
    </w:tbl>
    <w:p w14:paraId="399C292F">
      <w:pPr>
        <w:tabs>
          <w:tab w:val="left" w:pos="2852"/>
        </w:tabs>
        <w:adjustRightInd w:val="0"/>
        <w:snapToGrid w:val="0"/>
        <w:spacing w:line="360" w:lineRule="auto"/>
        <w:ind w:firstLine="482" w:firstLineChars="200"/>
        <w:rPr>
          <w:rFonts w:cs="宋体" w:asciiTheme="minorEastAsia" w:hAnsiTheme="minorEastAsia" w:eastAsiaTheme="minorEastAsia"/>
          <w:b/>
          <w:bCs/>
          <w:sz w:val="24"/>
          <w:szCs w:val="24"/>
        </w:rPr>
      </w:pPr>
    </w:p>
    <w:p w14:paraId="200B65CE">
      <w:pPr>
        <w:tabs>
          <w:tab w:val="left" w:pos="2852"/>
        </w:tabs>
        <w:adjustRightInd w:val="0"/>
        <w:snapToGrid w:val="0"/>
        <w:spacing w:line="360" w:lineRule="auto"/>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注：</w:t>
      </w:r>
    </w:p>
    <w:p w14:paraId="0300439B">
      <w:pPr>
        <w:tabs>
          <w:tab w:val="left" w:pos="2852"/>
        </w:tabs>
        <w:adjustRightInd w:val="0"/>
        <w:snapToGrid w:val="0"/>
        <w:spacing w:line="360" w:lineRule="auto"/>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1、供应商须按合同包报价，对同一合同包内所有内容报价时必须完整。</w:t>
      </w:r>
    </w:p>
    <w:p w14:paraId="43A3A715">
      <w:pPr>
        <w:tabs>
          <w:tab w:val="left" w:pos="2852"/>
        </w:tabs>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供应商对本磋商文件中提出的技术参数及要求应在响应文件中逐项答复，说明是否能满足要求，该说明可包括图片、说明书、技术特征、功能列表等，以便磋商小组成员能对供应商所提供的产品作出准确判断和评估。</w:t>
      </w:r>
    </w:p>
    <w:p w14:paraId="5792A554">
      <w:pPr>
        <w:tabs>
          <w:tab w:val="left" w:pos="2852"/>
        </w:tabs>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3、供应商报价应包含项目的一切费用。</w:t>
      </w:r>
    </w:p>
    <w:p w14:paraId="0675A466">
      <w:pPr>
        <w:tabs>
          <w:tab w:val="left" w:pos="2852"/>
        </w:tabs>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4、供应商必须由单位负责人或单位负责人正式授权的供应商代表参加开标会，随时接受磋商小组询问，并予以解答。</w:t>
      </w:r>
    </w:p>
    <w:p w14:paraId="023F4D09">
      <w:pPr>
        <w:tabs>
          <w:tab w:val="left" w:pos="2852"/>
        </w:tabs>
        <w:adjustRightInd w:val="0"/>
        <w:snapToGrid w:val="0"/>
        <w:spacing w:line="360" w:lineRule="auto"/>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5、成交人不得转包他人，若发现转包，采购人有权追究相应法律责任。</w:t>
      </w:r>
    </w:p>
    <w:p w14:paraId="48AC00F5">
      <w:pPr>
        <w:tabs>
          <w:tab w:val="left" w:pos="2852"/>
        </w:tabs>
        <w:adjustRightInd w:val="0"/>
        <w:snapToGri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eastAsiaTheme="minorEastAsia"/>
          <w:bCs/>
          <w:sz w:val="24"/>
          <w:szCs w:val="24"/>
        </w:rPr>
        <w:t>成交人须向我司提供如下材料：</w:t>
      </w:r>
    </w:p>
    <w:p w14:paraId="08CA99B0">
      <w:pPr>
        <w:tabs>
          <w:tab w:val="left" w:pos="2852"/>
        </w:tabs>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 xml:space="preserve">   《政府采购合同》原件</w:t>
      </w:r>
      <w:r>
        <w:rPr>
          <w:rFonts w:hint="eastAsia" w:cs="宋体" w:asciiTheme="minorEastAsia" w:hAnsiTheme="minorEastAsia" w:eastAsiaTheme="minorEastAsia"/>
          <w:bCs/>
          <w:sz w:val="24"/>
          <w:szCs w:val="24"/>
          <w:lang w:eastAsia="zh-CN"/>
        </w:rPr>
        <w:t>或复印件</w:t>
      </w:r>
      <w:r>
        <w:rPr>
          <w:rFonts w:hint="eastAsia" w:cs="宋体" w:asciiTheme="minorEastAsia" w:hAnsiTheme="minorEastAsia" w:eastAsiaTheme="minorEastAsia"/>
          <w:bCs/>
          <w:sz w:val="24"/>
          <w:szCs w:val="24"/>
        </w:rPr>
        <w:t>壹份。</w:t>
      </w:r>
    </w:p>
    <w:p w14:paraId="62A9B0FD">
      <w:pPr>
        <w:tabs>
          <w:tab w:val="left" w:pos="6930"/>
        </w:tabs>
        <w:spacing w:line="360" w:lineRule="auto"/>
        <w:ind w:right="62"/>
        <w:jc w:val="center"/>
        <w:outlineLvl w:val="0"/>
        <w:rPr>
          <w:rFonts w:cs="宋体" w:asciiTheme="minorEastAsia" w:hAnsiTheme="minorEastAsia" w:eastAsiaTheme="minorEastAsia"/>
          <w:sz w:val="32"/>
          <w:szCs w:val="32"/>
        </w:rPr>
      </w:pPr>
      <w:bookmarkStart w:id="3" w:name="_Toc421107717"/>
      <w:r>
        <w:rPr>
          <w:rFonts w:hint="eastAsia" w:cs="宋体" w:asciiTheme="minorEastAsia" w:hAnsiTheme="minorEastAsia" w:eastAsiaTheme="minorEastAsia"/>
          <w:b/>
          <w:sz w:val="32"/>
          <w:szCs w:val="32"/>
        </w:rPr>
        <w:br w:type="page"/>
      </w:r>
      <w:bookmarkStart w:id="4" w:name="_Toc164434221"/>
      <w:r>
        <w:rPr>
          <w:rFonts w:hint="eastAsia" w:cs="宋体" w:asciiTheme="minorEastAsia" w:hAnsiTheme="minorEastAsia" w:eastAsiaTheme="minorEastAsia"/>
          <w:b/>
          <w:sz w:val="32"/>
          <w:szCs w:val="32"/>
        </w:rPr>
        <w:t>第二章 供应商须知</w:t>
      </w:r>
      <w:bookmarkEnd w:id="3"/>
      <w:bookmarkEnd w:id="4"/>
    </w:p>
    <w:p w14:paraId="78E485AE">
      <w:pPr>
        <w:spacing w:line="360" w:lineRule="auto"/>
        <w:jc w:val="center"/>
        <w:outlineLvl w:val="1"/>
        <w:rPr>
          <w:rFonts w:cs="宋体" w:asciiTheme="minorEastAsia" w:hAnsiTheme="minorEastAsia" w:eastAsiaTheme="minorEastAsia"/>
          <w:b/>
          <w:sz w:val="28"/>
        </w:rPr>
      </w:pPr>
      <w:bookmarkStart w:id="5" w:name="_Toc164434222"/>
      <w:bookmarkStart w:id="6" w:name="_Toc421107718"/>
      <w:r>
        <w:rPr>
          <w:rFonts w:hint="eastAsia" w:cs="宋体" w:asciiTheme="minorEastAsia" w:hAnsiTheme="minorEastAsia" w:eastAsiaTheme="minorEastAsia"/>
          <w:b/>
          <w:sz w:val="28"/>
        </w:rPr>
        <w:t>供应商须知前附表</w:t>
      </w:r>
      <w:bookmarkEnd w:id="5"/>
      <w:bookmarkEnd w:id="6"/>
    </w:p>
    <w:p w14:paraId="083AE6E2">
      <w:pPr>
        <w:spacing w:line="360" w:lineRule="auto"/>
        <w:ind w:firstLine="52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本须知前附表的内容与《供应商须知》中内容如果有矛盾的话，应以本须知前附表为准。</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9004"/>
      </w:tblGrid>
      <w:tr w14:paraId="64EA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60234654">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项号</w:t>
            </w:r>
          </w:p>
        </w:tc>
        <w:tc>
          <w:tcPr>
            <w:tcW w:w="4519" w:type="pct"/>
            <w:vAlign w:val="center"/>
          </w:tcPr>
          <w:p w14:paraId="77AC673E">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编   列   内    容</w:t>
            </w:r>
          </w:p>
        </w:tc>
      </w:tr>
      <w:tr w14:paraId="03A0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1C8CEF93">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4519" w:type="pct"/>
            <w:vAlign w:val="center"/>
          </w:tcPr>
          <w:p w14:paraId="0E2DDF58">
            <w:pPr>
              <w:pStyle w:val="20"/>
              <w:spacing w:line="360" w:lineRule="auto"/>
              <w:ind w:left="1217" w:hanging="1216" w:hangingChars="507"/>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项目名称：</w:t>
            </w:r>
            <w:r>
              <w:rPr>
                <w:rFonts w:hint="eastAsia" w:cs="宋体" w:asciiTheme="minorEastAsia" w:hAnsiTheme="minorEastAsia" w:eastAsiaTheme="minorEastAsia"/>
                <w:sz w:val="24"/>
                <w:szCs w:val="24"/>
                <w:lang w:eastAsia="zh-CN"/>
              </w:rPr>
              <w:t>商务楼宇星级评定服务项目</w:t>
            </w:r>
          </w:p>
          <w:p w14:paraId="39BF6DBF">
            <w:pPr>
              <w:pStyle w:val="20"/>
              <w:spacing w:line="360" w:lineRule="auto"/>
              <w:ind w:left="1217" w:hanging="1216" w:hangingChars="507"/>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采购人名称：</w:t>
            </w:r>
            <w:r>
              <w:rPr>
                <w:rFonts w:hint="eastAsia" w:cs="宋体" w:asciiTheme="minorEastAsia" w:hAnsiTheme="minorEastAsia" w:eastAsiaTheme="minorEastAsia"/>
                <w:sz w:val="24"/>
                <w:szCs w:val="24"/>
                <w:lang w:eastAsia="zh-CN"/>
              </w:rPr>
              <w:t>福州市鼓楼区发展和改革局</w:t>
            </w:r>
          </w:p>
          <w:p w14:paraId="630576DC">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项目内容：详见《磋商项目一览表》及《第三章磋商内容及要求》</w:t>
            </w:r>
          </w:p>
          <w:p w14:paraId="203772EF">
            <w:pPr>
              <w:spacing w:line="360" w:lineRule="auto"/>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项目编号：</w:t>
            </w:r>
            <w:r>
              <w:rPr>
                <w:rFonts w:hint="eastAsia" w:cs="宋体" w:asciiTheme="minorEastAsia" w:hAnsiTheme="minorEastAsia" w:eastAsiaTheme="minorEastAsia"/>
                <w:sz w:val="24"/>
                <w:szCs w:val="24"/>
                <w:lang w:eastAsia="zh-CN"/>
              </w:rPr>
              <w:t>JJXM(CS)2025119</w:t>
            </w:r>
          </w:p>
        </w:tc>
      </w:tr>
      <w:tr w14:paraId="232D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105D2E86">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p>
        </w:tc>
        <w:tc>
          <w:tcPr>
            <w:tcW w:w="4519" w:type="pct"/>
            <w:vAlign w:val="center"/>
          </w:tcPr>
          <w:p w14:paraId="0AAC20EF">
            <w:pPr>
              <w:autoSpaceDE w:val="0"/>
              <w:autoSpaceDN w:val="0"/>
              <w:adjustRightInd w:val="0"/>
              <w:snapToGrid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资格标准：</w:t>
            </w:r>
          </w:p>
          <w:p w14:paraId="2A17106B">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hint="eastAsia" w:cs="宋体" w:asciiTheme="minorEastAsia" w:hAnsiTheme="minorEastAsia"/>
                <w:color w:val="000000" w:themeColor="text1"/>
                <w:kern w:val="0"/>
                <w:sz w:val="24"/>
                <w:szCs w:val="24"/>
                <w14:textFill>
                  <w14:solidFill>
                    <w14:schemeClr w14:val="tx1"/>
                  </w14:solidFill>
                </w14:textFill>
              </w:rPr>
              <w:t>供应商为企业的，须提供有效的营业执照复印件；供应商为事业单位的，须提供有效的事业单位法人证书复印件；供应商为社会团体的，须提供有效的社会团体法人登记证书复印件；供应商为合伙企业的，须提供有效的营业执照复印件；供应商为非企业专业服务机构的，须提供有效的执业许可证等证明材料复印件；其他供应商应按照有关法律、法规和规章规定，提供有效的相应具体证照复印件</w:t>
            </w:r>
            <w:r>
              <w:rPr>
                <w:rFonts w:hint="eastAsia" w:cs="宋体" w:asciiTheme="minorEastAsia" w:hAnsiTheme="minorEastAsia" w:eastAsiaTheme="minorEastAsia"/>
                <w:sz w:val="24"/>
                <w:szCs w:val="24"/>
              </w:rPr>
              <w:t>。</w:t>
            </w:r>
          </w:p>
          <w:p w14:paraId="13CA1B4F">
            <w:pPr>
              <w:spacing w:line="46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（2）</w:t>
            </w:r>
            <w:r>
              <w:rPr>
                <w:rFonts w:hint="eastAsia" w:asciiTheme="minorEastAsia" w:hAnsiTheme="minorEastAsia" w:eastAsiaTheme="minorEastAsia"/>
                <w:sz w:val="24"/>
              </w:rPr>
              <w:t>财务状况报告：</w:t>
            </w:r>
            <w:r>
              <w:rPr>
                <w:rFonts w:hint="eastAsia" w:asciiTheme="minorEastAsia" w:hAnsiTheme="minorEastAsia" w:eastAsiaTheme="minorEastAsia"/>
                <w:sz w:val="24"/>
                <w:szCs w:val="24"/>
              </w:rPr>
              <w:t>提供2024年度的审计报告(包括资产负债表、利润表、现金流量表)；或开户行出具的资信证明（附开户许可证或基本账户信息）。</w:t>
            </w:r>
          </w:p>
          <w:p w14:paraId="6800E05C">
            <w:pPr>
              <w:spacing w:line="360" w:lineRule="auto"/>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rPr>
              <w:t>（</w:t>
            </w:r>
            <w:r>
              <w:rPr>
                <w:rFonts w:hint="eastAsia" w:cs="宋体" w:asciiTheme="minorEastAsia" w:hAnsiTheme="minorEastAsia" w:eastAsiaTheme="minorEastAsia"/>
                <w:sz w:val="24"/>
                <w:szCs w:val="24"/>
              </w:rPr>
              <w:t>3）依法缴纳税收的相关材料：提供提交首次响应文件截止时间前（不含提交首次响应文件截止当月）六个月任一个月的依法缴纳税收的凭据。</w:t>
            </w:r>
          </w:p>
          <w:p w14:paraId="662AA9CD">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（4）依法缴纳社会保障资金的相关材料：提供提交首次响应文件截止时间前（不含提交首次响应文件截止当月）六个月任一个月的依法缴纳社会保障资金的凭据。</w:t>
            </w:r>
          </w:p>
          <w:p w14:paraId="38F1291E">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（5）提供参加政府采购活动前3年内在经营活动中没有重大违法记录的书面声明。</w:t>
            </w:r>
          </w:p>
          <w:p w14:paraId="0A4B4079">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（6）由于2018年8月1日起检察机关不再提供无行贿犯罪告知函查询，如供应商无法开具无行贿犯罪告知函的，供应商必须提供无行贿犯罪说明或承诺函(格式自拟）。</w:t>
            </w:r>
          </w:p>
          <w:p w14:paraId="47016DBA">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信用信息查询：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提交首次响应文件截止时间)前三年内被列入失信被执行人名单、重大税收违法案件当事人名单、政府采购严重违法失信行为记录名单及其他重大违法记录且相关信用惩戒期限未满的，其资格审查不合格。</w:t>
            </w:r>
          </w:p>
          <w:p w14:paraId="764F6206">
            <w:pPr>
              <w:pStyle w:val="113"/>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（8）具有履行合同所必需设备和专业技术能力的声明函。</w:t>
            </w:r>
          </w:p>
          <w:p w14:paraId="2832920F">
            <w:pPr>
              <w:pStyle w:val="113"/>
              <w:spacing w:line="400" w:lineRule="exact"/>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w:t>
            </w:r>
            <w:r>
              <w:rPr>
                <w:rFonts w:hint="eastAsia" w:cs="宋体" w:asciiTheme="minorEastAsia" w:hAnsiTheme="minorEastAsia" w:eastAsiaTheme="minorEastAsia"/>
                <w:kern w:val="2"/>
                <w:sz w:val="24"/>
                <w:szCs w:val="24"/>
                <w:lang w:val="en-US" w:eastAsia="zh-CN"/>
              </w:rPr>
              <w:t>9</w:t>
            </w:r>
            <w:r>
              <w:rPr>
                <w:rFonts w:hint="eastAsia" w:cs="宋体" w:asciiTheme="minorEastAsia" w:hAnsiTheme="minorEastAsia" w:eastAsiaTheme="minorEastAsia"/>
                <w:kern w:val="2"/>
                <w:sz w:val="24"/>
                <w:szCs w:val="24"/>
              </w:rPr>
              <w:t>）本项目不接受联合体投标。</w:t>
            </w:r>
          </w:p>
          <w:p w14:paraId="349F40A4">
            <w:pPr>
              <w:pStyle w:val="113"/>
              <w:spacing w:line="360" w:lineRule="auto"/>
              <w:ind w:firstLine="480" w:firstLineChars="200"/>
              <w:rPr>
                <w:rFonts w:hint="eastAsia" w:asciiTheme="minorEastAsia" w:hAnsiTheme="minorEastAsia" w:eastAsiaTheme="minorEastAsia"/>
                <w:sz w:val="24"/>
                <w:szCs w:val="24"/>
              </w:rPr>
            </w:pPr>
            <w:r>
              <w:rPr>
                <w:rFonts w:hint="eastAsia" w:cs="宋体" w:asciiTheme="minorEastAsia" w:hAnsiTheme="minorEastAsia" w:eastAsiaTheme="minorEastAsia"/>
                <w:kern w:val="2"/>
                <w:sz w:val="24"/>
                <w:szCs w:val="24"/>
              </w:rPr>
              <w:t>（</w:t>
            </w:r>
            <w:r>
              <w:rPr>
                <w:rFonts w:hint="eastAsia" w:cs="宋体" w:asciiTheme="minorEastAsia" w:hAnsiTheme="minorEastAsia" w:eastAsiaTheme="minorEastAsia"/>
                <w:kern w:val="2"/>
                <w:sz w:val="24"/>
                <w:szCs w:val="24"/>
                <w:lang w:val="en-US" w:eastAsia="zh-CN"/>
              </w:rPr>
              <w:t>10</w:t>
            </w:r>
            <w:r>
              <w:rPr>
                <w:rFonts w:hint="eastAsia" w:cs="宋体" w:asciiTheme="minorEastAsia" w:hAnsiTheme="minorEastAsia" w:eastAsiaTheme="minorEastAsia"/>
                <w:kern w:val="2"/>
                <w:sz w:val="24"/>
                <w:szCs w:val="24"/>
              </w:rPr>
              <w:t>）特定条件：</w:t>
            </w:r>
            <w:r>
              <w:rPr>
                <w:rFonts w:hint="eastAsia" w:asciiTheme="minorEastAsia" w:hAnsiTheme="minorEastAsia" w:eastAsiaTheme="minorEastAsia"/>
                <w:sz w:val="24"/>
                <w:szCs w:val="24"/>
              </w:rPr>
              <w:t>根据《福建省财政厅关于印发推行政府采购供应商资格承诺制指导意见的通知》（闽财购〔2024〕6号），参加本项目投标的供应商提供《政府采购供应商资格承诺函》（格式见第五章）的，在投标（响应）文件中可不提供《中华人民共和国政府采购法实施条例》第十七条第一款规定的资格条件证明材料（证明材料指:法人或者其他组织的营业执照等证明文件、财务状况报告证明文件、依法缴纳税收和社会保障资金的证明文件、具备履行合同所必需设备和专业技术能力的声明函、参加政府采购活动前3年内在经营活动中没有重大违法记录的书面声明），供应商可自行选择是否提供本承诺函，若不提供本承诺函的，应按磋商文件要求提供相应的证明材料。供应商应对其承诺内容的真实性、合法性、有效性负责，不得作出虚假承诺，承诺不实的，属于提供虚假材料谋取中标、成交，依法追究相关的法律责任。</w:t>
            </w:r>
          </w:p>
          <w:p w14:paraId="431DDD3D">
            <w:pPr>
              <w:pStyle w:val="113"/>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11）①本采购包专门面向符合财政部、工信部文件（财库〔2020〕46号）规定的中、小、微型企业。供应商须提供《中小企业声明函（工程、服务）》。供应商应认真对照《工业和信息化部、国家统计局、国家发展和改革委员会、财政部关于印发中小企业划型标准规定的通知》（工信部联企业</w:t>
            </w:r>
            <w:r>
              <w:rPr>
                <w:rFonts w:hint="eastAsia" w:asciiTheme="minorEastAsia" w:hAnsiTheme="minorEastAsia" w:eastAsiaTheme="minorEastAsia"/>
                <w:sz w:val="24"/>
                <w:szCs w:val="24"/>
                <w:lang w:eastAsia="zh-CN"/>
              </w:rPr>
              <w:t>〔2011〕300号</w:t>
            </w:r>
            <w:r>
              <w:rPr>
                <w:rFonts w:hint="eastAsia" w:asciiTheme="minorEastAsia" w:hAnsiTheme="minorEastAsia" w:eastAsiaTheme="minorEastAsia"/>
                <w:sz w:val="24"/>
                <w:szCs w:val="24"/>
              </w:rPr>
              <w:t>）规定的划分标准，并按照国家统计局关于印发《统计上大中小微型企业划分办法（2017）》的通知（国统字〔2017〕213号）规定准确划分企业类型。若磋商文件中的有关条款与本条款有矛盾之处以此处为准。②监狱企业视同小型、微型企业，供应商为监狱企业的，可不提供《中小企业声明函》，但须提供由省级以上监狱管理局、戒毒管理局（含新疆生产建设兵团）出具的属于监狱企业的证明文件。③残疾人福利性单位视同小型、微型企业，供应商为残疾人福利性单位的，可不提供《中小企业声明函》，但须提供《残疾人福利性单位声明函》。※供应商应按照磋商文件第五章规定提供。注：享受扶持政策获得政府采购合同的，小微企业不得将合同分包给大中型企业，中型企业不得将合同分包给大型企业。注：本采购包为服务类采购项目，采购标的对应的中小企业划分标准所属行业：其他未列明行业。</w:t>
            </w:r>
          </w:p>
          <w:p w14:paraId="305BFA73">
            <w:pPr>
              <w:autoSpaceDE w:val="0"/>
              <w:autoSpaceDN w:val="0"/>
              <w:adjustRightInd w:val="0"/>
              <w:snapToGrid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b/>
                <w:sz w:val="24"/>
                <w:szCs w:val="24"/>
              </w:rPr>
              <w:t>注：供应商必须提交以上文件或证明的复印件，所有文件应是最新（有效）、清晰并加盖供应商公章，复印件应注明“与原件一致”，否则资格审查不合格。</w:t>
            </w:r>
          </w:p>
        </w:tc>
      </w:tr>
      <w:tr w14:paraId="1CB4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21C8210B">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4519" w:type="pct"/>
            <w:vAlign w:val="center"/>
          </w:tcPr>
          <w:p w14:paraId="2C5AD3F9">
            <w:pPr>
              <w:autoSpaceDE w:val="0"/>
              <w:autoSpaceDN w:val="0"/>
              <w:adjustRightInd w:val="0"/>
              <w:snapToGrid w:val="0"/>
              <w:spacing w:line="360" w:lineRule="auto"/>
              <w:rPr>
                <w:rFonts w:cs="宋体" w:asciiTheme="minorEastAsia" w:hAnsiTheme="minorEastAsia" w:eastAsiaTheme="minorEastAsia"/>
                <w:sz w:val="24"/>
                <w:szCs w:val="24"/>
              </w:rPr>
            </w:pPr>
            <w:r>
              <w:rPr>
                <w:rFonts w:cs="宋体" w:asciiTheme="minorEastAsia" w:hAnsiTheme="minorEastAsia" w:eastAsiaTheme="minorEastAsia"/>
                <w:sz w:val="24"/>
                <w:szCs w:val="24"/>
              </w:rPr>
              <w:t>响应文件</w:t>
            </w:r>
            <w:r>
              <w:rPr>
                <w:rFonts w:hint="eastAsia" w:cs="宋体" w:asciiTheme="minorEastAsia" w:hAnsiTheme="minorEastAsia" w:eastAsiaTheme="minorEastAsia"/>
                <w:sz w:val="24"/>
                <w:szCs w:val="24"/>
              </w:rPr>
              <w:t>有效期：</w:t>
            </w:r>
            <w:r>
              <w:rPr>
                <w:rFonts w:cs="宋体" w:asciiTheme="minorEastAsia" w:hAnsiTheme="minorEastAsia" w:eastAsiaTheme="minorEastAsia"/>
                <w:sz w:val="24"/>
                <w:szCs w:val="24"/>
              </w:rPr>
              <w:t>响应文件提交截止时间起</w:t>
            </w:r>
            <w:r>
              <w:rPr>
                <w:rFonts w:cs="宋体" w:asciiTheme="minorEastAsia" w:hAnsiTheme="minorEastAsia" w:eastAsiaTheme="minorEastAsia"/>
                <w:sz w:val="24"/>
                <w:szCs w:val="24"/>
                <w:u w:val="single"/>
              </w:rPr>
              <w:t>90</w:t>
            </w:r>
            <w:r>
              <w:rPr>
                <w:rFonts w:cs="宋体" w:asciiTheme="minorEastAsia" w:hAnsiTheme="minorEastAsia" w:eastAsiaTheme="minorEastAsia"/>
                <w:sz w:val="24"/>
                <w:szCs w:val="24"/>
              </w:rPr>
              <w:t>个日历日。</w:t>
            </w:r>
          </w:p>
          <w:p w14:paraId="206B8251">
            <w:pPr>
              <w:autoSpaceDE w:val="0"/>
              <w:autoSpaceDN w:val="0"/>
              <w:adjustRightInd w:val="0"/>
              <w:snapToGrid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有效期不足将导致其响应文件被拒绝。</w:t>
            </w:r>
          </w:p>
        </w:tc>
      </w:tr>
      <w:tr w14:paraId="1C13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1C3EC495">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w:t>
            </w:r>
          </w:p>
        </w:tc>
        <w:tc>
          <w:tcPr>
            <w:tcW w:w="4519" w:type="pct"/>
            <w:vAlign w:val="center"/>
          </w:tcPr>
          <w:p w14:paraId="5E6E20D5">
            <w:pPr>
              <w:spacing w:line="48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响应文件递交地址：福建金桔项目管理有限公司</w:t>
            </w:r>
          </w:p>
          <w:p w14:paraId="77301323">
            <w:pPr>
              <w:spacing w:line="480" w:lineRule="exact"/>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u w:val="single"/>
              </w:rPr>
              <w:t>福州市鼓楼区洪山镇洪山园路52号华润万象城（三期）S11#楼3层16办公(开标厅)</w:t>
            </w:r>
          </w:p>
          <w:p w14:paraId="71918EC9">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接收人：福建金桔项目管理有限公司工作人员</w:t>
            </w:r>
          </w:p>
          <w:p w14:paraId="170D085C">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响应文件提交截止时间：以磋商公告时间为准</w:t>
            </w:r>
          </w:p>
        </w:tc>
      </w:tr>
      <w:tr w14:paraId="7156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00D5598D">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w:t>
            </w:r>
          </w:p>
        </w:tc>
        <w:tc>
          <w:tcPr>
            <w:tcW w:w="4519" w:type="pct"/>
            <w:vAlign w:val="center"/>
          </w:tcPr>
          <w:p w14:paraId="18AA2CEF">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保证金缴交：</w:t>
            </w:r>
          </w:p>
          <w:p w14:paraId="2357811C">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(1)保证金须以公司名义，以银行转账、电汇等非现金形式提交（不接受现金、现金存款方式）。保证金转账单或电汇单上必须注明</w:t>
            </w:r>
            <w:r>
              <w:rPr>
                <w:rFonts w:hint="eastAsia" w:cs="宋体" w:asciiTheme="minorEastAsia" w:hAnsiTheme="minorEastAsia" w:eastAsiaTheme="minorEastAsia"/>
                <w:b/>
                <w:bCs/>
                <w:sz w:val="24"/>
                <w:szCs w:val="24"/>
              </w:rPr>
              <w:t>“具体项目编号的保证金”</w:t>
            </w:r>
            <w:r>
              <w:rPr>
                <w:rFonts w:hint="eastAsia" w:cs="宋体" w:asciiTheme="minorEastAsia" w:hAnsiTheme="minorEastAsia" w:eastAsiaTheme="minorEastAsia"/>
                <w:sz w:val="24"/>
                <w:szCs w:val="24"/>
              </w:rPr>
              <w:t>，并在响应文件中附上复印清晰的保证金转账单或电汇底单复印件。</w:t>
            </w:r>
          </w:p>
          <w:p w14:paraId="6A7D39C4">
            <w:pPr>
              <w:spacing w:line="360" w:lineRule="auto"/>
              <w:ind w:firstLine="482"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
                <w:sz w:val="24"/>
                <w:szCs w:val="24"/>
              </w:rPr>
              <w:t>(2)</w:t>
            </w:r>
            <w:r>
              <w:rPr>
                <w:rFonts w:hint="eastAsia" w:cs="宋体" w:asciiTheme="minorEastAsia" w:hAnsiTheme="minorEastAsia" w:eastAsiaTheme="minorEastAsia"/>
                <w:b/>
                <w:bCs/>
                <w:sz w:val="24"/>
                <w:szCs w:val="24"/>
              </w:rPr>
              <w:t xml:space="preserve"> 保证金金额:¥</w:t>
            </w:r>
            <w:r>
              <w:rPr>
                <w:rFonts w:hint="eastAsia" w:cs="宋体" w:asciiTheme="minorEastAsia" w:hAnsiTheme="minorEastAsia" w:eastAsiaTheme="minorEastAsia"/>
                <w:b/>
                <w:bCs/>
                <w:sz w:val="24"/>
                <w:szCs w:val="24"/>
                <w:lang w:val="en-US" w:eastAsia="zh-CN"/>
              </w:rPr>
              <w:t>2000</w:t>
            </w:r>
            <w:r>
              <w:rPr>
                <w:rFonts w:hint="eastAsia" w:cs="宋体" w:asciiTheme="minorEastAsia" w:hAnsiTheme="minorEastAsia" w:eastAsiaTheme="minorEastAsia"/>
                <w:b/>
                <w:kern w:val="0"/>
                <w:sz w:val="24"/>
                <w:szCs w:val="24"/>
              </w:rPr>
              <w:t>元（大写：</w:t>
            </w:r>
            <w:r>
              <w:rPr>
                <w:rFonts w:hint="eastAsia" w:cs="宋体" w:asciiTheme="minorEastAsia" w:hAnsiTheme="minorEastAsia" w:eastAsiaTheme="minorEastAsia"/>
                <w:b/>
                <w:kern w:val="0"/>
                <w:sz w:val="24"/>
                <w:szCs w:val="24"/>
                <w:lang w:eastAsia="zh-CN"/>
              </w:rPr>
              <w:t>贰仟</w:t>
            </w:r>
            <w:r>
              <w:rPr>
                <w:rFonts w:hint="eastAsia" w:cs="宋体" w:asciiTheme="minorEastAsia" w:hAnsiTheme="minorEastAsia" w:eastAsiaTheme="minorEastAsia"/>
                <w:b/>
                <w:kern w:val="0"/>
                <w:sz w:val="24"/>
                <w:szCs w:val="24"/>
              </w:rPr>
              <w:t>元整）</w:t>
            </w:r>
            <w:r>
              <w:rPr>
                <w:rFonts w:hint="eastAsia" w:cs="宋体" w:asciiTheme="minorEastAsia" w:hAnsiTheme="minorEastAsia" w:eastAsiaTheme="minorEastAsia"/>
                <w:b/>
                <w:sz w:val="24"/>
                <w:szCs w:val="24"/>
              </w:rPr>
              <w:t>；</w:t>
            </w:r>
            <w:r>
              <w:rPr>
                <w:rFonts w:hint="eastAsia" w:cs="宋体" w:asciiTheme="minorEastAsia" w:hAnsiTheme="minorEastAsia" w:eastAsiaTheme="minorEastAsia"/>
                <w:sz w:val="24"/>
                <w:szCs w:val="24"/>
              </w:rPr>
              <w:t>供应商应在响应文件提交截止时间前一工作日</w:t>
            </w:r>
            <w:r>
              <w:rPr>
                <w:rFonts w:hint="eastAsia" w:cs="宋体" w:asciiTheme="minorEastAsia" w:hAnsiTheme="minorEastAsia" w:eastAsiaTheme="minorEastAsia"/>
                <w:sz w:val="24"/>
                <w:szCs w:val="24"/>
                <w:highlight w:val="none"/>
              </w:rPr>
              <w:t>下午</w:t>
            </w:r>
            <w:r>
              <w:rPr>
                <w:rFonts w:hint="eastAsia" w:cs="宋体" w:asciiTheme="minorEastAsia" w:hAnsiTheme="minorEastAsia" w:eastAsiaTheme="minorEastAsia"/>
                <w:sz w:val="24"/>
                <w:szCs w:val="24"/>
                <w:highlight w:val="none"/>
                <w:lang w:val="en-US" w:eastAsia="zh-CN"/>
              </w:rPr>
              <w:t>5</w:t>
            </w:r>
            <w:r>
              <w:rPr>
                <w:rFonts w:hint="eastAsia" w:cs="宋体" w:asciiTheme="minorEastAsia" w:hAnsiTheme="minorEastAsia" w:eastAsiaTheme="minorEastAsia"/>
                <w:sz w:val="24"/>
                <w:szCs w:val="24"/>
                <w:highlight w:val="none"/>
              </w:rPr>
              <w:t>:00</w:t>
            </w:r>
            <w:r>
              <w:rPr>
                <w:rFonts w:hint="eastAsia" w:cs="宋体" w:asciiTheme="minorEastAsia" w:hAnsiTheme="minorEastAsia" w:eastAsiaTheme="minorEastAsia"/>
                <w:sz w:val="24"/>
                <w:szCs w:val="24"/>
              </w:rPr>
              <w:t>之前到达本磋商文件所提供的指定账户上</w:t>
            </w:r>
            <w:r>
              <w:rPr>
                <w:rFonts w:hint="eastAsia" w:cs="宋体" w:asciiTheme="minorEastAsia" w:hAnsiTheme="minorEastAsia" w:eastAsiaTheme="minorEastAsia"/>
                <w:bCs/>
                <w:sz w:val="24"/>
                <w:szCs w:val="24"/>
              </w:rPr>
              <w:t>。</w:t>
            </w:r>
          </w:p>
          <w:p w14:paraId="4CCF3511">
            <w:pPr>
              <w:spacing w:line="360" w:lineRule="auto"/>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(3)若汇款人名称与供应商不一致或未在规定时间内到达指定账户或采用现金、现金存款方式的，响应文件将被拒收，并将其原封不动地退回供应商。</w:t>
            </w:r>
          </w:p>
        </w:tc>
      </w:tr>
      <w:tr w14:paraId="5E27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56C5B22A">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p>
        </w:tc>
        <w:tc>
          <w:tcPr>
            <w:tcW w:w="4519" w:type="pct"/>
            <w:vAlign w:val="center"/>
          </w:tcPr>
          <w:p w14:paraId="26335002">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评标标准和方法：本项目</w:t>
            </w:r>
            <w:r>
              <w:rPr>
                <w:rFonts w:hint="eastAsia" w:cs="宋体" w:asciiTheme="minorEastAsia" w:hAnsiTheme="minorEastAsia" w:eastAsiaTheme="minorEastAsia"/>
                <w:b/>
                <w:bCs/>
                <w:sz w:val="24"/>
                <w:szCs w:val="24"/>
              </w:rPr>
              <w:t>采用综合评分法推荐三名成交候选人，具体详见附件A</w:t>
            </w:r>
          </w:p>
        </w:tc>
      </w:tr>
      <w:tr w14:paraId="4AD5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41BAAC6C">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w:t>
            </w:r>
          </w:p>
        </w:tc>
        <w:tc>
          <w:tcPr>
            <w:tcW w:w="4519" w:type="pct"/>
            <w:vAlign w:val="center"/>
          </w:tcPr>
          <w:p w14:paraId="1E2775C0">
            <w:pPr>
              <w:spacing w:line="360" w:lineRule="auto"/>
              <w:ind w:firstLine="468" w:firstLineChars="195"/>
              <w:rPr>
                <w:rFonts w:cs="宋体" w:asciiTheme="minorEastAsia" w:hAnsiTheme="minorEastAsia" w:eastAsiaTheme="minorEastAsia"/>
                <w:b/>
                <w:sz w:val="24"/>
                <w:szCs w:val="24"/>
              </w:rPr>
            </w:pPr>
            <w:r>
              <w:rPr>
                <w:rFonts w:hint="eastAsia" w:cs="宋体" w:asciiTheme="minorEastAsia" w:hAnsiTheme="minorEastAsia" w:eastAsiaTheme="minorEastAsia"/>
                <w:sz w:val="24"/>
                <w:szCs w:val="24"/>
              </w:rPr>
              <w:t>磋商小组对供应商所提供的文件仅负审核责任。即使供应商所提交的文件通过了审核，在磋商过程中乃至确定成交人后，如发现供应商所提供的文件不合法或不真实，仍可废除成交人成交资格并追究成交人的法律责任。采购人有权在磋商过程中或签订合同之前（或合同履行过程中）对响应文件中的各种资料、说明、承诺的真实性进行核查，供应商应无条件配合采购人的核查工作，不得</w:t>
            </w:r>
            <w:r>
              <w:rPr>
                <w:rFonts w:hint="eastAsia" w:cs="宋体" w:asciiTheme="minorEastAsia" w:hAnsiTheme="minorEastAsia" w:eastAsiaTheme="minorEastAsia"/>
                <w:sz w:val="24"/>
                <w:szCs w:val="24"/>
                <w:lang w:eastAsia="zh-CN"/>
              </w:rPr>
              <w:t>托词</w:t>
            </w:r>
            <w:r>
              <w:rPr>
                <w:rFonts w:hint="eastAsia" w:cs="宋体" w:asciiTheme="minorEastAsia" w:hAnsiTheme="minorEastAsia" w:eastAsiaTheme="minorEastAsia"/>
                <w:sz w:val="24"/>
                <w:szCs w:val="24"/>
              </w:rPr>
              <w:t>拒绝核查或隐瞒真实情况。</w:t>
            </w:r>
          </w:p>
        </w:tc>
      </w:tr>
      <w:tr w14:paraId="40C1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542B422D">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w:t>
            </w:r>
          </w:p>
        </w:tc>
        <w:tc>
          <w:tcPr>
            <w:tcW w:w="4519" w:type="pct"/>
            <w:vAlign w:val="center"/>
          </w:tcPr>
          <w:p w14:paraId="425EDBF7">
            <w:pPr>
              <w:spacing w:line="360" w:lineRule="auto"/>
              <w:rPr>
                <w:rFonts w:cs="宋体" w:asciiTheme="minorEastAsia" w:hAnsiTheme="minorEastAsia" w:eastAsiaTheme="minorEastAsia"/>
                <w:b/>
                <w:bCs/>
                <w:sz w:val="24"/>
                <w:szCs w:val="24"/>
              </w:rPr>
            </w:pPr>
            <w:r>
              <w:rPr>
                <w:rFonts w:hint="eastAsia" w:cs="宋体" w:asciiTheme="minorEastAsia" w:hAnsiTheme="minorEastAsia" w:eastAsiaTheme="minorEastAsia"/>
                <w:kern w:val="0"/>
                <w:sz w:val="24"/>
                <w:szCs w:val="24"/>
              </w:rPr>
              <w:t>本项目最高限价：</w:t>
            </w:r>
            <w:r>
              <w:rPr>
                <w:rFonts w:hint="eastAsia" w:ascii="宋体" w:hAnsi="宋体" w:cs="宋体"/>
                <w:b/>
                <w:sz w:val="24"/>
                <w:szCs w:val="24"/>
                <w:lang w:val="en-US" w:eastAsia="zh-CN"/>
              </w:rPr>
              <w:t>¥</w:t>
            </w:r>
            <w:r>
              <w:rPr>
                <w:rFonts w:hint="eastAsia" w:cs="宋体" w:asciiTheme="minorEastAsia" w:hAnsiTheme="minorEastAsia" w:eastAsiaTheme="minorEastAsia"/>
                <w:b/>
                <w:bCs/>
                <w:sz w:val="24"/>
                <w:szCs w:val="24"/>
                <w:lang w:val="en-US" w:eastAsia="zh-CN"/>
              </w:rPr>
              <w:t>100000</w:t>
            </w:r>
            <w:r>
              <w:rPr>
                <w:rFonts w:hint="eastAsia" w:cs="宋体" w:asciiTheme="minorEastAsia" w:hAnsiTheme="minorEastAsia" w:eastAsiaTheme="minorEastAsia"/>
                <w:b/>
                <w:kern w:val="0"/>
                <w:sz w:val="24"/>
                <w:szCs w:val="24"/>
              </w:rPr>
              <w:t>元（大写：</w:t>
            </w:r>
            <w:r>
              <w:rPr>
                <w:rFonts w:hint="eastAsia" w:cs="宋体" w:asciiTheme="minorEastAsia" w:hAnsiTheme="minorEastAsia" w:eastAsiaTheme="minorEastAsia"/>
                <w:b/>
                <w:kern w:val="0"/>
                <w:sz w:val="24"/>
                <w:szCs w:val="24"/>
                <w:lang w:eastAsia="zh-CN"/>
              </w:rPr>
              <w:t>壹拾万元整</w:t>
            </w:r>
            <w:r>
              <w:rPr>
                <w:rFonts w:hint="eastAsia" w:cs="宋体" w:asciiTheme="minorEastAsia" w:hAnsiTheme="minorEastAsia" w:eastAsiaTheme="minorEastAsia"/>
                <w:b/>
                <w:kern w:val="0"/>
                <w:sz w:val="24"/>
                <w:szCs w:val="24"/>
              </w:rPr>
              <w:t>）</w:t>
            </w:r>
            <w:r>
              <w:rPr>
                <w:rFonts w:hint="eastAsia" w:cs="宋体" w:asciiTheme="minorEastAsia" w:hAnsiTheme="minorEastAsia" w:eastAsiaTheme="minorEastAsia"/>
                <w:kern w:val="0"/>
                <w:sz w:val="24"/>
                <w:szCs w:val="24"/>
              </w:rPr>
              <w:t>。报价超过预算总价及品目号预算视为响应无效。</w:t>
            </w:r>
          </w:p>
        </w:tc>
      </w:tr>
      <w:tr w14:paraId="0FC4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0117C104">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w:t>
            </w:r>
          </w:p>
        </w:tc>
        <w:tc>
          <w:tcPr>
            <w:tcW w:w="4519" w:type="pct"/>
            <w:vAlign w:val="center"/>
          </w:tcPr>
          <w:p w14:paraId="5FFB5EDE">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定标原则：</w:t>
            </w:r>
          </w:p>
          <w:p w14:paraId="64EFE230">
            <w:pPr>
              <w:spacing w:line="360" w:lineRule="auto"/>
              <w:ind w:firstLine="480" w:firstLineChars="200"/>
              <w:rPr>
                <w:rFonts w:asciiTheme="minorEastAsia" w:hAnsiTheme="minorEastAsia"/>
                <w:sz w:val="24"/>
                <w:szCs w:val="24"/>
              </w:rPr>
            </w:pPr>
            <w:r>
              <w:rPr>
                <w:rFonts w:asciiTheme="minorEastAsia" w:hAnsiTheme="minorEastAsia"/>
                <w:sz w:val="24"/>
                <w:szCs w:val="24"/>
              </w:rPr>
              <w:t>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w:t>
            </w:r>
          </w:p>
          <w:p w14:paraId="28A3CBC5">
            <w:pPr>
              <w:spacing w:line="360" w:lineRule="auto"/>
              <w:ind w:firstLine="482" w:firstLineChars="200"/>
              <w:rPr>
                <w:rFonts w:cs="宋体" w:asciiTheme="minorEastAsia" w:hAnsiTheme="minorEastAsia" w:eastAsiaTheme="minorEastAsia"/>
                <w:sz w:val="24"/>
                <w:szCs w:val="24"/>
              </w:rPr>
            </w:pPr>
            <w:r>
              <w:rPr>
                <w:rFonts w:asciiTheme="minorEastAsia" w:hAnsiTheme="minorEastAsia"/>
                <w:b/>
                <w:bCs/>
                <w:sz w:val="24"/>
                <w:szCs w:val="24"/>
              </w:rPr>
              <w:t>如果出现相同的综合得分，则最后报价低的供应商排序在前优先推荐；如果最后报价仍相同，则技术部分得分高的供应商优先排序在前推荐。经前述顺序处理仍然并列相同的，则通过随机抽取方式确定优先顺序推荐。</w:t>
            </w:r>
          </w:p>
        </w:tc>
      </w:tr>
      <w:tr w14:paraId="3098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12A8302D">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w:t>
            </w:r>
          </w:p>
        </w:tc>
        <w:tc>
          <w:tcPr>
            <w:tcW w:w="4519" w:type="pct"/>
            <w:vAlign w:val="center"/>
          </w:tcPr>
          <w:p w14:paraId="3D6F8473">
            <w:pPr>
              <w:spacing w:line="400" w:lineRule="exac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特别提示：</w:t>
            </w:r>
          </w:p>
          <w:p w14:paraId="585B069F">
            <w:pPr>
              <w:spacing w:line="4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磋商小组在评标过程中发现凡有下列情形之一的，视为供应商相互恶意串通投标，并做出其响应无效的决定：</w:t>
            </w:r>
          </w:p>
          <w:p w14:paraId="613AF4FC">
            <w:pPr>
              <w:numPr>
                <w:ilvl w:val="0"/>
                <w:numId w:val="1"/>
              </w:numPr>
              <w:spacing w:line="4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不同供应商的响应文件由同一单位或者个人编制；</w:t>
            </w:r>
          </w:p>
          <w:p w14:paraId="4620285D">
            <w:pPr>
              <w:spacing w:line="4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（2）不同供应商委托同一单位或者个人办理响应文件提交事宜；</w:t>
            </w:r>
          </w:p>
          <w:p w14:paraId="736F00CF">
            <w:pPr>
              <w:spacing w:line="4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（3）不同供应商的响应文件载明的项目管理成员为同一人；</w:t>
            </w:r>
          </w:p>
          <w:p w14:paraId="44BEFB82">
            <w:pPr>
              <w:spacing w:line="4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（4）不同供应商的响应文件异常一致或者报价呈规律性差异；</w:t>
            </w:r>
          </w:p>
          <w:p w14:paraId="53ADDD07">
            <w:pPr>
              <w:spacing w:line="4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（5）不同供应商的响应文件相互混装；</w:t>
            </w:r>
          </w:p>
          <w:p w14:paraId="3D142089">
            <w:pPr>
              <w:spacing w:line="400" w:lineRule="exact"/>
              <w:rPr>
                <w:b/>
              </w:rPr>
            </w:pPr>
            <w:r>
              <w:rPr>
                <w:rFonts w:hint="eastAsia" w:cs="宋体" w:asciiTheme="minorEastAsia" w:hAnsiTheme="minorEastAsia" w:eastAsiaTheme="minorEastAsia"/>
                <w:kern w:val="0"/>
                <w:sz w:val="24"/>
                <w:szCs w:val="24"/>
              </w:rPr>
              <w:t>（6）不同供应商的磋商保证金从同一账户转出。</w:t>
            </w:r>
          </w:p>
        </w:tc>
      </w:tr>
      <w:tr w14:paraId="5057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1375AE83">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w:t>
            </w:r>
          </w:p>
        </w:tc>
        <w:tc>
          <w:tcPr>
            <w:tcW w:w="4519" w:type="pct"/>
            <w:vAlign w:val="center"/>
          </w:tcPr>
          <w:p w14:paraId="4944BFF7">
            <w:pPr>
              <w:spacing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重大偏差与细微偏差：</w:t>
            </w:r>
          </w:p>
          <w:p w14:paraId="0F48F7E4">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（一）重大偏差：</w:t>
            </w:r>
          </w:p>
          <w:p w14:paraId="2D10B597">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（1）响应文件未按磋商文件要求加盖公章并由单位负责人或其书面授权的代理人签字的；</w:t>
            </w:r>
          </w:p>
          <w:p w14:paraId="4E8990D1">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（2）响应文件载明的磋商项目服务期限不符合磋商文件规定的；</w:t>
            </w:r>
          </w:p>
          <w:p w14:paraId="04453052">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（3）明显不符合技术服务指标及要求的；</w:t>
            </w:r>
          </w:p>
          <w:p w14:paraId="1A00EB99">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（4）响应文件附有采购人不能接受的条件；</w:t>
            </w:r>
          </w:p>
          <w:p w14:paraId="7B229DA6">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（5）不符合磋商文件中规定的其他实质性要求。</w:t>
            </w:r>
          </w:p>
          <w:p w14:paraId="350ABBB5">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注：供应商的响应文件若有上述情形之一的，认定为未对磋商文件作出实质性响应，作响应无效处理。</w:t>
            </w:r>
          </w:p>
          <w:p w14:paraId="59F208E1">
            <w:pPr>
              <w:spacing w:line="360" w:lineRule="auto"/>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（二）细微偏差：</w:t>
            </w:r>
          </w:p>
          <w:p w14:paraId="4EF08CE1">
            <w:pPr>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sz w:val="24"/>
                <w:szCs w:val="24"/>
              </w:rPr>
              <w:t>响应文件</w:t>
            </w:r>
            <w:r>
              <w:rPr>
                <w:rFonts w:hint="eastAsia" w:cs="宋体" w:asciiTheme="minorEastAsia" w:hAnsiTheme="minorEastAsia" w:eastAsiaTheme="minorEastAsia"/>
                <w:bCs/>
                <w:sz w:val="24"/>
                <w:szCs w:val="24"/>
              </w:rPr>
              <w:t>在实质上响应磋商文件要求，但在个别地方存在漏项或者提供了不完整的技术信息和数据等情况，并且补正这些遗漏或者不完整不会对其他</w:t>
            </w:r>
            <w:r>
              <w:rPr>
                <w:rFonts w:hint="eastAsia" w:cs="宋体" w:asciiTheme="minorEastAsia" w:hAnsiTheme="minorEastAsia" w:eastAsiaTheme="minorEastAsia"/>
                <w:sz w:val="24"/>
                <w:szCs w:val="24"/>
              </w:rPr>
              <w:t>提交首次响应文件的</w:t>
            </w:r>
            <w:r>
              <w:rPr>
                <w:rFonts w:hint="eastAsia" w:cs="宋体" w:asciiTheme="minorEastAsia" w:hAnsiTheme="minorEastAsia" w:eastAsiaTheme="minorEastAsia"/>
                <w:bCs/>
                <w:sz w:val="24"/>
                <w:szCs w:val="24"/>
              </w:rPr>
              <w:t>供应商造成不公平的结果。细微偏差不影响</w:t>
            </w:r>
            <w:r>
              <w:rPr>
                <w:rFonts w:hint="eastAsia" w:cs="宋体" w:asciiTheme="minorEastAsia" w:hAnsiTheme="minorEastAsia" w:eastAsiaTheme="minorEastAsia"/>
                <w:sz w:val="24"/>
                <w:szCs w:val="24"/>
              </w:rPr>
              <w:t>响应文件</w:t>
            </w:r>
            <w:r>
              <w:rPr>
                <w:rFonts w:hint="eastAsia" w:cs="宋体" w:asciiTheme="minorEastAsia" w:hAnsiTheme="minorEastAsia" w:eastAsiaTheme="minorEastAsia"/>
                <w:bCs/>
                <w:sz w:val="24"/>
                <w:szCs w:val="24"/>
              </w:rPr>
              <w:t>的有效性。</w:t>
            </w:r>
          </w:p>
          <w:p w14:paraId="7FBAB6D6">
            <w:pPr>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磋商小组应当书面要求存在细微偏差的</w:t>
            </w:r>
            <w:r>
              <w:rPr>
                <w:rFonts w:hint="eastAsia" w:cs="宋体" w:asciiTheme="minorEastAsia" w:hAnsiTheme="minorEastAsia" w:eastAsiaTheme="minorEastAsia"/>
                <w:sz w:val="24"/>
                <w:szCs w:val="24"/>
              </w:rPr>
              <w:t>报价</w:t>
            </w:r>
            <w:r>
              <w:rPr>
                <w:rFonts w:hint="eastAsia" w:cs="宋体" w:asciiTheme="minorEastAsia" w:hAnsiTheme="minorEastAsia" w:eastAsiaTheme="minorEastAsia"/>
                <w:bCs/>
                <w:sz w:val="24"/>
                <w:szCs w:val="24"/>
              </w:rPr>
              <w:t>供应商在磋商结束前予以补正。补正的程序和方法按照磋商文件规定执行。无法补正的，可在评审时对细微偏差</w:t>
            </w:r>
            <w:r>
              <w:rPr>
                <w:rFonts w:hint="eastAsia" w:cs="宋体" w:asciiTheme="minorEastAsia" w:hAnsiTheme="minorEastAsia" w:eastAsiaTheme="minorEastAsia"/>
                <w:bCs/>
                <w:sz w:val="24"/>
                <w:szCs w:val="24"/>
                <w:lang w:eastAsia="zh-CN"/>
              </w:rPr>
              <w:t>做</w:t>
            </w:r>
            <w:r>
              <w:rPr>
                <w:rFonts w:hint="eastAsia" w:cs="宋体" w:asciiTheme="minorEastAsia" w:hAnsiTheme="minorEastAsia" w:eastAsiaTheme="minorEastAsia"/>
                <w:bCs/>
                <w:sz w:val="24"/>
                <w:szCs w:val="24"/>
              </w:rPr>
              <w:t>不利于该</w:t>
            </w:r>
            <w:r>
              <w:rPr>
                <w:rFonts w:hint="eastAsia" w:cs="宋体" w:asciiTheme="minorEastAsia" w:hAnsiTheme="minorEastAsia" w:eastAsiaTheme="minorEastAsia"/>
                <w:sz w:val="24"/>
                <w:szCs w:val="24"/>
              </w:rPr>
              <w:t>报价</w:t>
            </w:r>
            <w:r>
              <w:rPr>
                <w:rFonts w:hint="eastAsia" w:cs="宋体" w:asciiTheme="minorEastAsia" w:hAnsiTheme="minorEastAsia" w:eastAsiaTheme="minorEastAsia"/>
                <w:bCs/>
                <w:sz w:val="24"/>
                <w:szCs w:val="24"/>
              </w:rPr>
              <w:t>供应商的认定。</w:t>
            </w:r>
          </w:p>
          <w:p w14:paraId="11975E95">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细微偏差的可能情形包括：</w:t>
            </w:r>
          </w:p>
          <w:p w14:paraId="22420A2E">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（1）有明显文字和算术计算错误的内容，能接受磋商小组提出修正意见的；</w:t>
            </w:r>
          </w:p>
          <w:p w14:paraId="14712EEC">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（2）同类问题出现前后文字表述不一致；</w:t>
            </w:r>
          </w:p>
          <w:p w14:paraId="2EE6438D">
            <w:pPr>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sz w:val="24"/>
                <w:szCs w:val="24"/>
              </w:rPr>
              <w:t>（3）含义不明确的表述；</w:t>
            </w:r>
          </w:p>
          <w:p w14:paraId="6EB20671">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b/>
                <w:sz w:val="24"/>
                <w:szCs w:val="24"/>
              </w:rPr>
              <w:t>磋商小组判定重大偏差、细微偏差是依据响应文件，而不寻求其他的外部证据。</w:t>
            </w:r>
          </w:p>
        </w:tc>
      </w:tr>
      <w:tr w14:paraId="0FB9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674CBFC0">
            <w:pPr>
              <w:spacing w:line="360" w:lineRule="auto"/>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12</w:t>
            </w:r>
          </w:p>
        </w:tc>
        <w:tc>
          <w:tcPr>
            <w:tcW w:w="9004" w:type="dxa"/>
            <w:vAlign w:val="center"/>
          </w:tcPr>
          <w:p w14:paraId="220F563F">
            <w:pPr>
              <w:spacing w:line="360" w:lineRule="auto"/>
              <w:rPr>
                <w:rFonts w:hint="eastAsia" w:cs="宋体" w:asciiTheme="minorEastAsia" w:hAnsiTheme="minorEastAsia" w:eastAsiaTheme="minorEastAsia"/>
                <w:sz w:val="24"/>
                <w:szCs w:val="24"/>
              </w:rPr>
            </w:pPr>
            <w:r>
              <w:rPr>
                <w:rFonts w:hint="eastAsia" w:cs="宋体" w:asciiTheme="minorEastAsia" w:hAnsiTheme="minorEastAsia" w:eastAsiaTheme="minorEastAsia"/>
                <w:b/>
                <w:sz w:val="24"/>
                <w:szCs w:val="24"/>
              </w:rPr>
              <w:t>特别说明：所有符合磋商文件实质性要求的供应商均应进行第二次报价，未进行第二次报价或放弃第二次报价的供应商视为响应无效。</w:t>
            </w:r>
          </w:p>
        </w:tc>
      </w:tr>
      <w:tr w14:paraId="0718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7891F434">
            <w:pPr>
              <w:spacing w:line="360" w:lineRule="auto"/>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3</w:t>
            </w:r>
          </w:p>
        </w:tc>
        <w:tc>
          <w:tcPr>
            <w:tcW w:w="4519" w:type="pct"/>
            <w:vAlign w:val="center"/>
          </w:tcPr>
          <w:p w14:paraId="1B25C6A5">
            <w:pPr>
              <w:spacing w:line="360" w:lineRule="auto"/>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rPr>
              <w:t>成</w:t>
            </w:r>
            <w:r>
              <w:rPr>
                <w:rFonts w:hint="eastAsia" w:cs="宋体" w:asciiTheme="minorEastAsia" w:hAnsiTheme="minorEastAsia" w:eastAsiaTheme="minorEastAsia"/>
                <w:b/>
                <w:sz w:val="24"/>
                <w:szCs w:val="24"/>
                <w:highlight w:val="none"/>
              </w:rPr>
              <w:t>交服务费：</w:t>
            </w:r>
          </w:p>
          <w:p w14:paraId="2D8E1996">
            <w:pPr>
              <w:spacing w:line="360" w:lineRule="auto"/>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本项目招标代理服务费向成交人收取，按</w:t>
            </w:r>
            <w:r>
              <w:rPr>
                <w:rFonts w:hint="eastAsia" w:cs="宋体" w:asciiTheme="minorEastAsia" w:hAnsiTheme="minorEastAsia" w:eastAsiaTheme="minorEastAsia"/>
                <w:sz w:val="24"/>
                <w:szCs w:val="24"/>
                <w:highlight w:val="none"/>
                <w:lang w:eastAsia="zh-CN"/>
              </w:rPr>
              <w:t>成交</w:t>
            </w:r>
            <w:r>
              <w:rPr>
                <w:rFonts w:hint="eastAsia" w:cs="宋体" w:asciiTheme="minorEastAsia" w:hAnsiTheme="minorEastAsia" w:eastAsiaTheme="minorEastAsia"/>
                <w:sz w:val="24"/>
                <w:szCs w:val="24"/>
                <w:highlight w:val="none"/>
              </w:rPr>
              <w:t>金额*1.5%计算, 若招标代理服务费不足</w:t>
            </w:r>
            <w:r>
              <w:rPr>
                <w:rFonts w:hint="eastAsia" w:cs="宋体" w:asciiTheme="minorEastAsia" w:hAnsiTheme="minorEastAsia" w:eastAsiaTheme="minorEastAsia"/>
                <w:sz w:val="24"/>
                <w:szCs w:val="24"/>
                <w:highlight w:val="none"/>
                <w:lang w:val="en-US" w:eastAsia="zh-CN"/>
              </w:rPr>
              <w:t>4</w:t>
            </w:r>
            <w:r>
              <w:rPr>
                <w:rFonts w:hint="eastAsia" w:cs="宋体" w:asciiTheme="minorEastAsia" w:hAnsiTheme="minorEastAsia" w:eastAsiaTheme="minorEastAsia"/>
                <w:sz w:val="24"/>
                <w:szCs w:val="24"/>
                <w:highlight w:val="none"/>
              </w:rPr>
              <w:t>000元，按照</w:t>
            </w:r>
            <w:r>
              <w:rPr>
                <w:rFonts w:hint="eastAsia" w:cs="宋体" w:asciiTheme="minorEastAsia" w:hAnsiTheme="minorEastAsia" w:eastAsiaTheme="minorEastAsia"/>
                <w:sz w:val="24"/>
                <w:szCs w:val="24"/>
                <w:highlight w:val="none"/>
                <w:lang w:val="en-US" w:eastAsia="zh-CN"/>
              </w:rPr>
              <w:t>4</w:t>
            </w:r>
            <w:r>
              <w:rPr>
                <w:rFonts w:hint="eastAsia" w:cs="宋体" w:asciiTheme="minorEastAsia" w:hAnsiTheme="minorEastAsia" w:eastAsiaTheme="minorEastAsia"/>
                <w:sz w:val="24"/>
                <w:szCs w:val="24"/>
                <w:highlight w:val="none"/>
              </w:rPr>
              <w:t>000元收取招标代理服务费。</w:t>
            </w:r>
          </w:p>
          <w:p w14:paraId="0B399BDF">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highlight w:val="none"/>
              </w:rPr>
              <w:t>成交人在领取成交通知书前以银行转账、电汇、现金等付款方式一次性缴清。</w:t>
            </w:r>
          </w:p>
        </w:tc>
      </w:tr>
      <w:tr w14:paraId="4D67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683119A4">
            <w:pPr>
              <w:spacing w:line="360" w:lineRule="auto"/>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4</w:t>
            </w:r>
          </w:p>
        </w:tc>
        <w:tc>
          <w:tcPr>
            <w:tcW w:w="4519" w:type="pct"/>
            <w:vAlign w:val="center"/>
          </w:tcPr>
          <w:p w14:paraId="096C49C8">
            <w:pPr>
              <w:spacing w:line="360" w:lineRule="auto"/>
              <w:rPr>
                <w:rFonts w:hint="eastAsia"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rPr>
              <w:t>采购项目行政监督部门</w:t>
            </w:r>
            <w:r>
              <w:rPr>
                <w:rFonts w:hint="eastAsia" w:cs="宋体" w:asciiTheme="minorEastAsia" w:hAnsiTheme="minorEastAsia" w:eastAsiaTheme="minorEastAsia"/>
                <w:b/>
                <w:sz w:val="24"/>
                <w:szCs w:val="24"/>
                <w:highlight w:val="none"/>
              </w:rPr>
              <w:t>：</w:t>
            </w:r>
            <w:r>
              <w:rPr>
                <w:rFonts w:hint="eastAsia" w:cs="宋体" w:asciiTheme="minorEastAsia" w:hAnsiTheme="minorEastAsia" w:eastAsiaTheme="minorEastAsia"/>
                <w:b/>
                <w:sz w:val="24"/>
                <w:szCs w:val="24"/>
                <w:highlight w:val="none"/>
                <w:lang w:eastAsia="zh-CN"/>
              </w:rPr>
              <w:t>鼓楼区财政局</w:t>
            </w:r>
          </w:p>
        </w:tc>
      </w:tr>
    </w:tbl>
    <w:p w14:paraId="5E0424F3">
      <w:pPr>
        <w:spacing w:line="360" w:lineRule="auto"/>
        <w:outlineLvl w:val="1"/>
        <w:rPr>
          <w:rFonts w:cs="宋体" w:asciiTheme="minorEastAsia" w:hAnsiTheme="minorEastAsia" w:eastAsiaTheme="minorEastAsia"/>
          <w:b/>
          <w:sz w:val="28"/>
          <w:szCs w:val="24"/>
        </w:rPr>
      </w:pPr>
      <w:bookmarkStart w:id="7" w:name="_Toc421107722"/>
    </w:p>
    <w:p w14:paraId="6E8A0584">
      <w:pPr>
        <w:widowControl/>
        <w:jc w:val="left"/>
        <w:rPr>
          <w:rFonts w:cs="宋体" w:asciiTheme="minorEastAsia" w:hAnsiTheme="minorEastAsia" w:eastAsiaTheme="minorEastAsia"/>
          <w:b/>
          <w:sz w:val="28"/>
          <w:szCs w:val="24"/>
        </w:rPr>
      </w:pPr>
      <w:r>
        <w:rPr>
          <w:rFonts w:cs="宋体" w:asciiTheme="minorEastAsia" w:hAnsiTheme="minorEastAsia" w:eastAsiaTheme="minorEastAsia"/>
          <w:b/>
          <w:sz w:val="28"/>
          <w:szCs w:val="24"/>
        </w:rPr>
        <w:br w:type="page"/>
      </w:r>
    </w:p>
    <w:p w14:paraId="4D675003">
      <w:pPr>
        <w:spacing w:line="360" w:lineRule="auto"/>
        <w:outlineLvl w:val="1"/>
        <w:rPr>
          <w:rFonts w:cs="宋体" w:asciiTheme="minorEastAsia" w:hAnsiTheme="minorEastAsia" w:eastAsiaTheme="minorEastAsia"/>
          <w:b/>
          <w:sz w:val="28"/>
          <w:szCs w:val="24"/>
        </w:rPr>
      </w:pPr>
      <w:bookmarkStart w:id="8" w:name="_Toc164434223"/>
      <w:r>
        <w:rPr>
          <w:rFonts w:hint="eastAsia" w:cs="宋体" w:asciiTheme="minorEastAsia" w:hAnsiTheme="minorEastAsia" w:eastAsiaTheme="minorEastAsia"/>
          <w:b/>
          <w:sz w:val="28"/>
          <w:szCs w:val="24"/>
        </w:rPr>
        <w:t>附件A:评标标准</w:t>
      </w:r>
      <w:bookmarkEnd w:id="8"/>
    </w:p>
    <w:p w14:paraId="5B8A54CF">
      <w:pPr>
        <w:spacing w:line="360" w:lineRule="auto"/>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合同包1采用综合评分法确定三名成交候选人</w:t>
      </w:r>
    </w:p>
    <w:p w14:paraId="75D16086">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具体评审标准和方法：</w:t>
      </w:r>
    </w:p>
    <w:p w14:paraId="07593599">
      <w:pPr>
        <w:widowControl/>
        <w:spacing w:line="505" w:lineRule="atLeast"/>
        <w:ind w:firstLine="598"/>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（1）响应文件满足磋商文件全部实质性要求，且按照评审因素的量化指标综合评审总得分从高到低顺序推荐3名成交候选人，其中评审总得分最高的</w:t>
      </w:r>
      <w:r>
        <w:rPr>
          <w:rFonts w:hint="eastAsia" w:cs="宋体" w:asciiTheme="minorEastAsia" w:hAnsiTheme="minorEastAsia" w:eastAsiaTheme="minorEastAsia"/>
          <w:kern w:val="0"/>
          <w:sz w:val="24"/>
          <w:szCs w:val="24"/>
        </w:rPr>
        <w:t>供应商</w:t>
      </w:r>
      <w:r>
        <w:rPr>
          <w:rFonts w:cs="宋体" w:asciiTheme="minorEastAsia" w:hAnsiTheme="minorEastAsia" w:eastAsiaTheme="minorEastAsia"/>
          <w:kern w:val="0"/>
          <w:sz w:val="24"/>
          <w:szCs w:val="24"/>
        </w:rPr>
        <w:t>为第一成交候选</w:t>
      </w:r>
      <w:r>
        <w:rPr>
          <w:rFonts w:hint="eastAsia" w:cs="宋体" w:asciiTheme="minorEastAsia" w:hAnsiTheme="minorEastAsia" w:eastAsiaTheme="minorEastAsia"/>
          <w:kern w:val="0"/>
          <w:sz w:val="24"/>
          <w:szCs w:val="24"/>
        </w:rPr>
        <w:t>人</w:t>
      </w:r>
      <w:r>
        <w:rPr>
          <w:rFonts w:cs="宋体" w:asciiTheme="minorEastAsia" w:hAnsiTheme="minorEastAsia" w:eastAsiaTheme="minorEastAsia"/>
          <w:kern w:val="0"/>
          <w:sz w:val="24"/>
          <w:szCs w:val="24"/>
        </w:rPr>
        <w:t>。</w:t>
      </w:r>
    </w:p>
    <w:p w14:paraId="7A1191EF">
      <w:pPr>
        <w:widowControl/>
        <w:spacing w:before="94" w:after="94" w:line="505" w:lineRule="atLeast"/>
        <w:ind w:firstLine="598"/>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评分按技术、商务和价格三大部分进行，总分为</w:t>
      </w:r>
      <w:r>
        <w:rPr>
          <w:rFonts w:cs="宋体" w:asciiTheme="minorEastAsia" w:hAnsiTheme="minorEastAsia" w:eastAsiaTheme="minorEastAsia"/>
          <w:kern w:val="0"/>
          <w:sz w:val="24"/>
          <w:szCs w:val="24"/>
        </w:rPr>
        <w:t>100分（对技术、商务部分评分结果统计时，得分为各个磋商小组的评分后的算术平均值，计算分数时四舍五入保留小数点后2位数），分值分布如下：</w:t>
      </w:r>
    </w:p>
    <w:p w14:paraId="5D157ADD">
      <w:pPr>
        <w:widowControl/>
        <w:spacing w:line="400" w:lineRule="exact"/>
        <w:ind w:firstLine="598"/>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各部分评分分值分布如下：</w:t>
      </w:r>
    </w:p>
    <w:p w14:paraId="1F4743E1">
      <w:pPr>
        <w:widowControl/>
        <w:spacing w:line="400" w:lineRule="exact"/>
        <w:ind w:firstLine="598"/>
        <w:jc w:val="left"/>
        <w:rPr>
          <w:rFonts w:cs="宋体" w:asciiTheme="minorEastAsia" w:hAnsiTheme="minorEastAsia" w:eastAsiaTheme="minorEastAsia"/>
          <w:kern w:val="0"/>
          <w:sz w:val="24"/>
          <w:szCs w:val="24"/>
          <w:highlight w:val="none"/>
        </w:rPr>
      </w:pPr>
      <w:r>
        <w:rPr>
          <w:rFonts w:cs="宋体" w:asciiTheme="minorEastAsia" w:hAnsiTheme="minorEastAsia" w:eastAsiaTheme="minorEastAsia"/>
          <w:kern w:val="0"/>
          <w:sz w:val="24"/>
          <w:szCs w:val="24"/>
          <w:highlight w:val="none"/>
        </w:rPr>
        <w:t xml:space="preserve">A：技术部分评分           </w:t>
      </w:r>
      <w:r>
        <w:rPr>
          <w:rFonts w:hint="eastAsia" w:cs="宋体" w:asciiTheme="minorEastAsia" w:hAnsiTheme="minorEastAsia" w:eastAsiaTheme="minorEastAsia"/>
          <w:kern w:val="0"/>
          <w:sz w:val="24"/>
          <w:szCs w:val="24"/>
          <w:highlight w:val="none"/>
        </w:rPr>
        <w:t>满分</w:t>
      </w:r>
      <w:r>
        <w:rPr>
          <w:rFonts w:hint="eastAsia" w:cs="宋体" w:asciiTheme="minorEastAsia" w:hAnsiTheme="minorEastAsia" w:eastAsiaTheme="minorEastAsia"/>
          <w:kern w:val="0"/>
          <w:sz w:val="24"/>
          <w:szCs w:val="24"/>
          <w:highlight w:val="none"/>
          <w:lang w:val="en-US" w:eastAsia="zh-CN"/>
        </w:rPr>
        <w:t>60</w:t>
      </w:r>
      <w:r>
        <w:rPr>
          <w:rFonts w:hint="eastAsia" w:cs="宋体" w:asciiTheme="minorEastAsia" w:hAnsiTheme="minorEastAsia" w:eastAsiaTheme="minorEastAsia"/>
          <w:kern w:val="0"/>
          <w:sz w:val="24"/>
          <w:szCs w:val="24"/>
          <w:highlight w:val="none"/>
        </w:rPr>
        <w:t>分</w:t>
      </w:r>
    </w:p>
    <w:p w14:paraId="54AD7EA7">
      <w:pPr>
        <w:widowControl/>
        <w:spacing w:line="400" w:lineRule="exact"/>
        <w:ind w:firstLine="598"/>
        <w:jc w:val="left"/>
        <w:rPr>
          <w:rFonts w:cs="宋体" w:asciiTheme="minorEastAsia" w:hAnsiTheme="minorEastAsia" w:eastAsiaTheme="minorEastAsia"/>
          <w:kern w:val="0"/>
          <w:sz w:val="24"/>
          <w:szCs w:val="24"/>
          <w:highlight w:val="none"/>
        </w:rPr>
      </w:pPr>
      <w:r>
        <w:rPr>
          <w:rFonts w:cs="宋体" w:asciiTheme="minorEastAsia" w:hAnsiTheme="minorEastAsia" w:eastAsiaTheme="minorEastAsia"/>
          <w:kern w:val="0"/>
          <w:sz w:val="24"/>
          <w:szCs w:val="24"/>
          <w:highlight w:val="none"/>
        </w:rPr>
        <w:t xml:space="preserve">B：商务部分评分           </w:t>
      </w:r>
      <w:r>
        <w:rPr>
          <w:rFonts w:hint="eastAsia" w:cs="宋体" w:asciiTheme="minorEastAsia" w:hAnsiTheme="minorEastAsia" w:eastAsiaTheme="minorEastAsia"/>
          <w:kern w:val="0"/>
          <w:sz w:val="24"/>
          <w:szCs w:val="24"/>
          <w:highlight w:val="none"/>
        </w:rPr>
        <w:t>满分</w:t>
      </w:r>
      <w:r>
        <w:rPr>
          <w:rFonts w:hint="eastAsia" w:cs="宋体" w:asciiTheme="minorEastAsia" w:hAnsiTheme="minorEastAsia" w:eastAsiaTheme="minorEastAsia"/>
          <w:kern w:val="0"/>
          <w:sz w:val="24"/>
          <w:szCs w:val="24"/>
          <w:highlight w:val="none"/>
          <w:lang w:val="en-US" w:eastAsia="zh-CN"/>
        </w:rPr>
        <w:t>10</w:t>
      </w:r>
      <w:r>
        <w:rPr>
          <w:rFonts w:hint="eastAsia" w:cs="宋体" w:asciiTheme="minorEastAsia" w:hAnsiTheme="minorEastAsia" w:eastAsiaTheme="minorEastAsia"/>
          <w:kern w:val="0"/>
          <w:sz w:val="24"/>
          <w:szCs w:val="24"/>
          <w:highlight w:val="none"/>
        </w:rPr>
        <w:t>分</w:t>
      </w:r>
    </w:p>
    <w:p w14:paraId="0D4BB41B">
      <w:pPr>
        <w:widowControl/>
        <w:spacing w:line="400" w:lineRule="exact"/>
        <w:ind w:firstLine="598"/>
        <w:jc w:val="left"/>
        <w:rPr>
          <w:rFonts w:cs="宋体" w:asciiTheme="minorEastAsia" w:hAnsiTheme="minorEastAsia" w:eastAsiaTheme="minorEastAsia"/>
          <w:kern w:val="0"/>
          <w:sz w:val="24"/>
          <w:szCs w:val="24"/>
          <w:highlight w:val="none"/>
        </w:rPr>
      </w:pPr>
      <w:r>
        <w:rPr>
          <w:rFonts w:cs="宋体" w:asciiTheme="minorEastAsia" w:hAnsiTheme="minorEastAsia" w:eastAsiaTheme="minorEastAsia"/>
          <w:kern w:val="0"/>
          <w:sz w:val="24"/>
          <w:szCs w:val="24"/>
          <w:highlight w:val="none"/>
        </w:rPr>
        <w:t xml:space="preserve">C：报价部分评分           </w:t>
      </w:r>
      <w:r>
        <w:rPr>
          <w:rFonts w:hint="eastAsia" w:cs="宋体" w:asciiTheme="minorEastAsia" w:hAnsiTheme="minorEastAsia" w:eastAsiaTheme="minorEastAsia"/>
          <w:kern w:val="0"/>
          <w:sz w:val="24"/>
          <w:szCs w:val="24"/>
          <w:highlight w:val="none"/>
        </w:rPr>
        <w:t>满分</w:t>
      </w:r>
      <w:r>
        <w:rPr>
          <w:rFonts w:hint="eastAsia" w:cs="宋体" w:asciiTheme="minorEastAsia" w:hAnsiTheme="minorEastAsia" w:eastAsiaTheme="minorEastAsia"/>
          <w:kern w:val="0"/>
          <w:sz w:val="24"/>
          <w:szCs w:val="24"/>
          <w:highlight w:val="none"/>
          <w:lang w:val="en-US" w:eastAsia="zh-CN"/>
        </w:rPr>
        <w:t>30</w:t>
      </w:r>
      <w:r>
        <w:rPr>
          <w:rFonts w:hint="eastAsia" w:cs="宋体" w:asciiTheme="minorEastAsia" w:hAnsiTheme="minorEastAsia" w:eastAsiaTheme="minorEastAsia"/>
          <w:kern w:val="0"/>
          <w:sz w:val="24"/>
          <w:szCs w:val="24"/>
          <w:highlight w:val="none"/>
        </w:rPr>
        <w:t>分</w:t>
      </w:r>
    </w:p>
    <w:p w14:paraId="472E43FB">
      <w:pPr>
        <w:widowControl/>
        <w:spacing w:line="400" w:lineRule="exact"/>
        <w:ind w:firstLine="598"/>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综合得分</w:t>
      </w:r>
      <w:r>
        <w:rPr>
          <w:rFonts w:cs="宋体" w:asciiTheme="minorEastAsia" w:hAnsiTheme="minorEastAsia" w:eastAsiaTheme="minorEastAsia"/>
          <w:kern w:val="0"/>
          <w:sz w:val="24"/>
          <w:szCs w:val="24"/>
          <w:highlight w:val="none"/>
        </w:rPr>
        <w:t>=A＋B+C</w:t>
      </w:r>
    </w:p>
    <w:p w14:paraId="369B5815">
      <w:pPr>
        <w:widowControl/>
        <w:spacing w:line="400" w:lineRule="exact"/>
        <w:ind w:firstLine="598"/>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（3）各项评审因素的设置如下：</w:t>
      </w:r>
    </w:p>
    <w:p w14:paraId="07244462">
      <w:pPr>
        <w:widowControl/>
        <w:spacing w:line="400" w:lineRule="exact"/>
        <w:ind w:firstLine="598"/>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包1</w:t>
      </w:r>
    </w:p>
    <w:p w14:paraId="681105CD">
      <w:pPr>
        <w:pStyle w:val="33"/>
        <w:spacing w:before="0" w:beforeAutospacing="0" w:after="0" w:afterAutospacing="0" w:line="400" w:lineRule="exact"/>
        <w:ind w:firstLine="480"/>
        <w:rPr>
          <w:rFonts w:asciiTheme="minorEastAsia" w:hAnsiTheme="minorEastAsia" w:eastAsiaTheme="minorEastAsia"/>
        </w:rPr>
      </w:pPr>
      <w:r>
        <w:rPr>
          <w:rFonts w:hint="eastAsia" w:asciiTheme="minorEastAsia" w:hAnsiTheme="minorEastAsia" w:eastAsiaTheme="minorEastAsia"/>
          <w:b/>
          <w:bCs/>
        </w:rPr>
        <w:t>（一）</w:t>
      </w:r>
      <w:r>
        <w:rPr>
          <w:rStyle w:val="42"/>
          <w:rFonts w:hint="eastAsia" w:asciiTheme="minorEastAsia" w:hAnsiTheme="minorEastAsia" w:eastAsiaTheme="minorEastAsia"/>
          <w:szCs w:val="24"/>
        </w:rPr>
        <w:t>技术部分评分</w:t>
      </w:r>
      <w:r>
        <w:rPr>
          <w:rStyle w:val="42"/>
          <w:rFonts w:hint="eastAsia" w:asciiTheme="minorEastAsia" w:hAnsiTheme="minorEastAsia" w:eastAsiaTheme="minorEastAsia"/>
          <w:szCs w:val="24"/>
          <w:lang w:val="en-US" w:eastAsia="zh-CN"/>
        </w:rPr>
        <w:t>A</w:t>
      </w:r>
      <w:r>
        <w:rPr>
          <w:rStyle w:val="42"/>
          <w:rFonts w:hint="eastAsia" w:asciiTheme="minorEastAsia" w:hAnsiTheme="minorEastAsia" w:eastAsiaTheme="minorEastAsia"/>
          <w:szCs w:val="24"/>
        </w:rPr>
        <w:t>           满分</w:t>
      </w:r>
      <w:r>
        <w:rPr>
          <w:rStyle w:val="42"/>
          <w:rFonts w:hint="eastAsia" w:asciiTheme="minorEastAsia" w:hAnsiTheme="minorEastAsia" w:eastAsiaTheme="minorEastAsia"/>
          <w:szCs w:val="24"/>
          <w:u w:val="single"/>
          <w:lang w:val="en-US" w:eastAsia="zh-CN"/>
        </w:rPr>
        <w:t>60</w:t>
      </w:r>
      <w:r>
        <w:rPr>
          <w:rStyle w:val="42"/>
          <w:rFonts w:hint="eastAsia" w:asciiTheme="minorEastAsia" w:hAnsiTheme="minorEastAsia" w:eastAsiaTheme="minorEastAsia"/>
          <w:szCs w:val="24"/>
        </w:rPr>
        <w:t>分</w:t>
      </w:r>
    </w:p>
    <w:tbl>
      <w:tblPr>
        <w:tblStyle w:val="39"/>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700"/>
        <w:gridCol w:w="7726"/>
      </w:tblGrid>
      <w:tr w14:paraId="7D3C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8B32BEF">
            <w:pPr>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评标项目</w:t>
            </w:r>
          </w:p>
        </w:tc>
        <w:tc>
          <w:tcPr>
            <w:tcW w:w="700" w:type="dxa"/>
            <w:vAlign w:val="center"/>
          </w:tcPr>
          <w:p w14:paraId="5D188EB7">
            <w:pPr>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评标</w:t>
            </w:r>
          </w:p>
          <w:p w14:paraId="145AD2F3">
            <w:pPr>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分值</w:t>
            </w:r>
          </w:p>
        </w:tc>
        <w:tc>
          <w:tcPr>
            <w:tcW w:w="7726" w:type="dxa"/>
            <w:vAlign w:val="center"/>
          </w:tcPr>
          <w:p w14:paraId="3208DE9B">
            <w:pPr>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评标方法描述</w:t>
            </w:r>
          </w:p>
        </w:tc>
      </w:tr>
      <w:tr w14:paraId="7087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877F089">
            <w:pPr>
              <w:pStyle w:val="142"/>
              <w:spacing w:beforeLines="0" w:afterLines="0"/>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cs="宋体"/>
                <w:sz w:val="24"/>
                <w:szCs w:val="24"/>
                <w:highlight w:val="none"/>
              </w:rPr>
              <w:t>1、投标响应情况</w:t>
            </w:r>
          </w:p>
        </w:tc>
        <w:tc>
          <w:tcPr>
            <w:tcW w:w="700" w:type="dxa"/>
            <w:vAlign w:val="center"/>
          </w:tcPr>
          <w:p w14:paraId="041A60A3">
            <w:pPr>
              <w:pStyle w:val="142"/>
              <w:spacing w:beforeLines="0" w:afterLines="0"/>
              <w:jc w:val="center"/>
              <w:rPr>
                <w:rFonts w:hint="default" w:cs="宋体"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ascii="宋体" w:hAnsi="宋体" w:cs="宋体"/>
                <w:sz w:val="24"/>
                <w:szCs w:val="24"/>
                <w:highlight w:val="none"/>
                <w:lang w:val="en-US" w:eastAsia="zh-CN"/>
              </w:rPr>
              <w:t>28</w:t>
            </w:r>
          </w:p>
        </w:tc>
        <w:tc>
          <w:tcPr>
            <w:tcW w:w="7726" w:type="dxa"/>
            <w:vAlign w:val="center"/>
          </w:tcPr>
          <w:p w14:paraId="313A997B">
            <w:pPr>
              <w:pStyle w:val="142"/>
              <w:spacing w:beforeLines="0" w:afterLines="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cs="宋体"/>
                <w:sz w:val="24"/>
                <w:szCs w:val="24"/>
                <w:highlight w:val="none"/>
              </w:rPr>
              <w:t>根据供应商对磋商文件“第三章 磋商内容及要求”中“二、技术和服务要求”的响应情况进行评议，完全满足磋商文件要求</w:t>
            </w:r>
            <w:r>
              <w:rPr>
                <w:rFonts w:hint="eastAsia" w:ascii="宋体" w:hAnsi="宋体" w:cs="宋体"/>
                <w:sz w:val="24"/>
                <w:szCs w:val="24"/>
                <w:highlight w:val="none"/>
                <w:lang w:eastAsia="zh-CN"/>
              </w:rPr>
              <w:t>（共</w:t>
            </w:r>
            <w:r>
              <w:rPr>
                <w:rFonts w:hint="eastAsia" w:ascii="宋体" w:hAnsi="宋体" w:cs="宋体"/>
                <w:sz w:val="24"/>
                <w:szCs w:val="24"/>
                <w:highlight w:val="none"/>
                <w:lang w:val="en-US" w:eastAsia="zh-CN"/>
              </w:rPr>
              <w:t>10项</w:t>
            </w:r>
            <w:r>
              <w:rPr>
                <w:rFonts w:hint="eastAsia" w:ascii="宋体" w:hAnsi="宋体" w:cs="宋体"/>
                <w:sz w:val="24"/>
                <w:szCs w:val="24"/>
                <w:highlight w:val="none"/>
                <w:lang w:eastAsia="zh-CN"/>
              </w:rPr>
              <w:t>）</w:t>
            </w:r>
            <w:r>
              <w:rPr>
                <w:rFonts w:hint="eastAsia" w:ascii="宋体" w:hAnsi="宋体" w:cs="宋体"/>
                <w:sz w:val="24"/>
                <w:szCs w:val="24"/>
                <w:highlight w:val="none"/>
              </w:rPr>
              <w:t>的得满分。每负偏离一项扣</w:t>
            </w:r>
            <w:r>
              <w:rPr>
                <w:rFonts w:hint="eastAsia" w:ascii="宋体" w:hAnsi="宋体" w:cs="宋体"/>
                <w:sz w:val="24"/>
                <w:szCs w:val="24"/>
                <w:highlight w:val="none"/>
                <w:lang w:val="en-US" w:eastAsia="zh-CN"/>
              </w:rPr>
              <w:t>2.8</w:t>
            </w:r>
            <w:r>
              <w:rPr>
                <w:rFonts w:hint="eastAsia" w:ascii="宋体" w:hAnsi="宋体" w:cs="宋体"/>
                <w:sz w:val="24"/>
                <w:szCs w:val="24"/>
                <w:highlight w:val="none"/>
              </w:rPr>
              <w:t>分，正偏离不加分。</w:t>
            </w:r>
          </w:p>
        </w:tc>
      </w:tr>
      <w:tr w14:paraId="6603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5A92404">
            <w:pPr>
              <w:adjustRightInd w:val="0"/>
              <w:snapToGrid w:val="0"/>
              <w:spacing w:beforeLines="0" w:afterLines="0" w:line="288" w:lineRule="auto"/>
              <w:jc w:val="left"/>
              <w:rPr>
                <w:rFonts w:hint="default" w:asciiTheme="minorEastAsia" w:hAnsiTheme="minorEastAsia"/>
                <w:color w:val="000000" w:themeColor="text1"/>
                <w:sz w:val="24"/>
                <w:szCs w:val="24"/>
                <w:highlight w:val="none"/>
                <w14:textFill>
                  <w14:solidFill>
                    <w14:schemeClr w14:val="tx1"/>
                  </w14:solidFill>
                </w14:textFill>
              </w:rPr>
            </w:pPr>
            <w:r>
              <w:rPr>
                <w:rFonts w:hint="default" w:ascii="宋体" w:hAnsi="宋体" w:cs="宋体"/>
                <w:sz w:val="24"/>
                <w:szCs w:val="24"/>
                <w:highlight w:val="none"/>
              </w:rPr>
              <w:t>2、项目实施方案</w:t>
            </w:r>
          </w:p>
        </w:tc>
        <w:tc>
          <w:tcPr>
            <w:tcW w:w="700" w:type="dxa"/>
            <w:vAlign w:val="center"/>
          </w:tcPr>
          <w:p w14:paraId="7ABDC066">
            <w:pPr>
              <w:adjustRightInd w:val="0"/>
              <w:snapToGrid w:val="0"/>
              <w:spacing w:beforeLines="0" w:afterLines="0" w:line="288" w:lineRule="auto"/>
              <w:jc w:val="cente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宋体" w:hAnsi="宋体" w:cs="宋体" w:eastAsiaTheme="minorEastAsia"/>
                <w:sz w:val="24"/>
                <w:szCs w:val="24"/>
                <w:highlight w:val="none"/>
                <w:lang w:val="en-US" w:eastAsia="zh-CN"/>
              </w:rPr>
              <w:t>6</w:t>
            </w:r>
          </w:p>
        </w:tc>
        <w:tc>
          <w:tcPr>
            <w:tcW w:w="7726" w:type="dxa"/>
            <w:vAlign w:val="top"/>
          </w:tcPr>
          <w:p w14:paraId="0AD49970">
            <w:pPr>
              <w:adjustRightInd w:val="0"/>
              <w:snapToGrid w:val="0"/>
              <w:spacing w:beforeLines="0" w:afterLines="0" w:line="288" w:lineRule="auto"/>
              <w:jc w:val="left"/>
              <w:rPr>
                <w:rFonts w:hint="default" w:asciiTheme="minorEastAsia" w:hAnsiTheme="minorEastAsia"/>
                <w:color w:val="000000" w:themeColor="text1"/>
                <w:sz w:val="24"/>
                <w:szCs w:val="24"/>
                <w:highlight w:val="none"/>
                <w14:textFill>
                  <w14:solidFill>
                    <w14:schemeClr w14:val="tx1"/>
                  </w14:solidFill>
                </w14:textFill>
              </w:rPr>
            </w:pPr>
            <w:r>
              <w:rPr>
                <w:rFonts w:hint="default" w:ascii="宋体" w:hAnsi="宋体" w:cs="宋体"/>
                <w:sz w:val="24"/>
                <w:szCs w:val="24"/>
                <w:highlight w:val="none"/>
              </w:rPr>
              <w:t>根据供应商针对本项目制定</w:t>
            </w:r>
            <w:r>
              <w:rPr>
                <w:rFonts w:hint="default" w:ascii="宋体"/>
                <w:sz w:val="24"/>
                <w:szCs w:val="24"/>
                <w:highlight w:val="none"/>
              </w:rPr>
              <w:t>实施方案（包括但不限于项目评定制度、项目评定环节、项目实施进度等）</w:t>
            </w:r>
            <w:r>
              <w:rPr>
                <w:rFonts w:hint="default" w:ascii="宋体" w:hAnsi="宋体" w:cs="宋体"/>
                <w:sz w:val="24"/>
                <w:szCs w:val="24"/>
                <w:highlight w:val="none"/>
              </w:rPr>
              <w:t>，由磋商小组进行评分：实施方案制定完整、合理科学的得</w:t>
            </w:r>
            <w:r>
              <w:rPr>
                <w:rFonts w:hint="eastAsia" w:ascii="宋体" w:hAnsi="宋体" w:cs="宋体"/>
                <w:sz w:val="24"/>
                <w:szCs w:val="24"/>
                <w:highlight w:val="none"/>
                <w:lang w:val="en-US" w:eastAsia="zh-CN"/>
              </w:rPr>
              <w:t>6</w:t>
            </w:r>
            <w:r>
              <w:rPr>
                <w:rFonts w:hint="default" w:ascii="宋体" w:hAnsi="宋体" w:cs="宋体"/>
                <w:sz w:val="24"/>
                <w:szCs w:val="24"/>
                <w:highlight w:val="none"/>
              </w:rPr>
              <w:t>分；实施方案制定较完整、较合理科学的得</w:t>
            </w:r>
            <w:r>
              <w:rPr>
                <w:rFonts w:hint="eastAsia" w:ascii="宋体" w:hAnsi="宋体" w:cs="宋体"/>
                <w:sz w:val="24"/>
                <w:szCs w:val="24"/>
                <w:highlight w:val="none"/>
                <w:lang w:val="en-US" w:eastAsia="zh-CN"/>
              </w:rPr>
              <w:t>5.5</w:t>
            </w:r>
            <w:r>
              <w:rPr>
                <w:rFonts w:hint="default" w:ascii="宋体" w:hAnsi="宋体" w:cs="宋体"/>
                <w:sz w:val="24"/>
                <w:szCs w:val="24"/>
                <w:highlight w:val="none"/>
              </w:rPr>
              <w:t>分；实施方案制定基本完整的得</w:t>
            </w:r>
            <w:r>
              <w:rPr>
                <w:rFonts w:hint="eastAsia" w:ascii="宋体" w:hAnsi="宋体" w:cs="宋体"/>
                <w:sz w:val="24"/>
                <w:szCs w:val="24"/>
                <w:highlight w:val="none"/>
                <w:lang w:val="en-US" w:eastAsia="zh-CN"/>
              </w:rPr>
              <w:t>5</w:t>
            </w:r>
            <w:r>
              <w:rPr>
                <w:rFonts w:hint="default" w:ascii="宋体" w:hAnsi="宋体" w:cs="宋体"/>
                <w:sz w:val="24"/>
                <w:szCs w:val="24"/>
                <w:highlight w:val="none"/>
              </w:rPr>
              <w:t>分；未提供或实施方案制定不符合要求的本项不得分。</w:t>
            </w:r>
          </w:p>
        </w:tc>
      </w:tr>
      <w:tr w14:paraId="0D48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2223150">
            <w:pPr>
              <w:adjustRightInd w:val="0"/>
              <w:snapToGrid w:val="0"/>
              <w:spacing w:beforeLines="0" w:afterLines="0" w:line="288" w:lineRule="auto"/>
              <w:jc w:val="left"/>
              <w:rPr>
                <w:rFonts w:hint="default" w:asciiTheme="minorEastAsia" w:hAnsiTheme="minorEastAsia"/>
                <w:color w:val="000000" w:themeColor="text1"/>
                <w:sz w:val="24"/>
                <w:szCs w:val="24"/>
                <w:highlight w:val="none"/>
                <w14:textFill>
                  <w14:solidFill>
                    <w14:schemeClr w14:val="tx1"/>
                  </w14:solidFill>
                </w14:textFill>
              </w:rPr>
            </w:pPr>
            <w:r>
              <w:rPr>
                <w:rFonts w:hint="default" w:ascii="宋体" w:hAnsi="宋体" w:cs="宋体"/>
                <w:sz w:val="24"/>
                <w:szCs w:val="24"/>
              </w:rPr>
              <w:t>3、任务理解</w:t>
            </w:r>
          </w:p>
        </w:tc>
        <w:tc>
          <w:tcPr>
            <w:tcW w:w="700" w:type="dxa"/>
            <w:vAlign w:val="center"/>
          </w:tcPr>
          <w:p w14:paraId="34B0A413">
            <w:pPr>
              <w:adjustRightInd w:val="0"/>
              <w:snapToGrid w:val="0"/>
              <w:spacing w:beforeLines="0" w:afterLines="0" w:line="288" w:lineRule="auto"/>
              <w:jc w:val="center"/>
              <w:rPr>
                <w:rFonts w:asciiTheme="minorEastAsia" w:hAnsiTheme="minorEastAsia" w:eastAsiaTheme="minorEastAsia"/>
                <w:color w:val="000000" w:themeColor="text1"/>
                <w:sz w:val="24"/>
                <w:szCs w:val="24"/>
                <w:highlight w:val="none"/>
                <w14:textFill>
                  <w14:solidFill>
                    <w14:schemeClr w14:val="tx1"/>
                  </w14:solidFill>
                </w14:textFill>
              </w:rPr>
            </w:pPr>
            <w:r>
              <w:rPr>
                <w:rFonts w:hint="default" w:ascii="宋体" w:hAnsi="宋体" w:cs="宋体"/>
                <w:sz w:val="24"/>
                <w:szCs w:val="24"/>
              </w:rPr>
              <w:t>3</w:t>
            </w:r>
          </w:p>
        </w:tc>
        <w:tc>
          <w:tcPr>
            <w:tcW w:w="7726" w:type="dxa"/>
            <w:vAlign w:val="top"/>
          </w:tcPr>
          <w:p w14:paraId="731C69D9">
            <w:pPr>
              <w:adjustRightInd w:val="0"/>
              <w:snapToGrid w:val="0"/>
              <w:spacing w:beforeLines="0" w:afterLines="0" w:line="288" w:lineRule="auto"/>
              <w:jc w:val="left"/>
              <w:rPr>
                <w:rFonts w:hint="default" w:asciiTheme="minorEastAsia" w:hAnsiTheme="minorEastAsia"/>
                <w:color w:val="000000" w:themeColor="text1"/>
                <w:sz w:val="24"/>
                <w:szCs w:val="24"/>
                <w:highlight w:val="none"/>
                <w14:textFill>
                  <w14:solidFill>
                    <w14:schemeClr w14:val="tx1"/>
                  </w14:solidFill>
                </w14:textFill>
              </w:rPr>
            </w:pPr>
            <w:r>
              <w:rPr>
                <w:rFonts w:hint="default" w:ascii="宋体" w:hAnsi="宋体" w:cs="宋体"/>
                <w:sz w:val="24"/>
                <w:szCs w:val="24"/>
              </w:rPr>
              <w:t>根据供应商</w:t>
            </w:r>
            <w:r>
              <w:rPr>
                <w:rFonts w:hint="eastAsia" w:ascii="宋体" w:hAnsi="宋体" w:cs="宋体"/>
                <w:sz w:val="24"/>
                <w:szCs w:val="24"/>
                <w:lang w:eastAsia="zh-CN"/>
              </w:rPr>
              <w:t>针</w:t>
            </w:r>
            <w:r>
              <w:rPr>
                <w:rFonts w:hint="default" w:ascii="宋体" w:hAnsi="宋体" w:cs="宋体"/>
                <w:sz w:val="24"/>
                <w:szCs w:val="24"/>
              </w:rPr>
              <w:t>对本项目制定工作任务的理解程度</w:t>
            </w:r>
            <w:r>
              <w:rPr>
                <w:rFonts w:hint="default" w:ascii="宋体"/>
                <w:sz w:val="24"/>
                <w:szCs w:val="24"/>
              </w:rPr>
              <w:t>（包括但不限于对项目整体任务、项目的分析、项目的步骤等理解程度）</w:t>
            </w:r>
            <w:r>
              <w:rPr>
                <w:rFonts w:hint="default" w:ascii="宋体" w:hAnsi="宋体" w:cs="宋体"/>
                <w:sz w:val="24"/>
                <w:szCs w:val="24"/>
              </w:rPr>
              <w:t>，由磋商小组进行评分</w:t>
            </w:r>
            <w:r>
              <w:rPr>
                <w:rFonts w:hint="default" w:ascii="宋体" w:hAnsi="宋体" w:cs="宋体"/>
                <w:sz w:val="24"/>
                <w:szCs w:val="24"/>
                <w:highlight w:val="none"/>
              </w:rPr>
              <w:t>：理解透彻、分析准确，相对整体优异，得3分；理解准确，分析较到位，相对整体较优异，得</w:t>
            </w:r>
            <w:r>
              <w:rPr>
                <w:rFonts w:hint="eastAsia" w:ascii="宋体" w:hAnsi="宋体" w:cs="宋体"/>
                <w:sz w:val="24"/>
                <w:szCs w:val="24"/>
                <w:highlight w:val="none"/>
                <w:lang w:val="en-US" w:eastAsia="zh-CN"/>
              </w:rPr>
              <w:t>2.5</w:t>
            </w:r>
            <w:r>
              <w:rPr>
                <w:rFonts w:hint="default" w:ascii="宋体" w:hAnsi="宋体" w:cs="宋体"/>
                <w:sz w:val="24"/>
                <w:szCs w:val="24"/>
                <w:highlight w:val="none"/>
              </w:rPr>
              <w:t>分；理解不够准确，分析不够准确，得</w:t>
            </w:r>
            <w:r>
              <w:rPr>
                <w:rFonts w:hint="eastAsia" w:ascii="宋体" w:hAnsi="宋体" w:cs="宋体"/>
                <w:sz w:val="24"/>
                <w:szCs w:val="24"/>
                <w:highlight w:val="none"/>
                <w:lang w:val="en-US" w:eastAsia="zh-CN"/>
              </w:rPr>
              <w:t>2</w:t>
            </w:r>
            <w:r>
              <w:rPr>
                <w:rFonts w:hint="default" w:ascii="宋体" w:hAnsi="宋体" w:cs="宋体"/>
                <w:sz w:val="24"/>
                <w:szCs w:val="24"/>
                <w:highlight w:val="none"/>
              </w:rPr>
              <w:t>分；理解偏</w:t>
            </w:r>
            <w:r>
              <w:rPr>
                <w:rFonts w:hint="default" w:ascii="宋体" w:hAnsi="宋体" w:cs="宋体"/>
                <w:sz w:val="24"/>
                <w:szCs w:val="24"/>
              </w:rPr>
              <w:t>差，分析不准确或未提供的本项不得分。</w:t>
            </w:r>
          </w:p>
        </w:tc>
      </w:tr>
      <w:tr w14:paraId="727F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EDC1EA0">
            <w:pPr>
              <w:adjustRightInd w:val="0"/>
              <w:snapToGrid w:val="0"/>
              <w:spacing w:beforeLines="0" w:afterLines="0" w:line="288" w:lineRule="auto"/>
              <w:jc w:val="left"/>
              <w:rPr>
                <w:rFonts w:hint="default" w:asciiTheme="minorEastAsia" w:hAnsiTheme="minorEastAsia"/>
                <w:color w:val="000000" w:themeColor="text1"/>
                <w:sz w:val="24"/>
                <w:szCs w:val="24"/>
                <w:highlight w:val="none"/>
                <w14:textFill>
                  <w14:solidFill>
                    <w14:schemeClr w14:val="tx1"/>
                  </w14:solidFill>
                </w14:textFill>
              </w:rPr>
            </w:pPr>
            <w:r>
              <w:rPr>
                <w:rFonts w:hint="default" w:ascii="宋体" w:hAnsi="宋体" w:cs="宋体"/>
                <w:sz w:val="24"/>
                <w:szCs w:val="24"/>
              </w:rPr>
              <w:t>4、人员管理方案</w:t>
            </w:r>
          </w:p>
        </w:tc>
        <w:tc>
          <w:tcPr>
            <w:tcW w:w="700" w:type="dxa"/>
            <w:vAlign w:val="center"/>
          </w:tcPr>
          <w:p w14:paraId="5E1F9530">
            <w:pPr>
              <w:adjustRightInd w:val="0"/>
              <w:snapToGrid w:val="0"/>
              <w:spacing w:beforeLines="0" w:afterLines="0" w:line="288" w:lineRule="auto"/>
              <w:jc w:val="center"/>
              <w:rPr>
                <w:rFonts w:asciiTheme="minorEastAsia" w:hAnsiTheme="minorEastAsia" w:eastAsiaTheme="minorEastAsia"/>
                <w:color w:val="000000" w:themeColor="text1"/>
                <w:sz w:val="24"/>
                <w:szCs w:val="24"/>
                <w:highlight w:val="none"/>
                <w14:textFill>
                  <w14:solidFill>
                    <w14:schemeClr w14:val="tx1"/>
                  </w14:solidFill>
                </w14:textFill>
              </w:rPr>
            </w:pPr>
            <w:r>
              <w:rPr>
                <w:rFonts w:hint="default" w:ascii="宋体" w:hAnsi="宋体" w:cs="宋体"/>
                <w:sz w:val="24"/>
                <w:szCs w:val="24"/>
              </w:rPr>
              <w:t>3</w:t>
            </w:r>
          </w:p>
        </w:tc>
        <w:tc>
          <w:tcPr>
            <w:tcW w:w="7726" w:type="dxa"/>
            <w:vAlign w:val="top"/>
          </w:tcPr>
          <w:p w14:paraId="3B89A35E">
            <w:pPr>
              <w:adjustRightInd w:val="0"/>
              <w:snapToGrid w:val="0"/>
              <w:spacing w:beforeLines="0" w:afterLines="0" w:line="288" w:lineRule="auto"/>
              <w:jc w:val="left"/>
              <w:rPr>
                <w:rFonts w:hint="default" w:asciiTheme="minorEastAsia" w:hAnsiTheme="minorEastAsia"/>
                <w:color w:val="000000" w:themeColor="text1"/>
                <w:sz w:val="24"/>
                <w:szCs w:val="24"/>
                <w:highlight w:val="none"/>
                <w14:textFill>
                  <w14:solidFill>
                    <w14:schemeClr w14:val="tx1"/>
                  </w14:solidFill>
                </w14:textFill>
              </w:rPr>
            </w:pPr>
            <w:r>
              <w:rPr>
                <w:rFonts w:hint="default" w:ascii="宋体" w:hAnsi="宋体" w:cs="宋体"/>
                <w:sz w:val="24"/>
                <w:szCs w:val="24"/>
              </w:rPr>
              <w:t>根据供应商针对本项目制定的服务人员配备方案（包括</w:t>
            </w:r>
            <w:r>
              <w:rPr>
                <w:rFonts w:hint="eastAsia" w:ascii="宋体" w:hAnsi="宋体" w:cs="宋体"/>
                <w:sz w:val="24"/>
                <w:szCs w:val="24"/>
                <w:lang w:val="en-US" w:eastAsia="zh-CN"/>
              </w:rPr>
              <w:t>但</w:t>
            </w:r>
            <w:r>
              <w:rPr>
                <w:rFonts w:hint="default" w:ascii="宋体" w:hAnsi="宋体" w:cs="宋体"/>
                <w:sz w:val="24"/>
                <w:szCs w:val="24"/>
              </w:rPr>
              <w:t>不限于人员配备、人员分工、人员安排等），由磋商小组进行评分：人员配备完整，具体分工明确，完全满足项目实际需求的得3分；人员配备较完整，分工明确</w:t>
            </w:r>
            <w:r>
              <w:rPr>
                <w:rFonts w:hint="default" w:ascii="宋体" w:hAnsi="宋体" w:cs="宋体"/>
                <w:sz w:val="24"/>
                <w:szCs w:val="24"/>
                <w:highlight w:val="none"/>
              </w:rPr>
              <w:t>，基本满足项目实际需求的得</w:t>
            </w:r>
            <w:r>
              <w:rPr>
                <w:rFonts w:hint="eastAsia" w:ascii="宋体" w:hAnsi="宋体" w:cs="宋体"/>
                <w:sz w:val="24"/>
                <w:szCs w:val="24"/>
                <w:highlight w:val="none"/>
                <w:lang w:val="en-US" w:eastAsia="zh-CN"/>
              </w:rPr>
              <w:t>2.8</w:t>
            </w:r>
            <w:r>
              <w:rPr>
                <w:rFonts w:hint="default" w:ascii="宋体" w:hAnsi="宋体" w:cs="宋体"/>
                <w:sz w:val="24"/>
                <w:szCs w:val="24"/>
                <w:highlight w:val="none"/>
              </w:rPr>
              <w:t>分；人员配备基本完整，分工不明确的得</w:t>
            </w:r>
            <w:r>
              <w:rPr>
                <w:rFonts w:hint="eastAsia" w:ascii="宋体" w:hAnsi="宋体" w:cs="宋体"/>
                <w:sz w:val="24"/>
                <w:szCs w:val="24"/>
                <w:highlight w:val="none"/>
                <w:lang w:val="en-US" w:eastAsia="zh-CN"/>
              </w:rPr>
              <w:t>2.6</w:t>
            </w:r>
            <w:r>
              <w:rPr>
                <w:rFonts w:hint="default" w:ascii="宋体" w:hAnsi="宋体" w:cs="宋体"/>
                <w:sz w:val="24"/>
                <w:szCs w:val="24"/>
                <w:highlight w:val="none"/>
              </w:rPr>
              <w:t>分；</w:t>
            </w:r>
            <w:r>
              <w:rPr>
                <w:rFonts w:hint="default" w:ascii="宋体" w:hAnsi="宋体" w:cs="宋体"/>
                <w:sz w:val="24"/>
                <w:szCs w:val="24"/>
              </w:rPr>
              <w:t>未提供或方案不符合要求的本项不得分。</w:t>
            </w:r>
          </w:p>
        </w:tc>
      </w:tr>
      <w:tr w14:paraId="06A7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D3AC9B0">
            <w:pPr>
              <w:adjustRightInd w:val="0"/>
              <w:snapToGrid w:val="0"/>
              <w:spacing w:beforeLines="0" w:afterLines="0" w:line="288" w:lineRule="auto"/>
              <w:jc w:val="left"/>
              <w:rPr>
                <w:rFonts w:hint="default" w:asciiTheme="minorEastAsia" w:hAnsiTheme="minorEastAsia"/>
                <w:color w:val="000000" w:themeColor="text1"/>
                <w:sz w:val="24"/>
                <w:szCs w:val="24"/>
                <w:highlight w:val="none"/>
                <w14:textFill>
                  <w14:solidFill>
                    <w14:schemeClr w14:val="tx1"/>
                  </w14:solidFill>
                </w14:textFill>
              </w:rPr>
            </w:pPr>
            <w:r>
              <w:rPr>
                <w:rFonts w:hint="eastAsia" w:ascii="宋体" w:hAnsi="宋体" w:cs="宋体"/>
                <w:sz w:val="24"/>
                <w:szCs w:val="24"/>
                <w:lang w:val="en-US" w:eastAsia="zh-CN"/>
              </w:rPr>
              <w:t>5</w:t>
            </w:r>
            <w:r>
              <w:rPr>
                <w:rFonts w:hint="default" w:ascii="宋体" w:hAnsi="宋体" w:cs="宋体"/>
                <w:sz w:val="24"/>
                <w:szCs w:val="24"/>
              </w:rPr>
              <w:t>、内部管理制度</w:t>
            </w:r>
          </w:p>
        </w:tc>
        <w:tc>
          <w:tcPr>
            <w:tcW w:w="700" w:type="dxa"/>
            <w:vAlign w:val="center"/>
          </w:tcPr>
          <w:p w14:paraId="7150DDB0">
            <w:pPr>
              <w:adjustRightInd w:val="0"/>
              <w:snapToGrid w:val="0"/>
              <w:spacing w:beforeLines="0" w:afterLines="0" w:line="288" w:lineRule="auto"/>
              <w:jc w:val="center"/>
              <w:rPr>
                <w:rFonts w:asciiTheme="minorEastAsia" w:hAnsiTheme="minorEastAsia" w:eastAsiaTheme="minorEastAsia"/>
                <w:color w:val="000000" w:themeColor="text1"/>
                <w:sz w:val="24"/>
                <w:szCs w:val="24"/>
                <w:highlight w:val="none"/>
                <w14:textFill>
                  <w14:solidFill>
                    <w14:schemeClr w14:val="tx1"/>
                  </w14:solidFill>
                </w14:textFill>
              </w:rPr>
            </w:pPr>
            <w:r>
              <w:rPr>
                <w:rFonts w:hint="default" w:ascii="宋体" w:hAnsi="宋体" w:cs="宋体"/>
                <w:sz w:val="24"/>
                <w:szCs w:val="24"/>
              </w:rPr>
              <w:t>3</w:t>
            </w:r>
          </w:p>
        </w:tc>
        <w:tc>
          <w:tcPr>
            <w:tcW w:w="7726" w:type="dxa"/>
            <w:vAlign w:val="top"/>
          </w:tcPr>
          <w:p w14:paraId="74F09C02">
            <w:pPr>
              <w:adjustRightInd w:val="0"/>
              <w:snapToGrid w:val="0"/>
              <w:spacing w:beforeLines="0" w:afterLines="0" w:line="288" w:lineRule="auto"/>
              <w:jc w:val="left"/>
              <w:rPr>
                <w:rFonts w:hint="default" w:asciiTheme="minorEastAsia" w:hAnsiTheme="minorEastAsia"/>
                <w:color w:val="000000" w:themeColor="text1"/>
                <w:sz w:val="24"/>
                <w:szCs w:val="24"/>
                <w:highlight w:val="none"/>
                <w14:textFill>
                  <w14:solidFill>
                    <w14:schemeClr w14:val="tx1"/>
                  </w14:solidFill>
                </w14:textFill>
              </w:rPr>
            </w:pPr>
            <w:r>
              <w:rPr>
                <w:rFonts w:hint="default" w:ascii="宋体" w:hAnsi="宋体" w:cs="宋体"/>
                <w:sz w:val="24"/>
                <w:szCs w:val="24"/>
              </w:rPr>
              <w:t>根据供应商针对本项目制定的</w:t>
            </w:r>
            <w:r>
              <w:rPr>
                <w:rFonts w:hint="eastAsia" w:ascii="宋体" w:hAnsi="宋体" w:cs="宋体"/>
                <w:sz w:val="24"/>
                <w:szCs w:val="24"/>
                <w:lang w:eastAsia="zh-CN"/>
              </w:rPr>
              <w:t>内部管理制度（包括但不限于</w:t>
            </w:r>
            <w:r>
              <w:rPr>
                <w:rFonts w:hint="default" w:ascii="宋体" w:hAnsi="宋体" w:cs="宋体"/>
                <w:sz w:val="24"/>
                <w:szCs w:val="24"/>
              </w:rPr>
              <w:t>管理规章制度、劳动保障相关制度情况</w:t>
            </w:r>
            <w:r>
              <w:rPr>
                <w:rFonts w:hint="eastAsia" w:ascii="宋体" w:hAnsi="宋体" w:cs="宋体"/>
                <w:sz w:val="24"/>
                <w:szCs w:val="24"/>
                <w:lang w:eastAsia="zh-CN"/>
              </w:rPr>
              <w:t>等）</w:t>
            </w:r>
            <w:r>
              <w:rPr>
                <w:rFonts w:hint="default" w:ascii="宋体" w:hAnsi="宋体" w:cs="宋体"/>
                <w:sz w:val="24"/>
                <w:szCs w:val="24"/>
              </w:rPr>
              <w:t>，由磋商小组进行评分：规章制度制定完整、合理科学的得3分；规章制度制定较完整、较合理科学的得2</w:t>
            </w:r>
            <w:r>
              <w:rPr>
                <w:rFonts w:hint="eastAsia" w:ascii="宋体" w:hAnsi="宋体" w:cs="宋体"/>
                <w:sz w:val="24"/>
                <w:szCs w:val="24"/>
                <w:lang w:val="en-US" w:eastAsia="zh-CN"/>
              </w:rPr>
              <w:t>.8</w:t>
            </w:r>
            <w:r>
              <w:rPr>
                <w:rFonts w:hint="default" w:ascii="宋体" w:hAnsi="宋体" w:cs="宋体"/>
                <w:sz w:val="24"/>
                <w:szCs w:val="24"/>
              </w:rPr>
              <w:t>分；规章制度制定基本</w:t>
            </w:r>
            <w:r>
              <w:rPr>
                <w:rFonts w:hint="default" w:ascii="宋体" w:hAnsi="宋体" w:cs="宋体"/>
                <w:sz w:val="24"/>
                <w:szCs w:val="24"/>
                <w:highlight w:val="none"/>
              </w:rPr>
              <w:t>完整的得</w:t>
            </w:r>
            <w:r>
              <w:rPr>
                <w:rFonts w:hint="eastAsia" w:ascii="宋体" w:hAnsi="宋体" w:cs="宋体"/>
                <w:sz w:val="24"/>
                <w:szCs w:val="24"/>
                <w:highlight w:val="none"/>
                <w:lang w:val="en-US" w:eastAsia="zh-CN"/>
              </w:rPr>
              <w:t>2.7</w:t>
            </w:r>
            <w:r>
              <w:rPr>
                <w:rFonts w:hint="default" w:ascii="宋体" w:hAnsi="宋体" w:cs="宋体"/>
                <w:sz w:val="24"/>
                <w:szCs w:val="24"/>
                <w:highlight w:val="none"/>
              </w:rPr>
              <w:t>分；未提供或规章制度制定不符合要求的本项不得分。</w:t>
            </w:r>
          </w:p>
        </w:tc>
      </w:tr>
      <w:tr w14:paraId="7186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898B15C">
            <w:pPr>
              <w:adjustRightInd w:val="0"/>
              <w:snapToGrid w:val="0"/>
              <w:spacing w:beforeLines="0" w:afterLines="0" w:line="288" w:lineRule="auto"/>
              <w:jc w:val="left"/>
              <w:rPr>
                <w:rFonts w:hint="default" w:ascii="宋体" w:hAnsi="宋体" w:cs="宋体"/>
                <w:sz w:val="24"/>
                <w:szCs w:val="24"/>
              </w:rPr>
            </w:pPr>
            <w:r>
              <w:rPr>
                <w:rFonts w:hint="eastAsia" w:ascii="宋体" w:hAnsi="宋体" w:cs="宋体"/>
                <w:sz w:val="24"/>
                <w:szCs w:val="24"/>
                <w:lang w:val="en-US" w:eastAsia="zh-CN"/>
              </w:rPr>
              <w:t>6</w:t>
            </w:r>
            <w:r>
              <w:rPr>
                <w:rFonts w:hint="default" w:ascii="宋体" w:hAnsi="宋体" w:cs="宋体"/>
                <w:sz w:val="24"/>
                <w:szCs w:val="24"/>
              </w:rPr>
              <w:t>、难点解决措施</w:t>
            </w:r>
          </w:p>
        </w:tc>
        <w:tc>
          <w:tcPr>
            <w:tcW w:w="700" w:type="dxa"/>
            <w:vAlign w:val="center"/>
          </w:tcPr>
          <w:p w14:paraId="2627C22D">
            <w:pPr>
              <w:adjustRightInd w:val="0"/>
              <w:snapToGrid w:val="0"/>
              <w:spacing w:beforeLines="0" w:afterLines="0" w:line="288"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7726" w:type="dxa"/>
            <w:vAlign w:val="top"/>
          </w:tcPr>
          <w:p w14:paraId="355EC6A6">
            <w:pPr>
              <w:adjustRightInd w:val="0"/>
              <w:snapToGrid w:val="0"/>
              <w:spacing w:beforeLines="0" w:afterLines="0" w:line="288" w:lineRule="auto"/>
              <w:jc w:val="left"/>
              <w:rPr>
                <w:rFonts w:hint="default" w:ascii="宋体" w:hAnsi="宋体" w:cs="宋体"/>
                <w:sz w:val="24"/>
                <w:szCs w:val="24"/>
              </w:rPr>
            </w:pPr>
            <w:r>
              <w:rPr>
                <w:rFonts w:hint="default" w:ascii="宋体" w:hAnsi="宋体" w:cs="宋体"/>
                <w:sz w:val="24"/>
                <w:szCs w:val="24"/>
              </w:rPr>
              <w:t>根据供应商针对本项目提供的难点解决措施情况（包括但不限于重点、难点的分析及解决方案等），由磋商小组进行评分：方案分析透彻、合理的得4分；方案分析基本合理、可行的得3.8分；方案一般或者无实质性内容的得</w:t>
            </w:r>
            <w:r>
              <w:rPr>
                <w:rFonts w:hint="eastAsia" w:ascii="宋体" w:hAnsi="宋体" w:cs="宋体"/>
                <w:sz w:val="24"/>
                <w:szCs w:val="24"/>
                <w:lang w:val="en-US" w:eastAsia="zh-CN"/>
              </w:rPr>
              <w:t>3.7</w:t>
            </w:r>
            <w:r>
              <w:rPr>
                <w:rFonts w:hint="default" w:ascii="宋体" w:hAnsi="宋体" w:cs="宋体"/>
                <w:sz w:val="24"/>
                <w:szCs w:val="24"/>
              </w:rPr>
              <w:t>分；不符合的或未提供的本项不得分。</w:t>
            </w:r>
          </w:p>
        </w:tc>
      </w:tr>
      <w:tr w14:paraId="0940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4897659">
            <w:pPr>
              <w:adjustRightInd w:val="0"/>
              <w:snapToGrid w:val="0"/>
              <w:spacing w:beforeLines="0" w:afterLines="0" w:line="288" w:lineRule="auto"/>
              <w:jc w:val="left"/>
              <w:rPr>
                <w:rFonts w:hint="default" w:ascii="宋体" w:hAnsi="宋体" w:cs="宋体"/>
                <w:sz w:val="24"/>
                <w:szCs w:val="24"/>
              </w:rPr>
            </w:pPr>
            <w:r>
              <w:rPr>
                <w:rFonts w:hint="eastAsia" w:ascii="宋体" w:hAnsi="宋体" w:cs="宋体"/>
                <w:sz w:val="24"/>
                <w:szCs w:val="24"/>
                <w:lang w:val="en-US" w:eastAsia="zh-CN"/>
              </w:rPr>
              <w:t>7</w:t>
            </w:r>
            <w:r>
              <w:rPr>
                <w:rFonts w:hint="default" w:ascii="宋体" w:hAnsi="宋体" w:cs="宋体"/>
                <w:sz w:val="24"/>
                <w:szCs w:val="24"/>
              </w:rPr>
              <w:t>、拟入人员情况</w:t>
            </w:r>
          </w:p>
        </w:tc>
        <w:tc>
          <w:tcPr>
            <w:tcW w:w="700" w:type="dxa"/>
            <w:vAlign w:val="center"/>
          </w:tcPr>
          <w:p w14:paraId="348C9F61">
            <w:pPr>
              <w:adjustRightInd w:val="0"/>
              <w:snapToGrid w:val="0"/>
              <w:spacing w:beforeLines="0" w:afterLines="0" w:line="288"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3</w:t>
            </w:r>
          </w:p>
        </w:tc>
        <w:tc>
          <w:tcPr>
            <w:tcW w:w="7726" w:type="dxa"/>
            <w:vAlign w:val="top"/>
          </w:tcPr>
          <w:p w14:paraId="70689374">
            <w:pPr>
              <w:adjustRightInd w:val="0"/>
              <w:snapToGrid w:val="0"/>
              <w:spacing w:beforeLines="0" w:afterLines="0" w:line="288" w:lineRule="auto"/>
              <w:jc w:val="left"/>
              <w:rPr>
                <w:rFonts w:hint="default" w:ascii="宋体" w:hAnsi="宋体" w:cs="宋体"/>
                <w:sz w:val="24"/>
                <w:szCs w:val="24"/>
              </w:rPr>
            </w:pPr>
            <w:r>
              <w:rPr>
                <w:rFonts w:hint="default" w:ascii="宋体" w:hAnsi="宋体" w:cs="宋体"/>
                <w:sz w:val="24"/>
                <w:szCs w:val="24"/>
              </w:rPr>
              <w:t>根据供应商拟投入本项目的团队人员配备情况，团队人员≥15人的得3分；15人＞团队人员≥10人的得2分；10人＞团队人员≥8人1分；少于8人或未提供本项不得分。</w:t>
            </w:r>
          </w:p>
        </w:tc>
      </w:tr>
      <w:tr w14:paraId="7933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4053C43">
            <w:pPr>
              <w:adjustRightInd w:val="0"/>
              <w:snapToGrid w:val="0"/>
              <w:spacing w:beforeLines="0" w:afterLines="0" w:line="288" w:lineRule="auto"/>
              <w:jc w:val="left"/>
              <w:rPr>
                <w:rFonts w:hint="default" w:asciiTheme="minorEastAsia" w:hAnsiTheme="minorEastAsia"/>
                <w:color w:val="000000" w:themeColor="text1"/>
                <w:sz w:val="24"/>
                <w:szCs w:val="24"/>
                <w:highlight w:val="none"/>
                <w14:textFill>
                  <w14:solidFill>
                    <w14:schemeClr w14:val="tx1"/>
                  </w14:solidFill>
                </w14:textFill>
              </w:rPr>
            </w:pPr>
            <w:r>
              <w:rPr>
                <w:rFonts w:hint="eastAsia" w:ascii="宋体" w:hAnsi="宋体" w:cs="宋体"/>
                <w:sz w:val="24"/>
                <w:szCs w:val="24"/>
                <w:lang w:val="en-US" w:eastAsia="zh-CN"/>
              </w:rPr>
              <w:t>8</w:t>
            </w:r>
            <w:r>
              <w:rPr>
                <w:rFonts w:hint="default" w:ascii="宋体" w:hAnsi="宋体" w:cs="宋体"/>
                <w:sz w:val="24"/>
                <w:szCs w:val="24"/>
              </w:rPr>
              <w:t>、质量控制和质量保障</w:t>
            </w:r>
          </w:p>
        </w:tc>
        <w:tc>
          <w:tcPr>
            <w:tcW w:w="700" w:type="dxa"/>
            <w:vAlign w:val="center"/>
          </w:tcPr>
          <w:p w14:paraId="193F3370">
            <w:pPr>
              <w:adjustRightInd w:val="0"/>
              <w:snapToGrid w:val="0"/>
              <w:spacing w:beforeLines="0" w:afterLines="0" w:line="288" w:lineRule="auto"/>
              <w:jc w:val="center"/>
              <w:rPr>
                <w:rFonts w:hint="eastAsia" w:eastAsia="宋体" w:asciiTheme="minorEastAsia" w:hAnsiTheme="minorEastAsia"/>
                <w:color w:val="000000" w:themeColor="text1"/>
                <w:sz w:val="24"/>
                <w:szCs w:val="24"/>
                <w:highlight w:val="none"/>
                <w:lang w:eastAsia="zh-CN"/>
                <w14:textFill>
                  <w14:solidFill>
                    <w14:schemeClr w14:val="tx1"/>
                  </w14:solidFill>
                </w14:textFill>
              </w:rPr>
            </w:pPr>
            <w:r>
              <w:rPr>
                <w:rFonts w:hint="eastAsia" w:ascii="宋体" w:hAnsi="宋体" w:cs="宋体"/>
                <w:sz w:val="24"/>
                <w:szCs w:val="24"/>
                <w:lang w:val="en-US" w:eastAsia="zh-CN"/>
              </w:rPr>
              <w:t>2</w:t>
            </w:r>
          </w:p>
        </w:tc>
        <w:tc>
          <w:tcPr>
            <w:tcW w:w="7726" w:type="dxa"/>
            <w:vAlign w:val="top"/>
          </w:tcPr>
          <w:p w14:paraId="6F638EFE">
            <w:pPr>
              <w:adjustRightInd w:val="0"/>
              <w:snapToGrid w:val="0"/>
              <w:spacing w:beforeLines="0" w:afterLines="0" w:line="288" w:lineRule="auto"/>
              <w:jc w:val="left"/>
              <w:rPr>
                <w:rFonts w:hint="default" w:ascii="宋体" w:hAnsi="宋体" w:cs="宋体"/>
                <w:sz w:val="24"/>
                <w:szCs w:val="24"/>
              </w:rPr>
            </w:pPr>
            <w:r>
              <w:rPr>
                <w:rFonts w:hint="default" w:ascii="宋体" w:hAnsi="宋体" w:cs="宋体"/>
                <w:sz w:val="24"/>
                <w:szCs w:val="24"/>
              </w:rPr>
              <w:t>根据供应商针对本项目提供的质量控制和质量保障情况，</w:t>
            </w:r>
            <w:r>
              <w:rPr>
                <w:rFonts w:hint="eastAsia" w:ascii="宋体" w:hAnsi="宋体" w:cs="宋体"/>
                <w:sz w:val="24"/>
                <w:szCs w:val="24"/>
                <w:lang w:eastAsia="zh-CN"/>
              </w:rPr>
              <w:t>每提供一项的得</w:t>
            </w:r>
            <w:r>
              <w:rPr>
                <w:rFonts w:hint="eastAsia" w:ascii="宋体" w:hAnsi="宋体" w:cs="宋体"/>
                <w:sz w:val="24"/>
                <w:szCs w:val="24"/>
                <w:lang w:val="en-US" w:eastAsia="zh-CN"/>
              </w:rPr>
              <w:t>0.5分，满分2分，</w:t>
            </w:r>
            <w:r>
              <w:rPr>
                <w:rFonts w:hint="default" w:ascii="宋体" w:hAnsi="宋体" w:cs="宋体"/>
                <w:sz w:val="24"/>
                <w:szCs w:val="24"/>
              </w:rPr>
              <w:t>（1）认定前工作的质量控制与保障；（2）认定过程中的质量控制与保障；（3）认定后工作的质量控制与保障；（4）工作全流程质量保证体系；不符合的或未提供的本项不得分。</w:t>
            </w:r>
          </w:p>
        </w:tc>
      </w:tr>
      <w:tr w14:paraId="54D1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E721B1E">
            <w:pPr>
              <w:adjustRightInd w:val="0"/>
              <w:snapToGrid w:val="0"/>
              <w:spacing w:beforeLines="0" w:afterLines="0" w:line="288" w:lineRule="auto"/>
              <w:jc w:val="left"/>
              <w:rPr>
                <w:rFonts w:hint="eastAsia" w:ascii="宋体" w:hAnsi="宋体" w:cs="宋体"/>
                <w:sz w:val="24"/>
                <w:szCs w:val="24"/>
                <w:highlight w:val="none"/>
              </w:rPr>
            </w:pPr>
            <w:r>
              <w:rPr>
                <w:rFonts w:hint="default" w:ascii="宋体" w:hAnsi="宋体" w:cs="宋体"/>
                <w:sz w:val="24"/>
                <w:szCs w:val="24"/>
              </w:rPr>
              <w:t>9、突发事件预案</w:t>
            </w:r>
          </w:p>
        </w:tc>
        <w:tc>
          <w:tcPr>
            <w:tcW w:w="700" w:type="dxa"/>
            <w:vAlign w:val="center"/>
          </w:tcPr>
          <w:p w14:paraId="317515E5">
            <w:pPr>
              <w:adjustRightInd w:val="0"/>
              <w:snapToGrid w:val="0"/>
              <w:spacing w:beforeLines="0" w:afterLines="0" w:line="288" w:lineRule="auto"/>
              <w:jc w:val="center"/>
              <w:rPr>
                <w:rFonts w:hint="eastAsia" w:ascii="宋体" w:hAnsi="宋体" w:eastAsia="宋体" w:cs="宋体"/>
                <w:sz w:val="24"/>
                <w:szCs w:val="24"/>
                <w:highlight w:val="none"/>
                <w:lang w:eastAsia="zh-CN"/>
              </w:rPr>
            </w:pPr>
            <w:r>
              <w:rPr>
                <w:rFonts w:hint="eastAsia" w:ascii="宋体" w:hAnsi="宋体" w:cs="宋体"/>
                <w:sz w:val="24"/>
                <w:szCs w:val="24"/>
                <w:lang w:val="en-US" w:eastAsia="zh-CN"/>
              </w:rPr>
              <w:t>2</w:t>
            </w:r>
          </w:p>
        </w:tc>
        <w:tc>
          <w:tcPr>
            <w:tcW w:w="7726" w:type="dxa"/>
            <w:vAlign w:val="top"/>
          </w:tcPr>
          <w:p w14:paraId="4AD94644">
            <w:pPr>
              <w:adjustRightInd w:val="0"/>
              <w:snapToGrid w:val="0"/>
              <w:spacing w:beforeLines="0" w:afterLines="0" w:line="288" w:lineRule="auto"/>
              <w:jc w:val="left"/>
              <w:rPr>
                <w:rFonts w:hint="eastAsia" w:ascii="宋体" w:hAnsi="宋体" w:cs="宋体"/>
                <w:sz w:val="24"/>
                <w:szCs w:val="24"/>
              </w:rPr>
            </w:pPr>
            <w:r>
              <w:rPr>
                <w:rFonts w:hint="default" w:ascii="宋体" w:hAnsi="宋体" w:cs="宋体"/>
                <w:sz w:val="24"/>
                <w:szCs w:val="24"/>
              </w:rPr>
              <w:t>根据供应商针对本项目提供的突发事件预案</w:t>
            </w:r>
            <w:r>
              <w:rPr>
                <w:rFonts w:hint="eastAsia" w:ascii="宋体" w:hAnsi="宋体" w:cs="宋体"/>
                <w:sz w:val="24"/>
                <w:szCs w:val="24"/>
                <w:lang w:eastAsia="zh-CN"/>
              </w:rPr>
              <w:t>情况</w:t>
            </w:r>
            <w:r>
              <w:rPr>
                <w:rFonts w:hint="default" w:ascii="宋体" w:hAnsi="宋体" w:cs="宋体"/>
                <w:sz w:val="24"/>
                <w:szCs w:val="24"/>
              </w:rPr>
              <w:t>，每提供一项</w:t>
            </w:r>
            <w:r>
              <w:rPr>
                <w:rFonts w:hint="eastAsia" w:ascii="宋体" w:hAnsi="宋体" w:cs="宋体"/>
                <w:sz w:val="24"/>
                <w:szCs w:val="24"/>
                <w:lang w:eastAsia="zh-CN"/>
              </w:rPr>
              <w:t>的</w:t>
            </w:r>
            <w:r>
              <w:rPr>
                <w:rFonts w:hint="default" w:ascii="宋体" w:hAnsi="宋体" w:cs="宋体"/>
                <w:sz w:val="24"/>
                <w:szCs w:val="24"/>
              </w:rPr>
              <w:t>得0.5分，满分2分，</w:t>
            </w:r>
            <w:r>
              <w:rPr>
                <w:rFonts w:hint="eastAsia" w:ascii="宋体" w:hAnsi="宋体" w:cs="宋体"/>
                <w:sz w:val="24"/>
                <w:szCs w:val="24"/>
              </w:rPr>
              <w:t>（1）应急方案实施目的；（2）应急方案宗旨；（3）应急方案实施原则；（4）应急方案实施（成立应急小组、应急</w:t>
            </w:r>
            <w:r>
              <w:rPr>
                <w:rFonts w:hint="eastAsia" w:ascii="宋体" w:hAnsi="宋体" w:cs="宋体"/>
                <w:sz w:val="24"/>
                <w:szCs w:val="24"/>
                <w:lang w:val="en-US" w:eastAsia="zh-CN"/>
              </w:rPr>
              <w:t>物资</w:t>
            </w:r>
            <w:r>
              <w:rPr>
                <w:rFonts w:hint="eastAsia" w:ascii="宋体" w:hAnsi="宋体" w:cs="宋体"/>
                <w:sz w:val="24"/>
                <w:szCs w:val="24"/>
              </w:rPr>
              <w:t>准备、现场应急实施）；不符合的或未提供的本项不得分。</w:t>
            </w:r>
          </w:p>
        </w:tc>
      </w:tr>
      <w:tr w14:paraId="3899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C85E2DD">
            <w:pPr>
              <w:adjustRightInd w:val="0"/>
              <w:snapToGrid w:val="0"/>
              <w:spacing w:beforeLines="0" w:afterLines="0" w:line="288" w:lineRule="auto"/>
              <w:jc w:val="left"/>
              <w:rPr>
                <w:rFonts w:hint="eastAsia" w:ascii="宋体" w:hAnsi="宋体" w:cs="宋体"/>
                <w:sz w:val="24"/>
                <w:szCs w:val="24"/>
                <w:highlight w:val="none"/>
              </w:rPr>
            </w:pPr>
            <w:r>
              <w:rPr>
                <w:rFonts w:hint="default" w:ascii="宋体" w:hAnsi="宋体" w:cs="宋体"/>
                <w:sz w:val="24"/>
                <w:szCs w:val="24"/>
              </w:rPr>
              <w:t>10、项目负责人</w:t>
            </w:r>
          </w:p>
        </w:tc>
        <w:tc>
          <w:tcPr>
            <w:tcW w:w="700" w:type="dxa"/>
            <w:vAlign w:val="center"/>
          </w:tcPr>
          <w:p w14:paraId="2CBAD8FE">
            <w:pPr>
              <w:adjustRightInd w:val="0"/>
              <w:snapToGrid w:val="0"/>
              <w:spacing w:beforeLines="0" w:afterLines="0" w:line="288" w:lineRule="auto"/>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c>
          <w:tcPr>
            <w:tcW w:w="7726" w:type="dxa"/>
            <w:vAlign w:val="top"/>
          </w:tcPr>
          <w:p w14:paraId="2AF2046C">
            <w:pPr>
              <w:adjustRightInd w:val="0"/>
              <w:snapToGrid w:val="0"/>
              <w:spacing w:beforeLines="0" w:afterLines="0" w:line="288" w:lineRule="auto"/>
              <w:jc w:val="left"/>
              <w:rPr>
                <w:rFonts w:hint="eastAsia" w:ascii="宋体" w:hAnsi="宋体" w:cs="宋体"/>
                <w:sz w:val="24"/>
                <w:szCs w:val="24"/>
                <w:highlight w:val="none"/>
                <w:lang w:eastAsia="zh-CN"/>
              </w:rPr>
            </w:pPr>
            <w:r>
              <w:rPr>
                <w:rFonts w:hint="default" w:ascii="宋体" w:hAnsi="宋体" w:cs="宋体"/>
                <w:sz w:val="24"/>
                <w:szCs w:val="24"/>
                <w:highlight w:val="none"/>
              </w:rPr>
              <w:t>供应商为本项目拟配备的项目负责人</w:t>
            </w:r>
            <w:r>
              <w:rPr>
                <w:rFonts w:hint="eastAsia" w:ascii="宋体" w:hAnsi="宋体" w:cs="宋体"/>
                <w:sz w:val="24"/>
                <w:szCs w:val="24"/>
                <w:highlight w:val="none"/>
                <w:lang w:val="en-US" w:eastAsia="zh-CN"/>
              </w:rPr>
              <w:t>从事经济/物业/房地产管理类</w:t>
            </w:r>
            <w:r>
              <w:rPr>
                <w:rFonts w:hint="default" w:ascii="宋体" w:hAnsi="宋体" w:cs="宋体"/>
                <w:sz w:val="24"/>
                <w:szCs w:val="24"/>
                <w:highlight w:val="none"/>
              </w:rPr>
              <w:t>工作年限十年（含）以上的得</w:t>
            </w:r>
            <w:r>
              <w:rPr>
                <w:rFonts w:hint="eastAsia" w:ascii="宋体" w:hAnsi="宋体" w:cs="宋体"/>
                <w:sz w:val="24"/>
                <w:szCs w:val="24"/>
                <w:highlight w:val="none"/>
                <w:lang w:val="en-US" w:eastAsia="zh-CN"/>
              </w:rPr>
              <w:t>3</w:t>
            </w:r>
            <w:r>
              <w:rPr>
                <w:rFonts w:hint="default" w:ascii="宋体" w:hAnsi="宋体" w:cs="宋体"/>
                <w:sz w:val="24"/>
                <w:szCs w:val="24"/>
                <w:highlight w:val="none"/>
              </w:rPr>
              <w:t>分，满分</w:t>
            </w:r>
            <w:r>
              <w:rPr>
                <w:rFonts w:hint="eastAsia" w:ascii="宋体" w:hAnsi="宋体" w:cs="宋体"/>
                <w:sz w:val="24"/>
                <w:szCs w:val="24"/>
                <w:highlight w:val="none"/>
                <w:lang w:val="en-US" w:eastAsia="zh-CN"/>
              </w:rPr>
              <w:t>3</w:t>
            </w:r>
            <w:r>
              <w:rPr>
                <w:rFonts w:hint="default" w:ascii="宋体" w:hAnsi="宋体" w:cs="宋体"/>
                <w:sz w:val="24"/>
                <w:szCs w:val="24"/>
                <w:highlight w:val="none"/>
              </w:rPr>
              <w:t>分</w:t>
            </w:r>
            <w:r>
              <w:rPr>
                <w:rFonts w:hint="eastAsia" w:ascii="宋体" w:hAnsi="宋体" w:cs="宋体"/>
                <w:sz w:val="24"/>
                <w:szCs w:val="24"/>
                <w:highlight w:val="none"/>
                <w:lang w:eastAsia="zh-CN"/>
              </w:rPr>
              <w:t>。</w:t>
            </w:r>
          </w:p>
          <w:p w14:paraId="4C9FCA9C">
            <w:pPr>
              <w:adjustRightInd w:val="0"/>
              <w:snapToGrid w:val="0"/>
              <w:spacing w:beforeLines="0" w:afterLines="0" w:line="288" w:lineRule="auto"/>
              <w:jc w:val="left"/>
              <w:rPr>
                <w:rFonts w:hint="eastAsia" w:ascii="宋体" w:hAnsi="宋体" w:cs="宋体"/>
                <w:sz w:val="24"/>
                <w:szCs w:val="24"/>
                <w:highlight w:val="none"/>
              </w:rPr>
            </w:pPr>
            <w:r>
              <w:rPr>
                <w:rFonts w:hint="eastAsia" w:ascii="宋体" w:hAnsi="宋体" w:cs="宋体"/>
                <w:sz w:val="24"/>
                <w:szCs w:val="24"/>
                <w:highlight w:val="none"/>
                <w:lang w:eastAsia="zh-CN"/>
              </w:rPr>
              <w:t>注：</w:t>
            </w:r>
            <w:r>
              <w:rPr>
                <w:rFonts w:hint="default" w:ascii="宋体" w:hAnsi="宋体" w:cs="宋体"/>
                <w:sz w:val="24"/>
                <w:szCs w:val="24"/>
                <w:highlight w:val="none"/>
              </w:rPr>
              <w:t>须提供有效的身份证复印件、</w:t>
            </w:r>
            <w:r>
              <w:rPr>
                <w:rFonts w:hint="default" w:ascii="宋体"/>
                <w:sz w:val="24"/>
                <w:szCs w:val="24"/>
                <w:highlight w:val="none"/>
              </w:rPr>
              <w:t>十年（含）以上工作</w:t>
            </w:r>
            <w:bookmarkStart w:id="72" w:name="_GoBack"/>
            <w:bookmarkEnd w:id="72"/>
            <w:r>
              <w:rPr>
                <w:rFonts w:hint="default" w:ascii="宋体"/>
                <w:sz w:val="24"/>
                <w:szCs w:val="24"/>
                <w:highlight w:val="none"/>
              </w:rPr>
              <w:t>经验证明材料复印件（由</w:t>
            </w:r>
            <w:r>
              <w:rPr>
                <w:rFonts w:hint="eastAsia" w:ascii="宋体"/>
                <w:sz w:val="24"/>
                <w:szCs w:val="24"/>
                <w:highlight w:val="none"/>
                <w:lang w:eastAsia="zh-CN"/>
              </w:rPr>
              <w:t>供应商</w:t>
            </w:r>
            <w:r>
              <w:rPr>
                <w:rFonts w:hint="default" w:ascii="宋体"/>
                <w:sz w:val="24"/>
                <w:szCs w:val="24"/>
                <w:highlight w:val="none"/>
              </w:rPr>
              <w:t>为其缴纳的养老保险证明，有社保中心公章，任职年限可累计）</w:t>
            </w:r>
            <w:r>
              <w:rPr>
                <w:rFonts w:hint="default" w:ascii="宋体" w:hAnsi="宋体" w:cs="宋体"/>
                <w:sz w:val="24"/>
                <w:szCs w:val="24"/>
                <w:highlight w:val="none"/>
              </w:rPr>
              <w:t>及响应截止时间前6个月任意一个月（不含响应截止时间的当月）由供应商为其缴交社保的证明材料，所有材料缺一不可，否则不得分。</w:t>
            </w:r>
          </w:p>
        </w:tc>
      </w:tr>
      <w:tr w14:paraId="3058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6B1E032">
            <w:pPr>
              <w:adjustRightInd w:val="0"/>
              <w:snapToGrid w:val="0"/>
              <w:spacing w:beforeLines="0" w:afterLines="0" w:line="288" w:lineRule="auto"/>
              <w:jc w:val="center"/>
              <w:rPr>
                <w:rFonts w:hint="eastAsia" w:ascii="宋体" w:hAnsi="宋体" w:cs="宋体"/>
                <w:sz w:val="24"/>
                <w:szCs w:val="24"/>
                <w:highlight w:val="none"/>
              </w:rPr>
            </w:pPr>
            <w:r>
              <w:rPr>
                <w:rFonts w:hint="default" w:ascii="宋体" w:hAnsi="宋体" w:cs="宋体"/>
                <w:sz w:val="24"/>
                <w:szCs w:val="24"/>
              </w:rPr>
              <w:t>11、项目团队</w:t>
            </w:r>
          </w:p>
        </w:tc>
        <w:tc>
          <w:tcPr>
            <w:tcW w:w="700" w:type="dxa"/>
            <w:vAlign w:val="center"/>
          </w:tcPr>
          <w:p w14:paraId="3B467102">
            <w:pPr>
              <w:adjustRightInd w:val="0"/>
              <w:snapToGrid w:val="0"/>
              <w:spacing w:beforeLines="0" w:afterLines="0" w:line="288" w:lineRule="auto"/>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c>
          <w:tcPr>
            <w:tcW w:w="7726" w:type="dxa"/>
            <w:vAlign w:val="top"/>
          </w:tcPr>
          <w:p w14:paraId="250C7F97">
            <w:pPr>
              <w:adjustRightInd w:val="0"/>
              <w:snapToGrid w:val="0"/>
              <w:spacing w:beforeLines="0" w:afterLines="0" w:line="288" w:lineRule="auto"/>
              <w:jc w:val="left"/>
              <w:rPr>
                <w:rFonts w:hint="eastAsia" w:ascii="宋体" w:hAnsi="宋体" w:cs="宋体"/>
                <w:sz w:val="24"/>
                <w:szCs w:val="24"/>
                <w:highlight w:val="none"/>
                <w:lang w:eastAsia="zh-CN"/>
              </w:rPr>
            </w:pPr>
            <w:r>
              <w:rPr>
                <w:rFonts w:hint="default" w:ascii="宋体" w:hAnsi="宋体" w:cs="宋体"/>
                <w:sz w:val="24"/>
                <w:szCs w:val="24"/>
                <w:highlight w:val="none"/>
              </w:rPr>
              <w:t>供应商拟投入本项目的团队人员</w:t>
            </w:r>
            <w:r>
              <w:rPr>
                <w:rFonts w:hint="eastAsia" w:ascii="宋体" w:hAnsi="宋体" w:cs="宋体"/>
                <w:sz w:val="24"/>
                <w:szCs w:val="24"/>
                <w:highlight w:val="none"/>
                <w:lang w:val="en-US" w:eastAsia="zh-CN"/>
              </w:rPr>
              <w:t>从事经济/物业/房地产管理类</w:t>
            </w:r>
            <w:r>
              <w:rPr>
                <w:rFonts w:hint="default" w:ascii="宋体" w:hAnsi="宋体" w:cs="宋体"/>
                <w:sz w:val="24"/>
                <w:szCs w:val="24"/>
                <w:highlight w:val="none"/>
              </w:rPr>
              <w:t>工作满五年（含）以上的，每配备</w:t>
            </w:r>
            <w:r>
              <w:rPr>
                <w:rFonts w:hint="eastAsia" w:ascii="宋体" w:hAnsi="宋体" w:cs="宋体"/>
                <w:sz w:val="24"/>
                <w:szCs w:val="24"/>
                <w:highlight w:val="none"/>
                <w:lang w:val="en-US" w:eastAsia="zh-CN"/>
              </w:rPr>
              <w:t>1</w:t>
            </w:r>
            <w:r>
              <w:rPr>
                <w:rFonts w:hint="default" w:ascii="宋体" w:hAnsi="宋体" w:cs="宋体"/>
                <w:sz w:val="24"/>
                <w:szCs w:val="24"/>
                <w:highlight w:val="none"/>
              </w:rPr>
              <w:t>名得</w:t>
            </w:r>
            <w:r>
              <w:rPr>
                <w:rFonts w:hint="eastAsia" w:ascii="宋体" w:hAnsi="宋体" w:cs="宋体"/>
                <w:sz w:val="24"/>
                <w:szCs w:val="24"/>
                <w:highlight w:val="none"/>
                <w:lang w:val="en-US" w:eastAsia="zh-CN"/>
              </w:rPr>
              <w:t>1</w:t>
            </w:r>
            <w:r>
              <w:rPr>
                <w:rFonts w:hint="default" w:ascii="宋体" w:hAnsi="宋体" w:cs="宋体"/>
                <w:sz w:val="24"/>
                <w:szCs w:val="24"/>
                <w:highlight w:val="none"/>
              </w:rPr>
              <w:t>分，满分</w:t>
            </w:r>
            <w:r>
              <w:rPr>
                <w:rFonts w:hint="eastAsia" w:ascii="宋体" w:hAnsi="宋体" w:cs="宋体"/>
                <w:sz w:val="24"/>
                <w:szCs w:val="24"/>
                <w:highlight w:val="none"/>
                <w:lang w:val="en-US" w:eastAsia="zh-CN"/>
              </w:rPr>
              <w:t>3</w:t>
            </w:r>
            <w:r>
              <w:rPr>
                <w:rFonts w:hint="default" w:ascii="宋体" w:hAnsi="宋体" w:cs="宋体"/>
                <w:sz w:val="24"/>
                <w:szCs w:val="24"/>
                <w:highlight w:val="none"/>
              </w:rPr>
              <w:t>分</w:t>
            </w:r>
            <w:r>
              <w:rPr>
                <w:rFonts w:hint="eastAsia" w:ascii="宋体" w:hAnsi="宋体" w:cs="宋体"/>
                <w:sz w:val="24"/>
                <w:szCs w:val="24"/>
                <w:highlight w:val="none"/>
                <w:lang w:eastAsia="zh-CN"/>
              </w:rPr>
              <w:t>。</w:t>
            </w:r>
          </w:p>
          <w:p w14:paraId="03959174">
            <w:pPr>
              <w:adjustRightInd w:val="0"/>
              <w:snapToGrid w:val="0"/>
              <w:spacing w:beforeLines="0" w:afterLines="0" w:line="288" w:lineRule="auto"/>
              <w:jc w:val="left"/>
              <w:rPr>
                <w:rFonts w:hint="eastAsia" w:ascii="宋体" w:hAnsi="宋体" w:cs="宋体"/>
                <w:sz w:val="24"/>
                <w:szCs w:val="24"/>
                <w:highlight w:val="none"/>
              </w:rPr>
            </w:pPr>
            <w:r>
              <w:rPr>
                <w:rFonts w:hint="eastAsia" w:ascii="宋体" w:hAnsi="宋体" w:cs="宋体"/>
                <w:sz w:val="24"/>
                <w:szCs w:val="24"/>
                <w:highlight w:val="none"/>
                <w:lang w:eastAsia="zh-CN"/>
              </w:rPr>
              <w:t>注：</w:t>
            </w:r>
            <w:r>
              <w:rPr>
                <w:rFonts w:hint="default" w:ascii="宋体" w:hAnsi="宋体" w:cs="宋体"/>
                <w:sz w:val="24"/>
                <w:szCs w:val="24"/>
                <w:highlight w:val="none"/>
              </w:rPr>
              <w:t>须提供有效身份证复印件、</w:t>
            </w:r>
            <w:r>
              <w:rPr>
                <w:rFonts w:hint="eastAsia" w:ascii="宋体" w:hAnsi="宋体" w:cs="宋体"/>
                <w:sz w:val="24"/>
                <w:szCs w:val="24"/>
                <w:highlight w:val="none"/>
                <w:lang w:val="en-US" w:eastAsia="zh-CN"/>
              </w:rPr>
              <w:t>学历证明</w:t>
            </w:r>
            <w:r>
              <w:rPr>
                <w:rFonts w:hint="default" w:ascii="宋体" w:hAnsi="宋体" w:cs="宋体"/>
                <w:sz w:val="24"/>
                <w:szCs w:val="24"/>
                <w:highlight w:val="none"/>
              </w:rPr>
              <w:t>复印件、</w:t>
            </w:r>
            <w:r>
              <w:rPr>
                <w:rFonts w:hint="default" w:ascii="宋体"/>
                <w:sz w:val="24"/>
                <w:szCs w:val="24"/>
                <w:highlight w:val="none"/>
              </w:rPr>
              <w:t>五年（含）以上工作经验证明材料复印件（由</w:t>
            </w:r>
            <w:r>
              <w:rPr>
                <w:rFonts w:hint="eastAsia" w:ascii="宋体"/>
                <w:sz w:val="24"/>
                <w:szCs w:val="24"/>
                <w:highlight w:val="none"/>
                <w:lang w:eastAsia="zh-CN"/>
              </w:rPr>
              <w:t>供应商</w:t>
            </w:r>
            <w:r>
              <w:rPr>
                <w:rFonts w:hint="default" w:ascii="宋体"/>
                <w:sz w:val="24"/>
                <w:szCs w:val="24"/>
                <w:highlight w:val="none"/>
              </w:rPr>
              <w:t>为其缴纳的养老保险证明，有社保中心公章，任职年限可累计）</w:t>
            </w:r>
            <w:r>
              <w:rPr>
                <w:rFonts w:hint="default" w:ascii="宋体" w:hAnsi="宋体" w:cs="宋体"/>
                <w:sz w:val="24"/>
                <w:szCs w:val="24"/>
                <w:highlight w:val="none"/>
              </w:rPr>
              <w:t>及响应截止时间前6个月任意一个月（不含响应截止时间的当月）由供应商为其缴交社保的证明材料，所有材料缺一不可，否则不得分。</w:t>
            </w:r>
          </w:p>
        </w:tc>
      </w:tr>
    </w:tbl>
    <w:p w14:paraId="16E5EB83">
      <w:pPr>
        <w:pStyle w:val="33"/>
        <w:spacing w:before="0" w:beforeAutospacing="0" w:after="0" w:afterAutospacing="0" w:line="400" w:lineRule="exact"/>
        <w:ind w:firstLine="480"/>
        <w:rPr>
          <w:rFonts w:asciiTheme="minorEastAsia" w:hAnsiTheme="minorEastAsia" w:eastAsiaTheme="minorEastAsia"/>
          <w:highlight w:val="none"/>
        </w:rPr>
      </w:pPr>
      <w:r>
        <w:rPr>
          <w:rFonts w:hint="eastAsia" w:asciiTheme="minorEastAsia" w:hAnsiTheme="minorEastAsia" w:eastAsiaTheme="minorEastAsia"/>
          <w:b/>
          <w:bCs/>
          <w:highlight w:val="none"/>
        </w:rPr>
        <w:t>（二）</w:t>
      </w:r>
      <w:r>
        <w:rPr>
          <w:rStyle w:val="42"/>
          <w:rFonts w:hint="eastAsia" w:asciiTheme="minorEastAsia" w:hAnsiTheme="minorEastAsia" w:eastAsiaTheme="minorEastAsia"/>
          <w:szCs w:val="24"/>
          <w:highlight w:val="none"/>
        </w:rPr>
        <w:t>商务部分评分</w:t>
      </w:r>
      <w:r>
        <w:rPr>
          <w:rStyle w:val="42"/>
          <w:rFonts w:hint="eastAsia" w:asciiTheme="minorEastAsia" w:hAnsiTheme="minorEastAsia" w:eastAsiaTheme="minorEastAsia"/>
          <w:szCs w:val="24"/>
          <w:highlight w:val="none"/>
          <w:lang w:val="en-US" w:eastAsia="zh-CN"/>
        </w:rPr>
        <w:t>B</w:t>
      </w:r>
      <w:r>
        <w:rPr>
          <w:rStyle w:val="42"/>
          <w:rFonts w:hint="eastAsia" w:asciiTheme="minorEastAsia" w:hAnsiTheme="minorEastAsia" w:eastAsiaTheme="minorEastAsia"/>
          <w:szCs w:val="24"/>
          <w:highlight w:val="none"/>
        </w:rPr>
        <w:t>           满分</w:t>
      </w:r>
      <w:r>
        <w:rPr>
          <w:rStyle w:val="42"/>
          <w:rFonts w:hint="eastAsia" w:asciiTheme="minorEastAsia" w:hAnsiTheme="minorEastAsia" w:eastAsiaTheme="minorEastAsia"/>
          <w:szCs w:val="24"/>
          <w:highlight w:val="none"/>
          <w:u w:val="single"/>
          <w:lang w:val="en-US" w:eastAsia="zh-CN"/>
        </w:rPr>
        <w:t>10</w:t>
      </w:r>
      <w:r>
        <w:rPr>
          <w:rStyle w:val="42"/>
          <w:rFonts w:hint="eastAsia" w:asciiTheme="minorEastAsia" w:hAnsiTheme="minorEastAsia" w:eastAsiaTheme="minorEastAsia"/>
          <w:szCs w:val="24"/>
          <w:highlight w:val="none"/>
        </w:rPr>
        <w:t>分</w:t>
      </w:r>
    </w:p>
    <w:tbl>
      <w:tblPr>
        <w:tblStyle w:val="39"/>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09"/>
        <w:gridCol w:w="7825"/>
      </w:tblGrid>
      <w:tr w14:paraId="7D6A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tcBorders>
              <w:top w:val="single" w:color="auto" w:sz="4" w:space="0"/>
              <w:left w:val="single" w:color="auto" w:sz="4" w:space="0"/>
              <w:bottom w:val="single" w:color="auto" w:sz="4" w:space="0"/>
              <w:right w:val="single" w:color="auto" w:sz="4" w:space="0"/>
            </w:tcBorders>
            <w:vAlign w:val="center"/>
          </w:tcPr>
          <w:p w14:paraId="1D2D24CC">
            <w:pPr>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评标项目</w:t>
            </w:r>
          </w:p>
        </w:tc>
        <w:tc>
          <w:tcPr>
            <w:tcW w:w="709" w:type="dxa"/>
            <w:tcBorders>
              <w:top w:val="single" w:color="auto" w:sz="4" w:space="0"/>
              <w:left w:val="single" w:color="auto" w:sz="4" w:space="0"/>
              <w:bottom w:val="single" w:color="auto" w:sz="4" w:space="0"/>
              <w:right w:val="single" w:color="auto" w:sz="4" w:space="0"/>
            </w:tcBorders>
            <w:vAlign w:val="center"/>
          </w:tcPr>
          <w:p w14:paraId="7108ADB8">
            <w:pPr>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评标</w:t>
            </w:r>
          </w:p>
          <w:p w14:paraId="6B7C405C">
            <w:pPr>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分值</w:t>
            </w:r>
          </w:p>
        </w:tc>
        <w:tc>
          <w:tcPr>
            <w:tcW w:w="7825" w:type="dxa"/>
            <w:tcBorders>
              <w:top w:val="single" w:color="auto" w:sz="4" w:space="0"/>
              <w:left w:val="single" w:color="auto" w:sz="4" w:space="0"/>
              <w:bottom w:val="single" w:color="auto" w:sz="4" w:space="0"/>
              <w:right w:val="single" w:color="auto" w:sz="4" w:space="0"/>
            </w:tcBorders>
            <w:vAlign w:val="center"/>
          </w:tcPr>
          <w:p w14:paraId="0DA551EC">
            <w:pPr>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评分标准</w:t>
            </w:r>
          </w:p>
        </w:tc>
      </w:tr>
      <w:tr w14:paraId="27B2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4" w:type="dxa"/>
            <w:vAlign w:val="center"/>
          </w:tcPr>
          <w:p w14:paraId="11262CF5">
            <w:pPr>
              <w:spacing w:beforeLines="0" w:afterLines="0" w:line="440" w:lineRule="exact"/>
              <w:jc w:val="center"/>
              <w:rPr>
                <w:rFonts w:hint="default" w:asciiTheme="minorEastAsia" w:hAnsiTheme="minorEastAsia"/>
                <w:sz w:val="24"/>
                <w:szCs w:val="24"/>
                <w:highlight w:val="yellow"/>
              </w:rPr>
            </w:pPr>
            <w:r>
              <w:rPr>
                <w:rFonts w:hint="default" w:ascii="宋体" w:hAnsi="宋体" w:cs="宋体"/>
                <w:sz w:val="24"/>
                <w:szCs w:val="24"/>
              </w:rPr>
              <w:t>1、综合实力</w:t>
            </w:r>
          </w:p>
        </w:tc>
        <w:tc>
          <w:tcPr>
            <w:tcW w:w="709" w:type="dxa"/>
            <w:vAlign w:val="center"/>
          </w:tcPr>
          <w:p w14:paraId="13509FFB">
            <w:pPr>
              <w:spacing w:beforeLines="0" w:afterLines="0" w:line="440" w:lineRule="exact"/>
              <w:jc w:val="center"/>
              <w:rPr>
                <w:rFonts w:hint="default" w:asciiTheme="minorEastAsia" w:hAnsiTheme="minorEastAsia"/>
                <w:sz w:val="24"/>
                <w:szCs w:val="24"/>
                <w:highlight w:val="yellow"/>
              </w:rPr>
            </w:pPr>
            <w:r>
              <w:rPr>
                <w:rFonts w:hint="default" w:ascii="宋体" w:hAnsi="宋体" w:cs="宋体"/>
                <w:sz w:val="24"/>
                <w:szCs w:val="24"/>
              </w:rPr>
              <w:t>3</w:t>
            </w:r>
          </w:p>
        </w:tc>
        <w:tc>
          <w:tcPr>
            <w:tcW w:w="7825" w:type="dxa"/>
            <w:vAlign w:val="center"/>
          </w:tcPr>
          <w:p w14:paraId="6AA14D0F">
            <w:pPr>
              <w:spacing w:beforeLines="0" w:afterLines="0" w:line="440" w:lineRule="exact"/>
              <w:jc w:val="left"/>
              <w:rPr>
                <w:rFonts w:hint="eastAsia" w:ascii="宋体" w:hAnsi="宋体" w:cs="宋体"/>
                <w:sz w:val="24"/>
                <w:szCs w:val="24"/>
                <w:highlight w:val="none"/>
                <w:lang w:eastAsia="zh-CN"/>
              </w:rPr>
            </w:pPr>
            <w:r>
              <w:rPr>
                <w:rFonts w:hint="default" w:ascii="宋体" w:hAnsi="宋体" w:cs="宋体"/>
                <w:sz w:val="24"/>
                <w:szCs w:val="24"/>
                <w:highlight w:val="none"/>
              </w:rPr>
              <w:t>供应商具备ISO9001质量管理体系认证证书、ISO14001环境管理体系认证证书、ISO27001信息安全管理体系认证证书的，每提供1项得1分，满分3分</w:t>
            </w:r>
            <w:r>
              <w:rPr>
                <w:rFonts w:hint="eastAsia" w:ascii="宋体" w:hAnsi="宋体" w:cs="宋体"/>
                <w:sz w:val="24"/>
                <w:szCs w:val="24"/>
                <w:highlight w:val="none"/>
                <w:lang w:eastAsia="zh-CN"/>
              </w:rPr>
              <w:t>。</w:t>
            </w:r>
          </w:p>
          <w:p w14:paraId="2DC3D913">
            <w:pPr>
              <w:spacing w:beforeLines="0" w:afterLines="0" w:line="440" w:lineRule="exact"/>
              <w:jc w:val="left"/>
              <w:rPr>
                <w:rFonts w:hint="default" w:asciiTheme="minorEastAsia" w:hAnsiTheme="minorEastAsia"/>
                <w:sz w:val="24"/>
                <w:szCs w:val="24"/>
                <w:highlight w:val="yellow"/>
              </w:rPr>
            </w:pPr>
            <w:r>
              <w:rPr>
                <w:rFonts w:hint="eastAsia" w:ascii="宋体" w:hAnsi="宋体" w:cs="宋体"/>
                <w:sz w:val="24"/>
                <w:szCs w:val="24"/>
                <w:highlight w:val="none"/>
                <w:lang w:eastAsia="zh-CN"/>
              </w:rPr>
              <w:t>注：</w:t>
            </w:r>
            <w:r>
              <w:rPr>
                <w:rFonts w:hint="default" w:ascii="宋体" w:hAnsi="宋体" w:cs="宋体"/>
                <w:sz w:val="24"/>
                <w:szCs w:val="24"/>
                <w:highlight w:val="none"/>
              </w:rPr>
              <w:t>须提供有效证书复印件并加盖供应商公章，否则不得分。</w:t>
            </w:r>
          </w:p>
        </w:tc>
      </w:tr>
      <w:tr w14:paraId="76A9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4" w:type="dxa"/>
            <w:vAlign w:val="center"/>
          </w:tcPr>
          <w:p w14:paraId="428BC03B">
            <w:pPr>
              <w:spacing w:beforeLines="0" w:afterLines="0" w:line="440" w:lineRule="exact"/>
              <w:jc w:val="center"/>
              <w:rPr>
                <w:rFonts w:hint="default" w:asciiTheme="minorEastAsia" w:hAnsiTheme="minorEastAsia"/>
                <w:sz w:val="24"/>
                <w:szCs w:val="24"/>
                <w:highlight w:val="yellow"/>
              </w:rPr>
            </w:pPr>
            <w:r>
              <w:rPr>
                <w:rFonts w:hint="default" w:ascii="宋体" w:hAnsi="宋体" w:cs="宋体"/>
                <w:sz w:val="24"/>
                <w:szCs w:val="24"/>
              </w:rPr>
              <w:t>2、业主满意度</w:t>
            </w:r>
          </w:p>
        </w:tc>
        <w:tc>
          <w:tcPr>
            <w:tcW w:w="709" w:type="dxa"/>
            <w:vAlign w:val="center"/>
          </w:tcPr>
          <w:p w14:paraId="32699B29">
            <w:pPr>
              <w:spacing w:beforeLines="0" w:afterLines="0" w:line="440" w:lineRule="exact"/>
              <w:jc w:val="center"/>
              <w:rPr>
                <w:rFonts w:hint="default" w:asciiTheme="minorEastAsia" w:hAnsiTheme="minorEastAsia"/>
                <w:sz w:val="24"/>
                <w:szCs w:val="24"/>
                <w:highlight w:val="yellow"/>
              </w:rPr>
            </w:pPr>
            <w:r>
              <w:rPr>
                <w:rFonts w:hint="default" w:ascii="宋体" w:hAnsi="宋体" w:cs="宋体"/>
                <w:sz w:val="24"/>
                <w:szCs w:val="24"/>
              </w:rPr>
              <w:t>3</w:t>
            </w:r>
          </w:p>
        </w:tc>
        <w:tc>
          <w:tcPr>
            <w:tcW w:w="7825" w:type="dxa"/>
            <w:vAlign w:val="center"/>
          </w:tcPr>
          <w:p w14:paraId="7548B1B6">
            <w:pPr>
              <w:spacing w:beforeLines="0" w:afterLines="0" w:line="440" w:lineRule="exact"/>
              <w:jc w:val="left"/>
              <w:rPr>
                <w:rFonts w:hint="eastAsia" w:ascii="宋体" w:hAnsi="宋体" w:cs="宋体"/>
                <w:color w:val="auto"/>
                <w:sz w:val="24"/>
                <w:szCs w:val="24"/>
                <w:highlight w:val="none"/>
                <w:lang w:eastAsia="zh-CN"/>
              </w:rPr>
            </w:pPr>
            <w:r>
              <w:rPr>
                <w:rFonts w:hint="default" w:ascii="宋体" w:hAnsi="宋体" w:cs="宋体"/>
                <w:color w:val="auto"/>
                <w:sz w:val="24"/>
                <w:szCs w:val="24"/>
                <w:highlight w:val="none"/>
              </w:rPr>
              <w:t>根据供应商提供自</w:t>
            </w:r>
            <w:r>
              <w:rPr>
                <w:rFonts w:hint="eastAsia" w:ascii="宋体" w:hAnsi="宋体" w:cs="宋体"/>
                <w:color w:val="auto"/>
                <w:sz w:val="24"/>
                <w:szCs w:val="24"/>
                <w:highlight w:val="none"/>
                <w:lang w:val="en-US" w:eastAsia="zh-CN"/>
              </w:rPr>
              <w:t>2022</w:t>
            </w:r>
            <w:r>
              <w:rPr>
                <w:rFonts w:hint="default" w:ascii="宋体" w:hAnsi="宋体" w:cs="宋体"/>
                <w:color w:val="auto"/>
                <w:sz w:val="24"/>
                <w:szCs w:val="24"/>
                <w:highlight w:val="none"/>
              </w:rPr>
              <w:t>年1月1日至本项目响应截止时间止承担过同类项目的，采购单位出具的满意度评分表为优或者好评的，每提供一份合格的满意度评审表的得1分，满3分</w:t>
            </w:r>
            <w:r>
              <w:rPr>
                <w:rFonts w:hint="eastAsia" w:ascii="宋体" w:hAnsi="宋体" w:cs="宋体"/>
                <w:color w:val="auto"/>
                <w:sz w:val="24"/>
                <w:szCs w:val="24"/>
                <w:highlight w:val="none"/>
                <w:lang w:eastAsia="zh-CN"/>
              </w:rPr>
              <w:t>。</w:t>
            </w:r>
          </w:p>
          <w:p w14:paraId="14F82F80">
            <w:pPr>
              <w:spacing w:beforeLines="0" w:afterLines="0" w:line="440" w:lineRule="exact"/>
              <w:jc w:val="left"/>
              <w:rPr>
                <w:rFonts w:hint="default" w:asciiTheme="minorEastAsia" w:hAnsiTheme="minorEastAsia"/>
                <w:sz w:val="24"/>
                <w:szCs w:val="24"/>
                <w:highlight w:val="none"/>
              </w:rPr>
            </w:pPr>
            <w:r>
              <w:rPr>
                <w:rFonts w:hint="eastAsia" w:ascii="宋体" w:hAnsi="宋体" w:cs="宋体"/>
                <w:color w:val="auto"/>
                <w:sz w:val="24"/>
                <w:szCs w:val="24"/>
                <w:highlight w:val="none"/>
                <w:lang w:eastAsia="zh-CN"/>
              </w:rPr>
              <w:t>注：须</w:t>
            </w:r>
            <w:r>
              <w:rPr>
                <w:rFonts w:hint="default" w:ascii="宋体" w:hAnsi="宋体" w:cs="宋体"/>
                <w:color w:val="auto"/>
                <w:sz w:val="24"/>
                <w:szCs w:val="24"/>
                <w:highlight w:val="none"/>
              </w:rPr>
              <w:t>提供满意度评价表并加盖供应商公章。（业绩与业主满意度同一项不得分）</w:t>
            </w:r>
          </w:p>
        </w:tc>
      </w:tr>
      <w:tr w14:paraId="575E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4" w:type="dxa"/>
            <w:vAlign w:val="center"/>
          </w:tcPr>
          <w:p w14:paraId="41DFB0EE">
            <w:pPr>
              <w:spacing w:beforeLines="0" w:afterLines="0" w:line="440" w:lineRule="exact"/>
              <w:jc w:val="center"/>
              <w:rPr>
                <w:rFonts w:asciiTheme="minorEastAsia" w:hAnsiTheme="minorEastAsia" w:eastAsiaTheme="minorEastAsia" w:cstheme="minorBidi"/>
                <w:szCs w:val="24"/>
                <w:highlight w:val="yellow"/>
              </w:rPr>
            </w:pPr>
            <w:r>
              <w:rPr>
                <w:rFonts w:hint="default" w:ascii="宋体" w:hAnsi="宋体" w:cs="宋体"/>
                <w:sz w:val="24"/>
                <w:szCs w:val="24"/>
              </w:rPr>
              <w:t>3、业绩</w:t>
            </w:r>
          </w:p>
        </w:tc>
        <w:tc>
          <w:tcPr>
            <w:tcW w:w="709" w:type="dxa"/>
            <w:vAlign w:val="center"/>
          </w:tcPr>
          <w:p w14:paraId="700DDB7C">
            <w:pPr>
              <w:spacing w:beforeLines="0" w:afterLines="0" w:line="440" w:lineRule="exact"/>
              <w:jc w:val="center"/>
              <w:rPr>
                <w:rFonts w:asciiTheme="minorEastAsia" w:hAnsiTheme="minorEastAsia" w:eastAsiaTheme="minorEastAsia" w:cstheme="minorBidi"/>
                <w:szCs w:val="24"/>
                <w:highlight w:val="yellow"/>
              </w:rPr>
            </w:pPr>
            <w:r>
              <w:rPr>
                <w:rFonts w:hint="default" w:ascii="宋体" w:hAnsi="宋体" w:cs="宋体"/>
                <w:sz w:val="24"/>
                <w:szCs w:val="24"/>
              </w:rPr>
              <w:t>3</w:t>
            </w:r>
          </w:p>
        </w:tc>
        <w:tc>
          <w:tcPr>
            <w:tcW w:w="7825" w:type="dxa"/>
            <w:vAlign w:val="center"/>
          </w:tcPr>
          <w:p w14:paraId="72F932CB">
            <w:pPr>
              <w:spacing w:beforeLines="0" w:afterLines="0" w:line="440" w:lineRule="exact"/>
              <w:jc w:val="left"/>
              <w:rPr>
                <w:rFonts w:hint="eastAsia" w:ascii="宋体" w:hAnsi="宋体" w:cs="宋体"/>
                <w:color w:val="auto"/>
                <w:sz w:val="24"/>
                <w:szCs w:val="24"/>
                <w:highlight w:val="none"/>
                <w:lang w:eastAsia="zh-CN"/>
              </w:rPr>
            </w:pPr>
            <w:r>
              <w:rPr>
                <w:rFonts w:hint="default" w:ascii="宋体" w:hAnsi="宋体" w:cs="宋体"/>
                <w:color w:val="auto"/>
                <w:sz w:val="24"/>
                <w:szCs w:val="24"/>
                <w:highlight w:val="none"/>
              </w:rPr>
              <w:t>根据供应商提供自2022年1月1日至本项目响应截止时间止所完成的同类项目经验进行打分：每提供一项合格业绩得1分，满分3分</w:t>
            </w:r>
            <w:r>
              <w:rPr>
                <w:rFonts w:hint="eastAsia" w:ascii="宋体" w:hAnsi="宋体" w:cs="宋体"/>
                <w:color w:val="auto"/>
                <w:sz w:val="24"/>
                <w:szCs w:val="24"/>
                <w:highlight w:val="none"/>
                <w:lang w:eastAsia="zh-CN"/>
              </w:rPr>
              <w:t>。</w:t>
            </w:r>
          </w:p>
          <w:p w14:paraId="3806F8A8">
            <w:pPr>
              <w:spacing w:beforeLines="0" w:afterLines="0" w:line="440" w:lineRule="exact"/>
              <w:jc w:val="left"/>
              <w:rPr>
                <w:rFonts w:asciiTheme="minorEastAsia" w:hAnsiTheme="minorEastAsia" w:eastAsiaTheme="minorEastAsia" w:cstheme="minorBidi"/>
                <w:kern w:val="0"/>
                <w:sz w:val="24"/>
                <w:szCs w:val="24"/>
                <w:highlight w:val="none"/>
              </w:rPr>
            </w:pPr>
            <w:r>
              <w:rPr>
                <w:rFonts w:hint="eastAsia" w:ascii="宋体" w:hAnsi="宋体" w:cs="宋体"/>
                <w:color w:val="auto"/>
                <w:sz w:val="24"/>
                <w:szCs w:val="24"/>
                <w:highlight w:val="none"/>
                <w:lang w:eastAsia="zh-CN"/>
              </w:rPr>
              <w:t>注：</w:t>
            </w:r>
            <w:r>
              <w:rPr>
                <w:rFonts w:hint="default" w:ascii="宋体" w:hAnsi="宋体" w:cs="宋体"/>
                <w:color w:val="auto"/>
                <w:sz w:val="24"/>
                <w:szCs w:val="24"/>
                <w:highlight w:val="none"/>
              </w:rPr>
              <w:t>须提供该业绩项目的中标/成交公告[提供相关网站中标公告/成交的下载网页并注明网址]、中标/成交通知书复印件、合同复印件，以及能够证明该业绩项目已经采购人验收合格的相关证明文件复印件加盖供应商公章，所有材料缺一不可，否则不得分。（业绩与业主满意度同一项不得分）</w:t>
            </w:r>
          </w:p>
        </w:tc>
      </w:tr>
      <w:tr w14:paraId="353B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4" w:type="dxa"/>
            <w:vAlign w:val="center"/>
          </w:tcPr>
          <w:p w14:paraId="28262739">
            <w:pPr>
              <w:spacing w:beforeLines="0" w:afterLines="0" w:line="440" w:lineRule="exact"/>
              <w:jc w:val="center"/>
              <w:rPr>
                <w:rFonts w:hint="default" w:asciiTheme="minorEastAsia" w:hAnsiTheme="minorEastAsia"/>
                <w:sz w:val="24"/>
                <w:szCs w:val="24"/>
                <w:highlight w:val="none"/>
              </w:rPr>
            </w:pPr>
            <w:r>
              <w:rPr>
                <w:rFonts w:hint="default" w:ascii="宋体" w:hAnsi="宋体" w:cs="宋体"/>
                <w:sz w:val="24"/>
                <w:szCs w:val="24"/>
                <w:highlight w:val="none"/>
              </w:rPr>
              <w:t>4、重大安全事故承诺</w:t>
            </w:r>
          </w:p>
        </w:tc>
        <w:tc>
          <w:tcPr>
            <w:tcW w:w="709" w:type="dxa"/>
            <w:vAlign w:val="center"/>
          </w:tcPr>
          <w:p w14:paraId="41E1E489">
            <w:pPr>
              <w:spacing w:beforeLines="0" w:afterLines="0" w:line="440" w:lineRule="exact"/>
              <w:jc w:val="center"/>
              <w:rPr>
                <w:rFonts w:hint="eastAsia" w:eastAsia="宋体" w:asciiTheme="minorEastAsia" w:hAnsiTheme="minorEastAsia"/>
                <w:sz w:val="24"/>
                <w:szCs w:val="24"/>
                <w:highlight w:val="none"/>
                <w:lang w:eastAsia="zh-CN"/>
              </w:rPr>
            </w:pPr>
            <w:r>
              <w:rPr>
                <w:rFonts w:hint="eastAsia" w:ascii="宋体" w:hAnsi="宋体" w:cs="宋体"/>
                <w:sz w:val="24"/>
                <w:szCs w:val="24"/>
                <w:highlight w:val="none"/>
                <w:lang w:val="en-US" w:eastAsia="zh-CN"/>
              </w:rPr>
              <w:t>1</w:t>
            </w:r>
          </w:p>
        </w:tc>
        <w:tc>
          <w:tcPr>
            <w:tcW w:w="7825" w:type="dxa"/>
            <w:vAlign w:val="center"/>
          </w:tcPr>
          <w:p w14:paraId="3772869E">
            <w:pPr>
              <w:spacing w:beforeLines="0" w:afterLines="0" w:line="440" w:lineRule="exact"/>
              <w:jc w:val="left"/>
              <w:rPr>
                <w:rFonts w:hint="eastAsia" w:ascii="宋体" w:hAnsi="宋体" w:cs="宋体"/>
                <w:sz w:val="24"/>
                <w:szCs w:val="24"/>
                <w:highlight w:val="none"/>
                <w:lang w:eastAsia="zh-CN"/>
              </w:rPr>
            </w:pPr>
            <w:r>
              <w:rPr>
                <w:rFonts w:hint="default" w:ascii="宋体" w:hAnsi="宋体" w:cs="宋体"/>
                <w:sz w:val="24"/>
                <w:szCs w:val="24"/>
                <w:highlight w:val="none"/>
              </w:rPr>
              <w:t>根据供应商自</w:t>
            </w:r>
            <w:r>
              <w:rPr>
                <w:rFonts w:hint="eastAsia" w:ascii="宋体" w:hAnsi="宋体" w:cs="宋体"/>
                <w:sz w:val="24"/>
                <w:szCs w:val="24"/>
                <w:highlight w:val="none"/>
                <w:lang w:val="en-US" w:eastAsia="zh-CN"/>
              </w:rPr>
              <w:t>2022</w:t>
            </w:r>
            <w:r>
              <w:rPr>
                <w:rFonts w:hint="default" w:ascii="宋体" w:hAnsi="宋体" w:cs="宋体"/>
                <w:sz w:val="24"/>
                <w:szCs w:val="24"/>
                <w:highlight w:val="none"/>
              </w:rPr>
              <w:t>年1月1日至响应截止时间止，服务过程中未发生过重大安全事故的得</w:t>
            </w:r>
            <w:r>
              <w:rPr>
                <w:rFonts w:hint="eastAsia" w:ascii="宋体" w:hAnsi="宋体" w:cs="宋体"/>
                <w:sz w:val="24"/>
                <w:szCs w:val="24"/>
                <w:highlight w:val="none"/>
                <w:lang w:val="en-US" w:eastAsia="zh-CN"/>
              </w:rPr>
              <w:t>1</w:t>
            </w:r>
            <w:r>
              <w:rPr>
                <w:rFonts w:hint="default" w:ascii="宋体" w:hAnsi="宋体" w:cs="宋体"/>
                <w:sz w:val="24"/>
                <w:szCs w:val="24"/>
                <w:highlight w:val="none"/>
              </w:rPr>
              <w:t>分，满分</w:t>
            </w:r>
            <w:r>
              <w:rPr>
                <w:rFonts w:hint="eastAsia" w:ascii="宋体" w:hAnsi="宋体" w:cs="宋体"/>
                <w:sz w:val="24"/>
                <w:szCs w:val="24"/>
                <w:highlight w:val="none"/>
                <w:lang w:val="en-US" w:eastAsia="zh-CN"/>
              </w:rPr>
              <w:t>1</w:t>
            </w:r>
            <w:r>
              <w:rPr>
                <w:rFonts w:hint="default" w:ascii="宋体" w:hAnsi="宋体" w:cs="宋体"/>
                <w:sz w:val="24"/>
                <w:szCs w:val="24"/>
                <w:highlight w:val="none"/>
              </w:rPr>
              <w:t>分</w:t>
            </w:r>
            <w:r>
              <w:rPr>
                <w:rFonts w:hint="eastAsia" w:ascii="宋体" w:hAnsi="宋体" w:cs="宋体"/>
                <w:sz w:val="24"/>
                <w:szCs w:val="24"/>
                <w:highlight w:val="none"/>
                <w:lang w:eastAsia="zh-CN"/>
              </w:rPr>
              <w:t>。</w:t>
            </w:r>
          </w:p>
          <w:p w14:paraId="25CC48C8">
            <w:pPr>
              <w:spacing w:beforeLines="0" w:afterLines="0" w:line="440" w:lineRule="exact"/>
              <w:jc w:val="left"/>
              <w:rPr>
                <w:rFonts w:hint="default" w:asciiTheme="minorEastAsia" w:hAnsiTheme="minorEastAsia"/>
                <w:sz w:val="24"/>
                <w:szCs w:val="24"/>
                <w:highlight w:val="none"/>
              </w:rPr>
            </w:pPr>
            <w:r>
              <w:rPr>
                <w:rFonts w:hint="eastAsia" w:ascii="宋体" w:hAnsi="宋体" w:cs="宋体"/>
                <w:sz w:val="24"/>
                <w:szCs w:val="24"/>
                <w:highlight w:val="none"/>
                <w:lang w:eastAsia="zh-CN"/>
              </w:rPr>
              <w:t>注：</w:t>
            </w:r>
            <w:r>
              <w:rPr>
                <w:rFonts w:hint="default" w:ascii="宋体" w:hAnsi="宋体" w:cs="宋体"/>
                <w:sz w:val="24"/>
                <w:szCs w:val="24"/>
                <w:highlight w:val="none"/>
              </w:rPr>
              <w:t>须针对以上内容提供专项承诺函（格式自拟），未提供的不得分</w:t>
            </w:r>
            <w:r>
              <w:rPr>
                <w:rFonts w:hint="eastAsia" w:ascii="宋体" w:hAnsi="宋体" w:cs="宋体"/>
                <w:sz w:val="24"/>
                <w:szCs w:val="24"/>
                <w:highlight w:val="none"/>
                <w:lang w:eastAsia="zh-CN"/>
              </w:rPr>
              <w:t>。</w:t>
            </w:r>
          </w:p>
        </w:tc>
      </w:tr>
    </w:tbl>
    <w:p w14:paraId="37866205">
      <w:pPr>
        <w:widowControl/>
        <w:spacing w:line="400" w:lineRule="exact"/>
        <w:jc w:val="left"/>
        <w:rPr>
          <w:rFonts w:cs="宋体" w:asciiTheme="minorEastAsia" w:hAnsiTheme="minorEastAsia" w:eastAsiaTheme="minorEastAsia"/>
          <w:b/>
          <w:bCs/>
          <w:kern w:val="0"/>
          <w:sz w:val="24"/>
          <w:szCs w:val="24"/>
          <w:highlight w:val="none"/>
        </w:rPr>
      </w:pPr>
      <w:r>
        <w:rPr>
          <w:rFonts w:cs="宋体" w:asciiTheme="minorEastAsia" w:hAnsiTheme="minorEastAsia" w:eastAsiaTheme="minorEastAsia"/>
          <w:b/>
          <w:bCs/>
          <w:kern w:val="0"/>
          <w:sz w:val="24"/>
          <w:szCs w:val="24"/>
          <w:highlight w:val="none"/>
        </w:rPr>
        <w:t>（三）报价部分评分C                       满分</w:t>
      </w:r>
      <w:r>
        <w:rPr>
          <w:rFonts w:hint="eastAsia" w:cs="宋体" w:asciiTheme="minorEastAsia" w:hAnsiTheme="minorEastAsia" w:eastAsiaTheme="minorEastAsia"/>
          <w:b/>
          <w:bCs/>
          <w:kern w:val="0"/>
          <w:sz w:val="24"/>
          <w:szCs w:val="24"/>
          <w:highlight w:val="none"/>
          <w:u w:val="single"/>
          <w:lang w:val="en-US" w:eastAsia="zh-CN"/>
        </w:rPr>
        <w:t>30</w:t>
      </w:r>
      <w:r>
        <w:rPr>
          <w:rFonts w:cs="宋体" w:asciiTheme="minorEastAsia" w:hAnsiTheme="minorEastAsia" w:eastAsiaTheme="minorEastAsia"/>
          <w:b/>
          <w:bCs/>
          <w:kern w:val="0"/>
          <w:sz w:val="24"/>
          <w:szCs w:val="24"/>
          <w:highlight w:val="none"/>
        </w:rPr>
        <w:t>分</w:t>
      </w:r>
    </w:p>
    <w:p w14:paraId="35615591">
      <w:pPr>
        <w:pStyle w:val="142"/>
        <w:rPr>
          <w:rFonts w:hint="default" w:asciiTheme="minorEastAsia" w:hAnsiTheme="minorEastAsia"/>
          <w:sz w:val="24"/>
          <w:szCs w:val="24"/>
        </w:rPr>
      </w:pPr>
      <w:r>
        <w:rPr>
          <w:rFonts w:asciiTheme="minorEastAsia" w:hAnsiTheme="minorEastAsia"/>
          <w:sz w:val="24"/>
          <w:szCs w:val="24"/>
          <w:highlight w:val="none"/>
        </w:rPr>
        <w:t>a.价格分采用低价优先法计算，即满足磋商文件要求且最后报</w:t>
      </w:r>
      <w:r>
        <w:rPr>
          <w:rFonts w:asciiTheme="minorEastAsia" w:hAnsiTheme="minorEastAsia"/>
          <w:sz w:val="24"/>
          <w:szCs w:val="24"/>
        </w:rPr>
        <w:t>价最低的供应商的价格为磋商基准价，其价格分为满分。其他供应商的价格分统一按照下列公式计算：磋商报价得分=（磋商基准价／最后磋商报价）×价格权值×100。</w:t>
      </w:r>
    </w:p>
    <w:p w14:paraId="61F033DA">
      <w:pPr>
        <w:tabs>
          <w:tab w:val="left" w:pos="3510"/>
          <w:tab w:val="center" w:pos="4683"/>
        </w:tabs>
        <w:spacing w:line="460" w:lineRule="exact"/>
        <w:jc w:val="center"/>
        <w:outlineLvl w:val="1"/>
        <w:rPr>
          <w:rFonts w:cs="宋体" w:asciiTheme="minorEastAsia" w:hAnsiTheme="minorEastAsia" w:eastAsiaTheme="minorEastAsia"/>
          <w:b/>
          <w:sz w:val="24"/>
          <w:szCs w:val="24"/>
        </w:rPr>
      </w:pPr>
      <w:bookmarkStart w:id="9" w:name="_Toc164434224"/>
      <w:r>
        <w:rPr>
          <w:rFonts w:hint="eastAsia" w:cs="宋体" w:asciiTheme="minorEastAsia" w:hAnsiTheme="minorEastAsia" w:eastAsiaTheme="minorEastAsia"/>
          <w:b/>
          <w:sz w:val="24"/>
          <w:szCs w:val="24"/>
        </w:rPr>
        <w:t>一、说明</w:t>
      </w:r>
      <w:bookmarkEnd w:id="7"/>
      <w:bookmarkEnd w:id="9"/>
    </w:p>
    <w:p w14:paraId="5F7F5E04">
      <w:pPr>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 适用范围</w:t>
      </w:r>
    </w:p>
    <w:p w14:paraId="7518A736">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本磋商文件仅适用于磋商邀请中所叙述项目的货物及服务采购。</w:t>
      </w:r>
    </w:p>
    <w:p w14:paraId="564F4B7B">
      <w:pPr>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2. 定义</w:t>
      </w:r>
    </w:p>
    <w:p w14:paraId="77CFAB7A">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 “采购人”系指本次采购项目的业主方。</w:t>
      </w:r>
    </w:p>
    <w:p w14:paraId="3B17A53D">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 “代理机构”系指本次磋商采购项目活动组织方。</w:t>
      </w:r>
    </w:p>
    <w:p w14:paraId="02714565">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 “供应商”系指购买了本磋商文件，且已经提交或者准备提交本次响应文件的制造商或供货商。</w:t>
      </w:r>
    </w:p>
    <w:p w14:paraId="66D656D3">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2.4 “货物”系指供应商按磋商文件规定向采购人提供的一切货物、备品备件、工具及其</w:t>
      </w:r>
      <w:r>
        <w:rPr>
          <w:rFonts w:hint="eastAsia" w:cs="宋体" w:asciiTheme="minorEastAsia" w:hAnsiTheme="minorEastAsia" w:eastAsiaTheme="minorEastAsia"/>
          <w:sz w:val="24"/>
          <w:szCs w:val="24"/>
          <w:lang w:val="en-US" w:eastAsia="zh-CN"/>
        </w:rPr>
        <w:t>他</w:t>
      </w:r>
      <w:r>
        <w:rPr>
          <w:rFonts w:hint="eastAsia" w:cs="宋体" w:asciiTheme="minorEastAsia" w:hAnsiTheme="minorEastAsia" w:eastAsiaTheme="minorEastAsia"/>
          <w:sz w:val="24"/>
          <w:szCs w:val="24"/>
        </w:rPr>
        <w:t>有关技术资料和材料。</w:t>
      </w:r>
    </w:p>
    <w:p w14:paraId="48C4D739">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2.5 “服务”系指磋商文件规定供应商须承担的调试、技术协助、校准</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以及其他类似的义务。</w:t>
      </w:r>
    </w:p>
    <w:p w14:paraId="2EDC706F">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2.6</w:t>
      </w:r>
      <w:r>
        <w:rPr>
          <w:rFonts w:cs="宋体" w:asciiTheme="minorEastAsia" w:hAnsiTheme="minorEastAsia" w:eastAsiaTheme="minorEastAsia"/>
          <w:sz w:val="24"/>
          <w:szCs w:val="24"/>
        </w:rPr>
        <w:t>“单位负责人”指单位法定代表人（供应商为法人的）或法律、法规规定代表单位行使职权的主要负责人（供应商为其他组织的）。</w:t>
      </w:r>
    </w:p>
    <w:p w14:paraId="0D30D58D">
      <w:pPr>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3. 合格的供应商</w:t>
      </w:r>
    </w:p>
    <w:p w14:paraId="5FF8A053">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 供应商应符合供应商须知前附表第2项所规定的资格标准条件。</w:t>
      </w:r>
    </w:p>
    <w:p w14:paraId="2170464B">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 供应商应遵守中国的有关法律、法规和规章的规定。</w:t>
      </w:r>
    </w:p>
    <w:p w14:paraId="75202C18">
      <w:pPr>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 供应商不得与本次磋商项下设计、编制技术规格和其它文件的公司或提供咨询服务的公司包括其附属机构有任何关联。</w:t>
      </w:r>
    </w:p>
    <w:p w14:paraId="7B57FF38">
      <w:pPr>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3.4 一个供应商只能提交一个响应文件。但如果供应商之间存在下列互为关联关系的情形之一的，不得同时参加本项目磋商：</w:t>
      </w:r>
    </w:p>
    <w:p w14:paraId="3940D4ED">
      <w:pPr>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（1）单位负责人为同一人的两个及两个以上法人；</w:t>
      </w:r>
    </w:p>
    <w:p w14:paraId="23557AF9">
      <w:pPr>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（2）母公司、直接或间接持股50％及以上的被投资公司;</w:t>
      </w:r>
    </w:p>
    <w:p w14:paraId="2D46E1F8">
      <w:pPr>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（3）均为同一家母公司直接或间接持股50％及以上的被投资公司。</w:t>
      </w:r>
    </w:p>
    <w:p w14:paraId="6D197927">
      <w:pPr>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 磋商代理人在同一个项目中只能接受一个供应商的委托参加磋商。</w:t>
      </w:r>
    </w:p>
    <w:p w14:paraId="40B709D9">
      <w:pPr>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 参加政府采购活动前三年内，在经营活动中没有重大违法记录。</w:t>
      </w:r>
    </w:p>
    <w:p w14:paraId="2AC4AA20">
      <w:pPr>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 供应商应具备《中华人民共和国政府采购法》第二十二条规定的条件。</w:t>
      </w:r>
    </w:p>
    <w:p w14:paraId="0410DDD2">
      <w:pPr>
        <w:keepNext/>
        <w:keepLines/>
        <w:spacing w:line="460" w:lineRule="exact"/>
        <w:rPr>
          <w:rFonts w:cs="宋体" w:asciiTheme="minorEastAsia" w:hAnsiTheme="minorEastAsia" w:eastAsiaTheme="minorEastAsia"/>
          <w:bCs/>
          <w:sz w:val="24"/>
          <w:szCs w:val="24"/>
        </w:rPr>
      </w:pPr>
      <w:bookmarkStart w:id="10" w:name="_Toc11856730"/>
      <w:bookmarkStart w:id="11" w:name="_Toc9583042"/>
      <w:bookmarkStart w:id="12" w:name="_Toc515374024"/>
      <w:bookmarkStart w:id="13" w:name="_Toc13671291"/>
      <w:bookmarkStart w:id="14" w:name="_Toc497847622"/>
      <w:r>
        <w:rPr>
          <w:rFonts w:hint="eastAsia" w:cs="宋体" w:asciiTheme="minorEastAsia" w:hAnsiTheme="minorEastAsia" w:eastAsiaTheme="minorEastAsia"/>
          <w:bCs/>
          <w:sz w:val="24"/>
          <w:szCs w:val="24"/>
        </w:rPr>
        <w:t>注：供应商有责任对以上3.3和3.4的情形做出专项声明，否则将视为响应无效。</w:t>
      </w:r>
    </w:p>
    <w:p w14:paraId="208CC8D8">
      <w:pPr>
        <w:keepNext/>
        <w:keepLines/>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4. 登记报名</w:t>
      </w:r>
      <w:bookmarkEnd w:id="10"/>
      <w:bookmarkEnd w:id="11"/>
      <w:bookmarkEnd w:id="12"/>
      <w:bookmarkEnd w:id="13"/>
      <w:bookmarkEnd w:id="14"/>
    </w:p>
    <w:p w14:paraId="0E51301A">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供应商应当从采购代理机构合法获得本项目的磋商文件并登记报名，否则提出的质疑或提交的响应文件将被拒收。</w:t>
      </w:r>
    </w:p>
    <w:p w14:paraId="1E095349">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5. 磋商费用</w:t>
      </w:r>
    </w:p>
    <w:p w14:paraId="63CFA747">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供应商自行承担其参加磋商所涉及的一切费用。</w:t>
      </w:r>
      <w:bookmarkStart w:id="15" w:name="_Toc421107723"/>
    </w:p>
    <w:p w14:paraId="5ED569D9">
      <w:pPr>
        <w:spacing w:line="460" w:lineRule="exact"/>
        <w:ind w:firstLine="480" w:firstLineChars="200"/>
        <w:rPr>
          <w:rFonts w:cs="宋体" w:asciiTheme="minorEastAsia" w:hAnsiTheme="minorEastAsia" w:eastAsiaTheme="minorEastAsia"/>
          <w:sz w:val="24"/>
          <w:szCs w:val="24"/>
        </w:rPr>
      </w:pPr>
    </w:p>
    <w:p w14:paraId="79A91270">
      <w:pPr>
        <w:pStyle w:val="82"/>
        <w:spacing w:line="460" w:lineRule="exact"/>
        <w:jc w:val="center"/>
        <w:outlineLvl w:val="1"/>
        <w:rPr>
          <w:rFonts w:cs="宋体" w:asciiTheme="minorEastAsia" w:hAnsiTheme="minorEastAsia" w:eastAsiaTheme="minorEastAsia"/>
          <w:b/>
          <w:sz w:val="24"/>
          <w:szCs w:val="24"/>
        </w:rPr>
      </w:pPr>
      <w:bookmarkStart w:id="16" w:name="_Toc40878894"/>
      <w:bookmarkStart w:id="17" w:name="_Toc164434225"/>
      <w:r>
        <w:rPr>
          <w:rFonts w:hint="eastAsia" w:cs="宋体" w:asciiTheme="minorEastAsia" w:hAnsiTheme="minorEastAsia" w:eastAsiaTheme="minorEastAsia"/>
          <w:b/>
          <w:bCs/>
          <w:sz w:val="24"/>
          <w:szCs w:val="24"/>
        </w:rPr>
        <w:t>二、磋商文件</w:t>
      </w:r>
      <w:bookmarkEnd w:id="15"/>
      <w:bookmarkEnd w:id="16"/>
      <w:bookmarkEnd w:id="17"/>
    </w:p>
    <w:p w14:paraId="5806EBC7">
      <w:pPr>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6. 磋商文件的组成</w:t>
      </w:r>
    </w:p>
    <w:p w14:paraId="78C4C352">
      <w:pPr>
        <w:pStyle w:val="6"/>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磋商文件用以阐明所需货物及服务磋商程序和合同主要条款。磋商文件由下述部分组成：</w:t>
      </w:r>
    </w:p>
    <w:p w14:paraId="40AA3DA3">
      <w:pPr>
        <w:pStyle w:val="6"/>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（1）磋商邀请</w:t>
      </w:r>
    </w:p>
    <w:p w14:paraId="37CBDA23">
      <w:pPr>
        <w:pStyle w:val="6"/>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（2）供应商须知 </w:t>
      </w:r>
    </w:p>
    <w:p w14:paraId="27B749BC">
      <w:pPr>
        <w:pStyle w:val="6"/>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（3）磋商内容及要求</w:t>
      </w:r>
    </w:p>
    <w:p w14:paraId="62B19C7C">
      <w:pPr>
        <w:pStyle w:val="6"/>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w:t>
      </w:r>
      <w:r>
        <w:rPr>
          <w:rFonts w:hint="eastAsia" w:cs="宋体" w:asciiTheme="minorEastAsia" w:hAnsiTheme="minorEastAsia" w:eastAsiaTheme="minorEastAsia"/>
          <w:bCs/>
          <w:sz w:val="24"/>
          <w:szCs w:val="24"/>
        </w:rPr>
        <w:t>政府采购合同（参考文本）</w:t>
      </w:r>
    </w:p>
    <w:p w14:paraId="1D1A6BE5">
      <w:pPr>
        <w:pStyle w:val="6"/>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（5）首次响应文件格式</w:t>
      </w:r>
    </w:p>
    <w:p w14:paraId="256A1823">
      <w:pPr>
        <w:keepNext/>
        <w:keepLines/>
        <w:spacing w:line="460" w:lineRule="exact"/>
        <w:rPr>
          <w:rFonts w:cs="宋体" w:asciiTheme="minorEastAsia" w:hAnsiTheme="minorEastAsia" w:eastAsiaTheme="minorEastAsia"/>
          <w:b/>
          <w:sz w:val="24"/>
          <w:szCs w:val="24"/>
        </w:rPr>
      </w:pPr>
      <w:bookmarkStart w:id="18" w:name="_Toc11856733"/>
      <w:bookmarkStart w:id="19" w:name="_Toc9583045"/>
      <w:bookmarkStart w:id="20" w:name="_Toc497847626"/>
      <w:bookmarkStart w:id="21" w:name="_Toc515374028"/>
      <w:bookmarkStart w:id="22" w:name="_Toc13671295"/>
      <w:bookmarkStart w:id="23" w:name="_Toc421107724"/>
      <w:r>
        <w:rPr>
          <w:rFonts w:hint="eastAsia" w:cs="宋体" w:asciiTheme="minorEastAsia" w:hAnsiTheme="minorEastAsia" w:eastAsiaTheme="minorEastAsia"/>
          <w:b/>
          <w:sz w:val="24"/>
          <w:szCs w:val="24"/>
        </w:rPr>
        <w:t>7. 磋商文件的澄清或者修改</w:t>
      </w:r>
      <w:bookmarkEnd w:id="18"/>
      <w:bookmarkEnd w:id="19"/>
      <w:bookmarkEnd w:id="20"/>
      <w:bookmarkEnd w:id="21"/>
      <w:bookmarkEnd w:id="22"/>
    </w:p>
    <w:p w14:paraId="50E2D3C7">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7.</w:t>
      </w:r>
      <w:r>
        <w:rPr>
          <w:rFonts w:hint="eastAsia" w:cs="宋体" w:asciiTheme="minorEastAsia" w:hAnsiTheme="minorEastAsia" w:eastAsiaTheme="minorEastAsia"/>
          <w:sz w:val="24"/>
          <w:szCs w:val="24"/>
        </w:rPr>
        <w:t>1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1FC93914">
      <w:pPr>
        <w:spacing w:line="460" w:lineRule="exact"/>
        <w:ind w:firstLine="480" w:firstLineChars="200"/>
        <w:rPr>
          <w:rFonts w:cs="宋体" w:asciiTheme="minorEastAsia" w:hAnsiTheme="minorEastAsia" w:eastAsiaTheme="minorEastAsia"/>
          <w:sz w:val="24"/>
          <w:szCs w:val="24"/>
        </w:rPr>
      </w:pPr>
    </w:p>
    <w:p w14:paraId="2ED6ACE0">
      <w:pPr>
        <w:spacing w:line="460" w:lineRule="exact"/>
        <w:jc w:val="center"/>
        <w:outlineLvl w:val="1"/>
        <w:rPr>
          <w:rFonts w:cs="宋体" w:asciiTheme="minorEastAsia" w:hAnsiTheme="minorEastAsia" w:eastAsiaTheme="minorEastAsia"/>
          <w:b/>
          <w:sz w:val="24"/>
          <w:szCs w:val="24"/>
        </w:rPr>
      </w:pPr>
      <w:bookmarkStart w:id="24" w:name="_Toc164434226"/>
      <w:r>
        <w:rPr>
          <w:rFonts w:hint="eastAsia" w:cs="宋体" w:asciiTheme="minorEastAsia" w:hAnsiTheme="minorEastAsia" w:eastAsiaTheme="minorEastAsia"/>
          <w:b/>
          <w:sz w:val="24"/>
          <w:szCs w:val="24"/>
        </w:rPr>
        <w:t>三、响应文件的编写</w:t>
      </w:r>
      <w:bookmarkEnd w:id="23"/>
      <w:bookmarkEnd w:id="24"/>
    </w:p>
    <w:p w14:paraId="3AB104CA">
      <w:pPr>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8. 要求</w:t>
      </w:r>
    </w:p>
    <w:p w14:paraId="4381C017">
      <w:pPr>
        <w:spacing w:line="460" w:lineRule="exact"/>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供应商应仔细阅读磋商文件的所有内容，按照磋商文件的要求提交首次响应文件。响应文件应对磋商文件的要求做出实质性响应，并保证所提供的全部资料的真实性，否则其响应文件将被拒绝。</w:t>
      </w:r>
    </w:p>
    <w:p w14:paraId="3B99E56D">
      <w:pPr>
        <w:numPr>
          <w:ilvl w:val="0"/>
          <w:numId w:val="2"/>
        </w:numPr>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响应文件语言</w:t>
      </w:r>
    </w:p>
    <w:p w14:paraId="5DD70661">
      <w:pPr>
        <w:pStyle w:val="6"/>
        <w:ind w:firstLine="480" w:firstLineChars="200"/>
        <w:rPr>
          <w:rFonts w:asciiTheme="minorEastAsia" w:hAnsiTheme="minorEastAsia"/>
          <w:sz w:val="24"/>
          <w:szCs w:val="24"/>
        </w:rPr>
      </w:pPr>
      <w:r>
        <w:rPr>
          <w:rFonts w:hint="eastAsia" w:asciiTheme="minorEastAsia" w:hAnsiTheme="minorEastAsia"/>
          <w:sz w:val="24"/>
          <w:szCs w:val="24"/>
        </w:rPr>
        <w:t>除非竞争性磋商须知前附表另有规定外，供应商提供的响应文件应使用中文文本，若有不同文字文本，以中文文本为准。</w:t>
      </w:r>
    </w:p>
    <w:p w14:paraId="30B36875">
      <w:pPr>
        <w:spacing w:line="460" w:lineRule="exact"/>
        <w:ind w:firstLine="480" w:firstLineChars="200"/>
        <w:rPr>
          <w:rFonts w:cs="宋体" w:asciiTheme="minorEastAsia" w:hAnsiTheme="minorEastAsia" w:eastAsiaTheme="minorEastAsia"/>
          <w:sz w:val="24"/>
          <w:szCs w:val="24"/>
        </w:rPr>
      </w:pPr>
      <w:r>
        <w:rPr>
          <w:rFonts w:asciiTheme="minorEastAsia" w:hAnsiTheme="minorEastAsia"/>
          <w:sz w:val="24"/>
          <w:szCs w:val="24"/>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B72FDDE">
      <w:pPr>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10. 响应文件的组成</w:t>
      </w:r>
    </w:p>
    <w:p w14:paraId="2AF8A4F0">
      <w:pPr>
        <w:tabs>
          <w:tab w:val="left" w:pos="360"/>
        </w:tabs>
        <w:spacing w:line="460" w:lineRule="exact"/>
        <w:ind w:firstLine="470" w:firstLineChars="196"/>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详见第五章 首次响应文件格式</w:t>
      </w:r>
    </w:p>
    <w:p w14:paraId="0A03A0CD">
      <w:pPr>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11. 磋商有效期</w:t>
      </w:r>
    </w:p>
    <w:p w14:paraId="1E0A7F5E">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 响应文件从</w:t>
      </w:r>
      <w:r>
        <w:rPr>
          <w:rFonts w:hint="eastAsia" w:cs="宋体" w:asciiTheme="minorEastAsia" w:hAnsiTheme="minorEastAsia" w:eastAsiaTheme="minorEastAsia"/>
          <w:bCs/>
          <w:sz w:val="24"/>
          <w:szCs w:val="24"/>
        </w:rPr>
        <w:t>供应商须知前附表</w:t>
      </w:r>
      <w:r>
        <w:rPr>
          <w:rFonts w:hint="eastAsia" w:cs="宋体" w:asciiTheme="minorEastAsia" w:hAnsiTheme="minorEastAsia" w:eastAsiaTheme="minorEastAsia"/>
          <w:sz w:val="24"/>
          <w:szCs w:val="24"/>
        </w:rPr>
        <w:t>第4项所规定的提交首次响应文件截止期之后开始生效，在</w:t>
      </w:r>
      <w:r>
        <w:rPr>
          <w:rFonts w:hint="eastAsia" w:cs="宋体" w:asciiTheme="minorEastAsia" w:hAnsiTheme="minorEastAsia" w:eastAsiaTheme="minorEastAsia"/>
          <w:bCs/>
          <w:sz w:val="24"/>
          <w:szCs w:val="24"/>
        </w:rPr>
        <w:t>供应商须知前附表</w:t>
      </w:r>
      <w:r>
        <w:rPr>
          <w:rFonts w:hint="eastAsia" w:cs="宋体" w:asciiTheme="minorEastAsia" w:hAnsiTheme="minorEastAsia" w:eastAsiaTheme="minorEastAsia"/>
          <w:sz w:val="24"/>
          <w:szCs w:val="24"/>
        </w:rPr>
        <w:t>第3项所规定的期限内保持有效。有效期不足将导致其响应文件被拒绝。</w:t>
      </w:r>
    </w:p>
    <w:p w14:paraId="5881499B">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 特殊情况下福建金桔项目管理有限公司可于磋商有效期满之前书面要求供应商同意延长有效期，供应商应在福建金桔项目管理有限公司规定的期限内以书面形式予以答复。供应商可以拒绝上述要求而其磋商保证金可按规定予以退还。供应商答复不明确或者逾期未答复的，均视为拒绝上述要求。对于接受该要求的供应商，既不要求也不允许其修改响应文件，但有关退还或不予退还磋商保证金的规定在磋商有效期延长期内继续有效。</w:t>
      </w:r>
    </w:p>
    <w:p w14:paraId="6EA4512A">
      <w:pPr>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12. 磋商保证金</w:t>
      </w:r>
    </w:p>
    <w:p w14:paraId="7F5FFFEB">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 磋商保证金为磋商文件的组成部分之一。</w:t>
      </w:r>
    </w:p>
    <w:p w14:paraId="53A231AE">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 供应商应在提交首次响应文件之前向福建金桔项目管理有限公司缴交供应商须知前附表第5项要求的磋商保证金。</w:t>
      </w:r>
    </w:p>
    <w:p w14:paraId="390B67C3">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12.3 磋商保证金用于保护本次磋商活动免受供应商的行为而引起的风险。</w:t>
      </w:r>
    </w:p>
    <w:p w14:paraId="7FF162FC">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12.4 保证金须以公司名义，以银行转账、电汇等非现金形式提交（不接受现金、现金存款方式）。</w:t>
      </w:r>
    </w:p>
    <w:p w14:paraId="72CA62CD">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12.5 未按规定缴交磋商保证金的响应文件，将被视为响应无效。</w:t>
      </w:r>
    </w:p>
    <w:p w14:paraId="435489B2">
      <w:pPr>
        <w:pStyle w:val="6"/>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12.6 福建金桔项目管理有限公司将在成交通知书发出后予以原额无息退还成交人以外的供应商的磋商保证金。未成交供应商应向福建金桔项目管理有限公司提供《退回保证金申请函》及开户许可证或基本账户信息复印件并加盖公章办理退还磋商保证金手续，否则造成磋商保证金的退还时间超过5个工作日的，采购代理机构不承担延后退还的责任。</w:t>
      </w:r>
    </w:p>
    <w:p w14:paraId="7CE6D8AE">
      <w:pPr>
        <w:pStyle w:val="6"/>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12.7 在成交人签订合同后5个工作日内，成交人的磋商保证金予以原额无息退还。成交人因自身原因耽搁采购合同的送达存档，造成磋商保证金的退还时间超过5个工作日的，采购代理机构不承担延后退还的责任。</w:t>
      </w:r>
    </w:p>
    <w:p w14:paraId="1FD3CB77">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12.8 发生以下情况之一的，磋商保证金将不予退还：</w:t>
      </w:r>
    </w:p>
    <w:p w14:paraId="7601C17E">
      <w:pPr>
        <w:pStyle w:val="6"/>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（1）成交人在提交首次响应文件截止期后，磋商有效期内撤回响应文件；</w:t>
      </w:r>
    </w:p>
    <w:p w14:paraId="10235E24">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（2）成交人未能做到按本须知第23条规定签订合同；</w:t>
      </w:r>
    </w:p>
    <w:p w14:paraId="6C11CAE4">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（3）成交人未按供应商须知前附表规定缴纳成交服务费；</w:t>
      </w:r>
    </w:p>
    <w:p w14:paraId="45B4EA71">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（4）以他人名义磋商或者以其他方式弄虚作假，骗取成交；</w:t>
      </w:r>
    </w:p>
    <w:p w14:paraId="6A09466E">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（5）本磋商文件中规定的其他没收磋商保证金的情形。</w:t>
      </w:r>
    </w:p>
    <w:p w14:paraId="2989B026">
      <w:pPr>
        <w:spacing w:line="460" w:lineRule="exact"/>
        <w:ind w:firstLine="720" w:firstLineChars="3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注：上述不予退还磋商保证金的情况给采购单位造成损失的，还要承担赔偿责任。</w:t>
      </w:r>
    </w:p>
    <w:p w14:paraId="70A4F586">
      <w:pPr>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13. 响应文件的编制</w:t>
      </w:r>
    </w:p>
    <w:p w14:paraId="48334A22">
      <w:pPr>
        <w:spacing w:line="460" w:lineRule="exact"/>
        <w:ind w:firstLine="602" w:firstLineChars="25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13.1 响应文件的装订：供应商须按本磋商文件中第五章要求规定的内容和顺序分别编制和单独装订响应文件，供应商必须将响应文件正本单册密封，全部副本密封在同一包装袋中。在响应文件封面上和密封袋上标明“正本”和“副本”。并按以下要求制作，否则视为响应无效：</w:t>
      </w:r>
    </w:p>
    <w:p w14:paraId="1673BEF5">
      <w:pPr>
        <w:spacing w:line="460" w:lineRule="exact"/>
        <w:ind w:firstLine="472" w:firstLineChars="196"/>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响应文件要求独立编制：响应文件正本一份，副本三份，分开包装。正本必须用A4幅面纸张打印，应编制封面、目录、页码。副本可采用签字盖章完正本的完整复印件。正、副本均须胶装（永久性、无破坏不可拆分）装订成册，逐页盖供应商单位公章并加盖骑缝章。封面须标明“正本”、“副本”字样。正本与副本如有不一致，则以正本为准。（请各供应商特别注意）</w:t>
      </w:r>
    </w:p>
    <w:p w14:paraId="7DF4A673">
      <w:pPr>
        <w:spacing w:line="460" w:lineRule="exact"/>
        <w:ind w:firstLine="472" w:firstLineChars="196"/>
        <w:rPr>
          <w:rFonts w:cs="宋体" w:asciiTheme="minorEastAsia" w:hAnsiTheme="minorEastAsia" w:eastAsiaTheme="minorEastAsia"/>
          <w:b/>
          <w:sz w:val="24"/>
          <w:szCs w:val="24"/>
        </w:rPr>
      </w:pPr>
      <w:r>
        <w:rPr>
          <w:rFonts w:hint="eastAsia" w:cs="宋体" w:asciiTheme="minorEastAsia" w:hAnsiTheme="minorEastAsia" w:eastAsiaTheme="minorEastAsia"/>
          <w:b/>
          <w:bCs/>
          <w:sz w:val="24"/>
          <w:szCs w:val="24"/>
        </w:rPr>
        <w:t>供应商在提交首次响应文件时，</w:t>
      </w:r>
      <w:r>
        <w:rPr>
          <w:rFonts w:hint="eastAsia" w:asciiTheme="minorEastAsia" w:hAnsiTheme="minorEastAsia" w:eastAsiaTheme="minorEastAsia" w:cstheme="minorEastAsia"/>
          <w:b/>
          <w:sz w:val="24"/>
          <w:szCs w:val="24"/>
        </w:rPr>
        <w:t>需提交电子文件1份（U盘保存响应文件正本的盖章扫描件）</w:t>
      </w:r>
      <w:r>
        <w:rPr>
          <w:rFonts w:hint="eastAsia" w:cs="宋体" w:asciiTheme="minorEastAsia" w:hAnsiTheme="minorEastAsia" w:eastAsiaTheme="minorEastAsia"/>
          <w:b/>
          <w:bCs/>
          <w:sz w:val="24"/>
          <w:szCs w:val="24"/>
        </w:rPr>
        <w:t>，其中所有文件不做压缩处理、不留密码，资质文件和证书等可用扫描以图片方式保存。</w:t>
      </w:r>
    </w:p>
    <w:p w14:paraId="7E11A1E7">
      <w:pPr>
        <w:spacing w:line="460" w:lineRule="exact"/>
        <w:ind w:left="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hint="eastAsia" w:cs="宋体" w:asciiTheme="minorEastAsia" w:hAnsiTheme="minorEastAsia" w:eastAsiaTheme="minorEastAsia"/>
          <w:b/>
          <w:sz w:val="24"/>
          <w:szCs w:val="24"/>
        </w:rPr>
        <w:t>未按以上规定编制装订者其响应文件将被视为响应无效。（请各供应商特别注意）</w:t>
      </w:r>
    </w:p>
    <w:p w14:paraId="5442AF5D">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 响应文件应由供应商的单位负责人或者其授权的代表签字，如由后者签字，应提供“单位负责人授权委托书”。</w:t>
      </w:r>
    </w:p>
    <w:p w14:paraId="1E151A55">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 除非有另外的规定或许可，报价货币为人民币。</w:t>
      </w:r>
    </w:p>
    <w:p w14:paraId="6E03F20E">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13.4 供应商应提交证明其提供材料符合磋商文件要求的技术响应文件，该文件可以是文字资料、图纸和数据，并须提供货物主要技术性能的详细描述。</w:t>
      </w:r>
    </w:p>
    <w:p w14:paraId="3EA32EEB">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13.5 响应文件的正本和全部副本均应使用不能擦去的墨料或墨水打印或复印，并由单位负责人或其授权代表签署，</w:t>
      </w:r>
      <w:r>
        <w:rPr>
          <w:rFonts w:hint="eastAsia" w:cs="宋体" w:asciiTheme="minorEastAsia" w:hAnsiTheme="minorEastAsia" w:eastAsiaTheme="minorEastAsia"/>
          <w:sz w:val="24"/>
          <w:szCs w:val="24"/>
          <w:lang w:val="en-US" w:eastAsia="zh-CN"/>
        </w:rPr>
        <w:t>加</w:t>
      </w:r>
      <w:r>
        <w:rPr>
          <w:rFonts w:hint="eastAsia" w:cs="宋体" w:asciiTheme="minorEastAsia" w:hAnsiTheme="minorEastAsia" w:eastAsiaTheme="minorEastAsia"/>
          <w:sz w:val="24"/>
          <w:szCs w:val="24"/>
        </w:rPr>
        <w:t>盖供应商公章。</w:t>
      </w:r>
    </w:p>
    <w:p w14:paraId="28BC556D">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13.6 未按本须知规定的格式填写响应文件、响应文件字迹模糊不清的，其响应文件被拒绝。</w:t>
      </w:r>
    </w:p>
    <w:p w14:paraId="51449076">
      <w:pPr>
        <w:spacing w:line="460" w:lineRule="exact"/>
        <w:ind w:left="1" w:firstLine="482" w:firstLineChars="2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13.7 所有证明文件复印件须注明“与原件一致”并加盖供应商公章，否则按无效响应处理。</w:t>
      </w:r>
    </w:p>
    <w:p w14:paraId="31493F4F">
      <w:pPr>
        <w:spacing w:line="460" w:lineRule="exact"/>
        <w:jc w:val="center"/>
        <w:rPr>
          <w:rFonts w:cs="宋体" w:asciiTheme="minorEastAsia" w:hAnsiTheme="minorEastAsia" w:eastAsiaTheme="minorEastAsia"/>
          <w:b/>
          <w:sz w:val="24"/>
          <w:szCs w:val="24"/>
        </w:rPr>
      </w:pPr>
      <w:bookmarkStart w:id="25" w:name="_Toc421107725"/>
    </w:p>
    <w:p w14:paraId="14D94779">
      <w:pPr>
        <w:spacing w:line="460" w:lineRule="exact"/>
        <w:jc w:val="center"/>
        <w:outlineLvl w:val="1"/>
        <w:rPr>
          <w:rFonts w:cs="宋体" w:asciiTheme="minorEastAsia" w:hAnsiTheme="minorEastAsia" w:eastAsiaTheme="minorEastAsia"/>
          <w:b/>
          <w:sz w:val="24"/>
          <w:szCs w:val="24"/>
        </w:rPr>
      </w:pPr>
      <w:bookmarkStart w:id="26" w:name="_Toc164434227"/>
      <w:r>
        <w:rPr>
          <w:rFonts w:hint="eastAsia" w:cs="宋体" w:asciiTheme="minorEastAsia" w:hAnsiTheme="minorEastAsia" w:eastAsiaTheme="minorEastAsia"/>
          <w:b/>
          <w:sz w:val="24"/>
          <w:szCs w:val="24"/>
        </w:rPr>
        <w:t>四、响应文件的提交</w:t>
      </w:r>
      <w:bookmarkEnd w:id="25"/>
      <w:bookmarkEnd w:id="26"/>
    </w:p>
    <w:p w14:paraId="0F041925">
      <w:pPr>
        <w:spacing w:line="460" w:lineRule="exact"/>
        <w:rPr>
          <w:rFonts w:cs="宋体" w:asciiTheme="minorEastAsia" w:hAnsiTheme="minorEastAsia" w:eastAsiaTheme="minorEastAsia"/>
          <w:b/>
          <w:sz w:val="24"/>
          <w:szCs w:val="24"/>
        </w:rPr>
      </w:pPr>
    </w:p>
    <w:p w14:paraId="35F5B59E">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 响应文件的密封、标记和提交</w:t>
      </w:r>
    </w:p>
    <w:p w14:paraId="52FE42A2">
      <w:pPr>
        <w:spacing w:line="460" w:lineRule="exact"/>
        <w:ind w:firstLine="42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w:t>
      </w:r>
      <w:r>
        <w:rPr>
          <w:rFonts w:cs="宋体" w:asciiTheme="minorEastAsia" w:hAnsiTheme="minorEastAsia" w:eastAsiaTheme="minorEastAsia"/>
          <w:sz w:val="24"/>
          <w:szCs w:val="24"/>
        </w:rPr>
        <w:t>响应文件正本和全部副本均应使用不能擦去的墨料或墨水打印或复印，副本可</w:t>
      </w:r>
      <w:r>
        <w:rPr>
          <w:rFonts w:hint="eastAsia" w:cs="宋体" w:asciiTheme="minorEastAsia" w:hAnsiTheme="minorEastAsia" w:eastAsiaTheme="minorEastAsia"/>
          <w:sz w:val="24"/>
          <w:szCs w:val="24"/>
        </w:rPr>
        <w:t>采</w:t>
      </w:r>
      <w:r>
        <w:rPr>
          <w:rFonts w:cs="宋体" w:asciiTheme="minorEastAsia" w:hAnsiTheme="minorEastAsia" w:eastAsiaTheme="minorEastAsia"/>
          <w:sz w:val="24"/>
          <w:szCs w:val="24"/>
        </w:rPr>
        <w:t>用正本的完整复印件。响应文件封面上应标明“正本</w:t>
      </w:r>
      <w:r>
        <w:rPr>
          <w:rFonts w:hint="eastAsia" w:cs="宋体" w:asciiTheme="minorEastAsia" w:hAnsiTheme="minorEastAsia" w:eastAsiaTheme="minorEastAsia"/>
          <w:sz w:val="24"/>
          <w:szCs w:val="24"/>
          <w:lang w:eastAsia="zh-CN"/>
        </w:rPr>
        <w:t>”“</w:t>
      </w:r>
      <w:r>
        <w:rPr>
          <w:rFonts w:cs="宋体" w:asciiTheme="minorEastAsia" w:hAnsiTheme="minorEastAsia" w:eastAsiaTheme="minorEastAsia"/>
          <w:sz w:val="24"/>
          <w:szCs w:val="24"/>
        </w:rPr>
        <w:t>副本”字样。正本与副本内容如有不一致，则以正本为准。</w:t>
      </w:r>
    </w:p>
    <w:p w14:paraId="61983D3C">
      <w:pPr>
        <w:spacing w:line="460" w:lineRule="exact"/>
        <w:ind w:firstLine="470" w:firstLineChars="196"/>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 每一信封密封处应注明“于年月日之前（指磋商邀请中规定的磋商日期及时间）不准启封”的字样，并加盖供应商公章。</w:t>
      </w:r>
    </w:p>
    <w:p w14:paraId="43CDE24C">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14.3 如果未按上述规定进行密封和标记，福建金桔项目管理有限公司将不承担由此造成的对响应文件的误投或提前拆封的责任。</w:t>
      </w:r>
    </w:p>
    <w:p w14:paraId="484637A1">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14.4 响应文件应在磋商邀请中规定的截止时间前送达，迟到的响应文件为无效响应文件, 将被拒收。</w:t>
      </w:r>
    </w:p>
    <w:p w14:paraId="1F24AE48">
      <w:pPr>
        <w:tabs>
          <w:tab w:val="left" w:pos="540"/>
        </w:tabs>
        <w:snapToGrid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14.5 供应商在提交首次响应文件截止时间前，可以对所提交的响应文件进行修改或者撤回，并书面通知福建金桔项目管理有限公司。修改的内容和撤回通知应当按本须知要求签署、盖章、密封，并作为响应文件的组成部分。</w:t>
      </w:r>
    </w:p>
    <w:p w14:paraId="789C0F4E">
      <w:pPr>
        <w:spacing w:line="460" w:lineRule="exact"/>
        <w:ind w:firstLine="480" w:firstLineChars="200"/>
        <w:rPr>
          <w:rFonts w:cs="宋体" w:asciiTheme="minorEastAsia" w:hAnsiTheme="minorEastAsia" w:eastAsiaTheme="minorEastAsia"/>
          <w:b/>
          <w:sz w:val="24"/>
          <w:szCs w:val="24"/>
        </w:rPr>
      </w:pPr>
      <w:r>
        <w:rPr>
          <w:rFonts w:hint="eastAsia" w:cs="宋体" w:asciiTheme="minorEastAsia" w:hAnsiTheme="minorEastAsia" w:eastAsiaTheme="minorEastAsia"/>
          <w:sz w:val="24"/>
          <w:szCs w:val="24"/>
        </w:rPr>
        <w:t>14.6 供应商在</w:t>
      </w:r>
      <w:r>
        <w:rPr>
          <w:rFonts w:cs="宋体" w:asciiTheme="minorEastAsia" w:hAnsiTheme="minorEastAsia" w:eastAsiaTheme="minorEastAsia"/>
          <w:sz w:val="24"/>
          <w:szCs w:val="24"/>
        </w:rPr>
        <w:t>提交首次响应文件</w:t>
      </w:r>
      <w:r>
        <w:rPr>
          <w:rFonts w:hint="eastAsia" w:cs="宋体" w:asciiTheme="minorEastAsia" w:hAnsiTheme="minorEastAsia" w:eastAsiaTheme="minorEastAsia"/>
          <w:sz w:val="24"/>
          <w:szCs w:val="24"/>
        </w:rPr>
        <w:t>截止时间后不得修改、撤回响应文件。供应商在</w:t>
      </w:r>
      <w:r>
        <w:rPr>
          <w:rFonts w:cs="宋体" w:asciiTheme="minorEastAsia" w:hAnsiTheme="minorEastAsia" w:eastAsiaTheme="minorEastAsia"/>
          <w:sz w:val="24"/>
          <w:szCs w:val="24"/>
        </w:rPr>
        <w:t>提交首次响应文件</w:t>
      </w:r>
      <w:r>
        <w:rPr>
          <w:rFonts w:hint="eastAsia" w:cs="宋体" w:asciiTheme="minorEastAsia" w:hAnsiTheme="minorEastAsia" w:eastAsiaTheme="minorEastAsia"/>
          <w:sz w:val="24"/>
          <w:szCs w:val="24"/>
        </w:rPr>
        <w:t>截止时间后修改响应文件的，其响应文件被拒绝。</w:t>
      </w:r>
      <w:bookmarkStart w:id="27" w:name="_Toc421107726"/>
    </w:p>
    <w:p w14:paraId="42C78016">
      <w:pPr>
        <w:spacing w:line="460" w:lineRule="exact"/>
        <w:jc w:val="center"/>
        <w:rPr>
          <w:rFonts w:cs="宋体" w:asciiTheme="minorEastAsia" w:hAnsiTheme="minorEastAsia" w:eastAsiaTheme="minorEastAsia"/>
          <w:b/>
          <w:sz w:val="24"/>
          <w:szCs w:val="24"/>
        </w:rPr>
      </w:pPr>
    </w:p>
    <w:p w14:paraId="0E5D9F2D">
      <w:pPr>
        <w:spacing w:line="460" w:lineRule="exact"/>
        <w:jc w:val="center"/>
        <w:outlineLvl w:val="1"/>
        <w:rPr>
          <w:rFonts w:cs="宋体" w:asciiTheme="minorEastAsia" w:hAnsiTheme="minorEastAsia" w:eastAsiaTheme="minorEastAsia"/>
          <w:b/>
          <w:sz w:val="24"/>
          <w:szCs w:val="24"/>
        </w:rPr>
      </w:pPr>
      <w:bookmarkStart w:id="28" w:name="_Toc164434228"/>
      <w:r>
        <w:rPr>
          <w:rFonts w:hint="eastAsia" w:cs="宋体" w:asciiTheme="minorEastAsia" w:hAnsiTheme="minorEastAsia" w:eastAsiaTheme="minorEastAsia"/>
          <w:b/>
          <w:sz w:val="24"/>
          <w:szCs w:val="24"/>
        </w:rPr>
        <w:t>五、磋商程序</w:t>
      </w:r>
      <w:bookmarkEnd w:id="27"/>
      <w:bookmarkEnd w:id="28"/>
    </w:p>
    <w:p w14:paraId="79E94FB9">
      <w:pPr>
        <w:spacing w:line="460" w:lineRule="exact"/>
        <w:rPr>
          <w:rFonts w:cs="宋体" w:asciiTheme="minorEastAsia" w:hAnsiTheme="minorEastAsia" w:eastAsiaTheme="minorEastAsia"/>
          <w:b/>
          <w:sz w:val="24"/>
          <w:szCs w:val="24"/>
        </w:rPr>
      </w:pPr>
    </w:p>
    <w:p w14:paraId="4AC09685">
      <w:pPr>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15. 供应商第一次提交的响应文件</w:t>
      </w:r>
    </w:p>
    <w:p w14:paraId="7F335356">
      <w:pPr>
        <w:pStyle w:val="20"/>
        <w:spacing w:line="46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 供应商须编制按本须知第10条规定文件组成的参与磋商（响应）的文件一份，文件应用中文书写，正本壹份，副本叁份。</w:t>
      </w:r>
    </w:p>
    <w:p w14:paraId="4EAF4838">
      <w:pPr>
        <w:pStyle w:val="20"/>
        <w:spacing w:line="46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15.2 文件应由供应商授权代表签字并加盖公章。</w:t>
      </w:r>
    </w:p>
    <w:p w14:paraId="2E42E4EE">
      <w:pPr>
        <w:pStyle w:val="20"/>
        <w:spacing w:line="46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15.3 本次磋商项目报价使用货币为人民币。</w:t>
      </w:r>
    </w:p>
    <w:p w14:paraId="6B6658A3">
      <w:pPr>
        <w:pStyle w:val="20"/>
        <w:spacing w:line="46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15.4 供应商应提交证明其提供服务符合磋商文件要求的响应文件，该文件可以是文字资料、图纸和数据，并须提供详细描述。</w:t>
      </w:r>
    </w:p>
    <w:p w14:paraId="75BD4DE6">
      <w:pPr>
        <w:pStyle w:val="20"/>
        <w:spacing w:line="46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15.5 第一次提交参与的响应文件须以书面形式提交。</w:t>
      </w:r>
    </w:p>
    <w:p w14:paraId="22C19B39">
      <w:pPr>
        <w:pStyle w:val="20"/>
        <w:spacing w:line="460" w:lineRule="exact"/>
        <w:jc w:val="lef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16.磋商</w:t>
      </w:r>
    </w:p>
    <w:p w14:paraId="2543D5CB">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16.1 福建金桔项目管理有限公司根据磋商项目的特点依法组建磋商小组。磋商小组由采购人代表和有关专家两部分共3人以上的单数组成，其中专家的人数不得少于成员总数的三分之二。磋商小组将对响应文件进行审查、质疑、评估和比较，并做出授予合同的建议。</w:t>
      </w:r>
    </w:p>
    <w:p w14:paraId="5132FDBA">
      <w:pPr>
        <w:pStyle w:val="20"/>
        <w:spacing w:line="46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16.2 在进入磋商阶段之前，磋商小组将依据供应商提交的资格证明文件，审查其合法资格、财务和履约能力等。如果供应商无资格履行合同，其所提交的响应文件无效。</w:t>
      </w:r>
    </w:p>
    <w:p w14:paraId="30A32E00">
      <w:pPr>
        <w:pStyle w:val="20"/>
        <w:spacing w:line="46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16.3 磋商小组还将确定每一供应商提交的响应文件是否对磋商文件的要求做出实质性响应，没有实质性响应的响应文件将不进入磋商阶段。</w:t>
      </w:r>
    </w:p>
    <w:p w14:paraId="58199C79">
      <w:pPr>
        <w:pStyle w:val="20"/>
        <w:spacing w:line="46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16.4 磋商小组将邀请通过审查且实质性响应磋商文件的供应商至磋商现场进行磋商。</w:t>
      </w:r>
    </w:p>
    <w:p w14:paraId="4574F6CA">
      <w:pPr>
        <w:pStyle w:val="20"/>
        <w:spacing w:line="46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16.5 参加磋商的供应商应提交本须知第5条规定的磋商保证金后方可进入磋商阶段。</w:t>
      </w:r>
    </w:p>
    <w:p w14:paraId="18836858">
      <w:pPr>
        <w:pStyle w:val="20"/>
        <w:spacing w:line="46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16.6 在磋商过程中若发现供应商所提供的资料为虚假资料，该供应商的响应文件按响应无效处理。</w:t>
      </w:r>
    </w:p>
    <w:p w14:paraId="7E88E86C">
      <w:pPr>
        <w:pStyle w:val="20"/>
        <w:spacing w:line="460" w:lineRule="exact"/>
        <w:jc w:val="lef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17. 供应商第二次提交的响应文件</w:t>
      </w:r>
    </w:p>
    <w:p w14:paraId="160DBB89">
      <w:pPr>
        <w:pStyle w:val="20"/>
        <w:spacing w:line="46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17.1 按磋商文件要求，参加磋商的供应商应在规定时间内（具体时间另行通知）提交第二次响应文件，未在规定时间内提交的第二次响应文件将被拒绝。</w:t>
      </w:r>
    </w:p>
    <w:p w14:paraId="7E9A1CB2">
      <w:pPr>
        <w:pStyle w:val="20"/>
        <w:spacing w:line="46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17.2 第二次响应文件应按本须知第10条规定、第15条15.1款～15.5款规定，并在第一次所提交首次响应文件的基础上进行编制。第二次提交的响应文件中“供应商资格证明文件”在第一次响应文件中已书面提交正本的（不包括电子邮件、传真等），该部分在第二次响应文件中可不重复提供。</w:t>
      </w:r>
    </w:p>
    <w:p w14:paraId="1EF760CE">
      <w:pPr>
        <w:pStyle w:val="20"/>
        <w:spacing w:line="460" w:lineRule="exact"/>
        <w:ind w:firstLine="480" w:firstLineChars="200"/>
        <w:jc w:val="left"/>
        <w:rPr>
          <w:rFonts w:cs="宋体" w:asciiTheme="minorEastAsia" w:hAnsiTheme="minorEastAsia" w:eastAsiaTheme="minorEastAsia"/>
          <w:b/>
          <w:sz w:val="24"/>
          <w:szCs w:val="24"/>
        </w:rPr>
      </w:pPr>
      <w:r>
        <w:rPr>
          <w:rFonts w:hint="eastAsia" w:cs="宋体" w:asciiTheme="minorEastAsia" w:hAnsiTheme="minorEastAsia" w:eastAsiaTheme="minorEastAsia"/>
          <w:sz w:val="24"/>
          <w:szCs w:val="24"/>
        </w:rPr>
        <w:t xml:space="preserve">17.3 第二次提交的响应文件仅以书面形式（不包括电子邮件、传真等）提交。  </w:t>
      </w:r>
    </w:p>
    <w:p w14:paraId="1FAA1332">
      <w:pPr>
        <w:spacing w:line="460" w:lineRule="exact"/>
        <w:jc w:val="center"/>
        <w:rPr>
          <w:rFonts w:cs="宋体" w:asciiTheme="minorEastAsia" w:hAnsiTheme="minorEastAsia" w:eastAsiaTheme="minorEastAsia"/>
          <w:b/>
          <w:sz w:val="24"/>
          <w:szCs w:val="24"/>
        </w:rPr>
      </w:pPr>
      <w:bookmarkStart w:id="29" w:name="_Toc421107727"/>
    </w:p>
    <w:p w14:paraId="5598F58E">
      <w:pPr>
        <w:spacing w:line="460" w:lineRule="exact"/>
        <w:jc w:val="center"/>
        <w:outlineLvl w:val="1"/>
        <w:rPr>
          <w:rFonts w:cs="宋体" w:asciiTheme="minorEastAsia" w:hAnsiTheme="minorEastAsia" w:eastAsiaTheme="minorEastAsia"/>
          <w:b/>
          <w:sz w:val="24"/>
          <w:szCs w:val="24"/>
        </w:rPr>
      </w:pPr>
      <w:bookmarkStart w:id="30" w:name="_Toc164434229"/>
      <w:r>
        <w:rPr>
          <w:rFonts w:hint="eastAsia" w:cs="宋体" w:asciiTheme="minorEastAsia" w:hAnsiTheme="minorEastAsia" w:eastAsiaTheme="minorEastAsia"/>
          <w:b/>
          <w:sz w:val="24"/>
          <w:szCs w:val="24"/>
        </w:rPr>
        <w:t>六、响应文件的评估和比较</w:t>
      </w:r>
      <w:bookmarkEnd w:id="29"/>
      <w:bookmarkEnd w:id="30"/>
    </w:p>
    <w:p w14:paraId="64B7207D">
      <w:pPr>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18. 响应文件的初审</w:t>
      </w:r>
    </w:p>
    <w:p w14:paraId="3DE1D806">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对所有供应商的评估，都采用相同的程序和标准。评议过程将严格按照磋商文件的要求和条件进行。</w:t>
      </w:r>
    </w:p>
    <w:p w14:paraId="04D9263A">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有关响应文件的审查、澄清、评估和比较以及推荐成交候选人的一切情况都不得透露给任一供应商或与上述磋商工作无关的人员。</w:t>
      </w:r>
    </w:p>
    <w:p w14:paraId="72B2A3BD">
      <w:pPr>
        <w:spacing w:line="46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供应商任何试图影响磋商小组对响应文件的评估、比较或者推荐成交候选人的行为，都将导致其响应文件被拒绝，并被没收磋商保证金。</w:t>
      </w:r>
    </w:p>
    <w:p w14:paraId="7CB6B835">
      <w:pPr>
        <w:spacing w:line="460" w:lineRule="exact"/>
        <w:ind w:left="480" w:hanging="480" w:hanging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18.1 磋商小组将对响应文件进行检查，以确定响应文件是否完整、有无计算上的错误、是否提交了磋商保证金、文件是否已正确签署。</w:t>
      </w:r>
    </w:p>
    <w:p w14:paraId="2D729F3C">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18.2 算术错误将按以下方法更正：</w:t>
      </w:r>
    </w:p>
    <w:p w14:paraId="30DCC041">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（1）响应文件中报价一览表内容与响应文件中明细表内容不一致的，以报价一览表为准。</w:t>
      </w:r>
    </w:p>
    <w:p w14:paraId="6F1BC2E2">
      <w:pPr>
        <w:spacing w:line="46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①响应文件的大写金额和小写金额不一致的，以大写金额为准；②总价金额与按单价汇总金额不一致的，以单价金额计算结果为准；③单价金额小数点或者百分比有明显错位的，以开标一览表的总价为准，并修改单价；④总价金额与按单价汇总金额不一致的，以单价金额计算结果为准。</w:t>
      </w:r>
    </w:p>
    <w:p w14:paraId="4C0DE2C9">
      <w:pPr>
        <w:spacing w:line="46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同时出现两种以上不一致的，按照前款规定的顺序修正。修正后的报价应当采用书面形式，并加盖公章，或者由法定代表人或其授权的代表签字经投标人确认后产生约束力，投标人不确认的，其投标无效。</w:t>
      </w:r>
    </w:p>
    <w:p w14:paraId="1358B63A">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18.3 资格性检查和符合性检查</w:t>
      </w:r>
    </w:p>
    <w:p w14:paraId="44441E80">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18.3.1 资格性检查。依据法律法规和磋商文件的规定，在对磋商文件详细评估之前，磋商小组将依据供应商提交的响应文件按供应商须知前附表第2项所述的资格标准对供应商进行资格审查，以确定其是否具备磋商资格。如果供应商不具备磋商资格，不满足磋商文件所规定的资格标准或提供资格证明文件不全的, 其响应文件将被拒绝。</w:t>
      </w:r>
    </w:p>
    <w:p w14:paraId="56682A5A">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18.3.2 符合性检查。依据磋商文件的规定，磋商小组还将从响应文件的有效性、完整性和对响应文件的响应程度进行审查，以确定是否符合对磋商文件的实质性要求作出响应。实质性偏离是指：（1）实质性影响合同的范围、质量和履行；（2）实质性违背磋商文件，限制了采购人的权利和供应商合同项下的义务；（3）不公正地影响了其</w:t>
      </w:r>
      <w:r>
        <w:rPr>
          <w:rFonts w:hint="eastAsia" w:cs="宋体" w:asciiTheme="minorEastAsia" w:hAnsiTheme="minorEastAsia" w:eastAsiaTheme="minorEastAsia"/>
          <w:sz w:val="24"/>
          <w:szCs w:val="24"/>
          <w:lang w:val="en-US" w:eastAsia="zh-CN"/>
        </w:rPr>
        <w:t>他</w:t>
      </w:r>
      <w:r>
        <w:rPr>
          <w:rFonts w:hint="eastAsia" w:cs="宋体" w:asciiTheme="minorEastAsia" w:hAnsiTheme="minorEastAsia" w:eastAsiaTheme="minorEastAsia"/>
          <w:sz w:val="24"/>
          <w:szCs w:val="24"/>
        </w:rPr>
        <w:t>作出实质性响应的供应商的竞争地位。对没有实质性响应的响应文件将不进行评估，其响应文件将被拒绝。凡有下列情况之一者，响应文件也将被视为未实质性响应磋商文件的要求：</w:t>
      </w:r>
    </w:p>
    <w:p w14:paraId="3749695C">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（1）响应文件未按照本竞争性磋商文件第13、14条的规定进行编制、密封、标记的；</w:t>
      </w:r>
    </w:p>
    <w:p w14:paraId="410FE9CC">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（2）未按规定由供应商的单位负责人或其授权代表签字或签字人未经单位负责人有效授权委托的；</w:t>
      </w:r>
    </w:p>
    <w:p w14:paraId="03EF9605">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（3）未按规定提交磋商保证金的；</w:t>
      </w:r>
    </w:p>
    <w:p w14:paraId="7DFD68A6">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（4）响应文件有效期不满足磋商文件要求的；</w:t>
      </w:r>
    </w:p>
    <w:p w14:paraId="38BDA596">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（5）一个供应商不止响应一个标；</w:t>
      </w:r>
    </w:p>
    <w:p w14:paraId="4ABA0185">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（6）响应文件组成不符合竞争性磋商文件要求的；</w:t>
      </w:r>
    </w:p>
    <w:p w14:paraId="57EF494F">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（7）响应文件中提供虚假或失实资料的；</w:t>
      </w:r>
    </w:p>
    <w:p w14:paraId="72926D2A">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（8）响应文件未胶装（永久性、无破坏不可拆分）装订成册的；</w:t>
      </w:r>
    </w:p>
    <w:p w14:paraId="74F82C8D">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（9）未按规定提交由供应商加盖公章并注明“与原件一致”的单位负责人授权书、未提供被授权人（若有）身份证复印件；</w:t>
      </w:r>
    </w:p>
    <w:p w14:paraId="607639F6">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（10）所有证明文件复印件未注明“与原件一致”并加盖供应商公章；</w:t>
      </w:r>
    </w:p>
    <w:p w14:paraId="5600605F">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（11）未按规定的格式填写，内容不全或关键字迹模糊、无法辨认的；</w:t>
      </w:r>
    </w:p>
    <w:p w14:paraId="5DB95C59">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（12）供应商名称或组织结构与资格审查时不一致且未提供有效证明的；</w:t>
      </w:r>
    </w:p>
    <w:p w14:paraId="0C72B503">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（13）违反规定采取分包、转包方式履行合同的；</w:t>
      </w:r>
    </w:p>
    <w:p w14:paraId="75A2675A">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（14）磋商内容与采购内容及要求有重大偏离或保留的；</w:t>
      </w:r>
    </w:p>
    <w:p w14:paraId="287B2ECD">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（15）供应商提交的是可选择的报价；</w:t>
      </w:r>
    </w:p>
    <w:p w14:paraId="0960FC14">
      <w:pPr>
        <w:spacing w:line="460" w:lineRule="exact"/>
        <w:rPr>
          <w:rFonts w:asciiTheme="minorEastAsia" w:hAnsiTheme="minorEastAsia"/>
          <w:sz w:val="24"/>
          <w:szCs w:val="24"/>
        </w:rPr>
      </w:pPr>
      <w:r>
        <w:rPr>
          <w:rFonts w:hint="eastAsia" w:cs="宋体" w:asciiTheme="minorEastAsia" w:hAnsiTheme="minorEastAsia" w:eastAsiaTheme="minorEastAsia"/>
          <w:sz w:val="24"/>
          <w:szCs w:val="24"/>
        </w:rPr>
        <w:t>（16）供应商提供的</w:t>
      </w:r>
      <w:r>
        <w:rPr>
          <w:rFonts w:asciiTheme="minorEastAsia" w:hAnsiTheme="minorEastAsia"/>
          <w:sz w:val="24"/>
          <w:szCs w:val="24"/>
        </w:rPr>
        <w:t>商务条件低于</w:t>
      </w:r>
      <w:r>
        <w:rPr>
          <w:rFonts w:hint="eastAsia" w:asciiTheme="minorEastAsia" w:hAnsiTheme="minorEastAsia"/>
          <w:sz w:val="24"/>
          <w:szCs w:val="24"/>
        </w:rPr>
        <w:t>磋商</w:t>
      </w:r>
      <w:r>
        <w:rPr>
          <w:rFonts w:asciiTheme="minorEastAsia" w:hAnsiTheme="minorEastAsia"/>
          <w:sz w:val="24"/>
          <w:szCs w:val="24"/>
        </w:rPr>
        <w:t>文件“商务条件”要求</w:t>
      </w:r>
      <w:r>
        <w:rPr>
          <w:rFonts w:hint="eastAsia" w:asciiTheme="minorEastAsia" w:hAnsiTheme="minorEastAsia"/>
          <w:sz w:val="24"/>
          <w:szCs w:val="24"/>
        </w:rPr>
        <w:t>的；</w:t>
      </w:r>
    </w:p>
    <w:p w14:paraId="232EB6A6">
      <w:pPr>
        <w:spacing w:line="360" w:lineRule="auto"/>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）未提供</w:t>
      </w:r>
      <w:r>
        <w:rPr>
          <w:rFonts w:hint="eastAsia" w:ascii="宋体" w:hAnsi="宋体" w:cs="宋体"/>
          <w:bCs/>
          <w:kern w:val="0"/>
          <w:sz w:val="24"/>
          <w:szCs w:val="21"/>
        </w:rPr>
        <w:t>招标代理服务费承诺书的（格式自拟）</w:t>
      </w:r>
      <w:r>
        <w:rPr>
          <w:rFonts w:hint="eastAsia" w:ascii="宋体" w:hAnsi="宋体" w:cs="宋体"/>
          <w:bCs/>
          <w:kern w:val="0"/>
          <w:szCs w:val="21"/>
        </w:rPr>
        <w:t>；</w:t>
      </w:r>
    </w:p>
    <w:p w14:paraId="40FF7C18">
      <w:pPr>
        <w:spacing w:line="360" w:lineRule="auto"/>
        <w:rPr>
          <w:rFonts w:ascii="宋体" w:hAnsi="宋体" w:cs="宋体"/>
          <w:bCs/>
          <w:kern w:val="0"/>
          <w:szCs w:val="21"/>
        </w:rPr>
      </w:pPr>
      <w:r>
        <w:rPr>
          <w:rFonts w:hint="eastAsia" w:ascii="宋体" w:hAnsi="宋体" w:cs="宋体"/>
          <w:sz w:val="24"/>
          <w:szCs w:val="24"/>
        </w:rPr>
        <w:t>（</w:t>
      </w:r>
      <w:r>
        <w:rPr>
          <w:rFonts w:hint="eastAsia" w:ascii="宋体" w:hAnsi="宋体" w:cs="宋体"/>
          <w:sz w:val="24"/>
          <w:szCs w:val="24"/>
          <w:lang w:val="en-US" w:eastAsia="zh-CN"/>
        </w:rPr>
        <w:t>18</w:t>
      </w:r>
      <w:r>
        <w:rPr>
          <w:rFonts w:hint="eastAsia" w:ascii="宋体" w:hAnsi="宋体" w:cs="宋体"/>
          <w:sz w:val="24"/>
          <w:szCs w:val="24"/>
        </w:rPr>
        <w:t>）不符合</w:t>
      </w:r>
      <w:r>
        <w:rPr>
          <w:rFonts w:hint="eastAsia" w:cs="宋体" w:asciiTheme="minorEastAsia" w:hAnsiTheme="minorEastAsia" w:eastAsiaTheme="minorEastAsia"/>
          <w:sz w:val="24"/>
          <w:szCs w:val="24"/>
        </w:rPr>
        <w:t>竞争性磋商文件中规定的</w:t>
      </w:r>
      <w:r>
        <w:rPr>
          <w:rFonts w:hint="eastAsia" w:cs="宋体" w:asciiTheme="minorEastAsia" w:hAnsiTheme="minorEastAsia" w:eastAsiaTheme="minorEastAsia"/>
          <w:sz w:val="24"/>
          <w:szCs w:val="24"/>
          <w:lang w:eastAsia="zh-CN"/>
        </w:rPr>
        <w:t>其他</w:t>
      </w:r>
      <w:r>
        <w:rPr>
          <w:rFonts w:hint="eastAsia" w:cs="宋体" w:asciiTheme="minorEastAsia" w:hAnsiTheme="minorEastAsia" w:eastAsiaTheme="minorEastAsia"/>
          <w:sz w:val="24"/>
          <w:szCs w:val="24"/>
        </w:rPr>
        <w:t>实质性条款。</w:t>
      </w:r>
    </w:p>
    <w:p w14:paraId="46E6FAC0">
      <w:pPr>
        <w:spacing w:line="460" w:lineRule="exact"/>
        <w:rPr>
          <w:rFonts w:cs="宋体" w:asciiTheme="minorEastAsia" w:hAnsiTheme="minorEastAsia" w:eastAsiaTheme="minorEastAsia"/>
          <w:b/>
          <w:sz w:val="24"/>
          <w:szCs w:val="24"/>
        </w:rPr>
      </w:pPr>
      <w:r>
        <w:rPr>
          <w:rFonts w:cs="宋体" w:asciiTheme="minorEastAsia" w:hAnsiTheme="minorEastAsia" w:eastAsiaTheme="minorEastAsia"/>
          <w:b/>
          <w:sz w:val="24"/>
          <w:szCs w:val="24"/>
        </w:rPr>
        <w:t>磋商小组决定供应商的响应性只根据响应文件本身的内容，而不寻求其他的外部证据。</w:t>
      </w:r>
    </w:p>
    <w:p w14:paraId="34A7F5C1">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19. 响应文件的澄清</w:t>
      </w:r>
    </w:p>
    <w:p w14:paraId="4BCE53C0">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响应文件中含义不明确、同类问题表述不一致或者有明显文字和计算错误的内容，磋商小组可以书面形式要求供应商做出必要的澄清、说明或者纠正。供应商的澄清、说明或者纠正应当在磋商小组规定的时间内以书面形式做出，由其单位负责人或者授权代表签字，并不得超出响应文件的范围或者改变响应文件的实质性内容。</w:t>
      </w:r>
    </w:p>
    <w:p w14:paraId="76CBB257">
      <w:pPr>
        <w:spacing w:line="460" w:lineRule="exac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20. 比较与评价</w:t>
      </w:r>
    </w:p>
    <w:p w14:paraId="4E14D90C">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20.1 磋商小组将按供应商须知前附表第6项所述评标方法与标准，对资格性检查和符合性检查合格的响应文件进行商务和技术评估，综合比较与评价。</w:t>
      </w:r>
    </w:p>
    <w:p w14:paraId="72877A43">
      <w:pPr>
        <w:spacing w:line="46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20.2 对漏（缺）报项的处理：磋商文件中要求列入报价的费用（含配置、功能），漏（缺）报的视同已含在报价总价中。</w:t>
      </w:r>
    </w:p>
    <w:p w14:paraId="4FD2F936">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20.3 若供应商的报价明显低于其他报价，使得其报价可能低于其个别成本的，有可能影响商品质量或不能诚信履约的，供应商应按磋商小组要求做出书面说明并提供相关证明材料，不能合理说明或不能提供相关证明材料的，</w:t>
      </w:r>
      <w:r>
        <w:rPr>
          <w:rFonts w:asciiTheme="minorEastAsia" w:hAnsiTheme="minorEastAsia"/>
          <w:sz w:val="24"/>
          <w:szCs w:val="24"/>
        </w:rPr>
        <w:t>视为响应无效。</w:t>
      </w:r>
    </w:p>
    <w:p w14:paraId="66020FEA">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20.4 磋商小组将按比较与评价最优在先原则, 排列评价顺序, </w:t>
      </w:r>
      <w:r>
        <w:rPr>
          <w:rFonts w:hint="eastAsia" w:cs="宋体" w:asciiTheme="minorEastAsia" w:hAnsiTheme="minorEastAsia" w:eastAsiaTheme="minorEastAsia"/>
          <w:sz w:val="24"/>
          <w:szCs w:val="24"/>
          <w:lang w:eastAsia="zh-CN"/>
        </w:rPr>
        <w:t>根据</w:t>
      </w:r>
      <w:r>
        <w:rPr>
          <w:rFonts w:hint="eastAsia" w:cs="宋体" w:asciiTheme="minorEastAsia" w:hAnsiTheme="minorEastAsia" w:eastAsiaTheme="minorEastAsia"/>
          <w:sz w:val="24"/>
          <w:szCs w:val="24"/>
        </w:rPr>
        <w:t>供应商须知前附表中规定推荐成交人。</w:t>
      </w:r>
    </w:p>
    <w:p w14:paraId="1677F031">
      <w:pPr>
        <w:spacing w:line="460" w:lineRule="exact"/>
        <w:ind w:firstLine="480" w:firstLineChars="200"/>
        <w:rPr>
          <w:rFonts w:cs="宋体" w:asciiTheme="minorEastAsia" w:hAnsiTheme="minorEastAsia" w:eastAsiaTheme="minorEastAsia"/>
          <w:b/>
          <w:sz w:val="24"/>
          <w:szCs w:val="24"/>
        </w:rPr>
      </w:pPr>
      <w:r>
        <w:rPr>
          <w:rFonts w:hint="eastAsia" w:cs="宋体" w:asciiTheme="minorEastAsia" w:hAnsiTheme="minorEastAsia" w:eastAsiaTheme="minorEastAsia"/>
          <w:bCs/>
          <w:sz w:val="24"/>
          <w:szCs w:val="24"/>
        </w:rPr>
        <w:t>20.5根据《政府采购竞争性磋商采购方式管理暂行办法》，磋商文件能够详细列明采购标的的技术、服务要求的，磋商结束后，磋商小组应当要求所有实质性响应的供应商在规定时间内提交最后报价，提交最后报价的供应商不得少于3家，</w:t>
      </w:r>
      <w:r>
        <w:rPr>
          <w:rFonts w:hint="eastAsia" w:cs="宋体" w:asciiTheme="minorEastAsia" w:hAnsiTheme="minorEastAsia" w:eastAsiaTheme="minorEastAsia"/>
          <w:sz w:val="24"/>
          <w:szCs w:val="24"/>
        </w:rPr>
        <w:t>属于《政府采购竞争性磋商采购方式管理暂行办法》等相关法律法规及财政部门颁布的规范性文件允许的两家供应商进行竞争性磋商采购情形的从其规定</w:t>
      </w:r>
      <w:r>
        <w:rPr>
          <w:rFonts w:hint="eastAsia" w:cs="宋体" w:asciiTheme="minorEastAsia" w:hAnsiTheme="minorEastAsia" w:eastAsiaTheme="minorEastAsia"/>
          <w:bCs/>
          <w:sz w:val="24"/>
          <w:szCs w:val="24"/>
        </w:rPr>
        <w:t>。</w:t>
      </w:r>
      <w:bookmarkStart w:id="31" w:name="_Toc14723"/>
    </w:p>
    <w:p w14:paraId="63CDE38D">
      <w:pPr>
        <w:spacing w:line="460" w:lineRule="exact"/>
        <w:ind w:firstLine="482" w:firstLineChars="200"/>
        <w:jc w:val="center"/>
        <w:outlineLvl w:val="1"/>
        <w:rPr>
          <w:rFonts w:cs="宋体" w:asciiTheme="minorEastAsia" w:hAnsiTheme="minorEastAsia" w:eastAsiaTheme="minorEastAsia"/>
          <w:b/>
          <w:sz w:val="24"/>
          <w:szCs w:val="24"/>
        </w:rPr>
      </w:pPr>
      <w:bookmarkStart w:id="32" w:name="_Toc164434230"/>
      <w:r>
        <w:rPr>
          <w:rFonts w:hint="eastAsia" w:cs="宋体" w:asciiTheme="minorEastAsia" w:hAnsiTheme="minorEastAsia" w:eastAsiaTheme="minorEastAsia"/>
          <w:b/>
          <w:sz w:val="24"/>
          <w:szCs w:val="24"/>
        </w:rPr>
        <w:t>七、成交与签订合同</w:t>
      </w:r>
      <w:bookmarkEnd w:id="31"/>
      <w:bookmarkEnd w:id="32"/>
    </w:p>
    <w:p w14:paraId="69AA38CB">
      <w:pPr>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21. 成交准则</w:t>
      </w:r>
    </w:p>
    <w:p w14:paraId="24379496">
      <w:pPr>
        <w:spacing w:line="460" w:lineRule="exact"/>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21.1 最低报价不作为成交的保证。</w:t>
      </w:r>
    </w:p>
    <w:p w14:paraId="6DC7AC82">
      <w:pPr>
        <w:spacing w:line="460" w:lineRule="exact"/>
        <w:ind w:firstLine="480" w:firstLineChars="200"/>
        <w:rPr>
          <w:rFonts w:cs="宋体" w:asciiTheme="minorEastAsia" w:hAnsiTheme="minorEastAsia" w:eastAsiaTheme="minorEastAsia"/>
          <w:b/>
          <w:sz w:val="24"/>
          <w:szCs w:val="24"/>
        </w:rPr>
      </w:pPr>
      <w:r>
        <w:rPr>
          <w:rFonts w:hint="eastAsia" w:cs="宋体" w:asciiTheme="minorEastAsia" w:hAnsiTheme="minorEastAsia" w:eastAsiaTheme="minorEastAsia"/>
          <w:sz w:val="24"/>
          <w:szCs w:val="24"/>
        </w:rPr>
        <w:t>21.2 供应商的磋商申请文件符合磋商文件要求，磋商小组按照第二章《供应商须知前附表》“附件A” 评标标准、方法对响应文件进行评审，并根据推荐成交候选人办法推荐成交人。</w:t>
      </w:r>
    </w:p>
    <w:p w14:paraId="5600A816">
      <w:pPr>
        <w:spacing w:line="4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22. 成交通知</w:t>
      </w:r>
    </w:p>
    <w:p w14:paraId="174BB02E">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 磋商结束后，磋商结果经采购人确认后，福建金桔项目管理有限公司方可在刊登本采购项目竞争性磋商公告的媒介上对成交结果进行公示，公示期结束后福建金桔项目管理有限公司向成交人发出成交通知书。成交通知书对采购人和成交人具有同等法律效力。成交通知书发出后，采购人改变成交结果，或者成交人放弃成交，应按相关法律、规章、规范性文件的要求承担相应的法律责任。供应商对成交公告有异议的，应当在知道或应当知道其权益受到损害之日起七个工作日内，以书面形式向采购人或福建金桔项目管理有限公司提出质疑。</w:t>
      </w:r>
    </w:p>
    <w:p w14:paraId="0AA00152">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22.2 《成交通知书》发出同时应将落标通知书书面通知没有成交的</w:t>
      </w:r>
      <w:r>
        <w:rPr>
          <w:rFonts w:hint="eastAsia" w:cs="宋体" w:asciiTheme="minorEastAsia" w:hAnsiTheme="minorEastAsia" w:eastAsiaTheme="minorEastAsia"/>
          <w:sz w:val="24"/>
          <w:szCs w:val="24"/>
          <w:lang w:eastAsia="zh-CN"/>
        </w:rPr>
        <w:t>其他</w:t>
      </w:r>
      <w:r>
        <w:rPr>
          <w:rFonts w:hint="eastAsia" w:cs="宋体" w:asciiTheme="minorEastAsia" w:hAnsiTheme="minorEastAsia" w:eastAsiaTheme="minorEastAsia"/>
          <w:sz w:val="24"/>
          <w:szCs w:val="24"/>
        </w:rPr>
        <w:t>供应商。</w:t>
      </w:r>
    </w:p>
    <w:p w14:paraId="24A0F53F">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22.3 《成交通知书》将作为签订合同的依据。《政府采购合同》签订后，《成交通知书》成为《政府采购合同》的一部分。</w:t>
      </w:r>
    </w:p>
    <w:p w14:paraId="77056A3C">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22.4 《成交通知书》发出后，福建金桔项目管理有限公司以原缴交方式原额无息向未成交的磋商供应商退还其磋商保证金。</w:t>
      </w:r>
    </w:p>
    <w:p w14:paraId="200B3853">
      <w:pPr>
        <w:pStyle w:val="83"/>
        <w:spacing w:line="460" w:lineRule="exact"/>
        <w:rPr>
          <w:rFonts w:cs="宋体" w:asciiTheme="minorEastAsia" w:hAnsiTheme="minorEastAsia" w:eastAsiaTheme="minorEastAsia"/>
          <w:b/>
          <w:color w:val="auto"/>
          <w:szCs w:val="24"/>
        </w:rPr>
      </w:pPr>
      <w:r>
        <w:rPr>
          <w:rFonts w:hint="eastAsia" w:cs="宋体" w:asciiTheme="minorEastAsia" w:hAnsiTheme="minorEastAsia" w:eastAsiaTheme="minorEastAsia"/>
          <w:b/>
          <w:bCs/>
          <w:color w:val="auto"/>
          <w:szCs w:val="24"/>
        </w:rPr>
        <w:t>23</w:t>
      </w:r>
      <w:r>
        <w:rPr>
          <w:rFonts w:hint="eastAsia" w:cs="宋体" w:asciiTheme="minorEastAsia" w:hAnsiTheme="minorEastAsia" w:eastAsiaTheme="minorEastAsia"/>
          <w:b/>
          <w:color w:val="auto"/>
          <w:szCs w:val="24"/>
        </w:rPr>
        <w:t>. 签订合同</w:t>
      </w:r>
    </w:p>
    <w:p w14:paraId="67ECDBB4">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23.1 采购人、成交人在《成交通知书》发出之日起30个日历日内，根据磋商文件确定的事项和成交人的响应文件签订合同。双方所签订的合同不得对磋商文件和成交人响应文件作实质性修改。逾期未签订合同，按照有关法律规定承担相应的法律责任；福建金桔项目管理有限公司将没收磋商保证金，以抵偿对采购人造成的损失。采购人逾期不与成交人签订合同的，按有关规定处理。</w:t>
      </w:r>
    </w:p>
    <w:p w14:paraId="39949208">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23.2 磋商文件、磋商文件的修改文件、成交人的响应文件、补充或修改的文件及澄清或承诺文件等，均为双方签订《政府采购合同》的组成部分，并与《政府采购合同》一并作为本磋商文件所列采购项目的互补性法律文件，与《政府采购合同》具有同等法律效力。</w:t>
      </w:r>
    </w:p>
    <w:p w14:paraId="7F538E2C">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23.3 成交人因不可抗力或者自身原因不能履行采购合同的，采购人可以与在评标报告中排位在成交人之后第一位的成交候选人签订采购合同，以此类推。</w:t>
      </w:r>
    </w:p>
    <w:p w14:paraId="22258FBF">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23.4 采购人在合同履行中，需追加与合同标的相同的服务的，在不改变合同其他条款的前提下，可与供应商协商签订补充合同，但所有补充合同的采购金额不得超过原合同采购金额的百分之十。 </w:t>
      </w:r>
    </w:p>
    <w:p w14:paraId="489FD39B">
      <w:pPr>
        <w:spacing w:line="460" w:lineRule="exact"/>
        <w:rPr>
          <w:rFonts w:cs="宋体" w:asciiTheme="minorEastAsia" w:hAnsiTheme="minorEastAsia" w:eastAsiaTheme="minorEastAsia"/>
          <w:b/>
          <w:bCs/>
          <w:sz w:val="24"/>
          <w:szCs w:val="24"/>
        </w:rPr>
      </w:pPr>
      <w:bookmarkStart w:id="33" w:name="_Toc385400665"/>
      <w:bookmarkStart w:id="34" w:name="_Toc16628"/>
      <w:bookmarkStart w:id="35" w:name="_Toc361298246"/>
      <w:bookmarkStart w:id="36" w:name="_Toc386467583"/>
      <w:bookmarkStart w:id="37" w:name="_Toc410502605"/>
      <w:bookmarkStart w:id="38" w:name="_Toc5604"/>
      <w:r>
        <w:rPr>
          <w:rFonts w:hint="eastAsia" w:cs="宋体" w:asciiTheme="minorEastAsia" w:hAnsiTheme="minorEastAsia" w:eastAsiaTheme="minorEastAsia"/>
          <w:b/>
          <w:bCs/>
          <w:sz w:val="24"/>
          <w:szCs w:val="24"/>
        </w:rPr>
        <w:t>24. 磋商采购项目行政监督部门</w:t>
      </w:r>
      <w:bookmarkEnd w:id="33"/>
      <w:bookmarkEnd w:id="34"/>
      <w:bookmarkEnd w:id="35"/>
      <w:bookmarkEnd w:id="36"/>
      <w:bookmarkEnd w:id="37"/>
      <w:bookmarkEnd w:id="38"/>
    </w:p>
    <w:p w14:paraId="656F8C3D">
      <w:pPr>
        <w:spacing w:line="460" w:lineRule="exact"/>
        <w:ind w:left="420" w:left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24.1 磋商采购项目行政监督部门可视情依法派员对本磋商活动的全程进行监督。</w:t>
      </w:r>
    </w:p>
    <w:p w14:paraId="3050E677">
      <w:pPr>
        <w:spacing w:line="46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24.2 供应商如对磋商活动有异议，可以按照有关规定向磋商须知前附表第13项所述磋商采购项目行政监督部门投诉</w:t>
      </w:r>
      <w:bookmarkStart w:id="39" w:name="_Toc421107730"/>
      <w:r>
        <w:rPr>
          <w:rFonts w:hint="eastAsia" w:cs="宋体" w:asciiTheme="minorEastAsia" w:hAnsiTheme="minorEastAsia" w:eastAsiaTheme="minorEastAsia"/>
          <w:sz w:val="24"/>
          <w:szCs w:val="24"/>
        </w:rPr>
        <w:t>。</w:t>
      </w:r>
      <w:bookmarkEnd w:id="39"/>
      <w:bookmarkStart w:id="40" w:name="_Toc1142432"/>
      <w:bookmarkStart w:id="41" w:name="_Toc13112"/>
      <w:r>
        <w:rPr>
          <w:rFonts w:cs="宋体" w:asciiTheme="minorEastAsia" w:hAnsiTheme="minorEastAsia" w:eastAsiaTheme="minorEastAsia"/>
          <w:sz w:val="24"/>
          <w:szCs w:val="24"/>
        </w:rPr>
        <w:br w:type="page"/>
      </w:r>
    </w:p>
    <w:p w14:paraId="49B310E9">
      <w:pPr>
        <w:tabs>
          <w:tab w:val="left" w:pos="5103"/>
        </w:tabs>
        <w:spacing w:line="400" w:lineRule="exact"/>
        <w:ind w:firstLine="562" w:firstLineChars="175"/>
        <w:jc w:val="center"/>
        <w:outlineLvl w:val="0"/>
        <w:rPr>
          <w:rFonts w:cs="宋体" w:asciiTheme="minorEastAsia" w:hAnsiTheme="minorEastAsia" w:eastAsiaTheme="minorEastAsia"/>
          <w:b/>
          <w:sz w:val="32"/>
          <w:szCs w:val="32"/>
          <w:highlight w:val="none"/>
        </w:rPr>
      </w:pPr>
      <w:bookmarkStart w:id="42" w:name="_Toc164434231"/>
      <w:r>
        <w:rPr>
          <w:rFonts w:hint="eastAsia" w:cs="宋体" w:asciiTheme="minorEastAsia" w:hAnsiTheme="minorEastAsia" w:eastAsiaTheme="minorEastAsia"/>
          <w:b/>
          <w:sz w:val="32"/>
          <w:szCs w:val="32"/>
          <w:highlight w:val="none"/>
        </w:rPr>
        <w:t>第三章  磋商内容及要求</w:t>
      </w:r>
      <w:bookmarkEnd w:id="40"/>
      <w:bookmarkEnd w:id="42"/>
    </w:p>
    <w:p w14:paraId="7CAC82A0">
      <w:pPr>
        <w:spacing w:line="400" w:lineRule="exact"/>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一、项目概况</w:t>
      </w:r>
    </w:p>
    <w:p w14:paraId="0510EB18">
      <w:pPr>
        <w:spacing w:line="400" w:lineRule="exact"/>
        <w:ind w:firstLine="480" w:firstLineChars="200"/>
        <w:rPr>
          <w:rFonts w:asciiTheme="minorEastAsia" w:hAnsiTheme="minorEastAsia" w:eastAsiaTheme="minorEastAsia"/>
          <w:color w:val="000000"/>
          <w:sz w:val="24"/>
          <w:szCs w:val="24"/>
          <w:highlight w:val="none"/>
        </w:rPr>
      </w:pPr>
      <w:bookmarkStart w:id="43" w:name="_Toc75438479"/>
      <w:r>
        <w:rPr>
          <w:rFonts w:hint="eastAsia" w:asciiTheme="minorEastAsia" w:hAnsiTheme="minorEastAsia" w:eastAsiaTheme="minorEastAsia"/>
          <w:color w:val="000000"/>
          <w:sz w:val="24"/>
          <w:szCs w:val="24"/>
          <w:highlight w:val="none"/>
        </w:rPr>
        <w:t>本项目</w:t>
      </w:r>
      <w:bookmarkStart w:id="44" w:name="_Toc136250667"/>
      <w:r>
        <w:rPr>
          <w:rFonts w:hint="eastAsia" w:asciiTheme="minorEastAsia" w:hAnsiTheme="minorEastAsia" w:eastAsiaTheme="minorEastAsia"/>
          <w:color w:val="000000"/>
          <w:sz w:val="24"/>
          <w:szCs w:val="24"/>
          <w:highlight w:val="none"/>
        </w:rPr>
        <w:t>为</w:t>
      </w:r>
      <w:r>
        <w:rPr>
          <w:rFonts w:hint="eastAsia" w:asciiTheme="minorEastAsia" w:hAnsiTheme="minorEastAsia" w:eastAsiaTheme="minorEastAsia"/>
          <w:color w:val="000000"/>
          <w:sz w:val="24"/>
          <w:szCs w:val="24"/>
          <w:highlight w:val="none"/>
          <w:lang w:eastAsia="zh-CN"/>
        </w:rPr>
        <w:t>商务楼宇星级评定服务项目</w:t>
      </w:r>
      <w:r>
        <w:rPr>
          <w:rFonts w:hint="eastAsia" w:asciiTheme="minorEastAsia" w:hAnsiTheme="minorEastAsia" w:eastAsiaTheme="minorEastAsia"/>
          <w:color w:val="000000"/>
          <w:sz w:val="24"/>
          <w:szCs w:val="24"/>
          <w:highlight w:val="none"/>
        </w:rPr>
        <w:t>。</w:t>
      </w:r>
    </w:p>
    <w:p w14:paraId="5A2EE248">
      <w:pPr>
        <w:spacing w:line="400" w:lineRule="exact"/>
        <w:rPr>
          <w:rFonts w:cs="宋体"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sz w:val="24"/>
          <w:szCs w:val="24"/>
          <w:highlight w:val="none"/>
          <w14:textFill>
            <w14:solidFill>
              <w14:schemeClr w14:val="tx1"/>
            </w14:solidFill>
          </w14:textFill>
        </w:rPr>
        <w:t>二、技术和服务要求</w:t>
      </w:r>
      <w:bookmarkEnd w:id="43"/>
      <w:bookmarkEnd w:id="44"/>
    </w:p>
    <w:p w14:paraId="110DB7E1">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textAlignment w:val="auto"/>
        <w:rPr>
          <w:rFonts w:hint="default" w:ascii="宋体" w:hAnsi="宋体" w:cs="宋体"/>
          <w:b/>
          <w:bCs/>
          <w:color w:val="auto"/>
          <w:sz w:val="24"/>
          <w:szCs w:val="24"/>
        </w:rPr>
      </w:pPr>
      <w:bookmarkStart w:id="45" w:name="_Toc12466"/>
      <w:bookmarkStart w:id="46" w:name="_Toc6229"/>
      <w:bookmarkStart w:id="47" w:name="_Toc5647"/>
      <w:bookmarkStart w:id="48" w:name="_Toc28458"/>
      <w:bookmarkStart w:id="49" w:name="_Toc12944"/>
      <w:r>
        <w:rPr>
          <w:rFonts w:hint="eastAsia" w:cs="宋体"/>
          <w:b/>
          <w:bCs/>
          <w:color w:val="auto"/>
          <w:sz w:val="24"/>
          <w:szCs w:val="24"/>
          <w:lang w:val="en-US" w:eastAsia="zh-CN"/>
        </w:rPr>
        <w:t>1</w:t>
      </w:r>
      <w:r>
        <w:rPr>
          <w:rFonts w:hint="default" w:ascii="宋体" w:hAnsi="宋体" w:cs="宋体"/>
          <w:b/>
          <w:bCs/>
          <w:color w:val="auto"/>
          <w:sz w:val="24"/>
          <w:szCs w:val="24"/>
        </w:rPr>
        <w:t>、评定</w:t>
      </w:r>
      <w:bookmarkEnd w:id="45"/>
      <w:bookmarkEnd w:id="46"/>
      <w:r>
        <w:rPr>
          <w:rFonts w:hint="default" w:ascii="宋体" w:hAnsi="宋体" w:cs="宋体"/>
          <w:b/>
          <w:bCs/>
          <w:color w:val="auto"/>
          <w:sz w:val="24"/>
          <w:szCs w:val="24"/>
        </w:rPr>
        <w:t>内容</w:t>
      </w:r>
      <w:bookmarkEnd w:id="47"/>
      <w:bookmarkEnd w:id="48"/>
      <w:bookmarkEnd w:id="49"/>
      <w:r>
        <w:rPr>
          <w:rFonts w:hint="default" w:ascii="宋体" w:hAnsi="宋体" w:cs="宋体"/>
          <w:b/>
          <w:bCs/>
          <w:color w:val="auto"/>
          <w:sz w:val="24"/>
          <w:szCs w:val="24"/>
        </w:rPr>
        <w:t>：</w:t>
      </w:r>
      <w:r>
        <w:rPr>
          <w:rFonts w:hint="default" w:ascii="宋体" w:hAnsi="宋体" w:cs="宋体"/>
          <w:b/>
          <w:bCs/>
          <w:color w:val="auto"/>
          <w:sz w:val="24"/>
          <w:szCs w:val="24"/>
          <w:shd w:val="clear" w:color="auto" w:fill="auto"/>
        </w:rPr>
        <w:t>（评审指标1）</w:t>
      </w:r>
    </w:p>
    <w:p w14:paraId="431EDC8E">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default" w:ascii="宋体" w:hAnsi="宋体" w:cs="宋体"/>
          <w:color w:val="auto"/>
          <w:sz w:val="24"/>
          <w:szCs w:val="24"/>
        </w:rPr>
      </w:pPr>
      <w:r>
        <w:rPr>
          <w:rFonts w:hint="default" w:ascii="宋体" w:hAnsi="宋体" w:cs="宋体"/>
          <w:color w:val="auto"/>
          <w:sz w:val="24"/>
          <w:szCs w:val="24"/>
        </w:rPr>
        <w:t>根据鼓楼区人民政府提供的《商务楼宇星级评定</w:t>
      </w:r>
      <w:r>
        <w:rPr>
          <w:rFonts w:hint="default" w:ascii="宋体" w:hAnsi="宋体" w:cs="宋体"/>
          <w:color w:val="auto"/>
          <w:sz w:val="24"/>
          <w:szCs w:val="24"/>
          <w:highlight w:val="none"/>
        </w:rPr>
        <w:t>》中附录C，对标</w:t>
      </w:r>
      <w:r>
        <w:rPr>
          <w:rFonts w:hint="default" w:ascii="宋体" w:hAnsi="宋体" w:cs="宋体"/>
          <w:color w:val="auto"/>
          <w:sz w:val="24"/>
          <w:szCs w:val="24"/>
        </w:rPr>
        <w:t>的完成《商务楼宇入驻企业满意度调查问卷》，并按《商务楼宇星级评定计分表》确定的指标体系进行逐项评分，包括硬件配置(F)、运营与服务(O)、产出与贡献(C)和加分项(A)，形成评估报告。</w:t>
      </w:r>
    </w:p>
    <w:p w14:paraId="6D78BE99">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textAlignment w:val="auto"/>
        <w:rPr>
          <w:rFonts w:hint="default" w:ascii="宋体" w:hAnsi="宋体" w:cs="宋体"/>
          <w:b/>
          <w:bCs/>
          <w:color w:val="auto"/>
          <w:sz w:val="24"/>
          <w:szCs w:val="24"/>
        </w:rPr>
      </w:pPr>
      <w:bookmarkStart w:id="50" w:name="_Toc15283"/>
      <w:bookmarkStart w:id="51" w:name="_Toc29867"/>
      <w:bookmarkStart w:id="52" w:name="_Toc21470"/>
      <w:bookmarkStart w:id="53" w:name="_Toc19590"/>
      <w:bookmarkStart w:id="54" w:name="_Toc27747"/>
      <w:r>
        <w:rPr>
          <w:rFonts w:hint="eastAsia" w:cs="宋体"/>
          <w:b/>
          <w:bCs/>
          <w:color w:val="auto"/>
          <w:sz w:val="24"/>
          <w:szCs w:val="24"/>
          <w:lang w:val="en-US" w:eastAsia="zh-CN"/>
        </w:rPr>
        <w:t>2</w:t>
      </w:r>
      <w:r>
        <w:rPr>
          <w:rFonts w:hint="default" w:ascii="宋体" w:hAnsi="宋体" w:cs="宋体"/>
          <w:b/>
          <w:bCs/>
          <w:color w:val="auto"/>
          <w:sz w:val="24"/>
          <w:szCs w:val="24"/>
        </w:rPr>
        <w:t>、评定方法</w:t>
      </w:r>
      <w:bookmarkEnd w:id="50"/>
      <w:bookmarkEnd w:id="51"/>
      <w:bookmarkEnd w:id="52"/>
      <w:bookmarkEnd w:id="53"/>
      <w:bookmarkEnd w:id="54"/>
    </w:p>
    <w:p w14:paraId="6B48B6BA">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default" w:ascii="宋体" w:hAnsi="宋体" w:cs="宋体"/>
          <w:color w:val="auto"/>
          <w:sz w:val="24"/>
          <w:szCs w:val="24"/>
          <w:shd w:val="clear" w:color="auto" w:fill="auto"/>
        </w:rPr>
      </w:pPr>
      <w:bookmarkStart w:id="55" w:name="_Toc32307"/>
      <w:bookmarkStart w:id="56" w:name="_Toc3870"/>
      <w:bookmarkStart w:id="57" w:name="_Toc3680"/>
      <w:bookmarkStart w:id="58" w:name="_Toc24848"/>
      <w:bookmarkStart w:id="59" w:name="_Toc16973"/>
      <w:r>
        <w:rPr>
          <w:rFonts w:hint="eastAsia" w:cs="宋体"/>
          <w:color w:val="auto"/>
          <w:sz w:val="24"/>
          <w:szCs w:val="24"/>
          <w:lang w:val="en-US" w:eastAsia="zh-CN"/>
        </w:rPr>
        <w:t>2</w:t>
      </w:r>
      <w:r>
        <w:rPr>
          <w:rFonts w:hint="default" w:ascii="宋体" w:hAnsi="宋体" w:cs="宋体"/>
          <w:color w:val="auto"/>
          <w:sz w:val="24"/>
          <w:szCs w:val="24"/>
        </w:rPr>
        <w:t>.1计分</w:t>
      </w:r>
      <w:r>
        <w:rPr>
          <w:rFonts w:hint="default" w:ascii="宋体" w:hAnsi="宋体" w:cs="宋体"/>
          <w:color w:val="auto"/>
          <w:sz w:val="24"/>
          <w:szCs w:val="24"/>
          <w:shd w:val="clear" w:color="auto" w:fill="auto"/>
        </w:rPr>
        <w:t>方法</w:t>
      </w:r>
      <w:bookmarkEnd w:id="55"/>
      <w:bookmarkEnd w:id="56"/>
      <w:bookmarkEnd w:id="57"/>
      <w:bookmarkEnd w:id="58"/>
      <w:bookmarkEnd w:id="59"/>
    </w:p>
    <w:p w14:paraId="5B288743">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default" w:ascii="宋体" w:hAnsi="宋体" w:cs="宋体"/>
          <w:b/>
          <w:bCs/>
          <w:color w:val="auto"/>
          <w:sz w:val="24"/>
          <w:szCs w:val="24"/>
          <w:shd w:val="clear" w:color="auto" w:fill="auto"/>
        </w:rPr>
      </w:pPr>
      <w:r>
        <w:rPr>
          <w:rFonts w:hint="default" w:ascii="宋体" w:hAnsi="宋体" w:cs="宋体"/>
          <w:color w:val="auto"/>
          <w:sz w:val="24"/>
          <w:szCs w:val="24"/>
          <w:shd w:val="clear" w:color="auto" w:fill="auto"/>
        </w:rPr>
        <w:t>（1）评定分数(T)由硬件配置(F)、运营与服务(O)、产出与贡献(C)和加分项(A)四个一级指标的得分累加而得。硬件配置(F)、运营与服务(O)、产出与贡献(C)和加分项(A)细化为若干二级指标，部分二级指标再细化为若干三级指标（见附录A）。其中，定量评价指标的具体计算方法见《商务楼宇星级评定》附录B，入驻企业服务满意度调查的内</w:t>
      </w:r>
      <w:r>
        <w:rPr>
          <w:rFonts w:hint="default" w:ascii="宋体" w:hAnsi="宋体" w:cs="宋体"/>
          <w:color w:val="auto"/>
          <w:sz w:val="24"/>
          <w:szCs w:val="24"/>
          <w:highlight w:val="none"/>
          <w:shd w:val="clear" w:color="auto" w:fill="auto"/>
        </w:rPr>
        <w:t>容见附录C。</w:t>
      </w:r>
      <w:r>
        <w:rPr>
          <w:rFonts w:hint="default" w:ascii="宋体" w:hAnsi="宋体" w:cs="宋体"/>
          <w:b/>
          <w:bCs/>
          <w:color w:val="auto"/>
          <w:sz w:val="24"/>
          <w:szCs w:val="24"/>
          <w:highlight w:val="none"/>
          <w:shd w:val="clear" w:color="auto" w:fill="auto"/>
        </w:rPr>
        <w:t>（评审指标2）</w:t>
      </w:r>
    </w:p>
    <w:p w14:paraId="0CFCE5D5">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default" w:ascii="宋体" w:hAnsi="宋体" w:cs="宋体"/>
          <w:color w:val="auto"/>
          <w:sz w:val="24"/>
          <w:szCs w:val="24"/>
          <w:shd w:val="clear" w:color="auto" w:fill="auto"/>
        </w:rPr>
      </w:pPr>
      <w:r>
        <w:rPr>
          <w:rFonts w:hint="default" w:ascii="宋体" w:hAnsi="宋体" w:cs="宋体"/>
          <w:color w:val="auto"/>
          <w:sz w:val="24"/>
          <w:szCs w:val="24"/>
          <w:shd w:val="clear" w:color="auto" w:fill="auto"/>
        </w:rPr>
        <w:t>（</w:t>
      </w:r>
      <w:r>
        <w:rPr>
          <w:rFonts w:hint="eastAsia" w:cs="宋体"/>
          <w:color w:val="auto"/>
          <w:sz w:val="24"/>
          <w:szCs w:val="24"/>
          <w:shd w:val="clear" w:color="auto" w:fill="auto"/>
          <w:lang w:val="en-US" w:eastAsia="zh-CN"/>
        </w:rPr>
        <w:t>2</w:t>
      </w:r>
      <w:r>
        <w:rPr>
          <w:rFonts w:hint="default" w:ascii="宋体" w:hAnsi="宋体" w:cs="宋体"/>
          <w:color w:val="auto"/>
          <w:sz w:val="24"/>
          <w:szCs w:val="24"/>
          <w:shd w:val="clear" w:color="auto" w:fill="auto"/>
        </w:rPr>
        <w:t>）具体指标分值按以下公式计算得分。</w:t>
      </w:r>
      <w:r>
        <w:rPr>
          <w:rFonts w:hint="default" w:ascii="宋体" w:hAnsi="宋体" w:cs="宋体"/>
          <w:b/>
          <w:bCs/>
          <w:color w:val="auto"/>
          <w:sz w:val="24"/>
          <w:szCs w:val="24"/>
          <w:shd w:val="clear" w:color="auto" w:fill="auto"/>
        </w:rPr>
        <w:t>（评审指标3）</w:t>
      </w:r>
    </w:p>
    <w:p w14:paraId="33D61016">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default" w:ascii="宋体" w:hAnsi="宋体" w:cs="宋体"/>
          <w:color w:val="auto"/>
          <w:sz w:val="24"/>
          <w:szCs w:val="24"/>
          <w:shd w:val="clear" w:color="auto" w:fill="auto"/>
        </w:rPr>
      </w:pPr>
      <w:r>
        <w:rPr>
          <w:rFonts w:hint="default" w:ascii="宋体" w:hAnsi="宋体" w:cs="宋体"/>
          <w:color w:val="auto"/>
          <w:sz w:val="24"/>
          <w:szCs w:val="24"/>
          <w:shd w:val="clear" w:color="auto" w:fill="auto"/>
        </w:rPr>
        <w:t>T=F+O+C+A</w:t>
      </w:r>
    </w:p>
    <w:p w14:paraId="0B63B858">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default" w:ascii="宋体" w:hAnsi="宋体" w:cs="宋体"/>
          <w:color w:val="auto"/>
          <w:sz w:val="24"/>
          <w:szCs w:val="24"/>
          <w:shd w:val="clear" w:color="auto" w:fill="auto"/>
        </w:rPr>
      </w:pPr>
      <w:r>
        <w:rPr>
          <w:rFonts w:hint="default" w:ascii="宋体" w:hAnsi="宋体" w:cs="宋体"/>
          <w:color w:val="auto"/>
          <w:sz w:val="24"/>
          <w:szCs w:val="24"/>
          <w:shd w:val="clear" w:color="auto" w:fill="auto"/>
        </w:rPr>
        <w:t>公式中：</w:t>
      </w:r>
    </w:p>
    <w:p w14:paraId="55743C19">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default" w:ascii="宋体" w:hAnsi="宋体" w:cs="宋体"/>
          <w:color w:val="auto"/>
          <w:sz w:val="24"/>
          <w:szCs w:val="24"/>
          <w:shd w:val="clear" w:color="auto" w:fill="auto"/>
        </w:rPr>
      </w:pPr>
      <w:r>
        <w:rPr>
          <w:rFonts w:hint="default" w:ascii="宋体" w:hAnsi="宋体" w:cs="宋体"/>
          <w:color w:val="auto"/>
          <w:sz w:val="24"/>
          <w:szCs w:val="24"/>
          <w:shd w:val="clear" w:color="auto" w:fill="auto"/>
        </w:rPr>
        <w:t>T——评定分数；</w:t>
      </w:r>
    </w:p>
    <w:p w14:paraId="06E5DFF5">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default" w:ascii="宋体" w:hAnsi="宋体" w:cs="宋体"/>
          <w:color w:val="auto"/>
          <w:sz w:val="24"/>
          <w:szCs w:val="24"/>
          <w:shd w:val="clear" w:color="auto" w:fill="auto"/>
        </w:rPr>
      </w:pPr>
      <w:r>
        <w:rPr>
          <w:rFonts w:hint="default" w:ascii="宋体" w:hAnsi="宋体" w:cs="宋体"/>
          <w:color w:val="auto"/>
          <w:sz w:val="24"/>
          <w:szCs w:val="24"/>
          <w:shd w:val="clear" w:color="auto" w:fill="auto"/>
        </w:rPr>
        <w:t>F——硬件配置得分；</w:t>
      </w:r>
    </w:p>
    <w:p w14:paraId="78E158F4">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default" w:ascii="宋体" w:hAnsi="宋体" w:cs="宋体"/>
          <w:color w:val="auto"/>
          <w:sz w:val="24"/>
          <w:szCs w:val="24"/>
          <w:shd w:val="clear" w:color="auto" w:fill="auto"/>
        </w:rPr>
      </w:pPr>
      <w:r>
        <w:rPr>
          <w:rFonts w:hint="default" w:ascii="宋体" w:hAnsi="宋体" w:cs="宋体"/>
          <w:color w:val="auto"/>
          <w:sz w:val="24"/>
          <w:szCs w:val="24"/>
          <w:shd w:val="clear" w:color="auto" w:fill="auto"/>
        </w:rPr>
        <w:t>O——运营与服务得分；</w:t>
      </w:r>
    </w:p>
    <w:p w14:paraId="1A44616D">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default" w:ascii="宋体" w:hAnsi="宋体" w:cs="宋体"/>
          <w:color w:val="auto"/>
          <w:sz w:val="24"/>
          <w:szCs w:val="24"/>
          <w:shd w:val="clear" w:color="auto" w:fill="auto"/>
        </w:rPr>
      </w:pPr>
      <w:r>
        <w:rPr>
          <w:rFonts w:hint="default" w:ascii="宋体" w:hAnsi="宋体" w:cs="宋体"/>
          <w:color w:val="auto"/>
          <w:sz w:val="24"/>
          <w:szCs w:val="24"/>
          <w:shd w:val="clear" w:color="auto" w:fill="auto"/>
        </w:rPr>
        <w:t>C——产出与贡献得分；</w:t>
      </w:r>
    </w:p>
    <w:p w14:paraId="1BC93DB6">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default" w:ascii="宋体" w:hAnsi="宋体" w:cs="宋体"/>
          <w:color w:val="auto"/>
          <w:sz w:val="24"/>
          <w:szCs w:val="24"/>
          <w:shd w:val="clear" w:color="auto" w:fill="auto"/>
        </w:rPr>
      </w:pPr>
      <w:r>
        <w:rPr>
          <w:rFonts w:hint="default" w:ascii="宋体" w:hAnsi="宋体" w:cs="宋体"/>
          <w:color w:val="auto"/>
          <w:sz w:val="24"/>
          <w:szCs w:val="24"/>
          <w:shd w:val="clear" w:color="auto" w:fill="auto"/>
        </w:rPr>
        <w:t>A——加分项得分。</w:t>
      </w:r>
    </w:p>
    <w:p w14:paraId="163B7AAD">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default" w:ascii="宋体" w:hAnsi="宋体" w:cs="宋体"/>
          <w:color w:val="auto"/>
          <w:sz w:val="24"/>
          <w:szCs w:val="24"/>
          <w:shd w:val="clear" w:color="auto" w:fill="auto"/>
        </w:rPr>
      </w:pPr>
      <w:bookmarkStart w:id="60" w:name="_Toc9192"/>
      <w:bookmarkStart w:id="61" w:name="_Toc13926"/>
      <w:bookmarkStart w:id="62" w:name="_Toc4955"/>
      <w:bookmarkStart w:id="63" w:name="_Toc3599"/>
      <w:bookmarkStart w:id="64" w:name="_Toc17239"/>
      <w:r>
        <w:rPr>
          <w:rFonts w:hint="eastAsia" w:cs="宋体"/>
          <w:color w:val="auto"/>
          <w:sz w:val="24"/>
          <w:szCs w:val="24"/>
          <w:shd w:val="clear" w:color="auto" w:fill="auto"/>
          <w:lang w:val="en-US" w:eastAsia="zh-CN"/>
        </w:rPr>
        <w:t>2</w:t>
      </w:r>
      <w:r>
        <w:rPr>
          <w:rFonts w:hint="default" w:ascii="宋体" w:hAnsi="宋体" w:cs="宋体"/>
          <w:color w:val="auto"/>
          <w:sz w:val="24"/>
          <w:szCs w:val="24"/>
          <w:shd w:val="clear" w:color="auto" w:fill="auto"/>
        </w:rPr>
        <w:t>.2星级划分</w:t>
      </w:r>
      <w:bookmarkEnd w:id="60"/>
      <w:bookmarkEnd w:id="61"/>
      <w:bookmarkEnd w:id="62"/>
      <w:bookmarkEnd w:id="63"/>
      <w:bookmarkEnd w:id="64"/>
      <w:r>
        <w:rPr>
          <w:rFonts w:hint="default" w:ascii="宋体" w:hAnsi="宋体" w:cs="宋体"/>
          <w:b/>
          <w:bCs/>
          <w:color w:val="auto"/>
          <w:sz w:val="24"/>
          <w:szCs w:val="24"/>
          <w:shd w:val="clear" w:color="auto" w:fill="auto"/>
        </w:rPr>
        <w:t>（评审指标4）</w:t>
      </w:r>
    </w:p>
    <w:p w14:paraId="76C8F502">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default" w:ascii="宋体" w:hAnsi="宋体" w:cs="宋体"/>
          <w:color w:val="auto"/>
          <w:sz w:val="24"/>
          <w:szCs w:val="24"/>
          <w:shd w:val="clear" w:color="auto" w:fill="auto"/>
        </w:rPr>
      </w:pPr>
      <w:r>
        <w:rPr>
          <w:rFonts w:hint="default" w:ascii="宋体" w:hAnsi="宋体" w:cs="宋体"/>
          <w:color w:val="auto"/>
          <w:sz w:val="24"/>
          <w:szCs w:val="24"/>
          <w:shd w:val="clear" w:color="auto" w:fill="auto"/>
        </w:rPr>
        <w:t>评定分数达到70分及以上的，根据分数由高到低划分为三个星级，即五星、四星、三星，星级越高表示楼宇的综合实力越强，对应关系见下表。</w:t>
      </w:r>
    </w:p>
    <w:p w14:paraId="02363575">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default" w:ascii="宋体" w:hAnsi="宋体" w:cs="宋体"/>
          <w:color w:val="auto"/>
          <w:sz w:val="24"/>
          <w:szCs w:val="24"/>
          <w:shd w:val="clear" w:color="auto" w:fill="auto"/>
        </w:rPr>
      </w:pPr>
      <w:r>
        <w:rPr>
          <w:rFonts w:hint="default" w:ascii="宋体" w:hAnsi="宋体" w:cs="宋体"/>
          <w:color w:val="auto"/>
          <w:sz w:val="24"/>
          <w:szCs w:val="24"/>
          <w:shd w:val="clear" w:color="auto" w:fill="auto"/>
        </w:rPr>
        <w:t>楼宇星级划分表</w:t>
      </w:r>
    </w:p>
    <w:tbl>
      <w:tblPr>
        <w:tblStyle w:val="3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7"/>
        <w:gridCol w:w="6453"/>
      </w:tblGrid>
      <w:tr w14:paraId="520AB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9DC1D0">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default" w:ascii="宋体" w:hAnsi="宋体" w:cs="宋体"/>
                <w:color w:val="auto"/>
                <w:sz w:val="24"/>
                <w:szCs w:val="24"/>
                <w:shd w:val="clear" w:color="auto" w:fill="auto"/>
              </w:rPr>
            </w:pPr>
            <w:r>
              <w:rPr>
                <w:rFonts w:hint="default" w:ascii="宋体" w:hAnsi="宋体" w:cs="宋体"/>
                <w:color w:val="auto"/>
                <w:sz w:val="24"/>
                <w:szCs w:val="24"/>
                <w:shd w:val="clear" w:color="auto" w:fill="auto"/>
              </w:rPr>
              <w:t>星　　级</w:t>
            </w:r>
          </w:p>
        </w:tc>
        <w:tc>
          <w:tcPr>
            <w:tcW w:w="323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DAA436">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default" w:ascii="宋体" w:hAnsi="宋体" w:cs="宋体"/>
                <w:color w:val="auto"/>
                <w:sz w:val="24"/>
                <w:szCs w:val="24"/>
                <w:shd w:val="clear" w:color="auto" w:fill="auto"/>
              </w:rPr>
            </w:pPr>
            <w:r>
              <w:rPr>
                <w:rFonts w:hint="default" w:ascii="宋体" w:hAnsi="宋体" w:cs="宋体"/>
                <w:color w:val="auto"/>
                <w:sz w:val="24"/>
                <w:szCs w:val="24"/>
                <w:shd w:val="clear" w:color="auto" w:fill="auto"/>
              </w:rPr>
              <w:t>评定分数要求</w:t>
            </w:r>
          </w:p>
        </w:tc>
      </w:tr>
      <w:tr w14:paraId="4313B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27E6C2">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default" w:ascii="宋体" w:hAnsi="宋体" w:cs="宋体"/>
                <w:color w:val="auto"/>
                <w:sz w:val="24"/>
                <w:szCs w:val="24"/>
                <w:shd w:val="clear" w:color="auto" w:fill="auto"/>
              </w:rPr>
            </w:pPr>
            <w:r>
              <w:rPr>
                <w:rFonts w:hint="default" w:ascii="宋体" w:hAnsi="宋体" w:cs="宋体"/>
                <w:color w:val="auto"/>
                <w:sz w:val="24"/>
                <w:szCs w:val="24"/>
                <w:shd w:val="clear" w:color="auto" w:fill="auto"/>
              </w:rPr>
              <w:t>五星</w:t>
            </w:r>
          </w:p>
        </w:tc>
        <w:tc>
          <w:tcPr>
            <w:tcW w:w="323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1F6A23">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default" w:ascii="宋体" w:hAnsi="宋体" w:cs="宋体"/>
                <w:color w:val="auto"/>
                <w:sz w:val="24"/>
                <w:szCs w:val="24"/>
                <w:shd w:val="clear" w:color="auto" w:fill="auto"/>
              </w:rPr>
            </w:pPr>
            <w:r>
              <w:rPr>
                <w:rFonts w:hint="default" w:ascii="宋体" w:hAnsi="宋体" w:cs="宋体"/>
                <w:color w:val="auto"/>
                <w:sz w:val="24"/>
                <w:szCs w:val="24"/>
                <w:shd w:val="clear" w:color="auto" w:fill="auto"/>
              </w:rPr>
              <w:t>90分及以上</w:t>
            </w:r>
          </w:p>
        </w:tc>
      </w:tr>
      <w:tr w14:paraId="4B5B1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77F143">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default" w:ascii="宋体" w:hAnsi="宋体" w:cs="宋体"/>
                <w:color w:val="auto"/>
                <w:sz w:val="24"/>
                <w:szCs w:val="24"/>
                <w:shd w:val="clear" w:color="auto" w:fill="auto"/>
              </w:rPr>
            </w:pPr>
            <w:r>
              <w:rPr>
                <w:rFonts w:hint="default" w:ascii="宋体" w:hAnsi="宋体" w:cs="宋体"/>
                <w:color w:val="auto"/>
                <w:sz w:val="24"/>
                <w:szCs w:val="24"/>
                <w:shd w:val="clear" w:color="auto" w:fill="auto"/>
              </w:rPr>
              <w:t>四星</w:t>
            </w:r>
          </w:p>
        </w:tc>
        <w:tc>
          <w:tcPr>
            <w:tcW w:w="323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1EBDE">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default" w:ascii="宋体" w:hAnsi="宋体" w:cs="宋体"/>
                <w:color w:val="auto"/>
                <w:sz w:val="24"/>
                <w:szCs w:val="24"/>
                <w:shd w:val="clear" w:color="auto" w:fill="auto"/>
              </w:rPr>
            </w:pPr>
            <w:r>
              <w:rPr>
                <w:rFonts w:hint="default" w:ascii="宋体" w:hAnsi="宋体" w:cs="宋体"/>
                <w:color w:val="auto"/>
                <w:sz w:val="24"/>
                <w:szCs w:val="24"/>
                <w:shd w:val="clear" w:color="auto" w:fill="auto"/>
              </w:rPr>
              <w:t>80分（含）～90分</w:t>
            </w:r>
          </w:p>
        </w:tc>
      </w:tr>
      <w:tr w14:paraId="0DF47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61EC40">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default" w:ascii="宋体" w:hAnsi="宋体" w:cs="宋体"/>
                <w:color w:val="auto"/>
                <w:sz w:val="24"/>
                <w:szCs w:val="24"/>
                <w:shd w:val="clear" w:color="auto" w:fill="auto"/>
              </w:rPr>
            </w:pPr>
            <w:r>
              <w:rPr>
                <w:rFonts w:hint="default" w:ascii="宋体" w:hAnsi="宋体" w:cs="宋体"/>
                <w:color w:val="auto"/>
                <w:sz w:val="24"/>
                <w:szCs w:val="24"/>
                <w:shd w:val="clear" w:color="auto" w:fill="auto"/>
              </w:rPr>
              <w:t>三星</w:t>
            </w:r>
          </w:p>
        </w:tc>
        <w:tc>
          <w:tcPr>
            <w:tcW w:w="323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CC787A">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default" w:ascii="宋体" w:hAnsi="宋体" w:cs="宋体"/>
                <w:color w:val="auto"/>
                <w:sz w:val="24"/>
                <w:szCs w:val="24"/>
                <w:shd w:val="clear" w:color="auto" w:fill="auto"/>
              </w:rPr>
            </w:pPr>
            <w:r>
              <w:rPr>
                <w:rFonts w:hint="default" w:ascii="宋体" w:hAnsi="宋体" w:cs="宋体"/>
                <w:color w:val="auto"/>
                <w:sz w:val="24"/>
                <w:szCs w:val="24"/>
                <w:shd w:val="clear" w:color="auto" w:fill="auto"/>
              </w:rPr>
              <w:t>70分（含）～80分</w:t>
            </w:r>
          </w:p>
        </w:tc>
      </w:tr>
    </w:tbl>
    <w:p w14:paraId="6118216C">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textAlignment w:val="auto"/>
        <w:rPr>
          <w:rFonts w:hint="default" w:ascii="宋体" w:hAnsi="宋体" w:cs="宋体"/>
          <w:b/>
          <w:bCs/>
          <w:color w:val="auto"/>
          <w:sz w:val="24"/>
          <w:szCs w:val="24"/>
          <w:shd w:val="clear" w:color="auto" w:fill="auto"/>
        </w:rPr>
      </w:pPr>
      <w:bookmarkStart w:id="65" w:name="_Toc19600"/>
      <w:bookmarkStart w:id="66" w:name="_Toc13845"/>
      <w:bookmarkStart w:id="67" w:name="_Toc8002"/>
      <w:bookmarkStart w:id="68" w:name="_Toc22151"/>
      <w:bookmarkStart w:id="69" w:name="_Toc30241"/>
      <w:r>
        <w:rPr>
          <w:rFonts w:hint="eastAsia" w:cs="宋体"/>
          <w:b/>
          <w:bCs/>
          <w:color w:val="auto"/>
          <w:sz w:val="24"/>
          <w:szCs w:val="24"/>
          <w:shd w:val="clear" w:color="auto" w:fill="auto"/>
          <w:lang w:val="en-US" w:eastAsia="zh-CN"/>
        </w:rPr>
        <w:t>3</w:t>
      </w:r>
      <w:r>
        <w:rPr>
          <w:rFonts w:hint="default" w:ascii="宋体" w:hAnsi="宋体" w:cs="宋体"/>
          <w:b/>
          <w:bCs/>
          <w:color w:val="auto"/>
          <w:sz w:val="24"/>
          <w:szCs w:val="24"/>
          <w:shd w:val="clear" w:color="auto" w:fill="auto"/>
        </w:rPr>
        <w:t>、评定程序</w:t>
      </w:r>
      <w:bookmarkEnd w:id="65"/>
      <w:bookmarkEnd w:id="66"/>
      <w:bookmarkEnd w:id="67"/>
      <w:bookmarkEnd w:id="68"/>
      <w:bookmarkEnd w:id="69"/>
      <w:r>
        <w:rPr>
          <w:rFonts w:hint="default" w:ascii="宋体" w:hAnsi="宋体" w:cs="宋体"/>
          <w:b/>
          <w:bCs/>
          <w:color w:val="auto"/>
          <w:sz w:val="24"/>
          <w:szCs w:val="24"/>
          <w:shd w:val="clear" w:color="auto" w:fill="auto"/>
        </w:rPr>
        <w:t>（第三方评审）</w:t>
      </w:r>
    </w:p>
    <w:p w14:paraId="66D19D49">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textAlignment w:val="auto"/>
        <w:rPr>
          <w:rFonts w:hint="default" w:ascii="宋体" w:hAnsi="宋体" w:cs="宋体"/>
          <w:color w:val="auto"/>
          <w:sz w:val="24"/>
          <w:szCs w:val="24"/>
          <w:shd w:val="clear" w:color="auto" w:fill="auto"/>
        </w:rPr>
      </w:pPr>
      <w:r>
        <w:rPr>
          <w:rFonts w:hint="eastAsia" w:cs="宋体"/>
          <w:color w:val="auto"/>
          <w:sz w:val="24"/>
          <w:szCs w:val="24"/>
          <w:shd w:val="clear" w:color="auto" w:fill="auto"/>
          <w:lang w:val="en-US" w:eastAsia="zh-CN"/>
        </w:rPr>
        <w:t>3</w:t>
      </w:r>
      <w:r>
        <w:rPr>
          <w:rFonts w:hint="default" w:ascii="宋体" w:hAnsi="宋体" w:cs="宋体"/>
          <w:color w:val="auto"/>
          <w:sz w:val="24"/>
          <w:szCs w:val="24"/>
          <w:shd w:val="clear" w:color="auto" w:fill="auto"/>
        </w:rPr>
        <w:t>.1组建评审小组</w:t>
      </w:r>
      <w:r>
        <w:rPr>
          <w:rFonts w:hint="default" w:ascii="宋体" w:hAnsi="宋体" w:cs="宋体"/>
          <w:b/>
          <w:bCs/>
          <w:color w:val="auto"/>
          <w:sz w:val="24"/>
          <w:szCs w:val="24"/>
          <w:shd w:val="clear" w:color="auto" w:fill="auto"/>
        </w:rPr>
        <w:t>（评审指标5）</w:t>
      </w:r>
    </w:p>
    <w:p w14:paraId="2E5D569B">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default" w:ascii="宋体" w:hAnsi="宋体" w:cs="宋体"/>
          <w:color w:val="auto"/>
          <w:sz w:val="24"/>
          <w:szCs w:val="24"/>
          <w:shd w:val="clear" w:color="auto" w:fill="auto"/>
        </w:rPr>
      </w:pPr>
      <w:r>
        <w:rPr>
          <w:rFonts w:hint="default" w:ascii="宋体" w:hAnsi="宋体" w:cs="宋体"/>
          <w:color w:val="auto"/>
          <w:sz w:val="24"/>
          <w:szCs w:val="24"/>
          <w:shd w:val="clear" w:color="auto" w:fill="auto"/>
        </w:rPr>
        <w:t>由第三方机构组织相关领域专家组成评审小组，人数不少于7人；楼宇经济主管部门指定至少1名观察员参与评审工作。</w:t>
      </w:r>
    </w:p>
    <w:p w14:paraId="4AADFC6E">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textAlignment w:val="auto"/>
        <w:rPr>
          <w:rFonts w:hint="default" w:ascii="宋体" w:hAnsi="宋体" w:cs="宋体"/>
          <w:color w:val="auto"/>
          <w:sz w:val="24"/>
          <w:szCs w:val="24"/>
          <w:shd w:val="clear" w:color="auto" w:fill="auto"/>
        </w:rPr>
      </w:pPr>
      <w:r>
        <w:rPr>
          <w:rFonts w:hint="eastAsia" w:cs="宋体"/>
          <w:color w:val="auto"/>
          <w:sz w:val="24"/>
          <w:szCs w:val="24"/>
          <w:shd w:val="clear" w:color="auto" w:fill="auto"/>
          <w:lang w:val="en-US" w:eastAsia="zh-CN"/>
        </w:rPr>
        <w:t>3</w:t>
      </w:r>
      <w:r>
        <w:rPr>
          <w:rFonts w:hint="default" w:ascii="宋体" w:hAnsi="宋体" w:cs="宋体"/>
          <w:color w:val="auto"/>
          <w:sz w:val="24"/>
          <w:szCs w:val="24"/>
          <w:shd w:val="clear" w:color="auto" w:fill="auto"/>
        </w:rPr>
        <w:t>.2制定实施方案</w:t>
      </w:r>
      <w:r>
        <w:rPr>
          <w:rFonts w:hint="default" w:ascii="宋体" w:hAnsi="宋体" w:cs="宋体"/>
          <w:b/>
          <w:bCs/>
          <w:color w:val="auto"/>
          <w:sz w:val="24"/>
          <w:szCs w:val="24"/>
          <w:shd w:val="clear" w:color="auto" w:fill="auto"/>
        </w:rPr>
        <w:t>（评审指标6）</w:t>
      </w:r>
    </w:p>
    <w:p w14:paraId="3466B55B">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default" w:ascii="宋体" w:hAnsi="宋体" w:cs="宋体"/>
          <w:color w:val="auto"/>
          <w:sz w:val="24"/>
          <w:szCs w:val="24"/>
          <w:shd w:val="clear" w:color="auto" w:fill="auto"/>
        </w:rPr>
      </w:pPr>
      <w:r>
        <w:rPr>
          <w:rFonts w:hint="default" w:ascii="宋体" w:hAnsi="宋体" w:cs="宋体"/>
          <w:color w:val="auto"/>
          <w:sz w:val="24"/>
          <w:szCs w:val="24"/>
          <w:shd w:val="clear" w:color="auto" w:fill="auto"/>
        </w:rPr>
        <w:t>实施方案应满足：</w:t>
      </w:r>
    </w:p>
    <w:p w14:paraId="6F6DBFED">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default" w:ascii="宋体" w:hAnsi="宋体" w:cs="宋体"/>
          <w:color w:val="auto"/>
          <w:sz w:val="24"/>
          <w:szCs w:val="24"/>
          <w:shd w:val="clear" w:color="auto" w:fill="auto"/>
        </w:rPr>
      </w:pPr>
      <w:r>
        <w:rPr>
          <w:rFonts w:hint="default" w:ascii="宋体" w:hAnsi="宋体" w:cs="宋体"/>
          <w:color w:val="auto"/>
          <w:sz w:val="24"/>
          <w:szCs w:val="24"/>
          <w:shd w:val="clear" w:color="auto" w:fill="auto"/>
        </w:rPr>
        <w:t>（1）明确评定制度、评定环节、时间要求、会议安排、人员分工、培训方案、回避制度等要素；</w:t>
      </w:r>
    </w:p>
    <w:p w14:paraId="143A6C4A">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default" w:ascii="宋体" w:hAnsi="宋体" w:cs="宋体"/>
          <w:color w:val="auto"/>
          <w:sz w:val="24"/>
          <w:szCs w:val="24"/>
          <w:shd w:val="clear" w:color="auto" w:fill="auto"/>
        </w:rPr>
      </w:pPr>
      <w:r>
        <w:rPr>
          <w:rFonts w:hint="default" w:ascii="宋体" w:hAnsi="宋体" w:cs="宋体"/>
          <w:color w:val="auto"/>
          <w:sz w:val="24"/>
          <w:szCs w:val="24"/>
          <w:shd w:val="clear" w:color="auto" w:fill="auto"/>
        </w:rPr>
        <w:t>（2）及时对外公开，确保相关信息透明通畅。</w:t>
      </w:r>
    </w:p>
    <w:p w14:paraId="756D14D4">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textAlignment w:val="auto"/>
        <w:rPr>
          <w:rFonts w:hint="default" w:ascii="宋体" w:hAnsi="宋体" w:cs="宋体"/>
          <w:color w:val="auto"/>
          <w:sz w:val="24"/>
          <w:szCs w:val="24"/>
          <w:shd w:val="clear" w:color="auto" w:fill="auto"/>
        </w:rPr>
      </w:pPr>
      <w:r>
        <w:rPr>
          <w:rFonts w:hint="eastAsia" w:cs="宋体"/>
          <w:color w:val="auto"/>
          <w:sz w:val="24"/>
          <w:szCs w:val="24"/>
          <w:shd w:val="clear" w:color="auto" w:fill="auto"/>
          <w:lang w:val="en-US" w:eastAsia="zh-CN"/>
        </w:rPr>
        <w:t>3</w:t>
      </w:r>
      <w:r>
        <w:rPr>
          <w:rFonts w:hint="default" w:ascii="宋体" w:hAnsi="宋体" w:cs="宋体"/>
          <w:color w:val="auto"/>
          <w:sz w:val="24"/>
          <w:szCs w:val="24"/>
          <w:shd w:val="clear" w:color="auto" w:fill="auto"/>
        </w:rPr>
        <w:t>.3实施评审工作</w:t>
      </w:r>
    </w:p>
    <w:p w14:paraId="6938CAA7">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default" w:ascii="宋体" w:hAnsi="宋体" w:cs="宋体"/>
          <w:color w:val="auto"/>
          <w:sz w:val="24"/>
          <w:szCs w:val="24"/>
          <w:shd w:val="clear" w:color="auto" w:fill="auto"/>
        </w:rPr>
      </w:pPr>
      <w:r>
        <w:rPr>
          <w:rFonts w:hint="default" w:ascii="宋体" w:hAnsi="宋体" w:cs="宋体"/>
          <w:color w:val="auto"/>
          <w:sz w:val="24"/>
          <w:szCs w:val="24"/>
          <w:shd w:val="clear" w:color="auto" w:fill="auto"/>
        </w:rPr>
        <w:t>评审工作宜按如下步骤实施：</w:t>
      </w:r>
    </w:p>
    <w:p w14:paraId="61F0FCD6">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default" w:ascii="宋体" w:hAnsi="宋体" w:cs="宋体"/>
          <w:color w:val="auto"/>
          <w:sz w:val="24"/>
          <w:szCs w:val="24"/>
          <w:shd w:val="clear" w:color="auto" w:fill="auto"/>
        </w:rPr>
      </w:pPr>
      <w:r>
        <w:rPr>
          <w:rFonts w:hint="default" w:ascii="宋体" w:hAnsi="宋体" w:cs="宋体"/>
          <w:color w:val="auto"/>
          <w:sz w:val="24"/>
          <w:szCs w:val="24"/>
          <w:shd w:val="clear" w:color="auto" w:fill="auto"/>
        </w:rPr>
        <w:t>（1）召开评审工作安排会，由评审小组组长主持，参评楼宇相关人员参加评价工作安排会；</w:t>
      </w:r>
      <w:r>
        <w:rPr>
          <w:rFonts w:hint="default" w:ascii="宋体" w:hAnsi="宋体" w:cs="宋体"/>
          <w:b/>
          <w:bCs/>
          <w:color w:val="auto"/>
          <w:sz w:val="24"/>
          <w:szCs w:val="24"/>
          <w:shd w:val="clear" w:color="auto" w:fill="auto"/>
        </w:rPr>
        <w:t>（评审指标7）</w:t>
      </w:r>
    </w:p>
    <w:p w14:paraId="085A1D8E">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default" w:ascii="宋体" w:hAnsi="宋体" w:cs="宋体"/>
          <w:color w:val="auto"/>
          <w:sz w:val="24"/>
          <w:szCs w:val="24"/>
          <w:shd w:val="clear" w:color="auto" w:fill="auto"/>
        </w:rPr>
      </w:pPr>
      <w:r>
        <w:rPr>
          <w:rFonts w:hint="default" w:ascii="宋体" w:hAnsi="宋体" w:cs="宋体"/>
          <w:color w:val="auto"/>
          <w:sz w:val="24"/>
          <w:szCs w:val="24"/>
          <w:shd w:val="clear" w:color="auto" w:fill="auto"/>
        </w:rPr>
        <w:t>（2）资料审查和打分。评审小组组织小组人员进行专项培训，完成《商务楼宇入驻企业满意度调查问卷》，并采用实地调查、查阅资料、审阅相关证明材料等评价方式对申报材料的真实性和有效性进行审查、打分，确认评审分数，提出评审意见及建议；</w:t>
      </w:r>
      <w:r>
        <w:rPr>
          <w:rFonts w:hint="default" w:ascii="宋体" w:hAnsi="宋体" w:cs="宋体"/>
          <w:b/>
          <w:bCs/>
          <w:color w:val="auto"/>
          <w:sz w:val="24"/>
          <w:szCs w:val="24"/>
          <w:shd w:val="clear" w:color="auto" w:fill="auto"/>
        </w:rPr>
        <w:t>（评审指标8）</w:t>
      </w:r>
    </w:p>
    <w:p w14:paraId="1A6C6903">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default" w:ascii="宋体" w:hAnsi="宋体" w:cs="宋体"/>
          <w:color w:val="auto"/>
          <w:sz w:val="24"/>
          <w:szCs w:val="24"/>
          <w:shd w:val="clear" w:color="auto" w:fill="auto"/>
        </w:rPr>
      </w:pPr>
      <w:r>
        <w:rPr>
          <w:rFonts w:hint="default" w:ascii="宋体" w:hAnsi="宋体" w:cs="宋体"/>
          <w:color w:val="auto"/>
          <w:sz w:val="24"/>
          <w:szCs w:val="24"/>
          <w:shd w:val="clear" w:color="auto" w:fill="auto"/>
        </w:rPr>
        <w:t>（3）召开评审结果通报会议。向参评楼宇宣布评审结果，并就评审过程中发现的问题及建议向参评楼宇进行反馈；</w:t>
      </w:r>
      <w:r>
        <w:rPr>
          <w:rFonts w:hint="default" w:ascii="宋体" w:hAnsi="宋体" w:cs="宋体"/>
          <w:b/>
          <w:bCs/>
          <w:color w:val="auto"/>
          <w:sz w:val="24"/>
          <w:szCs w:val="24"/>
          <w:shd w:val="clear" w:color="auto" w:fill="auto"/>
        </w:rPr>
        <w:t>（评审指标9）</w:t>
      </w:r>
    </w:p>
    <w:p w14:paraId="104B32AF">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default" w:ascii="宋体" w:hAnsi="宋体" w:cs="宋体"/>
          <w:b/>
          <w:bCs/>
          <w:color w:val="auto"/>
          <w:sz w:val="24"/>
          <w:szCs w:val="24"/>
          <w:shd w:val="clear" w:color="auto" w:fill="auto"/>
        </w:rPr>
      </w:pPr>
      <w:r>
        <w:rPr>
          <w:rFonts w:hint="default" w:ascii="宋体" w:hAnsi="宋体" w:cs="宋体"/>
          <w:color w:val="auto"/>
          <w:sz w:val="24"/>
          <w:szCs w:val="24"/>
          <w:shd w:val="clear" w:color="auto" w:fill="auto"/>
        </w:rPr>
        <w:t>（4）形成评审结果报告（报告需对每座参评楼宇的评分依据、特色亮点、存在不足、建议提升方向等；做总体点评，每座楼宇的点评不少于400字），上报楼宇经济主管部门。</w:t>
      </w:r>
      <w:r>
        <w:rPr>
          <w:rFonts w:hint="default" w:ascii="宋体" w:hAnsi="宋体" w:cs="宋体"/>
          <w:b/>
          <w:bCs/>
          <w:color w:val="auto"/>
          <w:sz w:val="24"/>
          <w:szCs w:val="24"/>
          <w:shd w:val="clear" w:color="auto" w:fill="auto"/>
        </w:rPr>
        <w:t>（评审指标10）</w:t>
      </w:r>
    </w:p>
    <w:p w14:paraId="2AA30EF3">
      <w:pPr>
        <w:spacing w:line="400" w:lineRule="exact"/>
        <w:jc w:val="left"/>
        <w:rPr>
          <w:rFonts w:cs="宋体" w:asciiTheme="minorEastAsia" w:hAnsiTheme="minorEastAsia" w:eastAsiaTheme="minorEastAsia"/>
          <w:b/>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sz w:val="24"/>
          <w:szCs w:val="24"/>
          <w:highlight w:val="none"/>
          <w14:textFill>
            <w14:solidFill>
              <w14:schemeClr w14:val="tx1"/>
            </w14:solidFill>
          </w14:textFill>
        </w:rPr>
        <w:t>三、商务条件</w:t>
      </w:r>
    </w:p>
    <w:p w14:paraId="1F17E0CA">
      <w:pPr>
        <w:spacing w:beforeLines="0" w:afterLines="0" w:line="400" w:lineRule="exact"/>
        <w:ind w:firstLine="420"/>
        <w:rPr>
          <w:rFonts w:hint="eastAsia" w:ascii="宋体" w:hAnsi="宋体" w:eastAsia="宋体" w:cs="宋体"/>
          <w:kern w:val="0"/>
          <w:sz w:val="24"/>
          <w:szCs w:val="24"/>
        </w:rPr>
      </w:pPr>
      <w:r>
        <w:rPr>
          <w:rFonts w:hint="eastAsia" w:ascii="宋体" w:hAnsi="宋体" w:eastAsia="宋体" w:cs="宋体"/>
          <w:b/>
          <w:kern w:val="0"/>
          <w:sz w:val="24"/>
          <w:szCs w:val="24"/>
        </w:rPr>
        <w:t>1、</w:t>
      </w:r>
      <w:r>
        <w:rPr>
          <w:rFonts w:hint="eastAsia" w:ascii="宋体" w:hAnsi="宋体" w:eastAsia="宋体" w:cs="宋体"/>
          <w:b/>
          <w:sz w:val="24"/>
          <w:szCs w:val="24"/>
        </w:rPr>
        <w:t>交付地点</w:t>
      </w:r>
      <w:r>
        <w:rPr>
          <w:rFonts w:hint="eastAsia" w:ascii="宋体" w:hAnsi="宋体" w:eastAsia="宋体" w:cs="宋体"/>
          <w:sz w:val="24"/>
          <w:szCs w:val="24"/>
        </w:rPr>
        <w:t>：采购人指定地点</w:t>
      </w:r>
    </w:p>
    <w:p w14:paraId="1DA2AF08">
      <w:pPr>
        <w:widowControl/>
        <w:spacing w:beforeLines="0" w:afterLines="0" w:line="400" w:lineRule="exact"/>
        <w:ind w:firstLine="420"/>
        <w:jc w:val="left"/>
        <w:rPr>
          <w:rFonts w:hint="eastAsia" w:ascii="宋体" w:hAnsi="宋体" w:eastAsia="宋体" w:cs="宋体"/>
          <w:kern w:val="0"/>
          <w:sz w:val="24"/>
          <w:szCs w:val="24"/>
        </w:rPr>
      </w:pPr>
      <w:r>
        <w:rPr>
          <w:rFonts w:hint="eastAsia" w:ascii="宋体" w:hAnsi="宋体" w:eastAsia="宋体" w:cs="宋体"/>
          <w:b/>
          <w:kern w:val="0"/>
          <w:sz w:val="24"/>
          <w:szCs w:val="24"/>
        </w:rPr>
        <w:t>2、交付时间：</w:t>
      </w:r>
      <w:r>
        <w:rPr>
          <w:rFonts w:hint="eastAsia" w:ascii="宋体" w:hAnsi="宋体" w:eastAsia="宋体" w:cs="宋体"/>
          <w:kern w:val="0"/>
          <w:sz w:val="24"/>
          <w:szCs w:val="24"/>
        </w:rPr>
        <w:t>自合同签订起至45个日历日内提交评定报告</w:t>
      </w:r>
    </w:p>
    <w:p w14:paraId="3157A3F8">
      <w:pPr>
        <w:widowControl/>
        <w:shd w:val="clear" w:color="auto" w:fill="FFFFFF"/>
        <w:spacing w:beforeLines="0" w:afterLines="0" w:line="400" w:lineRule="exact"/>
        <w:ind w:firstLine="420"/>
        <w:rPr>
          <w:rFonts w:hint="default"/>
          <w:lang w:val="en-US" w:eastAsia="zh-CN"/>
        </w:rPr>
      </w:pPr>
      <w:r>
        <w:rPr>
          <w:rFonts w:hint="eastAsia" w:ascii="宋体" w:hAnsi="宋体" w:cs="宋体"/>
          <w:b/>
          <w:kern w:val="0"/>
          <w:sz w:val="24"/>
          <w:szCs w:val="24"/>
          <w:lang w:val="en-US" w:eastAsia="zh-CN"/>
        </w:rPr>
        <w:t>3、交付条件：</w:t>
      </w:r>
      <w:r>
        <w:rPr>
          <w:rFonts w:hint="eastAsia" w:ascii="宋体" w:hAnsi="宋体" w:cs="宋体"/>
          <w:b w:val="0"/>
          <w:bCs/>
          <w:kern w:val="0"/>
          <w:sz w:val="24"/>
          <w:szCs w:val="24"/>
          <w:lang w:val="en-US" w:eastAsia="zh-CN"/>
        </w:rPr>
        <w:t>采购人验收合格</w:t>
      </w:r>
    </w:p>
    <w:p w14:paraId="3BF60EC7">
      <w:pPr>
        <w:widowControl/>
        <w:shd w:val="clear" w:color="auto" w:fill="FFFFFF"/>
        <w:spacing w:beforeLines="0" w:afterLines="0" w:line="400" w:lineRule="exact"/>
        <w:ind w:firstLine="420"/>
        <w:rPr>
          <w:rFonts w:hint="eastAsia" w:ascii="宋体" w:hAnsi="宋体" w:eastAsia="宋体" w:cs="宋体"/>
          <w:b/>
          <w:kern w:val="0"/>
          <w:sz w:val="24"/>
          <w:szCs w:val="24"/>
          <w:lang w:val="en-US" w:eastAsia="zh-CN"/>
        </w:rPr>
      </w:pPr>
      <w:r>
        <w:rPr>
          <w:rFonts w:hint="eastAsia" w:ascii="宋体" w:hAnsi="宋体" w:cs="宋体"/>
          <w:b/>
          <w:kern w:val="0"/>
          <w:sz w:val="24"/>
          <w:szCs w:val="24"/>
          <w:lang w:val="en-US" w:eastAsia="zh-CN"/>
        </w:rPr>
        <w:t>4、是否邀请投标人验收：</w:t>
      </w:r>
      <w:r>
        <w:rPr>
          <w:rFonts w:hint="eastAsia" w:ascii="宋体" w:hAnsi="宋体" w:cs="宋体"/>
          <w:b w:val="0"/>
          <w:bCs/>
          <w:kern w:val="0"/>
          <w:sz w:val="24"/>
          <w:szCs w:val="24"/>
          <w:lang w:val="en-US" w:eastAsia="zh-CN"/>
        </w:rPr>
        <w:t>不邀请投标人验收</w:t>
      </w:r>
    </w:p>
    <w:p w14:paraId="65737141">
      <w:pPr>
        <w:widowControl/>
        <w:shd w:val="clear" w:color="auto" w:fill="FFFFFF"/>
        <w:spacing w:beforeLines="0" w:afterLines="0" w:line="400" w:lineRule="exact"/>
        <w:ind w:firstLine="420"/>
        <w:rPr>
          <w:rFonts w:hint="eastAsia" w:ascii="宋体" w:hAnsi="宋体" w:eastAsia="宋体" w:cs="宋体"/>
          <w:b/>
          <w:kern w:val="0"/>
          <w:sz w:val="24"/>
          <w:szCs w:val="24"/>
          <w:lang w:val="en-US" w:eastAsia="zh-CN"/>
        </w:rPr>
      </w:pPr>
      <w:r>
        <w:rPr>
          <w:rFonts w:hint="eastAsia" w:ascii="宋体" w:hAnsi="宋体" w:cs="宋体"/>
          <w:b/>
          <w:kern w:val="0"/>
          <w:sz w:val="24"/>
          <w:szCs w:val="24"/>
          <w:lang w:val="en-US" w:eastAsia="zh-CN"/>
        </w:rPr>
        <w:t>5、履约验收方式：</w:t>
      </w:r>
      <w:r>
        <w:rPr>
          <w:rFonts w:hint="eastAsia" w:ascii="宋体" w:hAnsi="宋体" w:cs="宋体"/>
          <w:b w:val="0"/>
          <w:bCs/>
          <w:kern w:val="0"/>
          <w:sz w:val="24"/>
          <w:szCs w:val="24"/>
          <w:lang w:val="en-US" w:eastAsia="zh-CN"/>
        </w:rPr>
        <w:t>1、期次1，说明：按照磋商文件、成交人响应文件、国家相关法律法规和行业标准等相关规定逐项检验。</w:t>
      </w:r>
    </w:p>
    <w:p w14:paraId="4BB8234F">
      <w:pPr>
        <w:widowControl/>
        <w:shd w:val="clear" w:color="auto" w:fill="FFFFFF"/>
        <w:spacing w:beforeLines="0" w:afterLines="0" w:line="400" w:lineRule="exact"/>
        <w:ind w:firstLine="420"/>
        <w:rPr>
          <w:rFonts w:hint="eastAsia" w:ascii="宋体" w:hAnsi="宋体" w:eastAsia="宋体" w:cs="宋体"/>
          <w:b/>
          <w:kern w:val="0"/>
          <w:sz w:val="24"/>
          <w:szCs w:val="24"/>
          <w:lang w:val="en-US" w:eastAsia="zh-CN"/>
        </w:rPr>
      </w:pPr>
      <w:r>
        <w:rPr>
          <w:rFonts w:hint="eastAsia" w:ascii="宋体" w:hAnsi="宋体" w:cs="宋体"/>
          <w:b/>
          <w:kern w:val="0"/>
          <w:sz w:val="24"/>
          <w:szCs w:val="24"/>
          <w:lang w:val="en-US" w:eastAsia="zh-CN"/>
        </w:rPr>
        <w:t>6、支付方式：</w:t>
      </w:r>
      <w:r>
        <w:rPr>
          <w:rFonts w:hint="eastAsia" w:ascii="宋体" w:hAnsi="宋体" w:cs="宋体"/>
          <w:b w:val="0"/>
          <w:bCs/>
          <w:kern w:val="0"/>
          <w:sz w:val="24"/>
          <w:szCs w:val="24"/>
          <w:lang w:val="en-US" w:eastAsia="zh-CN"/>
        </w:rPr>
        <w:t>提交经采购人审核验收合格的评定报告后，采购人一次性支付合同款的100%。</w:t>
      </w:r>
    </w:p>
    <w:p w14:paraId="5E683184">
      <w:pPr>
        <w:pStyle w:val="142"/>
        <w:keepNext w:val="0"/>
        <w:keepLines w:val="0"/>
        <w:pageBreakBefore w:val="0"/>
        <w:widowControl/>
        <w:kinsoku/>
        <w:wordWrap/>
        <w:overflowPunct/>
        <w:topLinePunct w:val="0"/>
        <w:autoSpaceDE/>
        <w:autoSpaceDN/>
        <w:bidi w:val="0"/>
        <w:adjustRightInd/>
        <w:snapToGrid/>
        <w:spacing w:beforeLines="0" w:afterLines="0" w:line="400" w:lineRule="exact"/>
        <w:ind w:firstLine="420"/>
        <w:textAlignment w:val="auto"/>
        <w:rPr>
          <w:rFonts w:hint="eastAsia"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lang w:eastAsia="zh-CN"/>
        </w:rPr>
        <w:t>7、</w:t>
      </w:r>
      <w:r>
        <w:rPr>
          <w:rFonts w:hint="eastAsia" w:ascii="宋体" w:hAnsi="宋体" w:cs="宋体"/>
          <w:b/>
          <w:bCs/>
          <w:color w:val="333333"/>
          <w:sz w:val="24"/>
          <w:szCs w:val="24"/>
          <w:shd w:val="clear" w:color="auto" w:fill="FFFFFF"/>
        </w:rPr>
        <w:t>违约责任</w:t>
      </w:r>
    </w:p>
    <w:p w14:paraId="21ED7B3F">
      <w:pPr>
        <w:pStyle w:val="142"/>
        <w:keepNext w:val="0"/>
        <w:keepLines w:val="0"/>
        <w:pageBreakBefore w:val="0"/>
        <w:widowControl/>
        <w:kinsoku/>
        <w:wordWrap/>
        <w:overflowPunct/>
        <w:topLinePunct w:val="0"/>
        <w:autoSpaceDE/>
        <w:autoSpaceDN/>
        <w:bidi w:val="0"/>
        <w:adjustRightInd/>
        <w:snapToGrid/>
        <w:spacing w:beforeLines="0" w:afterLines="0" w:line="400" w:lineRule="exact"/>
        <w:ind w:firstLine="420"/>
        <w:textAlignment w:val="auto"/>
        <w:rPr>
          <w:rFonts w:hint="eastAsia"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eastAsia="zh-CN"/>
        </w:rPr>
        <w:t>7.1</w:t>
      </w:r>
      <w:r>
        <w:rPr>
          <w:rFonts w:hint="eastAsia" w:ascii="宋体" w:hAnsi="宋体" w:cs="宋体"/>
          <w:color w:val="333333"/>
          <w:sz w:val="24"/>
          <w:szCs w:val="24"/>
          <w:shd w:val="clear" w:color="auto" w:fill="FFFFFF"/>
        </w:rPr>
        <w:t>合同签订后，如果成交人擅自中途停止或解除合同，或者因成交人违约导致采购人解除合同的，成交人应向采购人赔偿已付服务费的100%，并归还采购人预付的全部服务费。</w:t>
      </w:r>
    </w:p>
    <w:p w14:paraId="72032381">
      <w:pPr>
        <w:pStyle w:val="142"/>
        <w:keepNext w:val="0"/>
        <w:keepLines w:val="0"/>
        <w:pageBreakBefore w:val="0"/>
        <w:widowControl/>
        <w:kinsoku/>
        <w:wordWrap/>
        <w:overflowPunct/>
        <w:topLinePunct w:val="0"/>
        <w:autoSpaceDE/>
        <w:autoSpaceDN/>
        <w:bidi w:val="0"/>
        <w:adjustRightInd/>
        <w:snapToGrid/>
        <w:spacing w:beforeLines="0" w:afterLines="0" w:line="400" w:lineRule="exact"/>
        <w:ind w:firstLine="420"/>
        <w:textAlignment w:val="auto"/>
        <w:rPr>
          <w:rFonts w:hint="eastAsia"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eastAsia="zh-CN"/>
        </w:rPr>
        <w:t>7.2</w:t>
      </w:r>
      <w:r>
        <w:rPr>
          <w:rFonts w:hint="eastAsia" w:ascii="宋体" w:hAnsi="宋体" w:cs="宋体"/>
          <w:color w:val="333333"/>
          <w:sz w:val="24"/>
          <w:szCs w:val="24"/>
          <w:shd w:val="clear" w:color="auto" w:fill="FFFFFF"/>
        </w:rPr>
        <w:t>成交人未能按合同规定的日期完成任务，应向采购人赔偿拖期损失费，每天的拖期损失费按每逾期一天违约金1000元计算, 核定拖延项目完成日期最多不得超过30天。如果成交人在核定的拖延日期最后时限仍不能交付合格成果的，采购人有权因成交人违约解除合同，而成交人仍有义务支付上述核定的违约金。经采购人确认属于因客观原因造成拖期的，成交人不承担赔偿责任。</w:t>
      </w:r>
    </w:p>
    <w:p w14:paraId="1DF8DD8A">
      <w:pPr>
        <w:pStyle w:val="142"/>
        <w:keepNext w:val="0"/>
        <w:keepLines w:val="0"/>
        <w:pageBreakBefore w:val="0"/>
        <w:widowControl/>
        <w:kinsoku/>
        <w:wordWrap/>
        <w:overflowPunct/>
        <w:topLinePunct w:val="0"/>
        <w:autoSpaceDE/>
        <w:autoSpaceDN/>
        <w:bidi w:val="0"/>
        <w:adjustRightInd/>
        <w:snapToGrid/>
        <w:spacing w:beforeLines="0" w:afterLines="0" w:line="400" w:lineRule="exact"/>
        <w:ind w:firstLine="420"/>
        <w:textAlignment w:val="auto"/>
        <w:rPr>
          <w:rFonts w:hint="eastAsia"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eastAsia="zh-CN"/>
        </w:rPr>
        <w:t>7</w:t>
      </w:r>
      <w:r>
        <w:rPr>
          <w:rFonts w:hint="eastAsia" w:ascii="宋体" w:hAnsi="宋体" w:cs="宋体"/>
          <w:color w:val="333333"/>
          <w:sz w:val="24"/>
          <w:szCs w:val="24"/>
          <w:shd w:val="clear" w:color="auto" w:fill="FFFFFF"/>
        </w:rPr>
        <w:t>.</w:t>
      </w:r>
      <w:r>
        <w:rPr>
          <w:rFonts w:hint="eastAsia" w:ascii="宋体" w:hAnsi="宋体" w:cs="宋体"/>
          <w:color w:val="333333"/>
          <w:sz w:val="24"/>
          <w:szCs w:val="24"/>
          <w:shd w:val="clear" w:color="auto" w:fill="FFFFFF"/>
          <w:lang w:eastAsia="zh-CN"/>
        </w:rPr>
        <w:t>3</w:t>
      </w:r>
      <w:r>
        <w:rPr>
          <w:rFonts w:hint="eastAsia" w:ascii="宋体" w:hAnsi="宋体" w:cs="宋体"/>
          <w:color w:val="333333"/>
          <w:sz w:val="24"/>
          <w:szCs w:val="24"/>
          <w:shd w:val="clear" w:color="auto" w:fill="FFFFFF"/>
        </w:rPr>
        <w:t>成交人所履行的服务不符合合同规定及</w:t>
      </w:r>
      <w:r>
        <w:rPr>
          <w:rFonts w:hint="eastAsia" w:ascii="宋体" w:hAnsi="宋体" w:cs="宋体"/>
          <w:color w:val="333333"/>
          <w:sz w:val="24"/>
          <w:szCs w:val="24"/>
          <w:shd w:val="clear" w:color="auto" w:fill="FFFFFF"/>
          <w:lang w:eastAsia="zh-CN"/>
        </w:rPr>
        <w:t>磋商文件</w:t>
      </w:r>
      <w:r>
        <w:rPr>
          <w:rFonts w:hint="eastAsia" w:ascii="宋体" w:hAnsi="宋体" w:cs="宋体"/>
          <w:color w:val="333333"/>
          <w:sz w:val="24"/>
          <w:szCs w:val="24"/>
          <w:shd w:val="clear" w:color="auto" w:fill="FFFFFF"/>
        </w:rPr>
        <w:t>规定标准的，采购人有权拒绝，成交人愿意整改但逾期履行的，按成交人逾期履行处理。成交人拒绝整改的，视为成交人不按合同约定履约。</w:t>
      </w:r>
    </w:p>
    <w:p w14:paraId="4D274371">
      <w:pPr>
        <w:pStyle w:val="142"/>
        <w:keepNext w:val="0"/>
        <w:keepLines w:val="0"/>
        <w:pageBreakBefore w:val="0"/>
        <w:widowControl/>
        <w:kinsoku/>
        <w:wordWrap/>
        <w:overflowPunct/>
        <w:topLinePunct w:val="0"/>
        <w:autoSpaceDE/>
        <w:autoSpaceDN/>
        <w:bidi w:val="0"/>
        <w:adjustRightInd/>
        <w:snapToGrid/>
        <w:spacing w:beforeLines="0" w:afterLines="0" w:line="400" w:lineRule="exact"/>
        <w:ind w:firstLine="420"/>
        <w:jc w:val="both"/>
        <w:textAlignment w:val="auto"/>
        <w:rPr>
          <w:rFonts w:hint="eastAsia" w:ascii="宋体" w:hAnsi="宋体" w:cs="宋体"/>
          <w:sz w:val="24"/>
          <w:szCs w:val="24"/>
        </w:rPr>
      </w:pPr>
      <w:r>
        <w:rPr>
          <w:rFonts w:hint="eastAsia" w:ascii="宋体" w:hAnsi="宋体" w:cs="宋体"/>
          <w:color w:val="333333"/>
          <w:sz w:val="24"/>
          <w:szCs w:val="24"/>
          <w:shd w:val="clear" w:color="auto" w:fill="FFFFFF"/>
          <w:lang w:eastAsia="zh-CN"/>
        </w:rPr>
        <w:t>7</w:t>
      </w:r>
      <w:r>
        <w:rPr>
          <w:rFonts w:hint="eastAsia" w:ascii="宋体" w:hAnsi="宋体" w:cs="宋体"/>
          <w:color w:val="333333"/>
          <w:sz w:val="24"/>
          <w:szCs w:val="24"/>
          <w:shd w:val="clear" w:color="auto" w:fill="FFFFFF"/>
        </w:rPr>
        <w:t>.</w:t>
      </w:r>
      <w:r>
        <w:rPr>
          <w:rFonts w:hint="eastAsia" w:ascii="宋体" w:hAnsi="宋体" w:cs="宋体"/>
          <w:color w:val="333333"/>
          <w:sz w:val="24"/>
          <w:szCs w:val="24"/>
          <w:shd w:val="clear" w:color="auto" w:fill="FFFFFF"/>
          <w:lang w:eastAsia="zh-CN"/>
        </w:rPr>
        <w:t>4</w:t>
      </w:r>
      <w:r>
        <w:rPr>
          <w:rFonts w:hint="eastAsia" w:ascii="宋体" w:hAnsi="宋体" w:cs="宋体"/>
          <w:color w:val="333333"/>
          <w:sz w:val="24"/>
          <w:szCs w:val="24"/>
          <w:shd w:val="clear" w:color="auto" w:fill="FFFFFF"/>
        </w:rPr>
        <w:t>成交人所履行的服务不符合合同规定及</w:t>
      </w:r>
      <w:r>
        <w:rPr>
          <w:rFonts w:hint="eastAsia" w:ascii="宋体" w:hAnsi="宋体" w:cs="宋体"/>
          <w:color w:val="333333"/>
          <w:sz w:val="24"/>
          <w:szCs w:val="24"/>
          <w:shd w:val="clear" w:color="auto" w:fill="FFFFFF"/>
          <w:lang w:eastAsia="zh-CN"/>
        </w:rPr>
        <w:t>磋商文件</w:t>
      </w:r>
      <w:r>
        <w:rPr>
          <w:rFonts w:hint="eastAsia" w:ascii="宋体" w:hAnsi="宋体" w:cs="宋体"/>
          <w:color w:val="333333"/>
          <w:sz w:val="24"/>
          <w:szCs w:val="24"/>
          <w:shd w:val="clear" w:color="auto" w:fill="FFFFFF"/>
        </w:rPr>
        <w:t>规定标准的，采购人有权拒绝成交人的整改申请，并视为成交人不按合同约定履约。</w:t>
      </w:r>
    </w:p>
    <w:p w14:paraId="06B9098A">
      <w:pPr>
        <w:pStyle w:val="142"/>
        <w:keepNext w:val="0"/>
        <w:keepLines w:val="0"/>
        <w:pageBreakBefore w:val="0"/>
        <w:widowControl/>
        <w:kinsoku/>
        <w:wordWrap/>
        <w:overflowPunct/>
        <w:topLinePunct w:val="0"/>
        <w:autoSpaceDE/>
        <w:autoSpaceDN/>
        <w:bidi w:val="0"/>
        <w:adjustRightInd/>
        <w:snapToGrid/>
        <w:spacing w:beforeLines="0" w:afterLines="0" w:line="400" w:lineRule="exact"/>
        <w:ind w:firstLine="420"/>
        <w:jc w:val="both"/>
        <w:textAlignment w:val="auto"/>
        <w:rPr>
          <w:rFonts w:hint="eastAsia" w:ascii="宋体" w:hAnsi="宋体" w:cs="宋体"/>
          <w:sz w:val="24"/>
          <w:szCs w:val="24"/>
          <w:lang w:eastAsia="zh-CN"/>
        </w:rPr>
      </w:pPr>
      <w:r>
        <w:rPr>
          <w:rFonts w:hint="eastAsia" w:ascii="宋体" w:hAnsi="宋体" w:cs="宋体"/>
          <w:color w:val="333333"/>
          <w:sz w:val="24"/>
          <w:szCs w:val="24"/>
          <w:shd w:val="clear" w:color="auto" w:fill="FFFFFF"/>
          <w:lang w:eastAsia="zh-CN"/>
        </w:rPr>
        <w:t>7</w:t>
      </w:r>
      <w:r>
        <w:rPr>
          <w:rFonts w:hint="eastAsia" w:ascii="宋体" w:hAnsi="宋体" w:cs="宋体"/>
          <w:color w:val="333333"/>
          <w:sz w:val="24"/>
          <w:szCs w:val="24"/>
          <w:shd w:val="clear" w:color="auto" w:fill="FFFFFF"/>
        </w:rPr>
        <w:t>.</w:t>
      </w:r>
      <w:r>
        <w:rPr>
          <w:rFonts w:hint="eastAsia" w:ascii="宋体" w:hAnsi="宋体" w:cs="宋体"/>
          <w:color w:val="333333"/>
          <w:sz w:val="24"/>
          <w:szCs w:val="24"/>
          <w:shd w:val="clear" w:color="auto" w:fill="FFFFFF"/>
          <w:lang w:eastAsia="zh-CN"/>
        </w:rPr>
        <w:t>5</w:t>
      </w:r>
      <w:r>
        <w:rPr>
          <w:rFonts w:hint="eastAsia" w:ascii="宋体" w:hAnsi="宋体" w:cs="宋体"/>
          <w:color w:val="333333"/>
          <w:sz w:val="24"/>
          <w:szCs w:val="24"/>
          <w:shd w:val="clear" w:color="auto" w:fill="FFFFFF"/>
        </w:rPr>
        <w:t>成交人未能履行合同和</w:t>
      </w:r>
      <w:r>
        <w:rPr>
          <w:rFonts w:hint="eastAsia" w:ascii="宋体" w:hAnsi="宋体" w:cs="宋体"/>
          <w:color w:val="333333"/>
          <w:sz w:val="24"/>
          <w:szCs w:val="24"/>
          <w:shd w:val="clear" w:color="auto" w:fill="FFFFFF"/>
          <w:lang w:eastAsia="zh-CN"/>
        </w:rPr>
        <w:t>磋商</w:t>
      </w:r>
      <w:r>
        <w:rPr>
          <w:rFonts w:hint="eastAsia" w:ascii="宋体" w:hAnsi="宋体" w:cs="宋体"/>
          <w:color w:val="333333"/>
          <w:sz w:val="24"/>
          <w:szCs w:val="24"/>
          <w:shd w:val="clear" w:color="auto" w:fill="FFFFFF"/>
        </w:rPr>
        <w:t>文件、</w:t>
      </w:r>
      <w:r>
        <w:rPr>
          <w:rFonts w:hint="eastAsia" w:ascii="宋体" w:hAnsi="宋体" w:cs="宋体"/>
          <w:color w:val="333333"/>
          <w:sz w:val="24"/>
          <w:szCs w:val="24"/>
          <w:shd w:val="clear" w:color="auto" w:fill="FFFFFF"/>
          <w:lang w:eastAsia="zh-CN"/>
        </w:rPr>
        <w:t>响应</w:t>
      </w:r>
      <w:r>
        <w:rPr>
          <w:rFonts w:hint="eastAsia" w:ascii="宋体" w:hAnsi="宋体" w:cs="宋体"/>
          <w:color w:val="333333"/>
          <w:sz w:val="24"/>
          <w:szCs w:val="24"/>
          <w:shd w:val="clear" w:color="auto" w:fill="FFFFFF"/>
        </w:rPr>
        <w:t>文件规定的其他任何义务和承诺的，均视为成交人不按合同约定履约</w:t>
      </w:r>
      <w:r>
        <w:rPr>
          <w:rFonts w:hint="eastAsia" w:ascii="宋体" w:hAnsi="宋体" w:cs="宋体"/>
          <w:color w:val="333333"/>
          <w:sz w:val="24"/>
          <w:szCs w:val="24"/>
          <w:shd w:val="clear" w:color="auto" w:fill="FFFFFF"/>
          <w:lang w:eastAsia="zh-CN"/>
        </w:rPr>
        <w:t>。</w:t>
      </w:r>
    </w:p>
    <w:p w14:paraId="571C5203">
      <w:pPr>
        <w:pStyle w:val="142"/>
        <w:keepNext w:val="0"/>
        <w:keepLines w:val="0"/>
        <w:pageBreakBefore w:val="0"/>
        <w:widowControl/>
        <w:kinsoku/>
        <w:wordWrap/>
        <w:overflowPunct/>
        <w:topLinePunct w:val="0"/>
        <w:autoSpaceDE/>
        <w:autoSpaceDN/>
        <w:bidi w:val="0"/>
        <w:adjustRightInd/>
        <w:snapToGrid/>
        <w:spacing w:beforeLines="0" w:afterLines="0" w:line="400" w:lineRule="exact"/>
        <w:ind w:firstLine="480"/>
        <w:jc w:val="both"/>
        <w:textAlignment w:val="auto"/>
        <w:rPr>
          <w:rFonts w:hint="eastAsia" w:ascii="宋体" w:hAnsi="宋体" w:cs="宋体"/>
          <w:b/>
          <w:bCs/>
          <w:sz w:val="24"/>
          <w:szCs w:val="24"/>
        </w:rPr>
      </w:pPr>
      <w:r>
        <w:rPr>
          <w:rFonts w:hint="eastAsia" w:ascii="宋体" w:hAnsi="宋体" w:cs="宋体"/>
          <w:b/>
          <w:bCs/>
          <w:sz w:val="24"/>
          <w:szCs w:val="24"/>
          <w:lang w:eastAsia="zh-CN"/>
        </w:rPr>
        <w:t>8</w:t>
      </w:r>
      <w:r>
        <w:rPr>
          <w:rFonts w:hint="eastAsia" w:ascii="宋体" w:hAnsi="宋体" w:cs="宋体"/>
          <w:b/>
          <w:bCs/>
          <w:sz w:val="24"/>
          <w:szCs w:val="24"/>
        </w:rPr>
        <w:t>、解决争议的方法</w:t>
      </w:r>
    </w:p>
    <w:p w14:paraId="4D7C7FEE">
      <w:pPr>
        <w:pStyle w:val="142"/>
        <w:keepNext w:val="0"/>
        <w:keepLines w:val="0"/>
        <w:pageBreakBefore w:val="0"/>
        <w:widowControl/>
        <w:kinsoku/>
        <w:wordWrap/>
        <w:overflowPunct/>
        <w:topLinePunct w:val="0"/>
        <w:autoSpaceDE/>
        <w:autoSpaceDN/>
        <w:bidi w:val="0"/>
        <w:adjustRightInd/>
        <w:snapToGrid/>
        <w:spacing w:beforeLines="0" w:afterLines="0" w:line="400" w:lineRule="exact"/>
        <w:ind w:firstLine="480"/>
        <w:jc w:val="both"/>
        <w:textAlignment w:val="auto"/>
        <w:rPr>
          <w:rFonts w:hint="eastAsia" w:ascii="宋体" w:hAnsi="宋体" w:cs="宋体"/>
          <w:sz w:val="24"/>
          <w:szCs w:val="24"/>
          <w:lang w:eastAsia="zh-CN"/>
        </w:rPr>
      </w:pPr>
      <w:r>
        <w:rPr>
          <w:rFonts w:hint="eastAsia" w:ascii="宋体" w:hAnsi="宋体" w:cs="宋体"/>
          <w:sz w:val="24"/>
          <w:szCs w:val="24"/>
          <w:shd w:val="clear" w:color="auto" w:fill="FFFFFF"/>
          <w:lang w:eastAsia="zh-CN"/>
        </w:rPr>
        <w:t>8</w:t>
      </w:r>
      <w:r>
        <w:rPr>
          <w:rFonts w:hint="eastAsia" w:ascii="宋体" w:hAnsi="宋体" w:cs="宋体"/>
          <w:sz w:val="24"/>
          <w:szCs w:val="24"/>
          <w:shd w:val="clear" w:color="auto" w:fill="FFFFFF"/>
        </w:rPr>
        <w:t>.1双方协商解决</w:t>
      </w:r>
      <w:r>
        <w:rPr>
          <w:rFonts w:hint="eastAsia" w:ascii="宋体" w:hAnsi="宋体" w:cs="宋体"/>
          <w:sz w:val="24"/>
          <w:szCs w:val="24"/>
          <w:shd w:val="clear" w:color="auto" w:fill="FFFFFF"/>
          <w:lang w:eastAsia="zh-CN"/>
        </w:rPr>
        <w:t>。</w:t>
      </w:r>
    </w:p>
    <w:p w14:paraId="0DEABD5F">
      <w:pPr>
        <w:pStyle w:val="142"/>
        <w:keepNext w:val="0"/>
        <w:keepLines w:val="0"/>
        <w:pageBreakBefore w:val="0"/>
        <w:widowControl/>
        <w:kinsoku/>
        <w:wordWrap/>
        <w:overflowPunct/>
        <w:topLinePunct w:val="0"/>
        <w:autoSpaceDE/>
        <w:autoSpaceDN/>
        <w:bidi w:val="0"/>
        <w:adjustRightInd/>
        <w:snapToGrid/>
        <w:spacing w:beforeLines="0" w:afterLines="0" w:line="400" w:lineRule="exact"/>
        <w:ind w:firstLine="480"/>
        <w:jc w:val="both"/>
        <w:textAlignment w:val="auto"/>
        <w:rPr>
          <w:rFonts w:hint="eastAsia" w:ascii="宋体" w:hAnsi="宋体" w:cs="宋体"/>
          <w:sz w:val="24"/>
          <w:szCs w:val="24"/>
        </w:rPr>
      </w:pPr>
      <w:r>
        <w:rPr>
          <w:rFonts w:hint="eastAsia" w:ascii="宋体" w:hAnsi="宋体" w:cs="宋体"/>
          <w:sz w:val="24"/>
          <w:szCs w:val="24"/>
          <w:shd w:val="clear" w:color="auto" w:fill="FFFFFF"/>
          <w:lang w:eastAsia="zh-CN"/>
        </w:rPr>
        <w:t>8</w:t>
      </w:r>
      <w:r>
        <w:rPr>
          <w:rFonts w:hint="eastAsia" w:ascii="宋体" w:hAnsi="宋体" w:cs="宋体"/>
          <w:sz w:val="24"/>
          <w:szCs w:val="24"/>
          <w:shd w:val="clear" w:color="auto" w:fill="FFFFFF"/>
        </w:rPr>
        <w:t>.2若协商解决不成，则通过下列途径解决：向采购人所在地的人民法院提起诉讼。</w:t>
      </w:r>
    </w:p>
    <w:p w14:paraId="65B1C919">
      <w:pPr>
        <w:pStyle w:val="142"/>
        <w:keepNext w:val="0"/>
        <w:keepLines w:val="0"/>
        <w:pageBreakBefore w:val="0"/>
        <w:widowControl/>
        <w:kinsoku/>
        <w:wordWrap/>
        <w:overflowPunct/>
        <w:topLinePunct w:val="0"/>
        <w:autoSpaceDE/>
        <w:autoSpaceDN/>
        <w:bidi w:val="0"/>
        <w:adjustRightInd/>
        <w:snapToGrid/>
        <w:spacing w:beforeLines="0" w:afterLines="0" w:line="400" w:lineRule="exact"/>
        <w:ind w:firstLine="480"/>
        <w:jc w:val="both"/>
        <w:textAlignment w:val="auto"/>
        <w:rPr>
          <w:rFonts w:hint="eastAsia" w:ascii="宋体" w:hAnsi="宋体" w:cs="宋体"/>
          <w:sz w:val="24"/>
          <w:szCs w:val="24"/>
        </w:rPr>
      </w:pPr>
      <w:r>
        <w:rPr>
          <w:rFonts w:hint="eastAsia" w:ascii="宋体" w:hAnsi="宋体" w:cs="宋体"/>
          <w:sz w:val="24"/>
          <w:szCs w:val="24"/>
          <w:shd w:val="clear" w:color="auto" w:fill="FFFFFF"/>
          <w:lang w:eastAsia="zh-CN"/>
        </w:rPr>
        <w:t>8.3</w:t>
      </w:r>
      <w:r>
        <w:rPr>
          <w:rFonts w:hint="eastAsia" w:ascii="宋体" w:hAnsi="宋体" w:cs="宋体"/>
          <w:sz w:val="24"/>
          <w:szCs w:val="24"/>
          <w:shd w:val="clear" w:color="auto" w:fill="FFFFFF"/>
        </w:rPr>
        <w:t>若任何第三方针对成交人根据本项目提供的成果及服务行为提出知识产权侵权指控，成交人须与第三方交涉并承担由此而引起的一切法律责任和费用。如果采购人因为第三方的侵权指控遭受了损失（包括但不限于律师费、诉讼费、生效法律文书要求采购人承担法律责任等），采购人有权向成交人追偿。</w:t>
      </w:r>
    </w:p>
    <w:p w14:paraId="53FC19AF">
      <w:pPr>
        <w:widowControl/>
        <w:shd w:val="clear" w:color="auto" w:fill="FFFFFF"/>
        <w:spacing w:line="400" w:lineRule="exact"/>
        <w:rPr>
          <w:rFonts w:cs="宋体" w:asciiTheme="minorEastAsia" w:hAnsiTheme="minorEastAsia" w:eastAsiaTheme="minorEastAsia"/>
          <w:b/>
          <w:kern w:val="0"/>
          <w:sz w:val="24"/>
          <w:szCs w:val="24"/>
          <w:highlight w:val="none"/>
        </w:rPr>
      </w:pPr>
      <w:r>
        <w:rPr>
          <w:rFonts w:hint="eastAsia" w:cs="宋体" w:asciiTheme="minorEastAsia" w:hAnsiTheme="minorEastAsia" w:eastAsiaTheme="minorEastAsia"/>
          <w:b/>
          <w:kern w:val="0"/>
          <w:sz w:val="24"/>
          <w:szCs w:val="24"/>
          <w:highlight w:val="none"/>
        </w:rPr>
        <w:t>四、其他事项</w:t>
      </w:r>
    </w:p>
    <w:p w14:paraId="6EC3370F">
      <w:pPr>
        <w:widowControl/>
        <w:spacing w:line="400" w:lineRule="exact"/>
        <w:ind w:firstLine="480" w:firstLineChars="200"/>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1、除磋商文件另有规定外，若出现有关法律、法规和规章有强制性规定但磋商文件未列明的情形，则供应商应按照有关法律、法规和规章强制性规定执行。</w:t>
      </w:r>
    </w:p>
    <w:p w14:paraId="15F6EE10">
      <w:pPr>
        <w:widowControl/>
        <w:spacing w:line="400" w:lineRule="exact"/>
        <w:ind w:firstLine="480" w:firstLineChars="200"/>
        <w:jc w:val="left"/>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2、本项目不允许成交人以任何名义和理由进行转包，如有发现，视为成交人违约，成交人违约对采购人</w:t>
      </w:r>
      <w:r>
        <w:rPr>
          <w:rFonts w:hint="eastAsia" w:cs="宋体" w:asciiTheme="minorEastAsia" w:hAnsiTheme="minorEastAsia" w:eastAsiaTheme="minorEastAsia"/>
          <w:bCs/>
          <w:sz w:val="24"/>
          <w:szCs w:val="24"/>
          <w:highlight w:val="none"/>
          <w:lang w:eastAsia="zh-CN"/>
        </w:rPr>
        <w:t>造成</w:t>
      </w:r>
      <w:r>
        <w:rPr>
          <w:rFonts w:hint="eastAsia" w:cs="宋体" w:asciiTheme="minorEastAsia" w:hAnsiTheme="minorEastAsia" w:eastAsiaTheme="minorEastAsia"/>
          <w:bCs/>
          <w:sz w:val="24"/>
          <w:szCs w:val="24"/>
          <w:highlight w:val="none"/>
        </w:rPr>
        <w:t>损失的，需另行支付相应的赔偿并追究相关法律责任。</w:t>
      </w:r>
    </w:p>
    <w:p w14:paraId="791DE173">
      <w:pPr>
        <w:pStyle w:val="142"/>
        <w:ind w:firstLine="482"/>
        <w:rPr>
          <w:rFonts w:hint="default" w:ascii="宋体" w:hAnsi="宋体" w:eastAsia="宋体" w:cs="宋体"/>
          <w:b/>
          <w:sz w:val="24"/>
          <w:szCs w:val="24"/>
          <w:highlight w:val="yellow"/>
          <w:shd w:val="clear" w:color="auto" w:fill="FFFFFF"/>
        </w:rPr>
      </w:pPr>
    </w:p>
    <w:p w14:paraId="28BDD28F">
      <w:pPr>
        <w:widowControl/>
        <w:jc w:val="left"/>
        <w:rPr>
          <w:rFonts w:cs="宋体" w:asciiTheme="minorEastAsia" w:hAnsiTheme="minorEastAsia" w:eastAsiaTheme="minorEastAsia"/>
          <w:b/>
          <w:sz w:val="32"/>
          <w:szCs w:val="32"/>
          <w:highlight w:val="yellow"/>
        </w:rPr>
      </w:pPr>
      <w:bookmarkStart w:id="70" w:name="_Toc164434232"/>
      <w:r>
        <w:rPr>
          <w:rFonts w:cs="宋体" w:asciiTheme="minorEastAsia" w:hAnsiTheme="minorEastAsia" w:eastAsiaTheme="minorEastAsia"/>
          <w:b/>
          <w:sz w:val="32"/>
          <w:szCs w:val="32"/>
          <w:highlight w:val="yellow"/>
        </w:rPr>
        <w:br w:type="page"/>
      </w:r>
    </w:p>
    <w:p w14:paraId="23487B84">
      <w:pPr>
        <w:widowControl/>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第四章</w:t>
      </w:r>
      <w:bookmarkEnd w:id="41"/>
      <w:r>
        <w:rPr>
          <w:rFonts w:hint="eastAsia" w:cs="宋体" w:asciiTheme="minorEastAsia" w:hAnsiTheme="minorEastAsia" w:eastAsiaTheme="minorEastAsia"/>
          <w:b/>
          <w:sz w:val="32"/>
          <w:szCs w:val="32"/>
        </w:rPr>
        <w:t xml:space="preserve">  政府采购合同（参考文本）</w:t>
      </w:r>
      <w:bookmarkEnd w:id="70"/>
    </w:p>
    <w:p w14:paraId="3E106DBE">
      <w:pPr>
        <w:widowControl/>
        <w:jc w:val="center"/>
        <w:rPr>
          <w:rFonts w:asciiTheme="minorEastAsia" w:hAnsiTheme="minorEastAsia" w:eastAsiaTheme="minorEastAsia"/>
          <w:b/>
          <w:kern w:val="0"/>
          <w:sz w:val="24"/>
        </w:rPr>
      </w:pPr>
    </w:p>
    <w:p w14:paraId="48D0AB6C">
      <w:pPr>
        <w:widowControl/>
        <w:spacing w:line="4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福建省政府采购合同（服务类）</w:t>
      </w:r>
    </w:p>
    <w:p w14:paraId="47D4D688">
      <w:pPr>
        <w:widowControl/>
        <w:spacing w:line="4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编制说明</w:t>
      </w:r>
      <w:r>
        <w:rPr>
          <w:rFonts w:hint="eastAsia" w:asciiTheme="minorEastAsia" w:hAnsiTheme="minorEastAsia" w:eastAsiaTheme="minorEastAsia" w:cstheme="minorEastAsia"/>
          <w:kern w:val="0"/>
          <w:sz w:val="24"/>
          <w:szCs w:val="24"/>
        </w:rPr>
        <w:br w:type="textWrapping"/>
      </w:r>
    </w:p>
    <w:p w14:paraId="30C2678E">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1.签订合同应遵守《中华人民共和国政府采购法》及其实施条例、《中华人民共和国民法典》等法律法规及其他有关规定。</w:t>
      </w:r>
    </w:p>
    <w:p w14:paraId="00C13A67">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2.签订合同时，采购人与中标(成交)人应结合采购文件规定填列相应内容。采购文件已有约定的，双方均不得对约定进行变更或调整；采购文件未作规定的，双方可通过友好协商进行约定。</w:t>
      </w:r>
    </w:p>
    <w:p w14:paraId="6B1BD297">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3.政府有关主管部门对若干合同有规范文本的，可使用相应合同文本。</w:t>
      </w:r>
    </w:p>
    <w:p w14:paraId="5D49A3C9">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4.本合同范本仅供参考，采购人应当根据采购项目的实际需求对合同条款进行修改、补充。</w:t>
      </w:r>
    </w:p>
    <w:p w14:paraId="76078080">
      <w:pPr>
        <w:widowControl/>
        <w:spacing w:line="400" w:lineRule="exact"/>
        <w:jc w:val="left"/>
        <w:rPr>
          <w:rFonts w:asciiTheme="minorEastAsia" w:hAnsiTheme="minorEastAsia" w:eastAsiaTheme="minorEastAsia" w:cstheme="minorEastAsia"/>
          <w:kern w:val="0"/>
          <w:sz w:val="24"/>
          <w:szCs w:val="24"/>
        </w:rPr>
      </w:pPr>
    </w:p>
    <w:p w14:paraId="78A6C348">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甲方：</w:t>
      </w:r>
    </w:p>
    <w:p w14:paraId="5DEDF4B8">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住所地：________________</w:t>
      </w:r>
    </w:p>
    <w:p w14:paraId="51C71CC0">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联系人：________________</w:t>
      </w:r>
    </w:p>
    <w:p w14:paraId="0784FAE9">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联系电话：______________</w:t>
      </w:r>
    </w:p>
    <w:p w14:paraId="31B8C38B">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传真：________________</w:t>
      </w:r>
    </w:p>
    <w:p w14:paraId="5D418299">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电子邮箱：________________</w:t>
      </w:r>
      <w:r>
        <w:rPr>
          <w:rFonts w:hint="eastAsia" w:asciiTheme="minorEastAsia" w:hAnsiTheme="minorEastAsia" w:eastAsiaTheme="minorEastAsia" w:cstheme="minorEastAsia"/>
          <w:kern w:val="0"/>
          <w:sz w:val="24"/>
          <w:szCs w:val="24"/>
        </w:rPr>
        <w:br w:type="textWrapping"/>
      </w:r>
    </w:p>
    <w:p w14:paraId="1CAF8F22">
      <w:pPr>
        <w:widowControl/>
        <w:spacing w:line="400" w:lineRule="exact"/>
        <w:jc w:val="left"/>
        <w:rPr>
          <w:rFonts w:asciiTheme="minorEastAsia" w:hAnsiTheme="minorEastAsia" w:eastAsiaTheme="minorEastAsia" w:cstheme="minorEastAsia"/>
          <w:kern w:val="0"/>
          <w:sz w:val="24"/>
          <w:szCs w:val="24"/>
        </w:rPr>
      </w:pPr>
    </w:p>
    <w:p w14:paraId="1336F37B">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乙方：________________</w:t>
      </w:r>
    </w:p>
    <w:p w14:paraId="315227AB">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住所地：________________</w:t>
      </w:r>
    </w:p>
    <w:p w14:paraId="3F932FE9">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联系人：______________</w:t>
      </w:r>
    </w:p>
    <w:p w14:paraId="400A826B">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联系电话：______________</w:t>
      </w:r>
    </w:p>
    <w:p w14:paraId="5D0C66F1">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传真：________________</w:t>
      </w:r>
    </w:p>
    <w:p w14:paraId="76A5E506">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电子邮箱：________________</w:t>
      </w:r>
    </w:p>
    <w:p w14:paraId="5117D21B">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根据招标编号为___________的__________项目（以下简称：“本项目”）的采购结果，遵循平等、自愿、公平和诚实信用的原则，双方签署本合同，具体内容如下：</w:t>
      </w:r>
    </w:p>
    <w:p w14:paraId="2AC3943C">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一、合同组成部分</w:t>
      </w:r>
    </w:p>
    <w:p w14:paraId="708881BB">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1.1本合同条款及附件；</w:t>
      </w:r>
    </w:p>
    <w:p w14:paraId="4270A852">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1.2采购文件及其附件、补充文件；</w:t>
      </w:r>
    </w:p>
    <w:p w14:paraId="4B3991CE">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1.3乙方的响应文件及其附件、补充文件；</w:t>
      </w:r>
    </w:p>
    <w:p w14:paraId="72007AFB">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1.4其他文件或材料：</w:t>
      </w:r>
    </w:p>
    <w:p w14:paraId="6ACD4E77">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二、合同标的</w:t>
      </w:r>
      <w:r>
        <w:rPr>
          <w:rFonts w:hint="eastAsia" w:asciiTheme="minorEastAsia" w:hAnsiTheme="minorEastAsia" w:eastAsiaTheme="minorEastAsia" w:cstheme="minorEastAsia"/>
          <w:kern w:val="0"/>
          <w:sz w:val="24"/>
          <w:szCs w:val="24"/>
        </w:rPr>
        <w:br w:type="textWrapping"/>
      </w:r>
    </w:p>
    <w:p w14:paraId="7BC90920">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三、价格形式及合同价款</w:t>
      </w:r>
    </w:p>
    <w:p w14:paraId="305DB476">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3.1价格形式</w:t>
      </w:r>
    </w:p>
    <w:p w14:paraId="2C1862C3">
      <w:pPr>
        <w:widowControl/>
        <w:spacing w:line="400" w:lineRule="exact"/>
        <w:jc w:val="left"/>
        <w:rPr>
          <w:rFonts w:asciiTheme="minorEastAsia" w:hAnsiTheme="minorEastAsia" w:eastAsiaTheme="minorEastAsia" w:cstheme="minorEastAsia"/>
          <w:kern w:val="0"/>
          <w:sz w:val="24"/>
          <w:szCs w:val="24"/>
        </w:rPr>
      </w:pPr>
    </w:p>
    <w:p w14:paraId="54D8C659">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固定单价合同。完成约定服务事项的含税合同单价为：人民币（大写）元（￥_____________元）。</w:t>
      </w:r>
    </w:p>
    <w:p w14:paraId="21F2CB09">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固定总价合同。完成约定服务事项的含税服务费用为：人民币（大写）元（￥_____________元）。</w:t>
      </w:r>
    </w:p>
    <w:p w14:paraId="5C0CC40C">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其他方式。</w:t>
      </w:r>
    </w:p>
    <w:p w14:paraId="7CA5A806">
      <w:pPr>
        <w:widowControl/>
        <w:spacing w:line="400" w:lineRule="exact"/>
        <w:jc w:val="left"/>
        <w:rPr>
          <w:rFonts w:asciiTheme="minorEastAsia" w:hAnsiTheme="minorEastAsia" w:eastAsiaTheme="minorEastAsia" w:cstheme="minorEastAsia"/>
          <w:kern w:val="0"/>
          <w:sz w:val="24"/>
          <w:szCs w:val="24"/>
        </w:rPr>
      </w:pPr>
    </w:p>
    <w:p w14:paraId="454B2207">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3.2合同价款包含范围</w:t>
      </w:r>
    </w:p>
    <w:p w14:paraId="286BB9A8">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3.3其他需说明的事项：</w:t>
      </w:r>
    </w:p>
    <w:p w14:paraId="7D6FE7E3">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四、合同标的及服务范围、地点和时间</w:t>
      </w:r>
    </w:p>
    <w:p w14:paraId="382E6126">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4.1项目名称：_____________</w:t>
      </w:r>
    </w:p>
    <w:p w14:paraId="48ECECED">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4.2服务范围：_____________</w:t>
      </w:r>
    </w:p>
    <w:p w14:paraId="128F1058">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4.3服务地点：_____________</w:t>
      </w:r>
    </w:p>
    <w:p w14:paraId="58870D51">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4.4服务完成时间：_____________</w:t>
      </w:r>
    </w:p>
    <w:p w14:paraId="4873AEB3">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五、服务内容、质量标准和要求</w:t>
      </w:r>
    </w:p>
    <w:p w14:paraId="1E95D8D2">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5.1服务工作量的计量方式：_____________</w:t>
      </w:r>
    </w:p>
    <w:p w14:paraId="202A2D17">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5.2服务内容：_____________</w:t>
      </w:r>
    </w:p>
    <w:p w14:paraId="03719212">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5.3技术保障、服务人员组成、所涉及的货物的质量标准：</w:t>
      </w:r>
    </w:p>
    <w:p w14:paraId="563CF5DD">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（1）服务技术保障：_____________</w:t>
      </w:r>
    </w:p>
    <w:p w14:paraId="6BC0D643">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（2）服务人员组成：_____________</w:t>
      </w:r>
    </w:p>
    <w:p w14:paraId="05638710">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（3）服务设备及物资投入及质量标准：_____________</w:t>
      </w:r>
    </w:p>
    <w:p w14:paraId="639C74B6">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5.4服务质量标准及要求：</w:t>
      </w:r>
    </w:p>
    <w:p w14:paraId="17529C63">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C8171B0">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F3FB9CD">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5.4.3其他要求：</w:t>
      </w:r>
    </w:p>
    <w:p w14:paraId="344E0AAF">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六、服务履约验收或考核</w:t>
      </w:r>
    </w:p>
    <w:p w14:paraId="6DFD8E5C">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甲方按照采购文件、乙方的投标或响应文件和本协议约定的服务内容及质量要求按次组织对乙方所提供服务进行验收，或定期进行服务考核，并根据验收或考核结果支付服务费用。具体如下：</w:t>
      </w:r>
    </w:p>
    <w:p w14:paraId="266C6C7B">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七、甲方的权利与义务</w:t>
      </w:r>
    </w:p>
    <w:p w14:paraId="767B016D">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7.1甲方委派___________为联系人，联系方式___________，负责与乙方联系。如甲方联系人发生变更，甲方应书面告知乙方。</w:t>
      </w:r>
    </w:p>
    <w:p w14:paraId="3C47A031">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7.2甲方应为乙方开展服务工作提供必要的工作条件，以及对内对外沟通和配合协助。</w:t>
      </w:r>
    </w:p>
    <w:p w14:paraId="19E23389">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7.3甲方应于___________之前提供服务所需的全部资料，并对所提供材料真实性、完整性、合法性负责。</w:t>
      </w:r>
    </w:p>
    <w:p w14:paraId="457A1A86">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A35CD0F">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7.5甲方应按本合同约定及时足额支付服务费用及相关费用。</w:t>
      </w:r>
    </w:p>
    <w:p w14:paraId="0A449039">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7.6其他</w:t>
      </w:r>
    </w:p>
    <w:p w14:paraId="0A4A59F1">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八、乙方的权利与义务</w:t>
      </w:r>
    </w:p>
    <w:p w14:paraId="04C51A65">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8.1乙方委派___________为联系人，联系方式___________，负责与甲方联系。如乙方联系人发生变更，乙方应书面告知甲方</w:t>
      </w:r>
    </w:p>
    <w:p w14:paraId="371345DA">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8.2乙方应国家法律法规和{{乙方的权利与义务-响应要求-福建}}等要求开展{{乙方的权利与义务-开展服务-福建}}服务；</w:t>
      </w:r>
    </w:p>
    <w:p w14:paraId="180CE74B">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8.3乙方及其所委派服务人员应按标准或协议约定方式出具服务成果，对并其真实性和合法性负法律责任；</w:t>
      </w:r>
    </w:p>
    <w:p w14:paraId="1E384FEF">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277B1DB8">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8.5乙方对服务业务应当单独建档，保存完整的工作记录，并对服务过</w:t>
      </w:r>
      <w:r>
        <w:rPr>
          <w:rFonts w:hint="eastAsia" w:asciiTheme="minorEastAsia" w:hAnsiTheme="minorEastAsia" w:eastAsiaTheme="minorEastAsia" w:cstheme="minorEastAsia"/>
          <w:kern w:val="0"/>
          <w:sz w:val="24"/>
          <w:szCs w:val="24"/>
          <w:lang w:eastAsia="zh-CN"/>
        </w:rPr>
        <w:t>程中</w:t>
      </w:r>
      <w:r>
        <w:rPr>
          <w:rFonts w:hint="eastAsia" w:asciiTheme="minorEastAsia" w:hAnsiTheme="minorEastAsia" w:eastAsiaTheme="minorEastAsia" w:cstheme="minorEastAsia"/>
          <w:kern w:val="0"/>
          <w:sz w:val="24"/>
          <w:szCs w:val="24"/>
        </w:rPr>
        <w:t>使用和暂存甲方的文件、材料和财物应当妥善保管。</w:t>
      </w:r>
    </w:p>
    <w:p w14:paraId="579A7EE2">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8.6服务工作结束后,乙方将根据情况对甲方服务相关的管理制度及其他事项等提出改进意见。</w:t>
      </w:r>
    </w:p>
    <w:p w14:paraId="5479480D">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8.7其他</w:t>
      </w:r>
    </w:p>
    <w:p w14:paraId="05275F1D">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九、资金支付方式、时间和条件</w:t>
      </w:r>
      <w:r>
        <w:rPr>
          <w:rFonts w:hint="eastAsia" w:asciiTheme="minorEastAsia" w:hAnsiTheme="minorEastAsia" w:eastAsiaTheme="minorEastAsia" w:cstheme="minorEastAsia"/>
          <w:kern w:val="0"/>
          <w:sz w:val="24"/>
          <w:szCs w:val="24"/>
        </w:rPr>
        <w:br w:type="textWrapping"/>
      </w:r>
    </w:p>
    <w:p w14:paraId="3D72BEFE">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十、履约保证金</w:t>
      </w:r>
    </w:p>
    <w:p w14:paraId="20BC8773">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□有，□无。具体如下：（按照采购文件规定填写）。</w:t>
      </w:r>
    </w:p>
    <w:p w14:paraId="271F7429">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10.1乙方向甲方缴纳人民币 / 元作为本合同的履约保证金。</w:t>
      </w:r>
    </w:p>
    <w:p w14:paraId="640E8817">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10.2履约保证金缴纳形式：支票/汇票/电汇/保函等非现金形式。</w:t>
      </w:r>
    </w:p>
    <w:p w14:paraId="747B62CC">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10.3履约保证金合同履行完毕前有效，合同履行完毕后一次性结清退还。</w:t>
      </w:r>
    </w:p>
    <w:p w14:paraId="35996050">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十一、合同期限</w:t>
      </w:r>
      <w:r>
        <w:rPr>
          <w:rFonts w:hint="eastAsia" w:asciiTheme="minorEastAsia" w:hAnsiTheme="minorEastAsia" w:eastAsiaTheme="minorEastAsia" w:cstheme="minorEastAsia"/>
          <w:kern w:val="0"/>
          <w:sz w:val="24"/>
          <w:szCs w:val="24"/>
        </w:rPr>
        <w:br w:type="textWrapping"/>
      </w:r>
    </w:p>
    <w:p w14:paraId="35EF48F3">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十二、保密条款</w:t>
      </w:r>
    </w:p>
    <w:p w14:paraId="26B05391">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12.1对于在采购和合同履行过程中所获悉的属于保密的内容，甲、乙双方均负有保密义务。</w:t>
      </w:r>
    </w:p>
    <w:p w14:paraId="0D960F43">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12.2其他</w:t>
      </w:r>
    </w:p>
    <w:p w14:paraId="6E0379F4">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十三、违约责任</w:t>
      </w:r>
    </w:p>
    <w:p w14:paraId="579C8A10">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13.1甲方违约责任</w:t>
      </w:r>
    </w:p>
    <w:p w14:paraId="062BDAF2">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（1）甲方无正当理由拒绝乙方提供合格服务的，甲方应向乙方偿付所拒收合同总价________的违约金</w:t>
      </w:r>
    </w:p>
    <w:p w14:paraId="1950C691">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（2）甲方无故逾期验收和办理合同款项支付手续的,甲方应按逾期付款总额每日________向乙方支付违约金。</w:t>
      </w:r>
    </w:p>
    <w:p w14:paraId="341A305C">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（3）其他违约情形</w:t>
      </w:r>
    </w:p>
    <w:p w14:paraId="4AD7D5AB">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13.2乙方违约责任</w:t>
      </w:r>
    </w:p>
    <w:p w14:paraId="21A3B089">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14:paraId="3D91373F">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（2）乙方所履行的服务不符合合同规定及《采购文件》规定标准的，甲方有权拒绝，乙方愿意整改但逾期履行的，按乙方逾期履行处理。乙方拒绝整改的，视为“乙方不按合同约定履约”</w:t>
      </w:r>
    </w:p>
    <w:p w14:paraId="0F2D32F1">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（3）乙方不按合同约定履约的，甲方可以解除采购合同，并对乙方已缴纳的履约保证金作“不予退还”处理。同时，乙方须按以下约定向甲方支付违约金：</w:t>
      </w:r>
    </w:p>
    <w:p w14:paraId="42462745">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（4）其他违约情形</w:t>
      </w:r>
    </w:p>
    <w:p w14:paraId="09B69609">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十四、不可抗力事件处理</w:t>
      </w:r>
    </w:p>
    <w:p w14:paraId="117947C1">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3D1E08C9">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十五、解决争议的方法</w:t>
      </w:r>
    </w:p>
    <w:p w14:paraId="3AC9DFDE">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12.1甲、乙双方协商解决。</w:t>
      </w:r>
    </w:p>
    <w:p w14:paraId="6D18C802">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12.2若协商解决不成，则通过下列途径之一解决：</w:t>
      </w:r>
    </w:p>
    <w:p w14:paraId="31360525">
      <w:pPr>
        <w:widowControl/>
        <w:spacing w:line="400" w:lineRule="exact"/>
        <w:jc w:val="left"/>
        <w:rPr>
          <w:rFonts w:asciiTheme="minorEastAsia" w:hAnsiTheme="minorEastAsia" w:eastAsiaTheme="minorEastAsia" w:cstheme="minorEastAsia"/>
          <w:kern w:val="0"/>
          <w:sz w:val="24"/>
          <w:szCs w:val="24"/>
        </w:rPr>
      </w:pPr>
    </w:p>
    <w:p w14:paraId="03FE2FB5">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□提交仲裁委员会仲裁，具体如下：</w:t>
      </w:r>
    </w:p>
    <w:p w14:paraId="449700FE">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□向人民法院提起诉讼，具体如下：</w:t>
      </w:r>
    </w:p>
    <w:p w14:paraId="1308F59B">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十六、合同其他条款</w:t>
      </w:r>
      <w:r>
        <w:rPr>
          <w:rFonts w:hint="eastAsia" w:asciiTheme="minorEastAsia" w:hAnsiTheme="minorEastAsia" w:eastAsiaTheme="minorEastAsia" w:cstheme="minorEastAsia"/>
          <w:kern w:val="0"/>
          <w:sz w:val="24"/>
          <w:szCs w:val="24"/>
        </w:rPr>
        <w:br w:type="textWrapping"/>
      </w:r>
    </w:p>
    <w:p w14:paraId="44FCC8EF">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十七、其他约定</w:t>
      </w:r>
    </w:p>
    <w:p w14:paraId="513D16E4">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17.1合同文件与本合同具有同等法律效力。</w:t>
      </w:r>
    </w:p>
    <w:p w14:paraId="661D235C">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17.2合同生效：合同经双方单位负责人或委托代理人签字并加盖单位公章后生效。</w:t>
      </w:r>
    </w:p>
    <w:p w14:paraId="636305E2">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17.3本合同未尽事宜，遵照《中华人民共和国民法典》有关条文执行。</w:t>
      </w:r>
    </w:p>
    <w:p w14:paraId="377D83B7">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17.4本合同正本一式_______份，具有同等法律效力，甲方、乙方各执_______份；副本_______份，_______</w:t>
      </w:r>
    </w:p>
    <w:p w14:paraId="032FB1E1">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17.5其他</w:t>
      </w:r>
    </w:p>
    <w:p w14:paraId="3679E350">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十八、合同附件</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br w:type="textWrapping"/>
      </w:r>
    </w:p>
    <w:p w14:paraId="10AA8C38">
      <w:pPr>
        <w:widowControl/>
        <w:spacing w:line="400" w:lineRule="exact"/>
        <w:jc w:val="left"/>
        <w:rPr>
          <w:rFonts w:asciiTheme="minorEastAsia" w:hAnsiTheme="minorEastAsia" w:eastAsiaTheme="minorEastAsia" w:cstheme="minorEastAsia"/>
          <w:kern w:val="0"/>
          <w:sz w:val="24"/>
          <w:szCs w:val="24"/>
        </w:rPr>
      </w:pPr>
    </w:p>
    <w:p w14:paraId="1355C5D7">
      <w:pPr>
        <w:widowControl/>
        <w:spacing w:line="400" w:lineRule="exact"/>
        <w:jc w:val="left"/>
        <w:rPr>
          <w:rFonts w:asciiTheme="minorEastAsia" w:hAnsiTheme="minorEastAsia" w:eastAsiaTheme="minorEastAsia" w:cstheme="minorEastAsia"/>
          <w:kern w:val="0"/>
          <w:sz w:val="24"/>
          <w:szCs w:val="24"/>
        </w:rPr>
      </w:pPr>
    </w:p>
    <w:p w14:paraId="288BB7A0">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甲方（采购人）：</w:t>
      </w:r>
    </w:p>
    <w:p w14:paraId="58B6B5E5">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法定（授权）代表人：</w:t>
      </w:r>
    </w:p>
    <w:p w14:paraId="2F8511BC">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纳税人识别号：</w:t>
      </w:r>
    </w:p>
    <w:p w14:paraId="4FD746B7">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开户银行：</w:t>
      </w:r>
    </w:p>
    <w:p w14:paraId="66391F75">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账号：</w:t>
      </w:r>
    </w:p>
    <w:p w14:paraId="2CDB32E5">
      <w:pPr>
        <w:widowControl/>
        <w:spacing w:line="400" w:lineRule="exact"/>
        <w:jc w:val="left"/>
        <w:rPr>
          <w:rFonts w:asciiTheme="minorEastAsia" w:hAnsiTheme="minorEastAsia" w:eastAsiaTheme="minorEastAsia" w:cstheme="minorEastAsia"/>
          <w:kern w:val="0"/>
          <w:sz w:val="24"/>
          <w:szCs w:val="24"/>
        </w:rPr>
      </w:pPr>
    </w:p>
    <w:p w14:paraId="3552DA48">
      <w:pPr>
        <w:widowControl/>
        <w:spacing w:line="400" w:lineRule="exact"/>
        <w:jc w:val="left"/>
        <w:rPr>
          <w:rFonts w:asciiTheme="minorEastAsia" w:hAnsiTheme="minorEastAsia" w:eastAsiaTheme="minorEastAsia" w:cstheme="minorEastAsia"/>
          <w:kern w:val="0"/>
          <w:sz w:val="24"/>
          <w:szCs w:val="24"/>
        </w:rPr>
      </w:pPr>
    </w:p>
    <w:p w14:paraId="54A2698A">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乙方（中标或成交人）：</w:t>
      </w:r>
    </w:p>
    <w:p w14:paraId="13969264">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法定（授权）代表人：</w:t>
      </w:r>
    </w:p>
    <w:p w14:paraId="1ACE2B52">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纳税人识别号：</w:t>
      </w:r>
    </w:p>
    <w:p w14:paraId="2D6A1426">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开户银行：</w:t>
      </w:r>
    </w:p>
    <w:p w14:paraId="3CA45A4B">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账号：</w:t>
      </w:r>
    </w:p>
    <w:p w14:paraId="024381BD">
      <w:pPr>
        <w:widowControl/>
        <w:spacing w:line="400" w:lineRule="exact"/>
        <w:jc w:val="left"/>
        <w:rPr>
          <w:rFonts w:asciiTheme="minorEastAsia" w:hAnsiTheme="minorEastAsia" w:eastAsiaTheme="minorEastAsia" w:cstheme="minorEastAsia"/>
          <w:kern w:val="0"/>
          <w:sz w:val="24"/>
          <w:szCs w:val="24"/>
        </w:rPr>
      </w:pPr>
    </w:p>
    <w:p w14:paraId="45AF1088">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签订地点：_____________</w:t>
      </w:r>
    </w:p>
    <w:p w14:paraId="08B56FAD">
      <w:pPr>
        <w:widowControl/>
        <w:spacing w:line="40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签订日期：____年___月___日</w:t>
      </w:r>
    </w:p>
    <w:p w14:paraId="442CB8B7">
      <w:pPr>
        <w:widowControl/>
        <w:spacing w:line="400" w:lineRule="exact"/>
        <w:jc w:val="left"/>
        <w:rPr>
          <w:rStyle w:val="42"/>
          <w:rFonts w:asciiTheme="minorEastAsia" w:hAnsiTheme="minorEastAsia" w:eastAsiaTheme="minorEastAsia" w:cstheme="minorEastAsia"/>
          <w:kern w:val="0"/>
          <w:szCs w:val="24"/>
        </w:rPr>
      </w:pPr>
      <w:r>
        <w:rPr>
          <w:rStyle w:val="42"/>
          <w:rFonts w:hint="eastAsia" w:asciiTheme="minorEastAsia" w:hAnsiTheme="minorEastAsia" w:eastAsiaTheme="minorEastAsia" w:cstheme="minorEastAsia"/>
          <w:szCs w:val="24"/>
        </w:rPr>
        <w:br w:type="page"/>
      </w:r>
    </w:p>
    <w:p w14:paraId="2CEAF1C3">
      <w:pPr>
        <w:pStyle w:val="33"/>
        <w:spacing w:before="75" w:beforeAutospacing="0" w:after="75" w:afterAutospacing="0" w:line="435" w:lineRule="atLeast"/>
        <w:jc w:val="center"/>
        <w:outlineLvl w:val="0"/>
        <w:rPr>
          <w:rFonts w:asciiTheme="minorEastAsia" w:hAnsiTheme="minorEastAsia" w:eastAsiaTheme="minorEastAsia"/>
        </w:rPr>
      </w:pPr>
      <w:bookmarkStart w:id="71" w:name="_Toc164434233"/>
      <w:r>
        <w:rPr>
          <w:rStyle w:val="42"/>
          <w:rFonts w:hint="eastAsia" w:asciiTheme="minorEastAsia" w:hAnsiTheme="minorEastAsia" w:eastAsiaTheme="minorEastAsia"/>
          <w:sz w:val="32"/>
          <w:szCs w:val="32"/>
        </w:rPr>
        <w:t>第五章  首次响应文件格式</w:t>
      </w:r>
      <w:bookmarkEnd w:id="71"/>
    </w:p>
    <w:p w14:paraId="09830461">
      <w:pPr>
        <w:pStyle w:val="33"/>
        <w:spacing w:before="75" w:beforeAutospacing="0" w:after="75" w:afterAutospacing="0"/>
        <w:jc w:val="center"/>
        <w:rPr>
          <w:rFonts w:asciiTheme="minorEastAsia" w:hAnsiTheme="minorEastAsia" w:eastAsiaTheme="minorEastAsia"/>
        </w:rPr>
      </w:pPr>
      <w:r>
        <w:rPr>
          <w:rStyle w:val="42"/>
          <w:rFonts w:hint="eastAsia" w:asciiTheme="minorEastAsia" w:hAnsiTheme="minorEastAsia" w:eastAsiaTheme="minorEastAsia"/>
          <w:szCs w:val="24"/>
        </w:rPr>
        <w:t> </w:t>
      </w:r>
    </w:p>
    <w:p w14:paraId="58481BF5">
      <w:pPr>
        <w:pStyle w:val="33"/>
        <w:spacing w:before="75" w:beforeAutospacing="0" w:after="75" w:afterAutospacing="0" w:line="435" w:lineRule="atLeast"/>
        <w:jc w:val="center"/>
        <w:rPr>
          <w:rFonts w:asciiTheme="minorEastAsia" w:hAnsiTheme="minorEastAsia" w:eastAsiaTheme="minorEastAsia"/>
        </w:rPr>
      </w:pPr>
      <w:r>
        <w:rPr>
          <w:rStyle w:val="42"/>
          <w:rFonts w:hint="eastAsia" w:asciiTheme="minorEastAsia" w:hAnsiTheme="minorEastAsia" w:eastAsiaTheme="minorEastAsia"/>
          <w:szCs w:val="24"/>
        </w:rPr>
        <w:t>编制说明</w:t>
      </w:r>
    </w:p>
    <w:p w14:paraId="54839480">
      <w:pPr>
        <w:pStyle w:val="33"/>
        <w:spacing w:before="75" w:beforeAutospacing="0" w:after="75" w:afterAutospacing="0" w:line="435" w:lineRule="atLeast"/>
        <w:ind w:firstLine="480"/>
        <w:rPr>
          <w:rFonts w:asciiTheme="minorEastAsia" w:hAnsiTheme="minorEastAsia" w:eastAsiaTheme="minorEastAsia"/>
        </w:rPr>
      </w:pPr>
      <w:r>
        <w:rPr>
          <w:rFonts w:hint="eastAsia" w:asciiTheme="minorEastAsia" w:hAnsiTheme="minorEastAsia" w:eastAsiaTheme="minorEastAsia"/>
        </w:rPr>
        <w:t>1、本附件所有格式为响应文件的组成部分，供采购人或代理机构编制磋商文件时参考使用。由于新增政策、行业管理规定或者不同项目实际特点需要</w:t>
      </w:r>
      <w:r>
        <w:rPr>
          <w:rFonts w:hint="eastAsia" w:asciiTheme="minorEastAsia" w:hAnsiTheme="minorEastAsia" w:eastAsiaTheme="minorEastAsia"/>
          <w:lang w:eastAsia="zh-CN"/>
        </w:rPr>
        <w:t>,</w:t>
      </w:r>
      <w:r>
        <w:rPr>
          <w:rFonts w:hint="eastAsia" w:asciiTheme="minorEastAsia" w:hAnsiTheme="minorEastAsia" w:eastAsiaTheme="minorEastAsia"/>
        </w:rPr>
        <w:t>采购人或代理机构可以对有关表格进行必要的补充或修改，以满足实际项目的使用。</w:t>
      </w:r>
    </w:p>
    <w:p w14:paraId="7455F949">
      <w:pPr>
        <w:pStyle w:val="33"/>
        <w:spacing w:before="75" w:beforeAutospacing="0" w:after="75" w:afterAutospacing="0" w:line="435" w:lineRule="atLeast"/>
        <w:rPr>
          <w:rFonts w:asciiTheme="minorEastAsia" w:hAnsiTheme="minorEastAsia" w:eastAsiaTheme="minorEastAsia"/>
        </w:rPr>
      </w:pPr>
      <w:r>
        <w:rPr>
          <w:rFonts w:hint="eastAsia" w:asciiTheme="minorEastAsia" w:hAnsiTheme="minorEastAsia" w:eastAsiaTheme="minorEastAsia"/>
        </w:rPr>
        <w:t>  2、除磋商文件另有规定外，磋商文件要求原件的，供应商在纸质响应文件正本中应提供原件；磋商文件要求复印件的，供应商在纸质响应文件中可提供原件、复印件或扫描件；磋商文件对原件、复印件未作要求的，供应商可自行确定在纸质响应文件中提供原件、复印件或扫描件（若供应商提供注明“复印件无效”的材料或资料，供应商在纸质响应文件正本中应提供原件）。</w:t>
      </w:r>
    </w:p>
    <w:p w14:paraId="079B7F10">
      <w:pPr>
        <w:pStyle w:val="33"/>
        <w:spacing w:before="75" w:beforeAutospacing="0" w:after="75" w:afterAutospacing="0" w:line="435" w:lineRule="atLeast"/>
        <w:rPr>
          <w:rFonts w:asciiTheme="minorEastAsia" w:hAnsiTheme="minorEastAsia" w:eastAsiaTheme="minorEastAsia"/>
        </w:rPr>
      </w:pPr>
      <w:r>
        <w:rPr>
          <w:rStyle w:val="42"/>
          <w:rFonts w:hint="eastAsia" w:asciiTheme="minorEastAsia" w:hAnsiTheme="minorEastAsia" w:eastAsiaTheme="minorEastAsia"/>
          <w:szCs w:val="24"/>
        </w:rPr>
        <w:t> </w:t>
      </w:r>
    </w:p>
    <w:p w14:paraId="2D454B40">
      <w:pPr>
        <w:pStyle w:val="33"/>
        <w:spacing w:before="75" w:beforeAutospacing="0" w:after="75" w:afterAutospacing="0"/>
        <w:rPr>
          <w:rFonts w:asciiTheme="minorEastAsia" w:hAnsiTheme="minorEastAsia" w:eastAsiaTheme="minorEastAsia"/>
        </w:rPr>
      </w:pPr>
      <w:r>
        <w:rPr>
          <w:rStyle w:val="42"/>
          <w:rFonts w:hint="eastAsia" w:asciiTheme="minorEastAsia" w:hAnsiTheme="minorEastAsia" w:eastAsiaTheme="minorEastAsia"/>
          <w:szCs w:val="24"/>
        </w:rPr>
        <w:t> </w:t>
      </w:r>
    </w:p>
    <w:p w14:paraId="5CE7CC1E">
      <w:pPr>
        <w:pStyle w:val="33"/>
        <w:spacing w:before="75" w:beforeAutospacing="0" w:after="75" w:afterAutospacing="0"/>
        <w:rPr>
          <w:rFonts w:asciiTheme="minorEastAsia" w:hAnsiTheme="minorEastAsia" w:eastAsiaTheme="minorEastAsia"/>
        </w:rPr>
      </w:pPr>
      <w:r>
        <w:rPr>
          <w:rStyle w:val="42"/>
          <w:rFonts w:hint="eastAsia" w:asciiTheme="minorEastAsia" w:hAnsiTheme="minorEastAsia" w:eastAsiaTheme="minorEastAsia"/>
          <w:szCs w:val="24"/>
        </w:rPr>
        <w:t> </w:t>
      </w:r>
    </w:p>
    <w:p w14:paraId="441DF09E">
      <w:pPr>
        <w:pStyle w:val="33"/>
        <w:spacing w:before="75" w:beforeAutospacing="0" w:after="75" w:afterAutospacing="0"/>
        <w:rPr>
          <w:rFonts w:asciiTheme="minorEastAsia" w:hAnsiTheme="minorEastAsia" w:eastAsiaTheme="minorEastAsia"/>
        </w:rPr>
      </w:pPr>
      <w:r>
        <w:rPr>
          <w:rStyle w:val="42"/>
          <w:rFonts w:hint="eastAsia" w:asciiTheme="minorEastAsia" w:hAnsiTheme="minorEastAsia" w:eastAsiaTheme="minorEastAsia"/>
          <w:szCs w:val="24"/>
        </w:rPr>
        <w:t> </w:t>
      </w:r>
    </w:p>
    <w:p w14:paraId="48BFA5F1">
      <w:pPr>
        <w:pStyle w:val="33"/>
        <w:spacing w:before="75" w:beforeAutospacing="0" w:after="75" w:afterAutospacing="0"/>
        <w:jc w:val="center"/>
        <w:rPr>
          <w:rFonts w:asciiTheme="minorEastAsia" w:hAnsiTheme="minorEastAsia" w:eastAsiaTheme="minorEastAsia"/>
        </w:rPr>
      </w:pPr>
      <w:r>
        <w:rPr>
          <w:rFonts w:hint="eastAsia" w:asciiTheme="minorEastAsia" w:hAnsiTheme="minorEastAsia" w:eastAsiaTheme="minorEastAsia"/>
        </w:rPr>
        <w:t> </w:t>
      </w:r>
    </w:p>
    <w:p w14:paraId="2D539847">
      <w:pPr>
        <w:pStyle w:val="33"/>
        <w:spacing w:before="75" w:beforeAutospacing="0" w:after="75" w:afterAutospacing="0" w:line="495" w:lineRule="atLeast"/>
        <w:rPr>
          <w:rFonts w:asciiTheme="minorEastAsia" w:hAnsiTheme="minorEastAsia" w:eastAsiaTheme="minorEastAsia"/>
        </w:rPr>
      </w:pPr>
      <w:r>
        <w:rPr>
          <w:rFonts w:hint="eastAsia" w:asciiTheme="minorEastAsia" w:hAnsiTheme="minorEastAsia" w:eastAsiaTheme="minorEastAsia"/>
        </w:rPr>
        <w:t> </w:t>
      </w:r>
    </w:p>
    <w:p w14:paraId="24856E05">
      <w:pPr>
        <w:pStyle w:val="33"/>
        <w:spacing w:before="75" w:beforeAutospacing="0" w:after="75" w:afterAutospacing="0" w:line="495" w:lineRule="atLeast"/>
        <w:rPr>
          <w:rFonts w:asciiTheme="minorEastAsia" w:hAnsiTheme="minorEastAsia" w:eastAsiaTheme="minorEastAsia"/>
        </w:rPr>
      </w:pPr>
      <w:r>
        <w:rPr>
          <w:rFonts w:asciiTheme="minorEastAsia" w:hAnsiTheme="minorEastAsia" w:eastAsiaTheme="minorEastAsia"/>
        </w:rPr>
        <w:t> </w:t>
      </w:r>
    </w:p>
    <w:p w14:paraId="58804D6F">
      <w:pPr>
        <w:pStyle w:val="33"/>
        <w:spacing w:before="75" w:beforeAutospacing="0" w:after="75" w:afterAutospacing="0" w:line="495" w:lineRule="atLeast"/>
        <w:rPr>
          <w:rFonts w:asciiTheme="minorEastAsia" w:hAnsiTheme="minorEastAsia" w:eastAsiaTheme="minorEastAsia"/>
          <w:b/>
          <w:bCs/>
          <w:sz w:val="45"/>
          <w:szCs w:val="22"/>
        </w:rPr>
      </w:pPr>
      <w:r>
        <w:rPr>
          <w:rFonts w:asciiTheme="minorEastAsia" w:hAnsiTheme="minorEastAsia" w:eastAsiaTheme="minorEastAsia"/>
        </w:rPr>
        <w:br w:type="page"/>
      </w:r>
    </w:p>
    <w:p w14:paraId="6D677E87">
      <w:pPr>
        <w:pStyle w:val="142"/>
        <w:rPr>
          <w:rFonts w:hint="default"/>
        </w:rPr>
      </w:pPr>
      <w:r>
        <w:t>福建省政府采购项目竞争性磋商</w:t>
      </w:r>
    </w:p>
    <w:p w14:paraId="29D0DC20">
      <w:pPr>
        <w:pStyle w:val="142"/>
        <w:rPr>
          <w:rFonts w:hint="default"/>
        </w:rPr>
      </w:pPr>
      <w:r>
        <w:t>响应文件</w:t>
      </w:r>
    </w:p>
    <w:p w14:paraId="7239A635">
      <w:pPr>
        <w:pStyle w:val="142"/>
        <w:rPr>
          <w:rFonts w:hint="default"/>
        </w:rPr>
      </w:pPr>
      <w:r>
        <w:rPr>
          <w:b/>
          <w:sz w:val="36"/>
        </w:rPr>
        <w:t>（首次）</w:t>
      </w:r>
      <w:r>
        <w:br w:type="textWrapping"/>
      </w:r>
      <w:r>
        <w:br w:type="textWrapping"/>
      </w:r>
      <w:r>
        <w:br w:type="textWrapping"/>
      </w:r>
      <w:r>
        <w:br w:type="textWrapping"/>
      </w:r>
      <w:r>
        <w:br w:type="textWrapping"/>
      </w:r>
    </w:p>
    <w:p w14:paraId="4775148E">
      <w:pPr>
        <w:pStyle w:val="142"/>
        <w:rPr>
          <w:rFonts w:hint="default"/>
        </w:rPr>
      </w:pPr>
    </w:p>
    <w:p w14:paraId="155FD166">
      <w:pPr>
        <w:pStyle w:val="142"/>
        <w:rPr>
          <w:rFonts w:hint="default"/>
        </w:rPr>
      </w:pPr>
    </w:p>
    <w:p w14:paraId="36C46742">
      <w:pPr>
        <w:pStyle w:val="142"/>
        <w:rPr>
          <w:rFonts w:hint="default"/>
          <w:sz w:val="22"/>
        </w:rPr>
      </w:pPr>
      <w:r>
        <w:t>项目名称：</w:t>
      </w:r>
    </w:p>
    <w:p w14:paraId="2712128F">
      <w:pPr>
        <w:pStyle w:val="142"/>
        <w:rPr>
          <w:rFonts w:hint="default"/>
          <w:sz w:val="22"/>
        </w:rPr>
      </w:pPr>
      <w:r>
        <w:t>项目编号：</w:t>
      </w:r>
    </w:p>
    <w:p w14:paraId="4C88A302">
      <w:pPr>
        <w:pStyle w:val="142"/>
        <w:rPr>
          <w:rFonts w:hint="default"/>
          <w:sz w:val="22"/>
        </w:rPr>
      </w:pPr>
      <w:r>
        <w:t>采购包：</w:t>
      </w:r>
      <w:r>
        <w:rPr>
          <w:sz w:val="22"/>
        </w:rPr>
        <w:br w:type="textWrapping"/>
      </w:r>
      <w:r>
        <w:rPr>
          <w:sz w:val="22"/>
        </w:rPr>
        <w:br w:type="textWrapping"/>
      </w:r>
    </w:p>
    <w:p w14:paraId="49C136CC">
      <w:pPr>
        <w:pStyle w:val="142"/>
        <w:rPr>
          <w:rFonts w:hint="default"/>
        </w:rPr>
      </w:pPr>
    </w:p>
    <w:p w14:paraId="15200F78">
      <w:pPr>
        <w:pStyle w:val="142"/>
        <w:rPr>
          <w:rFonts w:hint="default"/>
        </w:rPr>
      </w:pPr>
    </w:p>
    <w:p w14:paraId="2ACE5864">
      <w:pPr>
        <w:pStyle w:val="142"/>
        <w:rPr>
          <w:rFonts w:hint="default"/>
        </w:rPr>
      </w:pPr>
    </w:p>
    <w:p w14:paraId="7EC4D047">
      <w:pPr>
        <w:pStyle w:val="142"/>
        <w:rPr>
          <w:rFonts w:hint="default"/>
        </w:rPr>
      </w:pPr>
    </w:p>
    <w:p w14:paraId="6C8F8E1F">
      <w:pPr>
        <w:pStyle w:val="142"/>
        <w:rPr>
          <w:rFonts w:hint="default"/>
        </w:rPr>
      </w:pPr>
    </w:p>
    <w:p w14:paraId="5B4F8EB2">
      <w:pPr>
        <w:pStyle w:val="142"/>
        <w:rPr>
          <w:rFonts w:hint="default"/>
        </w:rPr>
      </w:pPr>
    </w:p>
    <w:p w14:paraId="0DCB4A25">
      <w:pPr>
        <w:pStyle w:val="142"/>
        <w:rPr>
          <w:rFonts w:hint="default"/>
          <w:sz w:val="22"/>
        </w:rPr>
      </w:pPr>
      <w:r>
        <w:t>供应商名称：</w:t>
      </w:r>
    </w:p>
    <w:p w14:paraId="184A2066">
      <w:pPr>
        <w:pStyle w:val="142"/>
        <w:rPr>
          <w:rFonts w:hint="default"/>
          <w:sz w:val="22"/>
        </w:rPr>
      </w:pPr>
      <w:r>
        <w:t>日期：</w:t>
      </w:r>
    </w:p>
    <w:p w14:paraId="5B618FC3">
      <w:pPr>
        <w:widowControl/>
        <w:spacing w:before="94" w:after="94"/>
        <w:jc w:val="center"/>
        <w:rPr>
          <w:rFonts w:cs="宋体" w:asciiTheme="minorEastAsia" w:hAnsiTheme="minorEastAsia" w:eastAsiaTheme="minorEastAsia"/>
          <w:b/>
          <w:bCs/>
          <w:kern w:val="0"/>
          <w:sz w:val="45"/>
          <w:szCs w:val="22"/>
        </w:rPr>
      </w:pPr>
    </w:p>
    <w:p w14:paraId="32DE577F">
      <w:pPr>
        <w:rPr>
          <w:rFonts w:cs="宋体" w:asciiTheme="minorEastAsia" w:hAnsiTheme="minorEastAsia" w:eastAsiaTheme="minorEastAsia"/>
          <w:b/>
          <w:sz w:val="72"/>
          <w:szCs w:val="52"/>
        </w:rPr>
      </w:pPr>
      <w:r>
        <w:rPr>
          <w:rFonts w:hint="eastAsia" w:cs="宋体" w:asciiTheme="minorEastAsia" w:hAnsiTheme="minorEastAsia" w:eastAsiaTheme="minorEastAsia"/>
          <w:b/>
          <w:sz w:val="72"/>
          <w:szCs w:val="52"/>
        </w:rPr>
        <w:br w:type="page"/>
      </w:r>
    </w:p>
    <w:p w14:paraId="35496BD0">
      <w:pPr>
        <w:widowControl/>
        <w:spacing w:before="94" w:after="94"/>
        <w:jc w:val="center"/>
        <w:rPr>
          <w:rFonts w:cs="宋体" w:asciiTheme="minorEastAsia" w:hAnsiTheme="minorEastAsia" w:eastAsiaTheme="minorEastAsia"/>
          <w:kern w:val="0"/>
          <w:sz w:val="18"/>
          <w:szCs w:val="24"/>
        </w:rPr>
      </w:pPr>
      <w:r>
        <w:rPr>
          <w:rFonts w:cs="宋体" w:asciiTheme="minorEastAsia" w:hAnsiTheme="minorEastAsia" w:eastAsiaTheme="minorEastAsia"/>
          <w:b/>
          <w:bCs/>
          <w:kern w:val="0"/>
          <w:sz w:val="32"/>
          <w:szCs w:val="22"/>
        </w:rPr>
        <w:t>目  录</w:t>
      </w:r>
    </w:p>
    <w:p w14:paraId="6D716267">
      <w:pPr>
        <w:widowControl/>
        <w:spacing w:before="94" w:after="94" w:line="580" w:lineRule="atLeast"/>
        <w:jc w:val="left"/>
        <w:rPr>
          <w:rFonts w:cs="宋体" w:asciiTheme="minorEastAsia" w:hAnsiTheme="minorEastAsia" w:eastAsiaTheme="minorEastAsia"/>
          <w:kern w:val="0"/>
          <w:szCs w:val="24"/>
        </w:rPr>
      </w:pPr>
      <w:r>
        <w:rPr>
          <w:rFonts w:cs="宋体" w:asciiTheme="minorEastAsia" w:hAnsiTheme="minorEastAsia" w:eastAsiaTheme="minorEastAsia"/>
          <w:kern w:val="0"/>
          <w:sz w:val="24"/>
          <w:szCs w:val="30"/>
        </w:rPr>
        <w:t> </w:t>
      </w:r>
    </w:p>
    <w:p w14:paraId="2CDFD6FF">
      <w:pPr>
        <w:widowControl/>
        <w:spacing w:before="94" w:after="94" w:line="580" w:lineRule="atLeast"/>
        <w:jc w:val="left"/>
        <w:rPr>
          <w:rFonts w:cs="宋体" w:asciiTheme="minorEastAsia" w:hAnsiTheme="minorEastAsia" w:eastAsiaTheme="minorEastAsia"/>
          <w:kern w:val="0"/>
          <w:szCs w:val="24"/>
        </w:rPr>
      </w:pPr>
      <w:r>
        <w:rPr>
          <w:rFonts w:hint="eastAsia" w:cs="宋体" w:asciiTheme="minorEastAsia" w:hAnsiTheme="minorEastAsia" w:eastAsiaTheme="minorEastAsia"/>
          <w:kern w:val="0"/>
          <w:sz w:val="24"/>
          <w:szCs w:val="30"/>
        </w:rPr>
        <w:t>一、磋商响应声明</w:t>
      </w:r>
    </w:p>
    <w:p w14:paraId="3BD72CCD">
      <w:pPr>
        <w:widowControl/>
        <w:spacing w:before="94" w:after="94" w:line="580" w:lineRule="atLeast"/>
        <w:jc w:val="left"/>
        <w:rPr>
          <w:rFonts w:cs="宋体" w:asciiTheme="minorEastAsia" w:hAnsiTheme="minorEastAsia" w:eastAsiaTheme="minorEastAsia"/>
          <w:kern w:val="0"/>
          <w:szCs w:val="24"/>
        </w:rPr>
      </w:pPr>
      <w:r>
        <w:rPr>
          <w:rFonts w:hint="eastAsia" w:cs="宋体" w:asciiTheme="minorEastAsia" w:hAnsiTheme="minorEastAsia" w:eastAsiaTheme="minorEastAsia"/>
          <w:kern w:val="0"/>
          <w:sz w:val="24"/>
          <w:szCs w:val="30"/>
        </w:rPr>
        <w:t>二、报价一览表</w:t>
      </w:r>
    </w:p>
    <w:p w14:paraId="63AAFBEC">
      <w:pPr>
        <w:widowControl/>
        <w:spacing w:before="94" w:after="94" w:line="580" w:lineRule="atLeast"/>
        <w:jc w:val="left"/>
        <w:rPr>
          <w:rFonts w:cs="宋体" w:asciiTheme="minorEastAsia" w:hAnsiTheme="minorEastAsia" w:eastAsiaTheme="minorEastAsia"/>
          <w:kern w:val="0"/>
          <w:sz w:val="24"/>
          <w:szCs w:val="30"/>
        </w:rPr>
      </w:pPr>
      <w:r>
        <w:rPr>
          <w:rFonts w:hint="eastAsia" w:cs="宋体" w:asciiTheme="minorEastAsia" w:hAnsiTheme="minorEastAsia" w:eastAsiaTheme="minorEastAsia"/>
          <w:kern w:val="0"/>
          <w:sz w:val="24"/>
          <w:szCs w:val="30"/>
        </w:rPr>
        <w:t>三、资格证明文件</w:t>
      </w:r>
    </w:p>
    <w:p w14:paraId="464EAFC8">
      <w:pPr>
        <w:widowControl/>
        <w:spacing w:before="94" w:after="94" w:line="580" w:lineRule="atLeast"/>
        <w:jc w:val="left"/>
        <w:rPr>
          <w:rFonts w:cs="宋体" w:asciiTheme="minorEastAsia" w:hAnsiTheme="minorEastAsia" w:eastAsiaTheme="minorEastAsia"/>
          <w:kern w:val="0"/>
          <w:sz w:val="24"/>
          <w:szCs w:val="30"/>
        </w:rPr>
      </w:pPr>
      <w:r>
        <w:rPr>
          <w:rFonts w:hint="eastAsia" w:cs="宋体" w:asciiTheme="minorEastAsia" w:hAnsiTheme="minorEastAsia" w:eastAsiaTheme="minorEastAsia"/>
          <w:kern w:val="0"/>
          <w:sz w:val="24"/>
          <w:szCs w:val="30"/>
        </w:rPr>
        <w:t>四、磋商保证金凭证</w:t>
      </w:r>
    </w:p>
    <w:p w14:paraId="30F21A77">
      <w:pPr>
        <w:widowControl/>
        <w:spacing w:before="94" w:after="94" w:line="580" w:lineRule="atLeast"/>
        <w:jc w:val="left"/>
        <w:rPr>
          <w:rFonts w:cs="宋体" w:asciiTheme="minorEastAsia" w:hAnsiTheme="minorEastAsia" w:eastAsiaTheme="minorEastAsia"/>
          <w:kern w:val="0"/>
          <w:sz w:val="24"/>
          <w:szCs w:val="30"/>
        </w:rPr>
      </w:pPr>
      <w:r>
        <w:rPr>
          <w:rFonts w:hint="eastAsia" w:cs="宋体" w:asciiTheme="minorEastAsia" w:hAnsiTheme="minorEastAsia" w:eastAsiaTheme="minorEastAsia"/>
          <w:kern w:val="0"/>
          <w:sz w:val="24"/>
          <w:szCs w:val="30"/>
        </w:rPr>
        <w:t>五、技术和服务要求响应表</w:t>
      </w:r>
    </w:p>
    <w:p w14:paraId="7F572A60">
      <w:pPr>
        <w:widowControl/>
        <w:spacing w:before="94" w:after="94" w:line="580" w:lineRule="atLeast"/>
        <w:jc w:val="left"/>
        <w:rPr>
          <w:rFonts w:cs="宋体" w:asciiTheme="minorEastAsia" w:hAnsiTheme="minorEastAsia" w:eastAsiaTheme="minorEastAsia"/>
          <w:kern w:val="0"/>
          <w:sz w:val="24"/>
          <w:szCs w:val="30"/>
        </w:rPr>
      </w:pPr>
      <w:r>
        <w:rPr>
          <w:rFonts w:hint="eastAsia" w:cs="宋体" w:asciiTheme="minorEastAsia" w:hAnsiTheme="minorEastAsia" w:eastAsiaTheme="minorEastAsia"/>
          <w:kern w:val="0"/>
          <w:sz w:val="24"/>
          <w:szCs w:val="30"/>
        </w:rPr>
        <w:t>六、商务条件和</w:t>
      </w:r>
      <w:r>
        <w:rPr>
          <w:rFonts w:hint="eastAsia" w:cs="宋体" w:asciiTheme="minorEastAsia" w:hAnsiTheme="minorEastAsia" w:eastAsiaTheme="minorEastAsia"/>
          <w:kern w:val="0"/>
          <w:sz w:val="24"/>
          <w:szCs w:val="30"/>
          <w:lang w:eastAsia="zh-CN"/>
        </w:rPr>
        <w:t>其他</w:t>
      </w:r>
      <w:r>
        <w:rPr>
          <w:rFonts w:hint="eastAsia" w:cs="宋体" w:asciiTheme="minorEastAsia" w:hAnsiTheme="minorEastAsia" w:eastAsiaTheme="minorEastAsia"/>
          <w:kern w:val="0"/>
          <w:sz w:val="24"/>
          <w:szCs w:val="30"/>
        </w:rPr>
        <w:t>事项响应表</w:t>
      </w:r>
    </w:p>
    <w:p w14:paraId="5BBC9371">
      <w:pPr>
        <w:widowControl/>
        <w:spacing w:before="94" w:after="94" w:line="580" w:lineRule="atLeast"/>
        <w:jc w:val="left"/>
        <w:rPr>
          <w:rFonts w:cs="宋体" w:asciiTheme="minorEastAsia" w:hAnsiTheme="minorEastAsia" w:eastAsiaTheme="minorEastAsia"/>
          <w:kern w:val="0"/>
          <w:sz w:val="24"/>
          <w:szCs w:val="30"/>
        </w:rPr>
      </w:pPr>
      <w:r>
        <w:rPr>
          <w:rFonts w:hint="eastAsia" w:cs="宋体" w:asciiTheme="minorEastAsia" w:hAnsiTheme="minorEastAsia" w:eastAsiaTheme="minorEastAsia"/>
          <w:kern w:val="0"/>
          <w:sz w:val="24"/>
          <w:szCs w:val="30"/>
        </w:rPr>
        <w:t>七、相关技术、商务、服务响应承诺及资料</w:t>
      </w:r>
    </w:p>
    <w:p w14:paraId="39D38015">
      <w:pPr>
        <w:widowControl/>
        <w:spacing w:before="94" w:after="94" w:line="580" w:lineRule="atLeast"/>
        <w:jc w:val="left"/>
        <w:rPr>
          <w:rFonts w:cs="宋体" w:asciiTheme="minorEastAsia" w:hAnsiTheme="minorEastAsia" w:eastAsiaTheme="minorEastAsia"/>
          <w:kern w:val="0"/>
          <w:sz w:val="24"/>
          <w:szCs w:val="30"/>
        </w:rPr>
      </w:pPr>
      <w:r>
        <w:rPr>
          <w:rFonts w:hint="eastAsia" w:cs="宋体" w:asciiTheme="minorEastAsia" w:hAnsiTheme="minorEastAsia" w:eastAsiaTheme="minorEastAsia"/>
          <w:kern w:val="0"/>
          <w:sz w:val="24"/>
          <w:szCs w:val="30"/>
        </w:rPr>
        <w:t>八、要求作为响应文件组成部分的其他内容（若有）</w:t>
      </w:r>
    </w:p>
    <w:p w14:paraId="27642222">
      <w:pPr>
        <w:widowControl/>
        <w:spacing w:before="94" w:after="94" w:line="580" w:lineRule="atLeast"/>
        <w:jc w:val="left"/>
        <w:rPr>
          <w:rFonts w:cs="宋体" w:asciiTheme="minorEastAsia" w:hAnsiTheme="minorEastAsia" w:eastAsiaTheme="minorEastAsia"/>
          <w:kern w:val="0"/>
          <w:sz w:val="24"/>
          <w:szCs w:val="30"/>
        </w:rPr>
      </w:pPr>
    </w:p>
    <w:p w14:paraId="1EFA179F">
      <w:pPr>
        <w:widowControl/>
        <w:spacing w:before="94" w:after="94" w:line="580" w:lineRule="atLeast"/>
        <w:jc w:val="left"/>
        <w:rPr>
          <w:rFonts w:cs="宋体" w:asciiTheme="minorEastAsia" w:hAnsiTheme="minorEastAsia" w:eastAsiaTheme="minorEastAsia"/>
          <w:kern w:val="0"/>
          <w:szCs w:val="24"/>
        </w:rPr>
      </w:pPr>
    </w:p>
    <w:p w14:paraId="2AB19A7E">
      <w:pPr>
        <w:widowControl/>
        <w:spacing w:before="94" w:after="94" w:line="580" w:lineRule="atLeast"/>
        <w:jc w:val="left"/>
        <w:rPr>
          <w:rFonts w:cs="宋体" w:asciiTheme="minorEastAsia" w:hAnsiTheme="minorEastAsia" w:eastAsiaTheme="minorEastAsia"/>
          <w:kern w:val="0"/>
          <w:szCs w:val="24"/>
        </w:rPr>
      </w:pPr>
      <w:r>
        <w:rPr>
          <w:rFonts w:cs="宋体" w:asciiTheme="minorEastAsia" w:hAnsiTheme="minorEastAsia" w:eastAsiaTheme="minorEastAsia"/>
          <w:kern w:val="0"/>
          <w:sz w:val="24"/>
          <w:szCs w:val="30"/>
        </w:rPr>
        <w:t> </w:t>
      </w:r>
    </w:p>
    <w:p w14:paraId="3BA49D9A">
      <w:pPr>
        <w:widowControl/>
        <w:spacing w:before="94" w:after="299" w:line="617" w:lineRule="atLeast"/>
        <w:jc w:val="left"/>
        <w:rPr>
          <w:rFonts w:cs="宋体" w:asciiTheme="minorEastAsia" w:hAnsiTheme="minorEastAsia" w:eastAsiaTheme="minorEastAsia"/>
          <w:kern w:val="0"/>
          <w:sz w:val="24"/>
          <w:szCs w:val="30"/>
        </w:rPr>
      </w:pPr>
      <w:r>
        <w:rPr>
          <w:rFonts w:cs="宋体" w:asciiTheme="minorEastAsia" w:hAnsiTheme="minorEastAsia" w:eastAsiaTheme="minorEastAsia"/>
          <w:kern w:val="0"/>
          <w:sz w:val="24"/>
          <w:szCs w:val="30"/>
        </w:rPr>
        <w:t> </w:t>
      </w:r>
    </w:p>
    <w:p w14:paraId="7F8C0831">
      <w:pPr>
        <w:pStyle w:val="37"/>
        <w:ind w:firstLine="200"/>
        <w:rPr>
          <w:rFonts w:asciiTheme="minorEastAsia" w:hAnsiTheme="minorEastAsia" w:eastAsiaTheme="minorEastAsia"/>
        </w:rPr>
      </w:pPr>
    </w:p>
    <w:p w14:paraId="35E29FCA">
      <w:pPr>
        <w:widowControl/>
        <w:jc w:val="left"/>
        <w:rPr>
          <w:rFonts w:cs="宋体" w:asciiTheme="minorEastAsia" w:hAnsiTheme="minorEastAsia" w:eastAsiaTheme="minorEastAsia"/>
          <w:kern w:val="0"/>
          <w:sz w:val="24"/>
          <w:szCs w:val="30"/>
        </w:rPr>
      </w:pPr>
      <w:r>
        <w:rPr>
          <w:rFonts w:cs="宋体" w:asciiTheme="minorEastAsia" w:hAnsiTheme="minorEastAsia" w:eastAsiaTheme="minorEastAsia"/>
          <w:kern w:val="0"/>
          <w:sz w:val="24"/>
          <w:szCs w:val="30"/>
        </w:rPr>
        <w:br w:type="page"/>
      </w:r>
    </w:p>
    <w:p w14:paraId="218260E8">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一、</w:t>
      </w:r>
      <w:r>
        <w:rPr>
          <w:rFonts w:cs="宋体" w:asciiTheme="minorEastAsia" w:hAnsiTheme="minorEastAsia" w:eastAsiaTheme="minorEastAsia"/>
          <w:b/>
          <w:bCs/>
          <w:kern w:val="0"/>
          <w:szCs w:val="21"/>
        </w:rPr>
        <w:t>磋商响应声明</w:t>
      </w:r>
    </w:p>
    <w:p w14:paraId="619577F5">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0792469A">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致：</w:t>
      </w:r>
      <w:r>
        <w:rPr>
          <w:rFonts w:cs="宋体" w:asciiTheme="minorEastAsia" w:hAnsiTheme="minorEastAsia" w:eastAsiaTheme="minorEastAsia"/>
          <w:kern w:val="0"/>
          <w:szCs w:val="21"/>
          <w:u w:val="single"/>
        </w:rPr>
        <w:t>     (采购人或采购代理机构)       </w:t>
      </w:r>
    </w:p>
    <w:p w14:paraId="422FD13E">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1.根据贵方为</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项目（项目编号:</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）的</w:t>
      </w:r>
      <w:r>
        <w:rPr>
          <w:rFonts w:hint="eastAsia" w:cs="宋体" w:asciiTheme="minorEastAsia" w:hAnsiTheme="minorEastAsia" w:eastAsiaTheme="minorEastAsia"/>
          <w:kern w:val="0"/>
          <w:szCs w:val="21"/>
        </w:rPr>
        <w:t>磋商</w:t>
      </w:r>
      <w:r>
        <w:rPr>
          <w:rFonts w:cs="宋体" w:asciiTheme="minorEastAsia" w:hAnsiTheme="minorEastAsia" w:eastAsiaTheme="minorEastAsia"/>
          <w:kern w:val="0"/>
          <w:szCs w:val="21"/>
        </w:rPr>
        <w:t>公告（或</w:t>
      </w:r>
      <w:r>
        <w:rPr>
          <w:rFonts w:hint="eastAsia" w:cs="宋体" w:asciiTheme="minorEastAsia" w:hAnsiTheme="minorEastAsia" w:eastAsiaTheme="minorEastAsia"/>
          <w:kern w:val="0"/>
          <w:szCs w:val="21"/>
        </w:rPr>
        <w:t>磋商邀请</w:t>
      </w:r>
      <w:r>
        <w:rPr>
          <w:rFonts w:cs="宋体" w:asciiTheme="minorEastAsia" w:hAnsiTheme="minorEastAsia" w:eastAsiaTheme="minorEastAsia"/>
          <w:kern w:val="0"/>
          <w:szCs w:val="21"/>
        </w:rPr>
        <w:t>），我方签字代表</w:t>
      </w:r>
      <w:r>
        <w:rPr>
          <w:rFonts w:cs="宋体" w:asciiTheme="minorEastAsia" w:hAnsiTheme="minorEastAsia" w:eastAsiaTheme="minorEastAsia"/>
          <w:kern w:val="0"/>
          <w:szCs w:val="21"/>
          <w:u w:val="single"/>
        </w:rPr>
        <w:t>   （全名、职务）</w:t>
      </w:r>
      <w:r>
        <w:rPr>
          <w:rFonts w:cs="宋体" w:asciiTheme="minorEastAsia" w:hAnsiTheme="minorEastAsia" w:eastAsiaTheme="minorEastAsia"/>
          <w:kern w:val="0"/>
          <w:szCs w:val="21"/>
        </w:rPr>
        <w:t>经正式授权并代表的供应商</w:t>
      </w:r>
      <w:r>
        <w:rPr>
          <w:rFonts w:cs="宋体" w:asciiTheme="minorEastAsia" w:hAnsiTheme="minorEastAsia" w:eastAsiaTheme="minorEastAsia"/>
          <w:kern w:val="0"/>
          <w:szCs w:val="21"/>
          <w:u w:val="single"/>
        </w:rPr>
        <w:t>   （供应商名称、地址）    </w:t>
      </w:r>
      <w:r>
        <w:rPr>
          <w:rFonts w:cs="宋体" w:asciiTheme="minorEastAsia" w:hAnsiTheme="minorEastAsia" w:eastAsiaTheme="minorEastAsia"/>
          <w:kern w:val="0"/>
          <w:szCs w:val="21"/>
        </w:rPr>
        <w:t>提交包含下述内容的首次响应文件纸质文本正本</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套，副本</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套及电子文档</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套。</w:t>
      </w:r>
    </w:p>
    <w:p w14:paraId="0B66B4F0">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一、磋商响应声明</w:t>
      </w:r>
    </w:p>
    <w:p w14:paraId="1434B02D">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二、报价一览表</w:t>
      </w:r>
    </w:p>
    <w:p w14:paraId="545637E6">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三、资格证明文件</w:t>
      </w:r>
    </w:p>
    <w:p w14:paraId="30AAFD97">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四、磋商保证金凭证</w:t>
      </w:r>
    </w:p>
    <w:p w14:paraId="05B581E2">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五、技术和服务要求响应表</w:t>
      </w:r>
    </w:p>
    <w:p w14:paraId="51E5B8C5">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六、商务条件和</w:t>
      </w:r>
      <w:r>
        <w:rPr>
          <w:rFonts w:hint="eastAsia" w:cs="宋体" w:asciiTheme="minorEastAsia" w:hAnsiTheme="minorEastAsia" w:eastAsiaTheme="minorEastAsia"/>
          <w:kern w:val="0"/>
          <w:szCs w:val="21"/>
          <w:lang w:eastAsia="zh-CN"/>
        </w:rPr>
        <w:t>其他</w:t>
      </w:r>
      <w:r>
        <w:rPr>
          <w:rFonts w:hint="eastAsia" w:cs="宋体" w:asciiTheme="minorEastAsia" w:hAnsiTheme="minorEastAsia" w:eastAsiaTheme="minorEastAsia"/>
          <w:kern w:val="0"/>
          <w:szCs w:val="21"/>
        </w:rPr>
        <w:t>事项响应表</w:t>
      </w:r>
    </w:p>
    <w:p w14:paraId="48AA7CCC">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七、相关技术、商务、服务响应承诺及资料</w:t>
      </w:r>
    </w:p>
    <w:p w14:paraId="33D53168">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八、要求作为响应文件组成部分的其他内容（若有）</w:t>
      </w:r>
    </w:p>
    <w:p w14:paraId="35CA6FCF">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2.据此函，我方宣布响应承诺如下：</w:t>
      </w:r>
    </w:p>
    <w:p w14:paraId="290EF783">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w:t>
      </w:r>
      <w:r>
        <w:rPr>
          <w:rFonts w:hint="eastAsia" w:cs="宋体" w:asciiTheme="minorEastAsia" w:hAnsiTheme="minorEastAsia" w:eastAsiaTheme="minorEastAsia"/>
          <w:kern w:val="0"/>
          <w:szCs w:val="21"/>
          <w:lang w:eastAsia="zh-CN"/>
        </w:rPr>
        <w:t>他</w:t>
      </w:r>
      <w:r>
        <w:rPr>
          <w:rFonts w:cs="宋体" w:asciiTheme="minorEastAsia" w:hAnsiTheme="minorEastAsia" w:eastAsiaTheme="minorEastAsia"/>
          <w:kern w:val="0"/>
          <w:szCs w:val="21"/>
        </w:rPr>
        <w:t>用，如有违反，采购人可依法追究我方的法律责任。</w:t>
      </w:r>
    </w:p>
    <w:p w14:paraId="4045A662">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14:paraId="2AC80455">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2.3我方承诺：递交的所有响应文件（包括首次响应文件、补充澄清、最后报价等响应文件）在竞争性磋商须知前附表</w:t>
      </w:r>
      <w:r>
        <w:rPr>
          <w:rFonts w:cs="宋体" w:asciiTheme="minorEastAsia" w:hAnsiTheme="minorEastAsia" w:eastAsiaTheme="minorEastAsia"/>
          <w:color w:val="000000" w:themeColor="text1"/>
          <w:kern w:val="0"/>
          <w:szCs w:val="21"/>
          <w14:textFill>
            <w14:solidFill>
              <w14:schemeClr w14:val="tx1"/>
            </w14:solidFill>
          </w14:textFill>
        </w:rPr>
        <w:t>第3项</w:t>
      </w:r>
      <w:r>
        <w:rPr>
          <w:rFonts w:cs="宋体" w:asciiTheme="minorEastAsia" w:hAnsiTheme="minorEastAsia" w:eastAsiaTheme="minorEastAsia"/>
          <w:kern w:val="0"/>
          <w:szCs w:val="21"/>
        </w:rPr>
        <w:t>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6CA8E32A">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2.4我方已经按照磋商文件要求提交磋商保证金。我方如果发生任何竞争性磋商文件中所述不予退还磋商保证金的情况，则我方的磋商保证金将被贵方不予退还，我方对此无异议。</w:t>
      </w:r>
    </w:p>
    <w:p w14:paraId="7BE00D66">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2.5我方愿意向贵方提供任何与本项目磋商采购有关的数据或资料。若贵方需要，我方愿意提供我方作出的一切承诺的证明材料。</w:t>
      </w:r>
    </w:p>
    <w:p w14:paraId="679C659F">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6D175AD2">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4BE1F616">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通信地址:</w:t>
      </w:r>
      <w:r>
        <w:rPr>
          <w:rFonts w:cs="宋体" w:asciiTheme="minorEastAsia" w:hAnsiTheme="minorEastAsia" w:eastAsiaTheme="minorEastAsia"/>
          <w:kern w:val="0"/>
          <w:szCs w:val="21"/>
          <w:u w:val="single"/>
        </w:rPr>
        <w:t>                                          .</w:t>
      </w:r>
    </w:p>
    <w:p w14:paraId="399AA7FE">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邮编：</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   传真号：</w:t>
      </w:r>
      <w:r>
        <w:rPr>
          <w:rFonts w:cs="宋体" w:asciiTheme="minorEastAsia" w:hAnsiTheme="minorEastAsia" w:eastAsiaTheme="minorEastAsia"/>
          <w:kern w:val="0"/>
          <w:szCs w:val="21"/>
          <w:u w:val="single"/>
        </w:rPr>
        <w:t>               .</w:t>
      </w:r>
    </w:p>
    <w:p w14:paraId="2A5BE1EF">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联系电话（固定电话和移动电话）：</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w:t>
      </w:r>
    </w:p>
    <w:p w14:paraId="4044A6ED">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78C65DA7">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供应商代表电子信箱：</w:t>
      </w:r>
      <w:r>
        <w:rPr>
          <w:rFonts w:cs="宋体" w:asciiTheme="minorEastAsia" w:hAnsiTheme="minorEastAsia" w:eastAsiaTheme="minorEastAsia"/>
          <w:kern w:val="0"/>
          <w:szCs w:val="21"/>
          <w:u w:val="single"/>
        </w:rPr>
        <w:t>                                   .</w:t>
      </w:r>
    </w:p>
    <w:p w14:paraId="7EE340D3">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w:t>
      </w:r>
      <w:r>
        <w:rPr>
          <w:rFonts w:cs="宋体" w:asciiTheme="minorEastAsia" w:hAnsiTheme="minorEastAsia" w:eastAsiaTheme="minorEastAsia"/>
          <w:kern w:val="0"/>
          <w:szCs w:val="21"/>
          <w:u w:val="single"/>
        </w:rPr>
        <w:t>         （全称并加盖公章）              .</w:t>
      </w:r>
    </w:p>
    <w:p w14:paraId="3B63CCF2">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7345438B">
      <w:pPr>
        <w:widowControl/>
        <w:spacing w:line="460" w:lineRule="exact"/>
        <w:jc w:val="center"/>
        <w:rPr>
          <w:rFonts w:cs="宋体" w:asciiTheme="minorEastAsia" w:hAnsiTheme="minorEastAsia" w:eastAsiaTheme="minorEastAsia"/>
          <w:b/>
          <w:kern w:val="0"/>
          <w:szCs w:val="21"/>
        </w:rPr>
      </w:pPr>
      <w:r>
        <w:rPr>
          <w:rFonts w:cs="宋体" w:asciiTheme="minorEastAsia" w:hAnsiTheme="minorEastAsia" w:eastAsiaTheme="minorEastAsia"/>
          <w:kern w:val="0"/>
          <w:szCs w:val="21"/>
        </w:rPr>
        <w:br w:type="page"/>
      </w:r>
      <w:r>
        <w:rPr>
          <w:rFonts w:hint="eastAsia" w:cs="宋体" w:asciiTheme="minorEastAsia" w:hAnsiTheme="minorEastAsia" w:eastAsiaTheme="minorEastAsia"/>
          <w:b/>
          <w:kern w:val="0"/>
          <w:szCs w:val="21"/>
        </w:rPr>
        <w:t>二、</w:t>
      </w:r>
      <w:r>
        <w:rPr>
          <w:rFonts w:cs="宋体" w:asciiTheme="minorEastAsia" w:hAnsiTheme="minorEastAsia" w:eastAsiaTheme="minorEastAsia"/>
          <w:b/>
          <w:bCs/>
          <w:kern w:val="0"/>
          <w:szCs w:val="21"/>
        </w:rPr>
        <w:t>报价一览表</w:t>
      </w:r>
    </w:p>
    <w:p w14:paraId="7D1F0846">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219870D9">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（全称加盖单位公章）</w:t>
      </w:r>
      <w:r>
        <w:rPr>
          <w:rFonts w:cs="宋体" w:asciiTheme="minorEastAsia" w:hAnsiTheme="minorEastAsia" w:eastAsiaTheme="minorEastAsia"/>
          <w:kern w:val="0"/>
          <w:szCs w:val="21"/>
        </w:rPr>
        <w:t>项目编号</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 货币单位：元人民币</w:t>
      </w:r>
    </w:p>
    <w:tbl>
      <w:tblPr>
        <w:tblStyle w:val="39"/>
        <w:tblW w:w="10008" w:type="dxa"/>
        <w:tblInd w:w="0" w:type="dxa"/>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Layout w:type="fixed"/>
        <w:tblCellMar>
          <w:top w:w="15" w:type="dxa"/>
          <w:left w:w="15" w:type="dxa"/>
          <w:bottom w:w="15" w:type="dxa"/>
          <w:right w:w="15" w:type="dxa"/>
        </w:tblCellMar>
      </w:tblPr>
      <w:tblGrid>
        <w:gridCol w:w="1183"/>
        <w:gridCol w:w="4283"/>
        <w:gridCol w:w="2056"/>
        <w:gridCol w:w="1149"/>
        <w:gridCol w:w="1337"/>
      </w:tblGrid>
      <w:tr w14:paraId="6711C0E9">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1141" w:hRule="atLeast"/>
        </w:trPr>
        <w:tc>
          <w:tcPr>
            <w:tcW w:w="1183" w:type="dxa"/>
            <w:tcBorders>
              <w:top w:val="single" w:color="auto" w:sz="8" w:space="0"/>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0C17B178">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合同包</w:t>
            </w:r>
          </w:p>
        </w:tc>
        <w:tc>
          <w:tcPr>
            <w:tcW w:w="4283" w:type="dxa"/>
            <w:tcBorders>
              <w:top w:val="single" w:color="auto" w:sz="8" w:space="0"/>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7DDECEE0">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首次报价</w:t>
            </w:r>
          </w:p>
        </w:tc>
        <w:tc>
          <w:tcPr>
            <w:tcW w:w="2056" w:type="dxa"/>
            <w:tcBorders>
              <w:top w:val="single" w:color="auto" w:sz="8" w:space="0"/>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016D049F">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交货期/工期/项目完成时间/服务时间</w:t>
            </w:r>
          </w:p>
        </w:tc>
        <w:tc>
          <w:tcPr>
            <w:tcW w:w="1149" w:type="dxa"/>
            <w:tcBorders>
              <w:top w:val="single" w:color="auto" w:sz="8" w:space="0"/>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40013BB6">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磋商保证金</w:t>
            </w:r>
          </w:p>
        </w:tc>
        <w:tc>
          <w:tcPr>
            <w:tcW w:w="1337" w:type="dxa"/>
            <w:tcBorders>
              <w:top w:val="single" w:color="auto" w:sz="8" w:space="0"/>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3022C32B">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备注</w:t>
            </w:r>
          </w:p>
        </w:tc>
      </w:tr>
      <w:tr w14:paraId="4C98A201">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1141" w:hRule="atLeast"/>
        </w:trPr>
        <w:tc>
          <w:tcPr>
            <w:tcW w:w="1183"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59E543D4">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w:t>
            </w:r>
          </w:p>
        </w:tc>
        <w:tc>
          <w:tcPr>
            <w:tcW w:w="42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4A3BE524">
            <w:pPr>
              <w:widowControl/>
              <w:spacing w:line="460" w:lineRule="exact"/>
              <w:jc w:val="left"/>
              <w:rPr>
                <w:rFonts w:cs="宋体" w:asciiTheme="minorEastAsia" w:hAnsiTheme="minorEastAsia" w:eastAsiaTheme="minorEastAsia"/>
                <w:kern w:val="0"/>
                <w:szCs w:val="21"/>
              </w:rPr>
            </w:pPr>
          </w:p>
        </w:tc>
        <w:tc>
          <w:tcPr>
            <w:tcW w:w="2056"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1BB21CD4">
            <w:pPr>
              <w:widowControl/>
              <w:spacing w:line="460" w:lineRule="exact"/>
              <w:jc w:val="left"/>
              <w:rPr>
                <w:rFonts w:cs="宋体" w:asciiTheme="minorEastAsia" w:hAnsiTheme="minorEastAsia" w:eastAsiaTheme="minorEastAsia"/>
                <w:kern w:val="0"/>
                <w:szCs w:val="21"/>
              </w:rPr>
            </w:pPr>
          </w:p>
        </w:tc>
        <w:tc>
          <w:tcPr>
            <w:tcW w:w="1149"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365440F3">
            <w:pPr>
              <w:widowControl/>
              <w:spacing w:line="460" w:lineRule="exact"/>
              <w:jc w:val="left"/>
              <w:rPr>
                <w:rFonts w:cs="宋体" w:asciiTheme="minorEastAsia" w:hAnsiTheme="minorEastAsia" w:eastAsiaTheme="minorEastAsia"/>
                <w:kern w:val="0"/>
                <w:szCs w:val="21"/>
              </w:rPr>
            </w:pPr>
          </w:p>
        </w:tc>
        <w:tc>
          <w:tcPr>
            <w:tcW w:w="1337"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1A3D5924">
            <w:pPr>
              <w:widowControl/>
              <w:spacing w:line="460" w:lineRule="exact"/>
              <w:jc w:val="left"/>
              <w:rPr>
                <w:rFonts w:cs="宋体" w:asciiTheme="minorEastAsia" w:hAnsiTheme="minorEastAsia" w:eastAsiaTheme="minorEastAsia"/>
                <w:kern w:val="0"/>
                <w:szCs w:val="21"/>
              </w:rPr>
            </w:pPr>
          </w:p>
        </w:tc>
      </w:tr>
      <w:tr w14:paraId="2F37EBBE">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1141" w:hRule="atLeast"/>
        </w:trPr>
        <w:tc>
          <w:tcPr>
            <w:tcW w:w="1183"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2AB7C830">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w:t>
            </w:r>
          </w:p>
        </w:tc>
        <w:tc>
          <w:tcPr>
            <w:tcW w:w="42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1155567D">
            <w:pPr>
              <w:widowControl/>
              <w:spacing w:line="460" w:lineRule="exact"/>
              <w:jc w:val="left"/>
              <w:rPr>
                <w:rFonts w:cs="宋体" w:asciiTheme="minorEastAsia" w:hAnsiTheme="minorEastAsia" w:eastAsiaTheme="minorEastAsia"/>
                <w:kern w:val="0"/>
                <w:szCs w:val="21"/>
              </w:rPr>
            </w:pPr>
          </w:p>
        </w:tc>
        <w:tc>
          <w:tcPr>
            <w:tcW w:w="2056"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30C4D242">
            <w:pPr>
              <w:widowControl/>
              <w:spacing w:line="460" w:lineRule="exact"/>
              <w:jc w:val="left"/>
              <w:rPr>
                <w:rFonts w:cs="宋体" w:asciiTheme="minorEastAsia" w:hAnsiTheme="minorEastAsia" w:eastAsiaTheme="minorEastAsia"/>
                <w:kern w:val="0"/>
                <w:szCs w:val="21"/>
              </w:rPr>
            </w:pPr>
          </w:p>
        </w:tc>
        <w:tc>
          <w:tcPr>
            <w:tcW w:w="1149"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240C417D">
            <w:pPr>
              <w:widowControl/>
              <w:spacing w:line="460" w:lineRule="exact"/>
              <w:jc w:val="left"/>
              <w:rPr>
                <w:rFonts w:cs="宋体" w:asciiTheme="minorEastAsia" w:hAnsiTheme="minorEastAsia" w:eastAsiaTheme="minorEastAsia"/>
                <w:kern w:val="0"/>
                <w:szCs w:val="21"/>
              </w:rPr>
            </w:pPr>
          </w:p>
        </w:tc>
        <w:tc>
          <w:tcPr>
            <w:tcW w:w="1337"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55B049A4">
            <w:pPr>
              <w:widowControl/>
              <w:spacing w:line="460" w:lineRule="exact"/>
              <w:jc w:val="left"/>
              <w:rPr>
                <w:rFonts w:cs="宋体" w:asciiTheme="minorEastAsia" w:hAnsiTheme="minorEastAsia" w:eastAsiaTheme="minorEastAsia"/>
                <w:kern w:val="0"/>
                <w:szCs w:val="21"/>
              </w:rPr>
            </w:pPr>
          </w:p>
        </w:tc>
      </w:tr>
      <w:tr w14:paraId="6B1589FE">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1141" w:hRule="atLeast"/>
        </w:trPr>
        <w:tc>
          <w:tcPr>
            <w:tcW w:w="1183"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7FBEAC4F">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w:t>
            </w:r>
          </w:p>
        </w:tc>
        <w:tc>
          <w:tcPr>
            <w:tcW w:w="42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22A4E98B">
            <w:pPr>
              <w:widowControl/>
              <w:spacing w:line="460" w:lineRule="exact"/>
              <w:jc w:val="left"/>
              <w:rPr>
                <w:rFonts w:cs="宋体" w:asciiTheme="minorEastAsia" w:hAnsiTheme="minorEastAsia" w:eastAsiaTheme="minorEastAsia"/>
                <w:kern w:val="0"/>
                <w:szCs w:val="21"/>
              </w:rPr>
            </w:pPr>
          </w:p>
        </w:tc>
        <w:tc>
          <w:tcPr>
            <w:tcW w:w="2056"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02FA77C2">
            <w:pPr>
              <w:widowControl/>
              <w:spacing w:line="460" w:lineRule="exact"/>
              <w:jc w:val="left"/>
              <w:rPr>
                <w:rFonts w:cs="宋体" w:asciiTheme="minorEastAsia" w:hAnsiTheme="minorEastAsia" w:eastAsiaTheme="minorEastAsia"/>
                <w:kern w:val="0"/>
                <w:szCs w:val="21"/>
              </w:rPr>
            </w:pPr>
          </w:p>
        </w:tc>
        <w:tc>
          <w:tcPr>
            <w:tcW w:w="1149"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4B9E8245">
            <w:pPr>
              <w:widowControl/>
              <w:spacing w:line="460" w:lineRule="exact"/>
              <w:jc w:val="left"/>
              <w:rPr>
                <w:rFonts w:cs="宋体" w:asciiTheme="minorEastAsia" w:hAnsiTheme="minorEastAsia" w:eastAsiaTheme="minorEastAsia"/>
                <w:kern w:val="0"/>
                <w:szCs w:val="21"/>
              </w:rPr>
            </w:pPr>
          </w:p>
        </w:tc>
        <w:tc>
          <w:tcPr>
            <w:tcW w:w="1337"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52DEEAC9">
            <w:pPr>
              <w:widowControl/>
              <w:spacing w:line="460" w:lineRule="exact"/>
              <w:jc w:val="left"/>
              <w:rPr>
                <w:rFonts w:cs="宋体" w:asciiTheme="minorEastAsia" w:hAnsiTheme="minorEastAsia" w:eastAsiaTheme="minorEastAsia"/>
                <w:kern w:val="0"/>
                <w:szCs w:val="21"/>
              </w:rPr>
            </w:pPr>
          </w:p>
        </w:tc>
      </w:tr>
      <w:tr w14:paraId="2DDA28DE">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1141" w:hRule="atLeast"/>
        </w:trPr>
        <w:tc>
          <w:tcPr>
            <w:tcW w:w="1183"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7E988C8F">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w:t>
            </w:r>
          </w:p>
        </w:tc>
        <w:tc>
          <w:tcPr>
            <w:tcW w:w="42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3444C42A">
            <w:pPr>
              <w:widowControl/>
              <w:spacing w:line="460" w:lineRule="exact"/>
              <w:jc w:val="left"/>
              <w:rPr>
                <w:rFonts w:cs="宋体" w:asciiTheme="minorEastAsia" w:hAnsiTheme="minorEastAsia" w:eastAsiaTheme="minorEastAsia"/>
                <w:kern w:val="0"/>
                <w:szCs w:val="21"/>
              </w:rPr>
            </w:pPr>
          </w:p>
        </w:tc>
        <w:tc>
          <w:tcPr>
            <w:tcW w:w="2056"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2CEF58BA">
            <w:pPr>
              <w:widowControl/>
              <w:spacing w:line="460" w:lineRule="exact"/>
              <w:jc w:val="left"/>
              <w:rPr>
                <w:rFonts w:cs="宋体" w:asciiTheme="minorEastAsia" w:hAnsiTheme="minorEastAsia" w:eastAsiaTheme="minorEastAsia"/>
                <w:kern w:val="0"/>
                <w:szCs w:val="21"/>
              </w:rPr>
            </w:pPr>
          </w:p>
        </w:tc>
        <w:tc>
          <w:tcPr>
            <w:tcW w:w="1149"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5271AB7F">
            <w:pPr>
              <w:widowControl/>
              <w:spacing w:line="460" w:lineRule="exact"/>
              <w:jc w:val="left"/>
              <w:rPr>
                <w:rFonts w:cs="宋体" w:asciiTheme="minorEastAsia" w:hAnsiTheme="minorEastAsia" w:eastAsiaTheme="minorEastAsia"/>
                <w:kern w:val="0"/>
                <w:szCs w:val="21"/>
              </w:rPr>
            </w:pPr>
          </w:p>
        </w:tc>
        <w:tc>
          <w:tcPr>
            <w:tcW w:w="1337"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1B461744">
            <w:pPr>
              <w:widowControl/>
              <w:spacing w:line="460" w:lineRule="exact"/>
              <w:jc w:val="left"/>
              <w:rPr>
                <w:rFonts w:cs="宋体" w:asciiTheme="minorEastAsia" w:hAnsiTheme="minorEastAsia" w:eastAsiaTheme="minorEastAsia"/>
                <w:kern w:val="0"/>
                <w:szCs w:val="21"/>
              </w:rPr>
            </w:pPr>
          </w:p>
        </w:tc>
      </w:tr>
      <w:tr w14:paraId="40E3B2F9">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1141" w:hRule="atLeast"/>
        </w:trPr>
        <w:tc>
          <w:tcPr>
            <w:tcW w:w="1183"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70204924">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w:t>
            </w:r>
          </w:p>
        </w:tc>
        <w:tc>
          <w:tcPr>
            <w:tcW w:w="42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41233F98">
            <w:pPr>
              <w:widowControl/>
              <w:spacing w:line="460" w:lineRule="exact"/>
              <w:jc w:val="left"/>
              <w:rPr>
                <w:rFonts w:cs="宋体" w:asciiTheme="minorEastAsia" w:hAnsiTheme="minorEastAsia" w:eastAsiaTheme="minorEastAsia"/>
                <w:kern w:val="0"/>
                <w:szCs w:val="21"/>
              </w:rPr>
            </w:pPr>
          </w:p>
        </w:tc>
        <w:tc>
          <w:tcPr>
            <w:tcW w:w="2056"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45DAC7D7">
            <w:pPr>
              <w:widowControl/>
              <w:spacing w:line="460" w:lineRule="exact"/>
              <w:jc w:val="left"/>
              <w:rPr>
                <w:rFonts w:cs="宋体" w:asciiTheme="minorEastAsia" w:hAnsiTheme="minorEastAsia" w:eastAsiaTheme="minorEastAsia"/>
                <w:kern w:val="0"/>
                <w:szCs w:val="21"/>
              </w:rPr>
            </w:pPr>
          </w:p>
        </w:tc>
        <w:tc>
          <w:tcPr>
            <w:tcW w:w="1149"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5332A060">
            <w:pPr>
              <w:widowControl/>
              <w:spacing w:line="460" w:lineRule="exact"/>
              <w:jc w:val="left"/>
              <w:rPr>
                <w:rFonts w:cs="宋体" w:asciiTheme="minorEastAsia" w:hAnsiTheme="minorEastAsia" w:eastAsiaTheme="minorEastAsia"/>
                <w:kern w:val="0"/>
                <w:szCs w:val="21"/>
              </w:rPr>
            </w:pPr>
          </w:p>
        </w:tc>
        <w:tc>
          <w:tcPr>
            <w:tcW w:w="1337"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4AD74165">
            <w:pPr>
              <w:widowControl/>
              <w:spacing w:line="460" w:lineRule="exact"/>
              <w:jc w:val="left"/>
              <w:rPr>
                <w:rFonts w:cs="宋体" w:asciiTheme="minorEastAsia" w:hAnsiTheme="minorEastAsia" w:eastAsiaTheme="minorEastAsia"/>
                <w:kern w:val="0"/>
                <w:szCs w:val="21"/>
              </w:rPr>
            </w:pPr>
          </w:p>
        </w:tc>
      </w:tr>
    </w:tbl>
    <w:p w14:paraId="0923CD3A">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3D290453">
      <w:pPr>
        <w:widowControl/>
        <w:spacing w:line="460" w:lineRule="exact"/>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w:t>
      </w:r>
      <w:r>
        <w:rPr>
          <w:rFonts w:cs="宋体" w:asciiTheme="minorEastAsia" w:hAnsiTheme="minorEastAsia" w:eastAsiaTheme="minorEastAsia"/>
          <w:b/>
          <w:kern w:val="0"/>
          <w:szCs w:val="21"/>
        </w:rPr>
        <w:t>注：</w:t>
      </w:r>
    </w:p>
    <w:p w14:paraId="7168EDFC">
      <w:pPr>
        <w:widowControl/>
        <w:spacing w:line="360" w:lineRule="auto"/>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1、供应商应准备报价一览表一式二份，其中一份按要求填写，另一份只须盖章签字，不须填写具体内容，待磋商结束后用于供应商做最终报价及有关承诺。</w:t>
      </w:r>
    </w:p>
    <w:p w14:paraId="0706E4D6">
      <w:pPr>
        <w:widowControl/>
        <w:spacing w:line="360" w:lineRule="auto"/>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w:t>
      </w:r>
      <w:r>
        <w:rPr>
          <w:rFonts w:cs="宋体" w:asciiTheme="minorEastAsia" w:hAnsiTheme="minorEastAsia" w:eastAsiaTheme="minorEastAsia"/>
          <w:b/>
          <w:kern w:val="0"/>
          <w:szCs w:val="21"/>
        </w:rPr>
        <w:t>详细报价书另纸详列，格式自拟。</w:t>
      </w:r>
    </w:p>
    <w:p w14:paraId="6A947061">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31B1EEBD">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w:t>
      </w:r>
    </w:p>
    <w:p w14:paraId="75F41C53">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68E2987C">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22B7818A">
      <w:pPr>
        <w:pStyle w:val="37"/>
        <w:ind w:firstLine="200"/>
        <w:rPr>
          <w:rFonts w:asciiTheme="minorEastAsia" w:hAnsiTheme="minorEastAsia" w:eastAsiaTheme="minorEastAsia"/>
        </w:rPr>
      </w:pPr>
    </w:p>
    <w:p w14:paraId="17C51317">
      <w:pPr>
        <w:widowControl/>
        <w:spacing w:line="460" w:lineRule="exact"/>
        <w:jc w:val="center"/>
        <w:rPr>
          <w:rFonts w:cs="宋体" w:asciiTheme="minorEastAsia" w:hAnsiTheme="minorEastAsia" w:eastAsiaTheme="minorEastAsia"/>
          <w:b/>
          <w:kern w:val="0"/>
          <w:szCs w:val="21"/>
        </w:rPr>
      </w:pPr>
      <w:r>
        <w:rPr>
          <w:rFonts w:cs="宋体" w:asciiTheme="minorEastAsia" w:hAnsiTheme="minorEastAsia" w:eastAsiaTheme="minorEastAsia"/>
          <w:kern w:val="0"/>
          <w:szCs w:val="21"/>
        </w:rPr>
        <w:br w:type="page"/>
      </w:r>
      <w:r>
        <w:rPr>
          <w:rFonts w:hint="eastAsia" w:cs="宋体" w:asciiTheme="minorEastAsia" w:hAnsiTheme="minorEastAsia" w:eastAsiaTheme="minorEastAsia"/>
          <w:b/>
          <w:kern w:val="0"/>
          <w:szCs w:val="21"/>
        </w:rPr>
        <w:t>2-1</w:t>
      </w:r>
      <w:r>
        <w:rPr>
          <w:rFonts w:cs="宋体" w:asciiTheme="minorEastAsia" w:hAnsiTheme="minorEastAsia" w:eastAsiaTheme="minorEastAsia"/>
          <w:b/>
          <w:bCs/>
          <w:kern w:val="0"/>
          <w:szCs w:val="21"/>
        </w:rPr>
        <w:t>详细报价书</w:t>
      </w:r>
    </w:p>
    <w:p w14:paraId="429A55CE">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 </w:t>
      </w:r>
    </w:p>
    <w:p w14:paraId="34355290">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说明：</w:t>
      </w:r>
    </w:p>
    <w:p w14:paraId="4FA14AE5">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各供应商应根据竞争性磋商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14:paraId="10797391">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w:t>
      </w:r>
      <w:r>
        <w:rPr>
          <w:rFonts w:hint="eastAsia" w:cs="宋体" w:asciiTheme="minorEastAsia" w:hAnsiTheme="minorEastAsia" w:eastAsiaTheme="minorEastAsia"/>
          <w:kern w:val="0"/>
          <w:szCs w:val="21"/>
          <w:lang w:eastAsia="zh-CN"/>
        </w:rPr>
        <w:t>费用</w:t>
      </w:r>
      <w:r>
        <w:rPr>
          <w:rFonts w:cs="宋体" w:asciiTheme="minorEastAsia" w:hAnsiTheme="minorEastAsia" w:eastAsiaTheme="minorEastAsia"/>
          <w:kern w:val="0"/>
          <w:szCs w:val="21"/>
        </w:rPr>
        <w:t>已包含在详细报价书的其他单价或合价中，采购人在合同执行过程中，不再多还少补。</w:t>
      </w:r>
    </w:p>
    <w:p w14:paraId="7AA0B229">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p>
    <w:p w14:paraId="0735D56A">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34053A40">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66F799ED">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29C58261">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1B65A0C7">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5AD075AE">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7348A1CE">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br w:type="page"/>
      </w:r>
    </w:p>
    <w:p w14:paraId="2D528989">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三、</w:t>
      </w:r>
      <w:r>
        <w:rPr>
          <w:rFonts w:cs="宋体" w:asciiTheme="minorEastAsia" w:hAnsiTheme="minorEastAsia" w:eastAsiaTheme="minorEastAsia"/>
          <w:b/>
          <w:bCs/>
          <w:kern w:val="0"/>
          <w:szCs w:val="21"/>
        </w:rPr>
        <w:t>资格证明文件</w:t>
      </w:r>
    </w:p>
    <w:p w14:paraId="64B15ABC">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3-1</w:t>
      </w:r>
      <w:r>
        <w:rPr>
          <w:rFonts w:cs="宋体" w:asciiTheme="minorEastAsia" w:hAnsiTheme="minorEastAsia" w:eastAsiaTheme="minorEastAsia"/>
          <w:b/>
          <w:bCs/>
          <w:kern w:val="0"/>
          <w:szCs w:val="21"/>
        </w:rPr>
        <w:t>参加竞争性磋商的声明函</w:t>
      </w:r>
    </w:p>
    <w:p w14:paraId="455D7D48">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C4389CD">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致：</w:t>
      </w:r>
      <w:r>
        <w:rPr>
          <w:rFonts w:cs="宋体" w:asciiTheme="minorEastAsia" w:hAnsiTheme="minorEastAsia" w:eastAsiaTheme="minorEastAsia"/>
          <w:kern w:val="0"/>
          <w:szCs w:val="21"/>
          <w:u w:val="single"/>
        </w:rPr>
        <w:t>     (采购人或采购代理机构)       </w:t>
      </w:r>
      <w:r>
        <w:rPr>
          <w:rFonts w:cs="宋体" w:asciiTheme="minorEastAsia" w:hAnsiTheme="minorEastAsia" w:eastAsiaTheme="minorEastAsia"/>
          <w:kern w:val="0"/>
          <w:szCs w:val="21"/>
        </w:rPr>
        <w:t> </w:t>
      </w:r>
    </w:p>
    <w:p w14:paraId="2CAB03BE">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    1、关于贵方</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项目（项目编号:</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）的</w:t>
      </w:r>
      <w:r>
        <w:rPr>
          <w:rFonts w:hint="eastAsia" w:cs="宋体" w:asciiTheme="minorEastAsia" w:hAnsiTheme="minorEastAsia" w:eastAsiaTheme="minorEastAsia"/>
          <w:kern w:val="0"/>
          <w:szCs w:val="21"/>
        </w:rPr>
        <w:t>磋商</w:t>
      </w:r>
      <w:r>
        <w:rPr>
          <w:rFonts w:cs="宋体" w:asciiTheme="minorEastAsia" w:hAnsiTheme="minorEastAsia" w:eastAsiaTheme="minorEastAsia"/>
          <w:kern w:val="0"/>
          <w:szCs w:val="21"/>
        </w:rPr>
        <w:t>公告（或</w:t>
      </w:r>
      <w:r>
        <w:rPr>
          <w:rFonts w:hint="eastAsia" w:cs="宋体" w:asciiTheme="minorEastAsia" w:hAnsiTheme="minorEastAsia" w:eastAsiaTheme="minorEastAsia"/>
          <w:kern w:val="0"/>
          <w:szCs w:val="21"/>
        </w:rPr>
        <w:t>磋商</w:t>
      </w:r>
      <w:r>
        <w:rPr>
          <w:rFonts w:cs="宋体" w:asciiTheme="minorEastAsia" w:hAnsiTheme="minorEastAsia" w:eastAsiaTheme="minorEastAsia"/>
          <w:kern w:val="0"/>
          <w:szCs w:val="21"/>
        </w:rPr>
        <w:t>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4AEB3359">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45B93F57">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2、供应商的基本概况：</w:t>
      </w:r>
    </w:p>
    <w:p w14:paraId="13037007">
      <w:pPr>
        <w:widowControl/>
        <w:spacing w:line="460" w:lineRule="exact"/>
        <w:jc w:val="left"/>
        <w:rPr>
          <w:rFonts w:cs="宋体" w:asciiTheme="minorEastAsia" w:hAnsiTheme="minorEastAsia" w:eastAsiaTheme="minorEastAsia"/>
          <w:kern w:val="0"/>
          <w:szCs w:val="21"/>
          <w:u w:val="single"/>
        </w:rPr>
      </w:pPr>
      <w:r>
        <w:rPr>
          <w:rFonts w:cs="宋体" w:asciiTheme="minorEastAsia" w:hAnsiTheme="minorEastAsia" w:eastAsiaTheme="minorEastAsia"/>
          <w:kern w:val="0"/>
          <w:szCs w:val="21"/>
        </w:rPr>
        <w:t>2.1供应商单位名称：</w:t>
      </w:r>
      <w:r>
        <w:rPr>
          <w:rFonts w:cs="宋体" w:asciiTheme="minorEastAsia" w:hAnsiTheme="minorEastAsia" w:eastAsiaTheme="minorEastAsia"/>
          <w:kern w:val="0"/>
          <w:szCs w:val="21"/>
          <w:u w:val="single"/>
        </w:rPr>
        <w:t>               </w:t>
      </w:r>
    </w:p>
    <w:p w14:paraId="4807727C">
      <w:pPr>
        <w:widowControl/>
        <w:spacing w:line="460" w:lineRule="exact"/>
        <w:jc w:val="left"/>
        <w:rPr>
          <w:rFonts w:cs="宋体" w:asciiTheme="minorEastAsia" w:hAnsiTheme="minorEastAsia" w:eastAsiaTheme="minorEastAsia"/>
          <w:kern w:val="0"/>
          <w:szCs w:val="21"/>
          <w:u w:val="single"/>
        </w:rPr>
      </w:pPr>
      <w:r>
        <w:rPr>
          <w:rFonts w:cs="宋体" w:asciiTheme="minorEastAsia" w:hAnsiTheme="minorEastAsia" w:eastAsiaTheme="minorEastAsia"/>
          <w:kern w:val="0"/>
          <w:szCs w:val="21"/>
        </w:rPr>
        <w:t>2.2注册地址：</w:t>
      </w:r>
      <w:r>
        <w:rPr>
          <w:rFonts w:cs="宋体" w:asciiTheme="minorEastAsia" w:hAnsiTheme="minorEastAsia" w:eastAsiaTheme="minorEastAsia"/>
          <w:kern w:val="0"/>
          <w:szCs w:val="21"/>
          <w:u w:val="single"/>
        </w:rPr>
        <w:t>                        </w:t>
      </w:r>
    </w:p>
    <w:p w14:paraId="57F0F83B">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2.3单位负责人姓名：</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性别：</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年龄：</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职务：</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w:t>
      </w:r>
    </w:p>
    <w:p w14:paraId="0363DC0A">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备注：“单位负责人”指单位法定代表人（供应商为法人的）或法律、法规规定代表单位行使职权的主要负责人（供应商为其他组织的）。</w:t>
      </w:r>
    </w:p>
    <w:p w14:paraId="78A765FB">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对于接受联合体形式的磋商且供应商是联合体的，则联合体各成员都应当提交本资格证明文件。</w:t>
      </w:r>
    </w:p>
    <w:p w14:paraId="75D990A4">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73517A64">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430D0084">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057BC64D">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755383A4">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227A0327">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761C9DD">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30542B94">
      <w:pPr>
        <w:widowControl/>
        <w:spacing w:line="460" w:lineRule="exact"/>
        <w:jc w:val="left"/>
        <w:rPr>
          <w:rFonts w:cs="宋体" w:asciiTheme="minorEastAsia" w:hAnsiTheme="minorEastAsia" w:eastAsiaTheme="minorEastAsia"/>
          <w:b/>
          <w:kern w:val="0"/>
          <w:szCs w:val="21"/>
        </w:rPr>
      </w:pPr>
      <w:r>
        <w:rPr>
          <w:rFonts w:cs="宋体" w:asciiTheme="minorEastAsia" w:hAnsiTheme="minorEastAsia" w:eastAsiaTheme="minorEastAsia"/>
          <w:b/>
          <w:kern w:val="0"/>
          <w:szCs w:val="21"/>
        </w:rPr>
        <w:br w:type="page"/>
      </w:r>
    </w:p>
    <w:p w14:paraId="6D5DA564">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3-2</w:t>
      </w:r>
      <w:r>
        <w:rPr>
          <w:rFonts w:cs="宋体" w:asciiTheme="minorEastAsia" w:hAnsiTheme="minorEastAsia" w:eastAsiaTheme="minorEastAsia"/>
          <w:b/>
          <w:bCs/>
          <w:kern w:val="0"/>
          <w:szCs w:val="21"/>
        </w:rPr>
        <w:t>供应商的资格声明</w:t>
      </w:r>
    </w:p>
    <w:p w14:paraId="14D4FE15">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0D5DA858">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致：</w:t>
      </w:r>
      <w:r>
        <w:rPr>
          <w:rFonts w:cs="宋体" w:asciiTheme="minorEastAsia" w:hAnsiTheme="minorEastAsia" w:eastAsiaTheme="minorEastAsia"/>
          <w:kern w:val="0"/>
          <w:szCs w:val="21"/>
          <w:u w:val="single"/>
        </w:rPr>
        <w:t>     (采购人或采购代理机构)       </w:t>
      </w:r>
    </w:p>
    <w:p w14:paraId="46444601">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  </w:t>
      </w:r>
      <w:r>
        <w:rPr>
          <w:rFonts w:cs="宋体" w:asciiTheme="minorEastAsia" w:hAnsiTheme="minorEastAsia" w:eastAsiaTheme="minorEastAsia"/>
          <w:bCs/>
          <w:kern w:val="0"/>
          <w:szCs w:val="21"/>
        </w:rPr>
        <w:t>1、</w:t>
      </w:r>
      <w:r>
        <w:rPr>
          <w:rFonts w:cs="宋体" w:asciiTheme="minorEastAsia" w:hAnsiTheme="minorEastAsia" w:eastAsiaTheme="minorEastAsia"/>
          <w:kern w:val="0"/>
          <w:szCs w:val="21"/>
        </w:rPr>
        <w:t>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39"/>
        <w:tblW w:w="10008" w:type="dxa"/>
        <w:tblInd w:w="0" w:type="dxa"/>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Layout w:type="fixed"/>
        <w:tblCellMar>
          <w:top w:w="15" w:type="dxa"/>
          <w:left w:w="15" w:type="dxa"/>
          <w:bottom w:w="15" w:type="dxa"/>
          <w:right w:w="15" w:type="dxa"/>
        </w:tblCellMar>
      </w:tblPr>
      <w:tblGrid>
        <w:gridCol w:w="6625"/>
        <w:gridCol w:w="3383"/>
      </w:tblGrid>
      <w:tr w14:paraId="55756AD8">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c>
          <w:tcPr>
            <w:tcW w:w="6625" w:type="dxa"/>
            <w:tcBorders>
              <w:top w:val="single" w:color="auto" w:sz="8" w:space="0"/>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2CBE00C0">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《中华人民共和国政府采购法》第二十二条对供应商的要求</w:t>
            </w:r>
          </w:p>
        </w:tc>
        <w:tc>
          <w:tcPr>
            <w:tcW w:w="3383" w:type="dxa"/>
            <w:tcBorders>
              <w:top w:val="single" w:color="auto" w:sz="8" w:space="0"/>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40EAA65E">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供应商对是否符合要求</w:t>
            </w:r>
            <w:r>
              <w:rPr>
                <w:rFonts w:hint="eastAsia" w:cs="宋体" w:asciiTheme="minorEastAsia" w:hAnsiTheme="minorEastAsia" w:eastAsiaTheme="minorEastAsia"/>
                <w:b/>
                <w:bCs/>
                <w:kern w:val="0"/>
                <w:szCs w:val="21"/>
                <w:lang w:eastAsia="zh-CN"/>
              </w:rPr>
              <w:t>作如实</w:t>
            </w:r>
            <w:r>
              <w:rPr>
                <w:rFonts w:cs="宋体" w:asciiTheme="minorEastAsia" w:hAnsiTheme="minorEastAsia" w:eastAsiaTheme="minorEastAsia"/>
                <w:b/>
                <w:bCs/>
                <w:kern w:val="0"/>
                <w:szCs w:val="21"/>
              </w:rPr>
              <w:t>声明</w:t>
            </w:r>
          </w:p>
        </w:tc>
      </w:tr>
      <w:tr w14:paraId="2A2C536E">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c>
          <w:tcPr>
            <w:tcW w:w="6625"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0E8E7341">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（1）具有独立承担民事责任的能力</w:t>
            </w:r>
          </w:p>
        </w:tc>
        <w:tc>
          <w:tcPr>
            <w:tcW w:w="33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15206345">
            <w:pPr>
              <w:widowControl/>
              <w:spacing w:line="460" w:lineRule="exact"/>
              <w:jc w:val="left"/>
              <w:rPr>
                <w:rFonts w:cs="宋体" w:asciiTheme="minorEastAsia" w:hAnsiTheme="minorEastAsia" w:eastAsiaTheme="minorEastAsia"/>
                <w:kern w:val="0"/>
                <w:szCs w:val="21"/>
              </w:rPr>
            </w:pPr>
          </w:p>
        </w:tc>
      </w:tr>
      <w:tr w14:paraId="7E1515E6">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c>
          <w:tcPr>
            <w:tcW w:w="6625"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3B445975">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（2）具有良好的商业信誉和健全的财务会计制度</w:t>
            </w:r>
          </w:p>
        </w:tc>
        <w:tc>
          <w:tcPr>
            <w:tcW w:w="33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246A923F">
            <w:pPr>
              <w:widowControl/>
              <w:spacing w:line="460" w:lineRule="exact"/>
              <w:jc w:val="left"/>
              <w:rPr>
                <w:rFonts w:cs="宋体" w:asciiTheme="minorEastAsia" w:hAnsiTheme="minorEastAsia" w:eastAsiaTheme="minorEastAsia"/>
                <w:kern w:val="0"/>
                <w:szCs w:val="21"/>
              </w:rPr>
            </w:pPr>
          </w:p>
        </w:tc>
      </w:tr>
      <w:tr w14:paraId="5B5017E7">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c>
          <w:tcPr>
            <w:tcW w:w="6625"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2DB79951">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（3）具有履行合同所必需的设备和专业技术能力</w:t>
            </w:r>
          </w:p>
        </w:tc>
        <w:tc>
          <w:tcPr>
            <w:tcW w:w="33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7E035E94">
            <w:pPr>
              <w:widowControl/>
              <w:spacing w:line="460" w:lineRule="exact"/>
              <w:jc w:val="left"/>
              <w:rPr>
                <w:rFonts w:cs="宋体" w:asciiTheme="minorEastAsia" w:hAnsiTheme="minorEastAsia" w:eastAsiaTheme="minorEastAsia"/>
                <w:kern w:val="0"/>
                <w:szCs w:val="21"/>
              </w:rPr>
            </w:pPr>
          </w:p>
        </w:tc>
      </w:tr>
      <w:tr w14:paraId="65104A85">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c>
          <w:tcPr>
            <w:tcW w:w="6625"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7E96C8BB">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（4）有依法缴纳税收和社会保障资金的良好记录</w:t>
            </w:r>
          </w:p>
        </w:tc>
        <w:tc>
          <w:tcPr>
            <w:tcW w:w="33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758F4CD9">
            <w:pPr>
              <w:widowControl/>
              <w:spacing w:line="460" w:lineRule="exact"/>
              <w:jc w:val="left"/>
              <w:rPr>
                <w:rFonts w:cs="宋体" w:asciiTheme="minorEastAsia" w:hAnsiTheme="minorEastAsia" w:eastAsiaTheme="minorEastAsia"/>
                <w:kern w:val="0"/>
                <w:szCs w:val="21"/>
              </w:rPr>
            </w:pPr>
          </w:p>
        </w:tc>
      </w:tr>
      <w:tr w14:paraId="083760A1">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c>
          <w:tcPr>
            <w:tcW w:w="6625"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7DAA491A">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（5）参加政府采购活动前三年内，在经营活动中没有重大违法记录</w:t>
            </w:r>
          </w:p>
        </w:tc>
        <w:tc>
          <w:tcPr>
            <w:tcW w:w="33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57168E8D">
            <w:pPr>
              <w:widowControl/>
              <w:spacing w:line="460" w:lineRule="exact"/>
              <w:jc w:val="left"/>
              <w:rPr>
                <w:rFonts w:cs="宋体" w:asciiTheme="minorEastAsia" w:hAnsiTheme="minorEastAsia" w:eastAsiaTheme="minorEastAsia"/>
                <w:kern w:val="0"/>
                <w:szCs w:val="21"/>
              </w:rPr>
            </w:pPr>
          </w:p>
        </w:tc>
      </w:tr>
      <w:tr w14:paraId="169E31AD">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c>
          <w:tcPr>
            <w:tcW w:w="6625"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32ADB169">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（6）法律、行政法规规定的其他条件。</w:t>
            </w:r>
          </w:p>
        </w:tc>
        <w:tc>
          <w:tcPr>
            <w:tcW w:w="33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0EB9C0FF">
            <w:pPr>
              <w:widowControl/>
              <w:spacing w:line="460" w:lineRule="exact"/>
              <w:jc w:val="left"/>
              <w:rPr>
                <w:rFonts w:cs="宋体" w:asciiTheme="minorEastAsia" w:hAnsiTheme="minorEastAsia" w:eastAsiaTheme="minorEastAsia"/>
                <w:kern w:val="0"/>
                <w:szCs w:val="21"/>
              </w:rPr>
            </w:pPr>
          </w:p>
        </w:tc>
      </w:tr>
      <w:tr w14:paraId="7A601FB5">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c>
          <w:tcPr>
            <w:tcW w:w="6625"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2B1EC5A6">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磋商文件对合格供应商的一般规定</w:t>
            </w:r>
          </w:p>
        </w:tc>
        <w:tc>
          <w:tcPr>
            <w:tcW w:w="33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51C2533C">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供应商对是否违反一般规定</w:t>
            </w:r>
            <w:r>
              <w:rPr>
                <w:rFonts w:hint="eastAsia" w:cs="宋体" w:asciiTheme="minorEastAsia" w:hAnsiTheme="minorEastAsia" w:eastAsiaTheme="minorEastAsia"/>
                <w:b/>
                <w:bCs/>
                <w:kern w:val="0"/>
                <w:szCs w:val="21"/>
                <w:lang w:eastAsia="zh-CN"/>
              </w:rPr>
              <w:t>作如实</w:t>
            </w:r>
            <w:r>
              <w:rPr>
                <w:rFonts w:cs="宋体" w:asciiTheme="minorEastAsia" w:hAnsiTheme="minorEastAsia" w:eastAsiaTheme="minorEastAsia"/>
                <w:b/>
                <w:bCs/>
                <w:kern w:val="0"/>
                <w:szCs w:val="21"/>
              </w:rPr>
              <w:t>声明</w:t>
            </w:r>
          </w:p>
        </w:tc>
      </w:tr>
      <w:tr w14:paraId="5905C646">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c>
          <w:tcPr>
            <w:tcW w:w="6625"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73C598E8">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供应商应当遵守中国的有关法律、法规和规章的规定，参加政府采购活动时已经自觉检查并按照政府采购相关法律规定，主动回避相应利害关系。</w:t>
            </w:r>
          </w:p>
        </w:tc>
        <w:tc>
          <w:tcPr>
            <w:tcW w:w="33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795739A6">
            <w:pPr>
              <w:widowControl/>
              <w:spacing w:line="460" w:lineRule="exact"/>
              <w:jc w:val="left"/>
              <w:rPr>
                <w:rFonts w:cs="宋体" w:asciiTheme="minorEastAsia" w:hAnsiTheme="minorEastAsia" w:eastAsiaTheme="minorEastAsia"/>
                <w:kern w:val="0"/>
                <w:szCs w:val="21"/>
              </w:rPr>
            </w:pPr>
          </w:p>
        </w:tc>
      </w:tr>
      <w:tr w14:paraId="1EAAEB5A">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c>
          <w:tcPr>
            <w:tcW w:w="6625"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4945BA30">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为采购项目提供整体设计、规范编制或项目管理、监理、检测等服务的供应商，不得再参加该采购项目除整体设计、规范编制和项目管理、监理、检测等服务之外的其他采购活动。</w:t>
            </w:r>
          </w:p>
        </w:tc>
        <w:tc>
          <w:tcPr>
            <w:tcW w:w="33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4FB98DC3">
            <w:pPr>
              <w:widowControl/>
              <w:spacing w:line="460" w:lineRule="exact"/>
              <w:jc w:val="left"/>
              <w:rPr>
                <w:rFonts w:cs="宋体" w:asciiTheme="minorEastAsia" w:hAnsiTheme="minorEastAsia" w:eastAsiaTheme="minorEastAsia"/>
                <w:kern w:val="0"/>
                <w:szCs w:val="21"/>
              </w:rPr>
            </w:pPr>
          </w:p>
        </w:tc>
      </w:tr>
      <w:tr w14:paraId="6EED1DBC">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c>
          <w:tcPr>
            <w:tcW w:w="6625" w:type="dxa"/>
            <w:tcBorders>
              <w:top w:val="nil"/>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6B3829C7">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列入失信被执行人、重大税收违法案件当事人名单、政府采购严重违法失信行为记录名单的供应商，不得参加政府采购活动。</w:t>
            </w:r>
          </w:p>
        </w:tc>
        <w:tc>
          <w:tcPr>
            <w:tcW w:w="3383" w:type="dxa"/>
            <w:tcBorders>
              <w:top w:val="nil"/>
              <w:left w:val="nil"/>
              <w:bottom w:val="single" w:color="auto" w:sz="8" w:space="0"/>
              <w:right w:val="single" w:color="auto" w:sz="8" w:space="0"/>
            </w:tcBorders>
            <w:shd w:val="clear" w:color="auto" w:fill="FFFFFF"/>
            <w:tcMar>
              <w:top w:w="0" w:type="dxa"/>
              <w:left w:w="131" w:type="dxa"/>
              <w:bottom w:w="0" w:type="dxa"/>
              <w:right w:w="131" w:type="dxa"/>
            </w:tcMar>
            <w:vAlign w:val="center"/>
          </w:tcPr>
          <w:p w14:paraId="1461097B">
            <w:pPr>
              <w:widowControl/>
              <w:spacing w:line="460" w:lineRule="exact"/>
              <w:jc w:val="left"/>
              <w:rPr>
                <w:rFonts w:cs="宋体" w:asciiTheme="minorEastAsia" w:hAnsiTheme="minorEastAsia" w:eastAsiaTheme="minorEastAsia"/>
                <w:kern w:val="0"/>
                <w:szCs w:val="21"/>
              </w:rPr>
            </w:pPr>
          </w:p>
        </w:tc>
      </w:tr>
    </w:tbl>
    <w:p w14:paraId="62A3775F">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2、我方对上述声明的真实性、合法性、准确性、有效性负责，并愿意根据磋商文件和磋商过程中贵方要求提供全部现有资料、数据、文件等予以证实。</w:t>
      </w:r>
    </w:p>
    <w:p w14:paraId="5403F321">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备注：对于接受联合体形式的磋商且供应商是联合体的，则联合体各成员都应当提交本资格证明文件。</w:t>
      </w:r>
    </w:p>
    <w:p w14:paraId="2881535B">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3F0E366B">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4E1A4EA2">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6C33F7A0">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3-3</w:t>
      </w:r>
      <w:r>
        <w:rPr>
          <w:rFonts w:cs="宋体" w:asciiTheme="minorEastAsia" w:hAnsiTheme="minorEastAsia" w:eastAsiaTheme="minorEastAsia"/>
          <w:b/>
          <w:bCs/>
          <w:kern w:val="0"/>
          <w:szCs w:val="21"/>
        </w:rPr>
        <w:t>单位负责人授权书</w:t>
      </w:r>
    </w:p>
    <w:p w14:paraId="015DA87F">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致：</w:t>
      </w:r>
      <w:r>
        <w:rPr>
          <w:rFonts w:cs="宋体" w:asciiTheme="minorEastAsia" w:hAnsiTheme="minorEastAsia" w:eastAsiaTheme="minorEastAsia"/>
          <w:kern w:val="0"/>
          <w:szCs w:val="21"/>
          <w:u w:val="single"/>
        </w:rPr>
        <w:t>     (采购人或采购代理机构)       </w:t>
      </w:r>
    </w:p>
    <w:p w14:paraId="42AEDE87">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我方的单位负责人</w:t>
      </w:r>
      <w:r>
        <w:rPr>
          <w:rFonts w:cs="宋体" w:asciiTheme="minorEastAsia" w:hAnsiTheme="minorEastAsia" w:eastAsiaTheme="minorEastAsia"/>
          <w:kern w:val="0"/>
          <w:szCs w:val="21"/>
          <w:u w:val="single"/>
        </w:rPr>
        <w:t>（填写“单位负责人全名”）</w:t>
      </w:r>
      <w:r>
        <w:rPr>
          <w:rFonts w:cs="宋体" w:asciiTheme="minorEastAsia" w:hAnsiTheme="minorEastAsia" w:eastAsiaTheme="minorEastAsia"/>
          <w:kern w:val="0"/>
          <w:szCs w:val="21"/>
        </w:rPr>
        <w:t>授权</w:t>
      </w:r>
      <w:r>
        <w:rPr>
          <w:rFonts w:cs="宋体" w:asciiTheme="minorEastAsia" w:hAnsiTheme="minorEastAsia" w:eastAsiaTheme="minorEastAsia"/>
          <w:kern w:val="0"/>
          <w:szCs w:val="21"/>
          <w:u w:val="single"/>
        </w:rPr>
        <w:t>（填写“供应商代表全名”）</w:t>
      </w:r>
      <w:r>
        <w:rPr>
          <w:rFonts w:cs="宋体" w:asciiTheme="minorEastAsia" w:hAnsiTheme="minorEastAsia" w:eastAsiaTheme="minorEastAsia"/>
          <w:kern w:val="0"/>
          <w:szCs w:val="21"/>
        </w:rPr>
        <w:t>为我方的供应商代表，代表我方参加</w:t>
      </w:r>
      <w:r>
        <w:rPr>
          <w:rFonts w:cs="宋体" w:asciiTheme="minorEastAsia" w:hAnsiTheme="minorEastAsia" w:eastAsiaTheme="minorEastAsia"/>
          <w:kern w:val="0"/>
          <w:szCs w:val="21"/>
          <w:u w:val="single"/>
        </w:rPr>
        <w:t>  （填写“项目名称”）   </w:t>
      </w:r>
      <w:r>
        <w:rPr>
          <w:rFonts w:cs="宋体" w:asciiTheme="minorEastAsia" w:hAnsiTheme="minorEastAsia" w:eastAsiaTheme="minorEastAsia"/>
          <w:kern w:val="0"/>
          <w:szCs w:val="21"/>
        </w:rPr>
        <w:t>项目（项目编号：</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56CA374E">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供应商代表无转委权。特此授权。</w:t>
      </w:r>
    </w:p>
    <w:p w14:paraId="3C4C0E97">
      <w:pPr>
        <w:widowControl/>
        <w:spacing w:line="46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（以下无正文）</w:t>
      </w:r>
    </w:p>
    <w:p w14:paraId="3645484D">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单位负责人：</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身份证号：</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手机：</w:t>
      </w:r>
      <w:r>
        <w:rPr>
          <w:rFonts w:cs="宋体" w:asciiTheme="minorEastAsia" w:hAnsiTheme="minorEastAsia" w:eastAsiaTheme="minorEastAsia"/>
          <w:kern w:val="0"/>
          <w:szCs w:val="21"/>
          <w:u w:val="single"/>
        </w:rPr>
        <w:t>          </w:t>
      </w:r>
    </w:p>
    <w:p w14:paraId="01F4F75E">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身份证号：</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手机：</w:t>
      </w:r>
      <w:r>
        <w:rPr>
          <w:rFonts w:cs="宋体" w:asciiTheme="minorEastAsia" w:hAnsiTheme="minorEastAsia" w:eastAsiaTheme="minorEastAsia"/>
          <w:kern w:val="0"/>
          <w:szCs w:val="21"/>
          <w:u w:val="single"/>
        </w:rPr>
        <w:t>            </w:t>
      </w:r>
    </w:p>
    <w:p w14:paraId="10205BE1">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400BD329">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授权方</w:t>
      </w:r>
    </w:p>
    <w:p w14:paraId="5669F3C1">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w:t>
      </w:r>
      <w:r>
        <w:rPr>
          <w:rFonts w:cs="宋体" w:asciiTheme="minorEastAsia" w:hAnsiTheme="minorEastAsia" w:eastAsiaTheme="minorEastAsia"/>
          <w:kern w:val="0"/>
          <w:szCs w:val="21"/>
          <w:u w:val="single"/>
        </w:rPr>
        <w:t>（全称并加盖单位公章）</w:t>
      </w:r>
    </w:p>
    <w:p w14:paraId="4DA61F05">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单位负责人签字或盖章：</w:t>
      </w:r>
      <w:r>
        <w:rPr>
          <w:rFonts w:cs="宋体" w:asciiTheme="minorEastAsia" w:hAnsiTheme="minorEastAsia" w:eastAsiaTheme="minorEastAsia"/>
          <w:kern w:val="0"/>
          <w:szCs w:val="21"/>
          <w:u w:val="single"/>
        </w:rPr>
        <w:t>                   </w:t>
      </w:r>
    </w:p>
    <w:p w14:paraId="3012CF3E">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接受授权方</w:t>
      </w:r>
    </w:p>
    <w:p w14:paraId="693E61AB">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供应商代表签字：</w:t>
      </w:r>
      <w:r>
        <w:rPr>
          <w:rFonts w:cs="宋体" w:asciiTheme="minorEastAsia" w:hAnsiTheme="minorEastAsia" w:eastAsiaTheme="minorEastAsia"/>
          <w:kern w:val="0"/>
          <w:szCs w:val="21"/>
          <w:u w:val="single"/>
        </w:rPr>
        <w:t>                   </w:t>
      </w:r>
    </w:p>
    <w:p w14:paraId="7CF4F6FF">
      <w:pPr>
        <w:widowControl/>
        <w:spacing w:line="460" w:lineRule="exact"/>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签署日期：</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54C39235">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38528056">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附：单位负责人、供应商代表的身份证正反面复印件</w:t>
      </w:r>
    </w:p>
    <w:tbl>
      <w:tblPr>
        <w:tblStyle w:val="39"/>
        <w:tblW w:w="10008" w:type="dxa"/>
        <w:tblInd w:w="0" w:type="dxa"/>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Layout w:type="fixed"/>
        <w:tblCellMar>
          <w:top w:w="15" w:type="dxa"/>
          <w:left w:w="15" w:type="dxa"/>
          <w:bottom w:w="15" w:type="dxa"/>
          <w:right w:w="15" w:type="dxa"/>
        </w:tblCellMar>
      </w:tblPr>
      <w:tblGrid>
        <w:gridCol w:w="10008"/>
      </w:tblGrid>
      <w:tr w14:paraId="6E1BDDC1">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804" w:hRule="atLeast"/>
        </w:trPr>
        <w:tc>
          <w:tcPr>
            <w:tcW w:w="10008" w:type="dxa"/>
            <w:tcBorders>
              <w:top w:val="single" w:color="auto" w:sz="8" w:space="0"/>
              <w:left w:val="single" w:color="auto" w:sz="8" w:space="0"/>
              <w:bottom w:val="single" w:color="auto" w:sz="8" w:space="0"/>
              <w:right w:val="single" w:color="auto" w:sz="8" w:space="0"/>
            </w:tcBorders>
            <w:shd w:val="clear" w:color="auto" w:fill="FFFFFF"/>
            <w:tcMar>
              <w:top w:w="0" w:type="dxa"/>
              <w:left w:w="131" w:type="dxa"/>
              <w:bottom w:w="0" w:type="dxa"/>
              <w:right w:w="131" w:type="dxa"/>
            </w:tcMar>
            <w:vAlign w:val="center"/>
          </w:tcPr>
          <w:p w14:paraId="4049AB6F">
            <w:pPr>
              <w:widowControl/>
              <w:spacing w:line="460" w:lineRule="exact"/>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 </w:t>
            </w:r>
          </w:p>
          <w:p w14:paraId="4EAB6700">
            <w:pPr>
              <w:widowControl/>
              <w:spacing w:line="460" w:lineRule="exact"/>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要求：真实、有效、清晰</w:t>
            </w:r>
          </w:p>
          <w:p w14:paraId="10710E36">
            <w:pPr>
              <w:widowControl/>
              <w:spacing w:line="460" w:lineRule="exact"/>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 </w:t>
            </w:r>
          </w:p>
        </w:tc>
      </w:tr>
    </w:tbl>
    <w:p w14:paraId="2C555951">
      <w:pPr>
        <w:widowControl/>
        <w:spacing w:line="46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注意：</w:t>
      </w:r>
    </w:p>
    <w:p w14:paraId="359960EC">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1、负责响应文件签字的供应商代表如果不是上述规定的单位负责人，则供应商应当在响应文件中提供本授权书，纸质响应文件正本中的本授权书应为原件。</w:t>
      </w:r>
    </w:p>
    <w:p w14:paraId="65BF3AFD">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br w:type="page"/>
      </w:r>
    </w:p>
    <w:p w14:paraId="3509CD95">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3-4</w:t>
      </w:r>
      <w:r>
        <w:rPr>
          <w:rFonts w:cs="宋体" w:asciiTheme="minorEastAsia" w:hAnsiTheme="minorEastAsia" w:eastAsiaTheme="minorEastAsia"/>
          <w:b/>
          <w:bCs/>
          <w:kern w:val="0"/>
          <w:szCs w:val="21"/>
        </w:rPr>
        <w:t>营业执照等证明文件</w:t>
      </w:r>
    </w:p>
    <w:p w14:paraId="000FD15A">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5628CEC8">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致：</w:t>
      </w:r>
      <w:r>
        <w:rPr>
          <w:rFonts w:cs="宋体" w:asciiTheme="minorEastAsia" w:hAnsiTheme="minorEastAsia" w:eastAsiaTheme="minorEastAsia"/>
          <w:kern w:val="0"/>
          <w:szCs w:val="21"/>
          <w:u w:val="single"/>
        </w:rPr>
        <w:t>     (采购人或采购代理机构)        </w:t>
      </w:r>
    </w:p>
    <w:p w14:paraId="5E57441C">
      <w:pPr>
        <w:widowControl/>
        <w:spacing w:line="460" w:lineRule="exact"/>
        <w:ind w:firstLine="420"/>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现附上由</w:t>
      </w:r>
      <w:r>
        <w:rPr>
          <w:rFonts w:cs="宋体" w:asciiTheme="minorEastAsia" w:hAnsiTheme="minorEastAsia" w:eastAsiaTheme="minorEastAsia"/>
          <w:kern w:val="0"/>
          <w:szCs w:val="21"/>
          <w:u w:val="single"/>
        </w:rPr>
        <w:t>（填写“签发机关全称”）</w:t>
      </w:r>
      <w:r>
        <w:rPr>
          <w:rFonts w:cs="宋体" w:asciiTheme="minorEastAsia" w:hAnsiTheme="minorEastAsia" w:eastAsiaTheme="minorEastAsia"/>
          <w:kern w:val="0"/>
          <w:szCs w:val="21"/>
        </w:rPr>
        <w:t>签发的我方统一社会信用代码</w:t>
      </w:r>
      <w:r>
        <w:rPr>
          <w:rFonts w:cs="宋体" w:asciiTheme="minorEastAsia" w:hAnsiTheme="minorEastAsia" w:eastAsiaTheme="minorEastAsia"/>
          <w:kern w:val="0"/>
          <w:szCs w:val="21"/>
          <w:u w:val="single"/>
        </w:rPr>
        <w:t>（请填写具体证照名称）</w:t>
      </w:r>
      <w:r>
        <w:rPr>
          <w:rFonts w:cs="宋体" w:asciiTheme="minorEastAsia" w:hAnsiTheme="minorEastAsia" w:eastAsiaTheme="minorEastAsia"/>
          <w:kern w:val="0"/>
          <w:szCs w:val="21"/>
        </w:rPr>
        <w:t>复印件，该证明材料真实有效，否则我方负全部责任。</w:t>
      </w:r>
    </w:p>
    <w:p w14:paraId="188C9CF2">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0732EBE">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注意：</w:t>
      </w:r>
    </w:p>
    <w:p w14:paraId="7AA7E924">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1、供应商提供的相应证明材料复印件均应符合：内容完整、清晰、整洁，并由供应商加盖其单位公章。</w:t>
      </w:r>
    </w:p>
    <w:p w14:paraId="336D440D">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184C1430">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54C63114">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69396106">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465CCB12">
      <w:pPr>
        <w:widowControl/>
        <w:spacing w:line="460" w:lineRule="exact"/>
        <w:jc w:val="left"/>
        <w:rPr>
          <w:rFonts w:cs="宋体" w:asciiTheme="minorEastAsia" w:hAnsiTheme="minorEastAsia" w:eastAsiaTheme="minorEastAsia"/>
          <w:kern w:val="0"/>
          <w:szCs w:val="21"/>
        </w:rPr>
      </w:pPr>
    </w:p>
    <w:p w14:paraId="62A21EB8">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3-5</w:t>
      </w:r>
      <w:r>
        <w:rPr>
          <w:rFonts w:cs="宋体" w:asciiTheme="minorEastAsia" w:hAnsiTheme="minorEastAsia" w:eastAsiaTheme="minorEastAsia"/>
          <w:b/>
          <w:bCs/>
          <w:kern w:val="0"/>
          <w:szCs w:val="21"/>
        </w:rPr>
        <w:t>财务状况报告</w:t>
      </w:r>
    </w:p>
    <w:p w14:paraId="7D3807E4">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EE0ABB9">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致：</w:t>
      </w:r>
      <w:r>
        <w:rPr>
          <w:rFonts w:cs="宋体" w:asciiTheme="minorEastAsia" w:hAnsiTheme="minorEastAsia" w:eastAsiaTheme="minorEastAsia"/>
          <w:kern w:val="0"/>
          <w:szCs w:val="21"/>
          <w:u w:val="single"/>
        </w:rPr>
        <w:t>     (采购人或采购代理机构)         </w:t>
      </w:r>
    </w:p>
    <w:p w14:paraId="5A18CDB3">
      <w:pPr>
        <w:widowControl/>
        <w:spacing w:line="460" w:lineRule="exact"/>
        <w:rPr>
          <w:rFonts w:cs="宋体" w:asciiTheme="minorEastAsia" w:hAnsiTheme="minorEastAsia" w:eastAsiaTheme="minorEastAsia"/>
          <w:b/>
          <w:kern w:val="0"/>
          <w:szCs w:val="21"/>
        </w:rPr>
      </w:pPr>
      <w:r>
        <w:rPr>
          <w:rFonts w:cs="宋体" w:asciiTheme="minorEastAsia" w:hAnsiTheme="minorEastAsia" w:eastAsiaTheme="minorEastAsia"/>
          <w:b/>
          <w:kern w:val="0"/>
          <w:szCs w:val="21"/>
        </w:rPr>
        <w:t>（ ）供应商提供财务报告的</w:t>
      </w:r>
    </w:p>
    <w:p w14:paraId="5E105A2D">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现附上我方</w:t>
      </w:r>
      <w:r>
        <w:rPr>
          <w:rFonts w:cs="宋体" w:asciiTheme="minorEastAsia" w:hAnsiTheme="minorEastAsia" w:eastAsiaTheme="minorEastAsia"/>
          <w:kern w:val="0"/>
          <w:szCs w:val="21"/>
          <w:u w:val="single"/>
        </w:rPr>
        <w:t>（填写“具体的年度”）</w:t>
      </w:r>
      <w:r>
        <w:rPr>
          <w:rFonts w:cs="宋体" w:asciiTheme="minorEastAsia" w:hAnsiTheme="minorEastAsia" w:eastAsiaTheme="minorEastAsia"/>
          <w:kern w:val="0"/>
          <w:szCs w:val="21"/>
        </w:rPr>
        <w:t>财务报告复印件，包括资产负债表、利润表、现金流量表、所有者权益变动表及其附注（若有），上述证明材料真实有效，否则我方负全部责任。</w:t>
      </w:r>
    </w:p>
    <w:p w14:paraId="4642E368">
      <w:pPr>
        <w:widowControl/>
        <w:spacing w:line="460" w:lineRule="exact"/>
        <w:rPr>
          <w:rFonts w:cs="宋体" w:asciiTheme="minorEastAsia" w:hAnsiTheme="minorEastAsia" w:eastAsiaTheme="minorEastAsia"/>
          <w:b/>
          <w:kern w:val="0"/>
          <w:szCs w:val="21"/>
        </w:rPr>
      </w:pPr>
      <w:r>
        <w:rPr>
          <w:rFonts w:cs="宋体" w:asciiTheme="minorEastAsia" w:hAnsiTheme="minorEastAsia" w:eastAsiaTheme="minorEastAsia"/>
          <w:b/>
          <w:kern w:val="0"/>
          <w:szCs w:val="21"/>
        </w:rPr>
        <w:t>（ ）供应商提供资信证明的</w:t>
      </w:r>
    </w:p>
    <w:p w14:paraId="0911C788">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现附上我方开户（基本户）许可证复印件及我方银行：</w:t>
      </w:r>
      <w:r>
        <w:rPr>
          <w:rFonts w:cs="宋体" w:asciiTheme="minorEastAsia" w:hAnsiTheme="minorEastAsia" w:eastAsiaTheme="minorEastAsia"/>
          <w:kern w:val="0"/>
          <w:szCs w:val="21"/>
          <w:u w:val="single"/>
        </w:rPr>
        <w:t>（填写“基本户的开户银行全称”）</w:t>
      </w:r>
      <w:r>
        <w:rPr>
          <w:rFonts w:cs="宋体" w:asciiTheme="minorEastAsia" w:hAnsiTheme="minorEastAsia" w:eastAsiaTheme="minorEastAsia"/>
          <w:kern w:val="0"/>
          <w:szCs w:val="21"/>
        </w:rPr>
        <w:t>出具的资信证明复印件，上述证明材料真实有效，否则我方负全部责任。</w:t>
      </w:r>
    </w:p>
    <w:p w14:paraId="56E69555">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 </w:t>
      </w:r>
    </w:p>
    <w:p w14:paraId="3CE1F4BB">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注意事项：</w:t>
      </w:r>
    </w:p>
    <w:p w14:paraId="5AB01775">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1、上文提供财务报告、资信证明、</w:t>
      </w:r>
      <w:r>
        <w:rPr>
          <w:rFonts w:hint="eastAsia" w:cs="宋体" w:asciiTheme="minorEastAsia" w:hAnsiTheme="minorEastAsia" w:eastAsiaTheme="minorEastAsia"/>
          <w:kern w:val="0"/>
          <w:szCs w:val="21"/>
        </w:rPr>
        <w:t>两</w:t>
      </w:r>
      <w:r>
        <w:rPr>
          <w:rFonts w:cs="宋体" w:asciiTheme="minorEastAsia" w:hAnsiTheme="minorEastAsia" w:eastAsiaTheme="minorEastAsia"/>
          <w:kern w:val="0"/>
          <w:szCs w:val="21"/>
        </w:rPr>
        <w:t>大类型，请供应商按照自身实际情况编制填写，在其中相应的（）中打“√”后，再按照本格式的要求提供相应证明材料的复印件即可。</w:t>
      </w:r>
    </w:p>
    <w:p w14:paraId="24082227">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r>
        <w:rPr>
          <w:rFonts w:cs="宋体" w:asciiTheme="minorEastAsia" w:hAnsiTheme="minorEastAsia" w:eastAsiaTheme="minorEastAsia"/>
          <w:kern w:val="0"/>
          <w:szCs w:val="21"/>
        </w:rPr>
        <w:t>、供应商提供的相应证明材料复印件均应符合：内容完整、清晰、整洁，并由供应商加盖其单位公章。</w:t>
      </w:r>
    </w:p>
    <w:p w14:paraId="1E3B0A7B">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53605FDC">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2124CA54">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0D7E82D4">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3-6</w:t>
      </w:r>
      <w:r>
        <w:rPr>
          <w:rFonts w:cs="宋体" w:asciiTheme="minorEastAsia" w:hAnsiTheme="minorEastAsia" w:eastAsiaTheme="minorEastAsia"/>
          <w:b/>
          <w:bCs/>
          <w:kern w:val="0"/>
          <w:szCs w:val="21"/>
        </w:rPr>
        <w:t>依法缴纳税收证明材料</w:t>
      </w:r>
    </w:p>
    <w:p w14:paraId="6DA31A06">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2413947C">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致：</w:t>
      </w:r>
      <w:r>
        <w:rPr>
          <w:rFonts w:cs="宋体" w:asciiTheme="minorEastAsia" w:hAnsiTheme="minorEastAsia" w:eastAsiaTheme="minorEastAsia"/>
          <w:kern w:val="0"/>
          <w:szCs w:val="21"/>
          <w:u w:val="single"/>
        </w:rPr>
        <w:t>     (采购人或采购代理机构)      </w:t>
      </w:r>
    </w:p>
    <w:p w14:paraId="4F43525F">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 ）</w:t>
      </w:r>
      <w:r>
        <w:rPr>
          <w:rFonts w:cs="宋体" w:asciiTheme="minorEastAsia" w:hAnsiTheme="minorEastAsia" w:eastAsiaTheme="minorEastAsia"/>
          <w:b/>
          <w:bCs/>
          <w:kern w:val="0"/>
          <w:szCs w:val="21"/>
        </w:rPr>
        <w:t>依法缴纳税收的供应商</w:t>
      </w:r>
    </w:p>
    <w:p w14:paraId="75A3ED14">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现附上自</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日至</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日期间我方缴纳的</w:t>
      </w:r>
      <w:r>
        <w:rPr>
          <w:rFonts w:cs="宋体" w:asciiTheme="minorEastAsia" w:hAnsiTheme="minorEastAsia" w:eastAsiaTheme="minorEastAsia"/>
          <w:kern w:val="0"/>
          <w:szCs w:val="21"/>
          <w:u w:val="single"/>
        </w:rPr>
        <w:t>（按照供应商实际缴纳的税种名称填写，如：增值税、所得税等）</w:t>
      </w:r>
      <w:r>
        <w:rPr>
          <w:rFonts w:cs="宋体" w:asciiTheme="minorEastAsia" w:hAnsiTheme="minorEastAsia" w:eastAsiaTheme="minorEastAsia"/>
          <w:kern w:val="0"/>
          <w:szCs w:val="21"/>
        </w:rPr>
        <w:t>税收凭据复印件，上述证明材料真实有效，否则我方负全部责任。</w:t>
      </w:r>
    </w:p>
    <w:p w14:paraId="55DE4C0D">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 ）</w:t>
      </w:r>
      <w:r>
        <w:rPr>
          <w:rFonts w:cs="宋体" w:asciiTheme="minorEastAsia" w:hAnsiTheme="minorEastAsia" w:eastAsiaTheme="minorEastAsia"/>
          <w:b/>
          <w:bCs/>
          <w:kern w:val="0"/>
          <w:szCs w:val="21"/>
        </w:rPr>
        <w:t>依法免税的供应商</w:t>
      </w:r>
    </w:p>
    <w:p w14:paraId="0E3683C4">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现附上我方依法免税证明材料复印件，上述证明材料真实有效，否则我方负全部责任。</w:t>
      </w:r>
    </w:p>
    <w:p w14:paraId="3DCC6799">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C347AF9">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注意：</w:t>
      </w:r>
    </w:p>
    <w:p w14:paraId="5366CF34">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1、请供应商根据实际情况填写，在相应的（）中打“√”，并按照本格式的要求提供相应证明材料的复印件。</w:t>
      </w:r>
    </w:p>
    <w:p w14:paraId="17C1D1B4">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r>
        <w:rPr>
          <w:rFonts w:cs="宋体" w:asciiTheme="minorEastAsia" w:hAnsiTheme="minorEastAsia" w:eastAsiaTheme="minorEastAsia"/>
          <w:kern w:val="0"/>
          <w:szCs w:val="21"/>
        </w:rPr>
        <w:t>、供应商提供的相应证明材料复印件均应符合：内容完整、清晰、整洁，并由供应商加盖其单位公章。</w:t>
      </w:r>
    </w:p>
    <w:p w14:paraId="69CC3E4E">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r>
        <w:rPr>
          <w:rFonts w:cs="宋体" w:asciiTheme="minorEastAsia" w:hAnsiTheme="minorEastAsia" w:eastAsiaTheme="minorEastAsia"/>
          <w:kern w:val="0"/>
          <w:szCs w:val="21"/>
        </w:rPr>
        <w:t>、</w:t>
      </w:r>
      <w:r>
        <w:rPr>
          <w:rFonts w:cs="宋体" w:asciiTheme="minorEastAsia" w:hAnsiTheme="minorEastAsia" w:eastAsiaTheme="minorEastAsia"/>
          <w:b/>
          <w:bCs/>
          <w:kern w:val="0"/>
          <w:szCs w:val="21"/>
        </w:rPr>
        <w:t>“依法缴纳税收证明材料”</w:t>
      </w:r>
      <w:r>
        <w:rPr>
          <w:rFonts w:cs="宋体" w:asciiTheme="minorEastAsia" w:hAnsiTheme="minorEastAsia" w:eastAsiaTheme="minorEastAsia"/>
          <w:kern w:val="0"/>
          <w:szCs w:val="21"/>
        </w:rPr>
        <w:t>有欠缴记录的，视为</w:t>
      </w:r>
      <w:r>
        <w:rPr>
          <w:rFonts w:cs="宋体" w:asciiTheme="minorEastAsia" w:hAnsiTheme="minorEastAsia" w:eastAsiaTheme="minorEastAsia"/>
          <w:b/>
          <w:bCs/>
          <w:kern w:val="0"/>
          <w:szCs w:val="21"/>
        </w:rPr>
        <w:t>未依法缴纳税收</w:t>
      </w:r>
      <w:r>
        <w:rPr>
          <w:rFonts w:cs="宋体" w:asciiTheme="minorEastAsia" w:hAnsiTheme="minorEastAsia" w:eastAsiaTheme="minorEastAsia"/>
          <w:kern w:val="0"/>
          <w:szCs w:val="21"/>
        </w:rPr>
        <w:t>。</w:t>
      </w:r>
    </w:p>
    <w:p w14:paraId="33CC0639">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05E0AE88">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3FF1A560">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766051E0">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340DDB51">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7CD2DD6C">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3-7</w:t>
      </w:r>
      <w:r>
        <w:rPr>
          <w:rFonts w:cs="宋体" w:asciiTheme="minorEastAsia" w:hAnsiTheme="minorEastAsia" w:eastAsiaTheme="minorEastAsia"/>
          <w:b/>
          <w:bCs/>
          <w:kern w:val="0"/>
          <w:szCs w:val="21"/>
        </w:rPr>
        <w:t>依法缴纳社会保障资金证明材料</w:t>
      </w:r>
    </w:p>
    <w:p w14:paraId="39672755">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7A6D700D">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致：</w:t>
      </w:r>
      <w:r>
        <w:rPr>
          <w:rFonts w:cs="宋体" w:asciiTheme="minorEastAsia" w:hAnsiTheme="minorEastAsia" w:eastAsiaTheme="minorEastAsia"/>
          <w:kern w:val="0"/>
          <w:szCs w:val="21"/>
          <w:u w:val="single"/>
        </w:rPr>
        <w:t>     (采购人或采购代理机构)       </w:t>
      </w:r>
    </w:p>
    <w:p w14:paraId="3CDC3E64">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 ）</w:t>
      </w:r>
      <w:r>
        <w:rPr>
          <w:rFonts w:cs="宋体" w:asciiTheme="minorEastAsia" w:hAnsiTheme="minorEastAsia" w:eastAsiaTheme="minorEastAsia"/>
          <w:b/>
          <w:bCs/>
          <w:kern w:val="0"/>
          <w:szCs w:val="21"/>
        </w:rPr>
        <w:t>依法缴纳社会保障资金的供应商</w:t>
      </w:r>
    </w:p>
    <w:p w14:paraId="166D555E">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现附上自</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日至</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日我方缴纳的社会保险凭据（限：税务机关/社会保障资金管理机关的专用收据或社会保险缴纳清单，或社会保险的银行缴款收讫凭证）复印件，上述证明材料真实有效，否则我方负全部责任。</w:t>
      </w:r>
    </w:p>
    <w:p w14:paraId="697EA52F">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 ）</w:t>
      </w:r>
      <w:r>
        <w:rPr>
          <w:rFonts w:cs="宋体" w:asciiTheme="minorEastAsia" w:hAnsiTheme="minorEastAsia" w:eastAsiaTheme="minorEastAsia"/>
          <w:b/>
          <w:bCs/>
          <w:kern w:val="0"/>
          <w:szCs w:val="21"/>
        </w:rPr>
        <w:t>依法不需要缴纳社会保障资金的供应商</w:t>
      </w:r>
    </w:p>
    <w:p w14:paraId="178D2D16">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现附上我方依法不需要缴纳社会保障资金证明材料复印件，上述证明材料真实有效，否则我方负全部责任。</w:t>
      </w:r>
    </w:p>
    <w:p w14:paraId="7DA6BAA7">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06D963DA">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注意：</w:t>
      </w:r>
    </w:p>
    <w:p w14:paraId="7ABB0D7D">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1、请供应商根据实际情况填写，在相应的（）中打“√”，并按照本格式的要求提供相应证明材料的复印件。</w:t>
      </w:r>
    </w:p>
    <w:p w14:paraId="49DFC83B">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2、供应商提供的相应证明材料复印件均应符合：内容完整、清晰、整洁，并由供应商加盖其单位公章。</w:t>
      </w:r>
    </w:p>
    <w:p w14:paraId="510B1043">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r>
        <w:rPr>
          <w:rFonts w:cs="宋体" w:asciiTheme="minorEastAsia" w:hAnsiTheme="minorEastAsia" w:eastAsiaTheme="minorEastAsia"/>
          <w:kern w:val="0"/>
          <w:szCs w:val="21"/>
        </w:rPr>
        <w:t>、“</w:t>
      </w:r>
      <w:r>
        <w:rPr>
          <w:rFonts w:cs="宋体" w:asciiTheme="minorEastAsia" w:hAnsiTheme="minorEastAsia" w:eastAsiaTheme="minorEastAsia"/>
          <w:b/>
          <w:bCs/>
          <w:kern w:val="0"/>
          <w:szCs w:val="21"/>
        </w:rPr>
        <w:t>依法缴纳社会保障资金证明材料</w:t>
      </w:r>
      <w:r>
        <w:rPr>
          <w:rFonts w:cs="宋体" w:asciiTheme="minorEastAsia" w:hAnsiTheme="minorEastAsia" w:eastAsiaTheme="minorEastAsia"/>
          <w:kern w:val="0"/>
          <w:szCs w:val="21"/>
        </w:rPr>
        <w:t>”有欠缴记录的，视为</w:t>
      </w:r>
      <w:r>
        <w:rPr>
          <w:rFonts w:cs="宋体" w:asciiTheme="minorEastAsia" w:hAnsiTheme="minorEastAsia" w:eastAsiaTheme="minorEastAsia"/>
          <w:b/>
          <w:bCs/>
          <w:kern w:val="0"/>
          <w:szCs w:val="21"/>
        </w:rPr>
        <w:t>未依法缴纳社会保障资金</w:t>
      </w:r>
      <w:r>
        <w:rPr>
          <w:rFonts w:cs="宋体" w:asciiTheme="minorEastAsia" w:hAnsiTheme="minorEastAsia" w:eastAsiaTheme="minorEastAsia"/>
          <w:kern w:val="0"/>
          <w:szCs w:val="21"/>
        </w:rPr>
        <w:t>。</w:t>
      </w:r>
    </w:p>
    <w:p w14:paraId="556AF82C">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4AFD2A33">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4D599FF0">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3A65D6B8">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672CCD05">
      <w:pPr>
        <w:widowControl/>
        <w:spacing w:line="460" w:lineRule="exact"/>
        <w:jc w:val="left"/>
        <w:rPr>
          <w:rFonts w:cs="宋体" w:asciiTheme="minorEastAsia" w:hAnsiTheme="minorEastAsia" w:eastAsiaTheme="minorEastAsia"/>
          <w:kern w:val="0"/>
          <w:szCs w:val="21"/>
        </w:rPr>
      </w:pPr>
    </w:p>
    <w:p w14:paraId="2056027B">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3-8</w:t>
      </w:r>
      <w:r>
        <w:rPr>
          <w:rFonts w:cs="宋体" w:asciiTheme="minorEastAsia" w:hAnsiTheme="minorEastAsia" w:eastAsiaTheme="minorEastAsia"/>
          <w:b/>
          <w:bCs/>
          <w:kern w:val="0"/>
          <w:szCs w:val="21"/>
        </w:rPr>
        <w:t>参加采购活动前三年内在经营活动中没有重大违法记录书面声明</w:t>
      </w:r>
    </w:p>
    <w:p w14:paraId="072E662B">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4BFF9273">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致：</w:t>
      </w:r>
      <w:r>
        <w:rPr>
          <w:rFonts w:cs="宋体" w:asciiTheme="minorEastAsia" w:hAnsiTheme="minorEastAsia" w:eastAsiaTheme="minorEastAsia"/>
          <w:kern w:val="0"/>
          <w:szCs w:val="21"/>
          <w:u w:val="single"/>
        </w:rPr>
        <w:t>     (采购人或采购代理机构)       </w:t>
      </w:r>
    </w:p>
    <w:p w14:paraId="213D9CE9">
      <w:pPr>
        <w:widowControl/>
        <w:spacing w:line="460" w:lineRule="exact"/>
        <w:ind w:firstLine="480"/>
        <w:jc w:val="left"/>
        <w:rPr>
          <w:rFonts w:cs="宋体" w:asciiTheme="minorEastAsia" w:hAnsiTheme="minorEastAsia" w:eastAsiaTheme="minorEastAsia"/>
          <w:kern w:val="0"/>
          <w:szCs w:val="21"/>
        </w:rPr>
      </w:pPr>
      <w:r>
        <w:rPr>
          <w:rFonts w:asciiTheme="minorEastAsia" w:hAnsiTheme="minorEastAsia" w:cstheme="minorEastAsia"/>
          <w:sz w:val="24"/>
          <w:szCs w:val="24"/>
        </w:rPr>
        <w:t>参加采购活动前三年内，我方在经营活动中没有重大违法记录，也无行贿犯罪记录。即没有因违法经营受到刑事处罚或责令停产停业、吊销许可证或执照、较大数额罚款等行政处罚。否则产生不利后果由我方承担责任。</w:t>
      </w:r>
    </w:p>
    <w:p w14:paraId="4E5BFC87">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特此声明。</w:t>
      </w:r>
    </w:p>
    <w:p w14:paraId="56511C75">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1993ADAB">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注意：</w:t>
      </w:r>
    </w:p>
    <w:p w14:paraId="125EC804">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1、“重大违法记录”指供应商因违法经营受到刑事处罚或责令停产停业、吊销许可证或执照、较大数额罚款等行政处罚。</w:t>
      </w:r>
    </w:p>
    <w:p w14:paraId="1EE25EF0">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2、请供应商根据实际情况进行声明，若声明不真实，视为提供虚假材料。</w:t>
      </w:r>
    </w:p>
    <w:p w14:paraId="3CF1ACC7">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670D209E">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2577AB14">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30FDE8BA">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3-9</w:t>
      </w:r>
      <w:r>
        <w:rPr>
          <w:rFonts w:hint="eastAsia" w:cs="宋体" w:asciiTheme="minorEastAsia" w:hAnsiTheme="minorEastAsia" w:eastAsiaTheme="minorEastAsia"/>
          <w:b/>
          <w:bCs/>
          <w:kern w:val="0"/>
          <w:szCs w:val="21"/>
        </w:rPr>
        <w:t>无行贿犯罪说明或承诺函(格式自拟）</w:t>
      </w:r>
    </w:p>
    <w:p w14:paraId="3A27454B">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0BA1B4AD">
      <w:pPr>
        <w:widowControl/>
        <w:spacing w:line="460" w:lineRule="exact"/>
        <w:jc w:val="left"/>
        <w:rPr>
          <w:rFonts w:cs="宋体" w:asciiTheme="minorEastAsia" w:hAnsiTheme="minorEastAsia" w:eastAsiaTheme="minorEastAsia"/>
          <w:kern w:val="0"/>
          <w:szCs w:val="21"/>
        </w:rPr>
      </w:pPr>
    </w:p>
    <w:p w14:paraId="02A494B9">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7A190325">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6F129530">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6EE23A72">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3-10</w:t>
      </w:r>
      <w:r>
        <w:rPr>
          <w:rFonts w:cs="宋体" w:asciiTheme="minorEastAsia" w:hAnsiTheme="minorEastAsia" w:eastAsiaTheme="minorEastAsia"/>
          <w:b/>
          <w:bCs/>
          <w:kern w:val="0"/>
          <w:szCs w:val="21"/>
        </w:rPr>
        <w:t>信用记录查询结果</w:t>
      </w:r>
    </w:p>
    <w:p w14:paraId="2A642D92">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554E17E6">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致：</w:t>
      </w:r>
      <w:r>
        <w:rPr>
          <w:rFonts w:cs="宋体" w:asciiTheme="minorEastAsia" w:hAnsiTheme="minorEastAsia" w:eastAsiaTheme="minorEastAsia"/>
          <w:kern w:val="0"/>
          <w:szCs w:val="21"/>
          <w:u w:val="single"/>
        </w:rPr>
        <w:t>     (采购人或采购代理机构)     </w:t>
      </w:r>
    </w:p>
    <w:p w14:paraId="6AE28E60">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现附上截至</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时我方通过“信用中国”网站（www.creditchina.gov.cn）获取的我方信用信息查询结果</w:t>
      </w:r>
      <w:r>
        <w:rPr>
          <w:rFonts w:cs="宋体" w:asciiTheme="minorEastAsia" w:hAnsiTheme="minorEastAsia" w:eastAsiaTheme="minorEastAsia"/>
          <w:kern w:val="0"/>
          <w:szCs w:val="21"/>
          <w:u w:val="single"/>
        </w:rPr>
        <w:t>（填写具体份数）</w:t>
      </w:r>
      <w:r>
        <w:rPr>
          <w:rFonts w:cs="宋体" w:asciiTheme="minorEastAsia" w:hAnsiTheme="minorEastAsia" w:eastAsiaTheme="minorEastAsia"/>
          <w:kern w:val="0"/>
          <w:szCs w:val="21"/>
        </w:rPr>
        <w:t>份、通过中国政府采购网（www.ccgp.gov.cn）获取的我方信用信息查询结果</w:t>
      </w:r>
      <w:r>
        <w:rPr>
          <w:rFonts w:cs="宋体" w:asciiTheme="minorEastAsia" w:hAnsiTheme="minorEastAsia" w:eastAsiaTheme="minorEastAsia"/>
          <w:kern w:val="0"/>
          <w:szCs w:val="21"/>
          <w:u w:val="single"/>
        </w:rPr>
        <w:t>（填写具体份数）</w:t>
      </w:r>
      <w:r>
        <w:rPr>
          <w:rFonts w:cs="宋体" w:asciiTheme="minorEastAsia" w:hAnsiTheme="minorEastAsia" w:eastAsiaTheme="minorEastAsia"/>
          <w:kern w:val="0"/>
          <w:szCs w:val="21"/>
        </w:rPr>
        <w:t>份，上述信用信息查询结果真实有效，否则我方负全部责任。</w:t>
      </w:r>
    </w:p>
    <w:p w14:paraId="791FC7A2">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0553252A">
      <w:pPr>
        <w:widowControl/>
        <w:spacing w:line="460" w:lineRule="exact"/>
        <w:rPr>
          <w:rFonts w:cs="宋体" w:asciiTheme="minorEastAsia" w:hAnsiTheme="minorEastAsia" w:eastAsiaTheme="minorEastAsia"/>
          <w:kern w:val="0"/>
          <w:szCs w:val="21"/>
        </w:rPr>
      </w:pPr>
    </w:p>
    <w:p w14:paraId="6749FA98">
      <w:pPr>
        <w:widowControl/>
        <w:spacing w:line="460" w:lineRule="exact"/>
        <w:rPr>
          <w:rFonts w:cs="宋体" w:asciiTheme="minorEastAsia" w:hAnsiTheme="minorEastAsia" w:eastAsiaTheme="minorEastAsia"/>
          <w:kern w:val="0"/>
          <w:szCs w:val="21"/>
        </w:rPr>
      </w:pPr>
    </w:p>
    <w:p w14:paraId="18C29129">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18D35CF9">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4AEA7B3B">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21604B95">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3-11</w:t>
      </w:r>
      <w:r>
        <w:rPr>
          <w:rFonts w:cs="宋体" w:asciiTheme="minorEastAsia" w:hAnsiTheme="minorEastAsia" w:eastAsiaTheme="minorEastAsia"/>
          <w:b/>
          <w:bCs/>
          <w:kern w:val="0"/>
          <w:szCs w:val="21"/>
        </w:rPr>
        <w:t>具备履行合同所必需设备和专业技术能力证明材料</w:t>
      </w:r>
    </w:p>
    <w:p w14:paraId="4876FF18">
      <w:pPr>
        <w:widowControl/>
        <w:spacing w:line="460" w:lineRule="exact"/>
        <w:jc w:val="center"/>
        <w:rPr>
          <w:rFonts w:cs="宋体" w:asciiTheme="minorEastAsia" w:hAnsiTheme="minorEastAsia" w:eastAsiaTheme="minorEastAsia"/>
          <w:b/>
          <w:bCs/>
          <w:kern w:val="0"/>
          <w:szCs w:val="21"/>
        </w:rPr>
      </w:pPr>
    </w:p>
    <w:p w14:paraId="03E8FB22">
      <w:pPr>
        <w:widowControl/>
        <w:spacing w:line="460" w:lineRule="exact"/>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声明函</w:t>
      </w:r>
    </w:p>
    <w:p w14:paraId="455AD7DF">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致：</w:t>
      </w:r>
      <w:r>
        <w:rPr>
          <w:rFonts w:cs="宋体" w:asciiTheme="minorEastAsia" w:hAnsiTheme="minorEastAsia" w:eastAsiaTheme="minorEastAsia"/>
          <w:kern w:val="0"/>
          <w:szCs w:val="21"/>
          <w:u w:val="single"/>
        </w:rPr>
        <w:t>     (采购人或采购代理机构)       </w:t>
      </w:r>
    </w:p>
    <w:p w14:paraId="0130054E">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我方具备履行合同所必需的设备和专业技术能力，并对本声明承诺的真实性负责，否则产生不利后果由我方承担责任。</w:t>
      </w:r>
    </w:p>
    <w:p w14:paraId="6991F8D5">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特此声明。</w:t>
      </w:r>
    </w:p>
    <w:p w14:paraId="7817CA26">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310DC928">
      <w:pPr>
        <w:widowControl/>
        <w:spacing w:line="46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注意：</w:t>
      </w:r>
    </w:p>
    <w:p w14:paraId="499C9933">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1.磋商文件“供应商的资格”中特定资格条件如果没有特别规定，则由供应商在响应文件中按上述格式提供其具备履行合同所必需的设备和专业技术能力的声明即可，声明函应加盖供应商单位公章。</w:t>
      </w:r>
    </w:p>
    <w:p w14:paraId="39DBA04B">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04A61270">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58FDD25E">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67F50495">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1241E255">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384BF4F3">
      <w:pPr>
        <w:widowControl/>
        <w:spacing w:line="460" w:lineRule="exact"/>
        <w:jc w:val="left"/>
        <w:rPr>
          <w:rFonts w:cs="宋体" w:asciiTheme="minorEastAsia" w:hAnsiTheme="minorEastAsia" w:eastAsiaTheme="minorEastAsia"/>
          <w:kern w:val="0"/>
          <w:szCs w:val="21"/>
        </w:rPr>
      </w:pPr>
    </w:p>
    <w:p w14:paraId="69AA2387">
      <w:pPr>
        <w:widowControl/>
        <w:spacing w:line="460" w:lineRule="exact"/>
        <w:jc w:val="left"/>
        <w:rPr>
          <w:rFonts w:cs="宋体" w:asciiTheme="minorEastAsia" w:hAnsiTheme="minorEastAsia" w:eastAsiaTheme="minorEastAsia"/>
          <w:kern w:val="0"/>
          <w:szCs w:val="21"/>
        </w:rPr>
      </w:pPr>
    </w:p>
    <w:p w14:paraId="04714A54">
      <w:pPr>
        <w:widowControl/>
        <w:spacing w:line="46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kern w:val="0"/>
          <w:szCs w:val="21"/>
        </w:rPr>
        <w:t>3-12</w:t>
      </w:r>
      <w:r>
        <w:rPr>
          <w:rFonts w:hint="eastAsia" w:cs="宋体" w:asciiTheme="minorEastAsia" w:hAnsiTheme="minorEastAsia" w:eastAsiaTheme="minorEastAsia"/>
          <w:b/>
          <w:kern w:val="0"/>
          <w:szCs w:val="21"/>
          <w:lang w:eastAsia="zh-CN"/>
        </w:rPr>
        <w:t>其他</w:t>
      </w:r>
      <w:r>
        <w:rPr>
          <w:rFonts w:cs="宋体" w:asciiTheme="minorEastAsia" w:hAnsiTheme="minorEastAsia" w:eastAsiaTheme="minorEastAsia"/>
          <w:b/>
          <w:bCs/>
          <w:kern w:val="0"/>
          <w:szCs w:val="21"/>
        </w:rPr>
        <w:t>资格证明文件</w:t>
      </w:r>
      <w:r>
        <w:rPr>
          <w:rFonts w:hint="eastAsia" w:cs="宋体" w:asciiTheme="minorEastAsia" w:hAnsiTheme="minorEastAsia" w:eastAsiaTheme="minorEastAsia"/>
          <w:b/>
          <w:bCs/>
          <w:kern w:val="0"/>
          <w:szCs w:val="21"/>
        </w:rPr>
        <w:t>（若有）</w:t>
      </w:r>
    </w:p>
    <w:p w14:paraId="02AA38F7">
      <w:pPr>
        <w:widowControl/>
        <w:spacing w:line="460" w:lineRule="exact"/>
        <w:jc w:val="left"/>
        <w:rPr>
          <w:rFonts w:cs="宋体" w:asciiTheme="minorEastAsia" w:hAnsiTheme="minorEastAsia" w:eastAsiaTheme="minorEastAsia"/>
          <w:b/>
          <w:bCs/>
          <w:kern w:val="0"/>
          <w:szCs w:val="21"/>
        </w:rPr>
      </w:pPr>
    </w:p>
    <w:p w14:paraId="273A69E4">
      <w:pPr>
        <w:spacing w:line="400" w:lineRule="exact"/>
        <w:rPr>
          <w:rFonts w:asciiTheme="minorEastAsia" w:hAnsiTheme="minorEastAsia" w:eastAsiaTheme="minorEastAsia"/>
          <w:kern w:val="0"/>
          <w:szCs w:val="24"/>
        </w:rPr>
      </w:pPr>
      <w:r>
        <w:rPr>
          <w:rFonts w:hint="eastAsia" w:asciiTheme="minorEastAsia" w:hAnsiTheme="minorEastAsia" w:eastAsiaTheme="minorEastAsia"/>
          <w:b/>
          <w:kern w:val="0"/>
          <w:szCs w:val="24"/>
        </w:rPr>
        <w:t>（一）</w:t>
      </w:r>
      <w:r>
        <w:rPr>
          <w:rFonts w:asciiTheme="minorEastAsia" w:hAnsiTheme="minorEastAsia" w:eastAsiaTheme="minorEastAsia"/>
          <w:b/>
          <w:kern w:val="0"/>
          <w:szCs w:val="24"/>
        </w:rPr>
        <w:t>中小企业声明函（若有）</w:t>
      </w:r>
    </w:p>
    <w:p w14:paraId="5D06C2CD">
      <w:pPr>
        <w:spacing w:line="400" w:lineRule="exact"/>
        <w:ind w:firstLine="960"/>
        <w:rPr>
          <w:rFonts w:asciiTheme="minorEastAsia" w:hAnsiTheme="minorEastAsia" w:eastAsiaTheme="minorEastAsia"/>
          <w:kern w:val="0"/>
          <w:szCs w:val="24"/>
        </w:rPr>
      </w:pPr>
    </w:p>
    <w:p w14:paraId="3C8DA0BB">
      <w:pPr>
        <w:spacing w:line="400" w:lineRule="exact"/>
        <w:ind w:firstLine="960"/>
        <w:jc w:val="center"/>
        <w:rPr>
          <w:rFonts w:asciiTheme="minorEastAsia" w:hAnsiTheme="minorEastAsia" w:eastAsiaTheme="minorEastAsia"/>
          <w:kern w:val="0"/>
          <w:szCs w:val="24"/>
        </w:rPr>
      </w:pPr>
      <w:r>
        <w:rPr>
          <w:rFonts w:asciiTheme="minorEastAsia" w:hAnsiTheme="minorEastAsia" w:eastAsiaTheme="minorEastAsia"/>
          <w:b/>
          <w:kern w:val="0"/>
          <w:szCs w:val="24"/>
        </w:rPr>
        <w:t>中小企业声明函（工程、服务）</w:t>
      </w:r>
    </w:p>
    <w:p w14:paraId="4F1F07CF">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本公司（联合体）郑重声明，根据《政府采购促进中小企业发展管理办法》（财库﹝2020﹞46</w:t>
      </w:r>
      <w:r>
        <w:rPr>
          <w:rFonts w:asciiTheme="minorEastAsia" w:hAnsiTheme="minorEastAsia" w:eastAsiaTheme="minorEastAsia"/>
          <w:kern w:val="0"/>
          <w:szCs w:val="24"/>
        </w:rPr>
        <w:tab/>
      </w:r>
      <w:r>
        <w:rPr>
          <w:rFonts w:asciiTheme="minorEastAsia" w:hAnsiTheme="minorEastAsia" w:eastAsiaTheme="minorEastAsia"/>
          <w:kern w:val="0"/>
          <w:szCs w:val="24"/>
        </w:rPr>
        <w:t>号）的规定，本公司（联合体）参加</w:t>
      </w:r>
      <w:r>
        <w:rPr>
          <w:rFonts w:asciiTheme="minorEastAsia" w:hAnsiTheme="minorEastAsia" w:eastAsiaTheme="minorEastAsia"/>
          <w:kern w:val="0"/>
          <w:szCs w:val="24"/>
          <w:u w:val="single"/>
        </w:rPr>
        <w:t>（单位名称）</w:t>
      </w:r>
      <w:r>
        <w:rPr>
          <w:rFonts w:asciiTheme="minorEastAsia" w:hAnsiTheme="minorEastAsia" w:eastAsiaTheme="minorEastAsia"/>
          <w:kern w:val="0"/>
          <w:szCs w:val="24"/>
        </w:rPr>
        <w:t>的</w:t>
      </w:r>
      <w:r>
        <w:rPr>
          <w:rFonts w:asciiTheme="minorEastAsia" w:hAnsiTheme="minorEastAsia" w:eastAsiaTheme="minorEastAsia"/>
          <w:kern w:val="0"/>
          <w:szCs w:val="24"/>
          <w:u w:val="single"/>
        </w:rPr>
        <w:t>（项目名称）</w:t>
      </w:r>
      <w:r>
        <w:rPr>
          <w:rFonts w:asciiTheme="minorEastAsia" w:hAnsiTheme="minorEastAsia" w:eastAsiaTheme="minorEastAsia"/>
          <w:kern w:val="0"/>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6FF7AD6">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1.</w:t>
      </w:r>
      <w:r>
        <w:rPr>
          <w:rFonts w:asciiTheme="minorEastAsia" w:hAnsiTheme="minorEastAsia" w:eastAsiaTheme="minorEastAsia"/>
          <w:kern w:val="0"/>
          <w:szCs w:val="24"/>
          <w:u w:val="single"/>
        </w:rPr>
        <w:t>（项目名称）</w:t>
      </w:r>
      <w:r>
        <w:rPr>
          <w:rFonts w:asciiTheme="minorEastAsia" w:hAnsiTheme="minorEastAsia" w:eastAsiaTheme="minorEastAsia"/>
          <w:kern w:val="0"/>
          <w:szCs w:val="24"/>
        </w:rPr>
        <w:t>，属于</w:t>
      </w:r>
      <w:r>
        <w:rPr>
          <w:rFonts w:asciiTheme="minorEastAsia" w:hAnsiTheme="minorEastAsia" w:eastAsiaTheme="minorEastAsia"/>
          <w:kern w:val="0"/>
          <w:szCs w:val="24"/>
          <w:u w:val="single"/>
        </w:rPr>
        <w:t>（采购文件中明确的所属行业）</w:t>
      </w:r>
      <w:r>
        <w:rPr>
          <w:rFonts w:asciiTheme="minorEastAsia" w:hAnsiTheme="minorEastAsia" w:eastAsiaTheme="minorEastAsia"/>
          <w:kern w:val="0"/>
          <w:szCs w:val="24"/>
        </w:rPr>
        <w:t>；承建（承接）企业为</w:t>
      </w:r>
      <w:r>
        <w:rPr>
          <w:rFonts w:asciiTheme="minorEastAsia" w:hAnsiTheme="minorEastAsia" w:eastAsiaTheme="minorEastAsia"/>
          <w:kern w:val="0"/>
          <w:szCs w:val="24"/>
          <w:u w:val="single"/>
        </w:rPr>
        <w:t>（企业名称）</w:t>
      </w:r>
      <w:r>
        <w:rPr>
          <w:rFonts w:asciiTheme="minorEastAsia" w:hAnsiTheme="minorEastAsia" w:eastAsiaTheme="minorEastAsia"/>
          <w:kern w:val="0"/>
          <w:szCs w:val="24"/>
        </w:rPr>
        <w:t>，从业人员</w:t>
      </w:r>
      <w:r>
        <w:rPr>
          <w:rFonts w:asciiTheme="minorEastAsia" w:hAnsiTheme="minorEastAsia" w:eastAsiaTheme="minorEastAsia"/>
          <w:kern w:val="0"/>
          <w:szCs w:val="24"/>
          <w:u w:val="single"/>
        </w:rPr>
        <w:t>　　　　　</w:t>
      </w:r>
      <w:r>
        <w:rPr>
          <w:rFonts w:asciiTheme="minorEastAsia" w:hAnsiTheme="minorEastAsia" w:eastAsiaTheme="minorEastAsia"/>
          <w:kern w:val="0"/>
          <w:szCs w:val="24"/>
        </w:rPr>
        <w:t>人，营业收入为</w:t>
      </w:r>
      <w:r>
        <w:rPr>
          <w:rFonts w:asciiTheme="minorEastAsia" w:hAnsiTheme="minorEastAsia" w:eastAsiaTheme="minorEastAsia"/>
          <w:kern w:val="0"/>
          <w:szCs w:val="24"/>
          <w:u w:val="single"/>
        </w:rPr>
        <w:t>　　　　　</w:t>
      </w:r>
      <w:r>
        <w:rPr>
          <w:rFonts w:asciiTheme="minorEastAsia" w:hAnsiTheme="minorEastAsia" w:eastAsiaTheme="minorEastAsia"/>
          <w:kern w:val="0"/>
          <w:szCs w:val="24"/>
        </w:rPr>
        <w:t>万元，资产总额为</w:t>
      </w:r>
      <w:r>
        <w:rPr>
          <w:rFonts w:asciiTheme="minorEastAsia" w:hAnsiTheme="minorEastAsia" w:eastAsiaTheme="minorEastAsia"/>
          <w:kern w:val="0"/>
          <w:szCs w:val="24"/>
          <w:u w:val="single"/>
        </w:rPr>
        <w:t>　　　　　</w:t>
      </w:r>
      <w:r>
        <w:rPr>
          <w:rFonts w:asciiTheme="minorEastAsia" w:hAnsiTheme="minorEastAsia" w:eastAsiaTheme="minorEastAsia"/>
          <w:kern w:val="0"/>
          <w:szCs w:val="24"/>
        </w:rPr>
        <w:t>万元</w:t>
      </w:r>
      <w:r>
        <w:rPr>
          <w:rFonts w:cs="宋体" w:asciiTheme="minorEastAsia" w:hAnsiTheme="minorEastAsia" w:eastAsiaTheme="minorEastAsia"/>
          <w:kern w:val="0"/>
          <w:szCs w:val="24"/>
          <w:vertAlign w:val="superscript"/>
        </w:rPr>
        <w:t>1</w:t>
      </w:r>
      <w:r>
        <w:rPr>
          <w:rFonts w:asciiTheme="minorEastAsia" w:hAnsiTheme="minorEastAsia" w:eastAsiaTheme="minorEastAsia"/>
          <w:kern w:val="0"/>
          <w:szCs w:val="24"/>
        </w:rPr>
        <w:t>，属于</w:t>
      </w:r>
      <w:r>
        <w:rPr>
          <w:rFonts w:asciiTheme="minorEastAsia" w:hAnsiTheme="minorEastAsia" w:eastAsiaTheme="minorEastAsia"/>
          <w:kern w:val="0"/>
          <w:szCs w:val="24"/>
          <w:u w:val="single"/>
        </w:rPr>
        <w:t>（中型企业、小型企业、微型企业）</w:t>
      </w:r>
      <w:r>
        <w:rPr>
          <w:rFonts w:asciiTheme="minorEastAsia" w:hAnsiTheme="minorEastAsia" w:eastAsiaTheme="minorEastAsia"/>
          <w:kern w:val="0"/>
          <w:szCs w:val="24"/>
        </w:rPr>
        <w:t>；</w:t>
      </w:r>
    </w:p>
    <w:p w14:paraId="410123B6">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2.</w:t>
      </w:r>
      <w:r>
        <w:rPr>
          <w:rFonts w:asciiTheme="minorEastAsia" w:hAnsiTheme="minorEastAsia" w:eastAsiaTheme="minorEastAsia"/>
          <w:kern w:val="0"/>
          <w:szCs w:val="24"/>
          <w:u w:val="single"/>
        </w:rPr>
        <w:t>（项目名称）</w:t>
      </w:r>
      <w:r>
        <w:rPr>
          <w:rFonts w:asciiTheme="minorEastAsia" w:hAnsiTheme="minorEastAsia" w:eastAsiaTheme="minorEastAsia"/>
          <w:kern w:val="0"/>
          <w:szCs w:val="24"/>
        </w:rPr>
        <w:t>，属于</w:t>
      </w:r>
      <w:r>
        <w:rPr>
          <w:rFonts w:asciiTheme="minorEastAsia" w:hAnsiTheme="minorEastAsia" w:eastAsiaTheme="minorEastAsia"/>
          <w:kern w:val="0"/>
          <w:szCs w:val="24"/>
          <w:u w:val="single"/>
        </w:rPr>
        <w:t>（采购文件中明确的所属行业）</w:t>
      </w:r>
      <w:r>
        <w:rPr>
          <w:rFonts w:asciiTheme="minorEastAsia" w:hAnsiTheme="minorEastAsia" w:eastAsiaTheme="minorEastAsia"/>
          <w:kern w:val="0"/>
          <w:szCs w:val="24"/>
        </w:rPr>
        <w:t>；承建（承接）企业为</w:t>
      </w:r>
      <w:r>
        <w:rPr>
          <w:rFonts w:asciiTheme="minorEastAsia" w:hAnsiTheme="minorEastAsia" w:eastAsiaTheme="minorEastAsia"/>
          <w:kern w:val="0"/>
          <w:szCs w:val="24"/>
          <w:u w:val="single"/>
        </w:rPr>
        <w:t>（企业名称）</w:t>
      </w:r>
      <w:r>
        <w:rPr>
          <w:rFonts w:asciiTheme="minorEastAsia" w:hAnsiTheme="minorEastAsia" w:eastAsiaTheme="minorEastAsia"/>
          <w:kern w:val="0"/>
          <w:szCs w:val="24"/>
        </w:rPr>
        <w:t>，从业人员</w:t>
      </w:r>
      <w:r>
        <w:rPr>
          <w:rFonts w:asciiTheme="minorEastAsia" w:hAnsiTheme="minorEastAsia" w:eastAsiaTheme="minorEastAsia"/>
          <w:kern w:val="0"/>
          <w:szCs w:val="24"/>
          <w:u w:val="single"/>
        </w:rPr>
        <w:t>　　　　　</w:t>
      </w:r>
      <w:r>
        <w:rPr>
          <w:rFonts w:asciiTheme="minorEastAsia" w:hAnsiTheme="minorEastAsia" w:eastAsiaTheme="minorEastAsia"/>
          <w:kern w:val="0"/>
          <w:szCs w:val="24"/>
        </w:rPr>
        <w:t>人，营业收入为</w:t>
      </w:r>
      <w:r>
        <w:rPr>
          <w:rFonts w:asciiTheme="minorEastAsia" w:hAnsiTheme="minorEastAsia" w:eastAsiaTheme="minorEastAsia"/>
          <w:kern w:val="0"/>
          <w:szCs w:val="24"/>
          <w:u w:val="single"/>
        </w:rPr>
        <w:t>　　　　　</w:t>
      </w:r>
      <w:r>
        <w:rPr>
          <w:rFonts w:asciiTheme="minorEastAsia" w:hAnsiTheme="minorEastAsia" w:eastAsiaTheme="minorEastAsia"/>
          <w:kern w:val="0"/>
          <w:szCs w:val="24"/>
        </w:rPr>
        <w:t>万元，资产总额为</w:t>
      </w:r>
      <w:r>
        <w:rPr>
          <w:rFonts w:asciiTheme="minorEastAsia" w:hAnsiTheme="minorEastAsia" w:eastAsiaTheme="minorEastAsia"/>
          <w:kern w:val="0"/>
          <w:szCs w:val="24"/>
          <w:u w:val="single"/>
        </w:rPr>
        <w:t>　　　　　</w:t>
      </w:r>
      <w:r>
        <w:rPr>
          <w:rFonts w:asciiTheme="minorEastAsia" w:hAnsiTheme="minorEastAsia" w:eastAsiaTheme="minorEastAsia"/>
          <w:kern w:val="0"/>
          <w:szCs w:val="24"/>
        </w:rPr>
        <w:t>万元，属于</w:t>
      </w:r>
      <w:r>
        <w:rPr>
          <w:rFonts w:asciiTheme="minorEastAsia" w:hAnsiTheme="minorEastAsia" w:eastAsiaTheme="minorEastAsia"/>
          <w:kern w:val="0"/>
          <w:szCs w:val="24"/>
          <w:u w:val="single"/>
        </w:rPr>
        <w:t>（中型企业、小型企业、微型企业）</w:t>
      </w:r>
      <w:r>
        <w:rPr>
          <w:rFonts w:asciiTheme="minorEastAsia" w:hAnsiTheme="minorEastAsia" w:eastAsiaTheme="minorEastAsia"/>
          <w:kern w:val="0"/>
          <w:szCs w:val="24"/>
        </w:rPr>
        <w:t>；</w:t>
      </w:r>
    </w:p>
    <w:p w14:paraId="4E1C6BAB">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w:t>
      </w:r>
    </w:p>
    <w:p w14:paraId="77DFE3F6">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以上企业，不属于大企业的分支机构，不存在控股股东为大企业的情形，也不存在与大企业的负责人为同一人的情形。</w:t>
      </w:r>
    </w:p>
    <w:p w14:paraId="492F4AEA">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本企业对上述声明内容的真实性负责。如有虚假，将依法承担相应责任。</w:t>
      </w:r>
    </w:p>
    <w:p w14:paraId="7671DAB7">
      <w:pPr>
        <w:spacing w:line="400" w:lineRule="exact"/>
        <w:ind w:firstLine="480"/>
        <w:jc w:val="right"/>
        <w:rPr>
          <w:rFonts w:asciiTheme="minorEastAsia" w:hAnsiTheme="minorEastAsia" w:eastAsiaTheme="minorEastAsia"/>
          <w:kern w:val="0"/>
          <w:szCs w:val="24"/>
        </w:rPr>
      </w:pPr>
      <w:r>
        <w:rPr>
          <w:rFonts w:asciiTheme="minorEastAsia" w:hAnsiTheme="minorEastAsia" w:eastAsiaTheme="minorEastAsia"/>
          <w:kern w:val="0"/>
          <w:szCs w:val="24"/>
        </w:rPr>
        <w:t>供应商：</w:t>
      </w:r>
      <w:r>
        <w:rPr>
          <w:rFonts w:asciiTheme="minorEastAsia" w:hAnsiTheme="minorEastAsia" w:eastAsiaTheme="minorEastAsia"/>
          <w:kern w:val="0"/>
          <w:szCs w:val="24"/>
          <w:u w:val="single"/>
        </w:rPr>
        <w:t>（全称并加盖单位公章）</w:t>
      </w:r>
    </w:p>
    <w:p w14:paraId="6289BC55">
      <w:pPr>
        <w:spacing w:line="400" w:lineRule="exact"/>
        <w:ind w:firstLine="480"/>
        <w:jc w:val="right"/>
        <w:rPr>
          <w:rFonts w:asciiTheme="minorEastAsia" w:hAnsiTheme="minorEastAsia" w:eastAsiaTheme="minorEastAsia"/>
          <w:kern w:val="0"/>
          <w:szCs w:val="24"/>
        </w:rPr>
      </w:pPr>
      <w:r>
        <w:rPr>
          <w:rFonts w:asciiTheme="minorEastAsia" w:hAnsiTheme="minorEastAsia" w:eastAsiaTheme="minorEastAsia"/>
          <w:kern w:val="0"/>
          <w:szCs w:val="24"/>
        </w:rPr>
        <w:t>日期：</w:t>
      </w:r>
      <w:r>
        <w:rPr>
          <w:rFonts w:asciiTheme="minorEastAsia" w:hAnsiTheme="minorEastAsia" w:eastAsiaTheme="minorEastAsia"/>
          <w:kern w:val="0"/>
          <w:szCs w:val="24"/>
          <w:u w:val="single"/>
        </w:rPr>
        <w:t>　　年　　月　　日</w:t>
      </w:r>
    </w:p>
    <w:p w14:paraId="1FC01299">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※注意：</w:t>
      </w:r>
    </w:p>
    <w:p w14:paraId="1374F2B8">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1、从业人员、营业收入、资产总额填报上一年度数据，无上一年度数据的新成立企业可不填报。</w:t>
      </w:r>
    </w:p>
    <w:p w14:paraId="60351046">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2、供应商须按磋商文件中明确的所属行业填列，多品目项目中须按上表要求逐条填列，否则，其提供的中小企业声明将被判定为无效声明函，由此造成的后果由供应商自行承担（涉及资格的按无效投标处理；涉及价格评审优惠的，不予认定）。</w:t>
      </w:r>
    </w:p>
    <w:p w14:paraId="3B0682E7">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3、供应商应当对其出具的《中小企业声明函》真实性负责，供应商出具的《中小企业声明函》内容不实的，属于提供虚假材料谋取</w:t>
      </w:r>
      <w:r>
        <w:rPr>
          <w:rFonts w:hint="eastAsia" w:asciiTheme="minorEastAsia" w:hAnsiTheme="minorEastAsia" w:eastAsiaTheme="minorEastAsia"/>
          <w:kern w:val="0"/>
          <w:szCs w:val="24"/>
        </w:rPr>
        <w:t>成交</w:t>
      </w:r>
      <w:r>
        <w:rPr>
          <w:rFonts w:asciiTheme="minorEastAsia" w:hAnsiTheme="minorEastAsia" w:eastAsiaTheme="minorEastAsia"/>
          <w:kern w:val="0"/>
          <w:szCs w:val="24"/>
        </w:rPr>
        <w:t>。在实际操作中，项目属性为货物且供应商希望获得中小企业政策支持的，应从制造商处获得充分、准确的信息。对相关制造商信息了解不充分，或者不能确定相关信息真实、准确的，不建议出具《中小企业声明函》。</w:t>
      </w:r>
    </w:p>
    <w:p w14:paraId="2FFD4AFC">
      <w:pPr>
        <w:spacing w:line="400" w:lineRule="exact"/>
        <w:ind w:firstLine="480"/>
        <w:jc w:val="center"/>
        <w:rPr>
          <w:rFonts w:asciiTheme="minorEastAsia" w:hAnsiTheme="minorEastAsia" w:eastAsiaTheme="minorEastAsia"/>
          <w:b/>
          <w:kern w:val="0"/>
          <w:szCs w:val="24"/>
        </w:rPr>
      </w:pPr>
    </w:p>
    <w:p w14:paraId="67A32B52">
      <w:pPr>
        <w:spacing w:line="400" w:lineRule="exact"/>
        <w:ind w:firstLine="480"/>
        <w:jc w:val="center"/>
        <w:rPr>
          <w:rFonts w:asciiTheme="minorEastAsia" w:hAnsiTheme="minorEastAsia" w:eastAsiaTheme="minorEastAsia"/>
          <w:b/>
          <w:kern w:val="0"/>
          <w:szCs w:val="24"/>
        </w:rPr>
      </w:pPr>
    </w:p>
    <w:p w14:paraId="2A3A8EA6">
      <w:pPr>
        <w:spacing w:line="400" w:lineRule="exact"/>
        <w:rPr>
          <w:rFonts w:asciiTheme="minorEastAsia" w:hAnsiTheme="minorEastAsia" w:eastAsiaTheme="minorEastAsia"/>
          <w:b/>
          <w:kern w:val="0"/>
          <w:szCs w:val="24"/>
        </w:rPr>
      </w:pPr>
      <w:r>
        <w:rPr>
          <w:rFonts w:hint="eastAsia" w:asciiTheme="minorEastAsia" w:hAnsiTheme="minorEastAsia" w:eastAsiaTheme="minorEastAsia"/>
          <w:b/>
          <w:kern w:val="0"/>
          <w:szCs w:val="24"/>
        </w:rPr>
        <w:t>（二）供应商为监狱企业的，根据其提供的由省级以上监狱管理局、戒毒管理局（含新疆生产建设兵团）出具的属于监狱企业的证明文件进行认定，监狱企业视同小型、微型企业。</w:t>
      </w:r>
    </w:p>
    <w:p w14:paraId="40AF3E3F">
      <w:pPr>
        <w:spacing w:line="400" w:lineRule="exact"/>
        <w:ind w:firstLine="960"/>
        <w:jc w:val="center"/>
        <w:rPr>
          <w:rFonts w:asciiTheme="minorEastAsia" w:hAnsiTheme="minorEastAsia" w:eastAsiaTheme="minorEastAsia"/>
          <w:b/>
          <w:kern w:val="0"/>
          <w:szCs w:val="24"/>
        </w:rPr>
      </w:pPr>
    </w:p>
    <w:p w14:paraId="6DB1FC97">
      <w:pPr>
        <w:spacing w:line="400" w:lineRule="exact"/>
        <w:ind w:firstLine="960"/>
        <w:jc w:val="center"/>
        <w:rPr>
          <w:rFonts w:asciiTheme="minorEastAsia" w:hAnsiTheme="minorEastAsia" w:eastAsiaTheme="minorEastAsia"/>
          <w:kern w:val="0"/>
          <w:szCs w:val="24"/>
        </w:rPr>
      </w:pPr>
      <w:r>
        <w:rPr>
          <w:rFonts w:asciiTheme="minorEastAsia" w:hAnsiTheme="minorEastAsia" w:eastAsiaTheme="minorEastAsia"/>
          <w:b/>
          <w:kern w:val="0"/>
          <w:szCs w:val="24"/>
        </w:rPr>
        <w:t>监狱企业证明材料（若有）</w:t>
      </w:r>
    </w:p>
    <w:p w14:paraId="61A93B3B">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供应商为监狱企业，提供本单位制造的货物（承接的服务），并在电子投标文件中提供省级以上监狱管理局、戒毒管理局（含新疆生产建设兵团）出具的属于监狱企业的证明文件。</w:t>
      </w:r>
    </w:p>
    <w:p w14:paraId="314DA27C">
      <w:pPr>
        <w:spacing w:line="400" w:lineRule="exact"/>
        <w:ind w:firstLine="480"/>
        <w:jc w:val="left"/>
        <w:rPr>
          <w:rFonts w:asciiTheme="minorEastAsia" w:hAnsiTheme="minorEastAsia" w:eastAsiaTheme="minorEastAsia"/>
          <w:b/>
          <w:kern w:val="0"/>
          <w:szCs w:val="24"/>
        </w:rPr>
      </w:pPr>
    </w:p>
    <w:p w14:paraId="1C5A5771">
      <w:pPr>
        <w:spacing w:line="400" w:lineRule="exact"/>
        <w:jc w:val="left"/>
        <w:rPr>
          <w:rFonts w:asciiTheme="minorEastAsia" w:hAnsiTheme="minorEastAsia" w:eastAsiaTheme="minorEastAsia" w:cstheme="minorBidi"/>
          <w:b/>
          <w:kern w:val="0"/>
          <w:szCs w:val="24"/>
        </w:rPr>
      </w:pPr>
      <w:r>
        <w:rPr>
          <w:rFonts w:asciiTheme="minorEastAsia" w:hAnsiTheme="minorEastAsia" w:eastAsiaTheme="minorEastAsia" w:cstheme="minorBidi"/>
          <w:b/>
          <w:kern w:val="0"/>
          <w:szCs w:val="24"/>
        </w:rPr>
        <w:t>（三）供应商为残疾人福利性单位的，根据其提供的《残疾人福利性单位声明函》（格式附后）进行认定，残疾人福利性单位视同小型、微型企业。残疾人福利性单位属于小型、微型企业的，不重复享受政策。</w:t>
      </w:r>
    </w:p>
    <w:p w14:paraId="62225D94">
      <w:pPr>
        <w:spacing w:line="400" w:lineRule="exact"/>
        <w:ind w:firstLine="960"/>
        <w:jc w:val="center"/>
        <w:rPr>
          <w:rFonts w:asciiTheme="minorEastAsia" w:hAnsiTheme="minorEastAsia" w:eastAsiaTheme="minorEastAsia" w:cstheme="minorBidi"/>
          <w:kern w:val="0"/>
          <w:szCs w:val="24"/>
        </w:rPr>
      </w:pPr>
      <w:r>
        <w:rPr>
          <w:rFonts w:asciiTheme="minorEastAsia" w:hAnsiTheme="minorEastAsia" w:eastAsiaTheme="minorEastAsia" w:cstheme="minorBidi"/>
          <w:b/>
          <w:kern w:val="0"/>
          <w:szCs w:val="24"/>
        </w:rPr>
        <w:t>残疾人福利性单位声明函（若有）</w:t>
      </w:r>
    </w:p>
    <w:p w14:paraId="47DD5F52">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本供应商郑重声明，根据《财政部 民政部</w:t>
      </w:r>
      <w:r>
        <w:rPr>
          <w:rFonts w:asciiTheme="minorEastAsia" w:hAnsiTheme="minorEastAsia" w:eastAsiaTheme="minorEastAsia"/>
          <w:kern w:val="0"/>
          <w:szCs w:val="24"/>
        </w:rPr>
        <w:tab/>
      </w:r>
      <w:r>
        <w:rPr>
          <w:rFonts w:asciiTheme="minorEastAsia" w:hAnsiTheme="minorEastAsia" w:eastAsiaTheme="minorEastAsia"/>
          <w:kern w:val="0"/>
          <w:szCs w:val="24"/>
        </w:rPr>
        <w:t>中国残疾人联合会关于促进残疾人就业政府采购政策的通知》（财库</w:t>
      </w:r>
      <w:r>
        <w:rPr>
          <w:rFonts w:hint="eastAsia" w:asciiTheme="minorEastAsia" w:hAnsiTheme="minorEastAsia" w:eastAsiaTheme="minorEastAsia"/>
          <w:kern w:val="0"/>
          <w:szCs w:val="24"/>
          <w:lang w:eastAsia="zh-CN"/>
        </w:rPr>
        <w:t>〔2017〕141号</w:t>
      </w:r>
      <w:r>
        <w:rPr>
          <w:rFonts w:asciiTheme="minorEastAsia" w:hAnsiTheme="minorEastAsia" w:eastAsiaTheme="minorEastAsia"/>
          <w:kern w:val="0"/>
          <w:szCs w:val="24"/>
        </w:rPr>
        <w:t>）、《政府采购促进中小企业发展管理办法》（财库〔2020〕46号）的规定，本供应商为符合条件的残疾人福利性单位，且本供应商参加贵单位的（填写“项目名称”）项目采购活动：</w:t>
      </w:r>
    </w:p>
    <w:p w14:paraId="195CC4BF">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w:t>
      </w:r>
      <w:r>
        <w:rPr>
          <w:rFonts w:asciiTheme="minorEastAsia" w:hAnsiTheme="minorEastAsia" w:eastAsiaTheme="minorEastAsia"/>
          <w:kern w:val="0"/>
          <w:szCs w:val="24"/>
        </w:rPr>
        <w:tab/>
      </w:r>
      <w:r>
        <w:rPr>
          <w:rFonts w:asciiTheme="minorEastAsia" w:hAnsiTheme="minorEastAsia" w:eastAsiaTheme="minorEastAsia"/>
          <w:kern w:val="0"/>
          <w:szCs w:val="24"/>
        </w:rPr>
        <w:tab/>
      </w:r>
      <w:r>
        <w:rPr>
          <w:rFonts w:asciiTheme="minorEastAsia" w:hAnsiTheme="minorEastAsia" w:eastAsiaTheme="minorEastAsia"/>
          <w:kern w:val="0"/>
          <w:szCs w:val="24"/>
        </w:rPr>
        <w:tab/>
      </w:r>
      <w:r>
        <w:rPr>
          <w:rFonts w:asciiTheme="minorEastAsia" w:hAnsiTheme="minorEastAsia" w:eastAsiaTheme="minorEastAsia"/>
          <w:kern w:val="0"/>
          <w:szCs w:val="24"/>
        </w:rPr>
        <w:t xml:space="preserve"> ）提供本供应商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E07EA8A">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 ）由本供应商承建的（填写“所投采购包、品目号”）工程</w:t>
      </w:r>
    </w:p>
    <w:p w14:paraId="4DCA53CD">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 ）由本供应商承接的（填写“所投采购包、品目号”）服务；</w:t>
      </w:r>
    </w:p>
    <w:p w14:paraId="42F6D977">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本供应商对上述声明的真实性负责。如有虚假，将依法承担相应责任。</w:t>
      </w:r>
    </w:p>
    <w:p w14:paraId="645F8964">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备注：</w:t>
      </w:r>
    </w:p>
    <w:p w14:paraId="570B8656">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1、请供应商按照实际情况编制填写本声明函，并在相应的（）中打“√”。</w:t>
      </w:r>
    </w:p>
    <w:p w14:paraId="54CB86F9">
      <w:pPr>
        <w:spacing w:line="400" w:lineRule="exact"/>
        <w:ind w:firstLine="480"/>
        <w:rPr>
          <w:rFonts w:asciiTheme="minorEastAsia" w:hAnsiTheme="minorEastAsia" w:eastAsiaTheme="minorEastAsia"/>
          <w:kern w:val="0"/>
          <w:szCs w:val="24"/>
        </w:rPr>
      </w:pPr>
      <w:r>
        <w:rPr>
          <w:rFonts w:asciiTheme="minorEastAsia" w:hAnsiTheme="minorEastAsia" w:eastAsiaTheme="minorEastAsia"/>
          <w:kern w:val="0"/>
          <w:szCs w:val="24"/>
        </w:rPr>
        <w:t>2、若《残疾人福利性单位声明函》内容不真实，视为提供虚假材料。</w:t>
      </w:r>
    </w:p>
    <w:p w14:paraId="1395FE9F">
      <w:pPr>
        <w:spacing w:line="400" w:lineRule="exact"/>
        <w:ind w:firstLine="480"/>
        <w:jc w:val="right"/>
        <w:rPr>
          <w:rFonts w:asciiTheme="minorEastAsia" w:hAnsiTheme="minorEastAsia" w:eastAsiaTheme="minorEastAsia"/>
          <w:kern w:val="0"/>
          <w:szCs w:val="24"/>
        </w:rPr>
      </w:pPr>
      <w:r>
        <w:rPr>
          <w:rFonts w:asciiTheme="minorEastAsia" w:hAnsiTheme="minorEastAsia" w:eastAsiaTheme="minorEastAsia"/>
          <w:kern w:val="0"/>
          <w:szCs w:val="24"/>
        </w:rPr>
        <w:t>供应商：</w:t>
      </w:r>
      <w:r>
        <w:rPr>
          <w:rFonts w:asciiTheme="minorEastAsia" w:hAnsiTheme="minorEastAsia" w:eastAsiaTheme="minorEastAsia"/>
          <w:kern w:val="0"/>
          <w:szCs w:val="24"/>
          <w:u w:val="single"/>
        </w:rPr>
        <w:t>（全称并加盖单位公章）</w:t>
      </w:r>
    </w:p>
    <w:p w14:paraId="271C1E8A">
      <w:pPr>
        <w:spacing w:line="400" w:lineRule="exact"/>
        <w:ind w:firstLine="480"/>
        <w:jc w:val="right"/>
        <w:rPr>
          <w:rFonts w:asciiTheme="minorEastAsia" w:hAnsiTheme="minorEastAsia" w:eastAsiaTheme="minorEastAsia"/>
          <w:kern w:val="0"/>
          <w:szCs w:val="24"/>
        </w:rPr>
      </w:pPr>
      <w:r>
        <w:rPr>
          <w:rFonts w:asciiTheme="minorEastAsia" w:hAnsiTheme="minorEastAsia" w:eastAsiaTheme="minorEastAsia"/>
          <w:kern w:val="0"/>
          <w:szCs w:val="24"/>
        </w:rPr>
        <w:t>日期：</w:t>
      </w:r>
      <w:r>
        <w:rPr>
          <w:rFonts w:asciiTheme="minorEastAsia" w:hAnsiTheme="minorEastAsia" w:eastAsiaTheme="minorEastAsia"/>
          <w:kern w:val="0"/>
          <w:szCs w:val="24"/>
          <w:u w:val="single"/>
        </w:rPr>
        <w:t>　　年　　月　　日</w:t>
      </w:r>
    </w:p>
    <w:p w14:paraId="57ABF3DA">
      <w:pPr>
        <w:snapToGrid w:val="0"/>
        <w:spacing w:line="400" w:lineRule="exact"/>
        <w:rPr>
          <w:rFonts w:asciiTheme="minorEastAsia" w:hAnsiTheme="minorEastAsia" w:eastAsiaTheme="minorEastAsia"/>
          <w:sz w:val="24"/>
          <w:szCs w:val="24"/>
        </w:rPr>
      </w:pPr>
    </w:p>
    <w:p w14:paraId="3809469E">
      <w:pPr>
        <w:pStyle w:val="6"/>
      </w:pPr>
    </w:p>
    <w:p w14:paraId="0CD2293D">
      <w:pPr>
        <w:spacing w:line="400" w:lineRule="exact"/>
        <w:rPr>
          <w:rFonts w:asciiTheme="minorEastAsia" w:hAnsiTheme="minorEastAsia" w:eastAsiaTheme="minorEastAsia"/>
          <w:b/>
          <w:kern w:val="0"/>
          <w:szCs w:val="24"/>
        </w:rPr>
      </w:pPr>
      <w:r>
        <w:rPr>
          <w:rFonts w:hint="eastAsia" w:asciiTheme="minorEastAsia" w:hAnsiTheme="minorEastAsia" w:eastAsiaTheme="minorEastAsia"/>
          <w:b/>
          <w:kern w:val="0"/>
          <w:szCs w:val="24"/>
        </w:rPr>
        <w:t>（四）资格承诺函</w:t>
      </w:r>
    </w:p>
    <w:p w14:paraId="75BAAF34">
      <w:pPr>
        <w:widowControl/>
        <w:shd w:val="clear" w:color="auto" w:fill="FFFFFF"/>
        <w:spacing w:after="150" w:line="3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 </w:t>
      </w:r>
    </w:p>
    <w:p w14:paraId="2C8C338C">
      <w:pPr>
        <w:widowControl/>
        <w:shd w:val="clear" w:color="auto" w:fill="FFFFFF"/>
        <w:spacing w:after="150" w:line="360" w:lineRule="exact"/>
        <w:jc w:val="center"/>
        <w:rPr>
          <w:rFonts w:ascii="宋体" w:hAnsi="宋体"/>
          <w:b/>
          <w:kern w:val="0"/>
        </w:rPr>
      </w:pPr>
      <w:r>
        <w:rPr>
          <w:rFonts w:hint="eastAsia" w:cs="宋体" w:asciiTheme="minorEastAsia" w:hAnsiTheme="minorEastAsia"/>
          <w:kern w:val="0"/>
          <w:sz w:val="24"/>
          <w:szCs w:val="24"/>
        </w:rPr>
        <w:t> </w:t>
      </w:r>
      <w:r>
        <w:rPr>
          <w:rFonts w:hint="eastAsia" w:ascii="宋体" w:hAnsi="宋体"/>
          <w:b/>
          <w:kern w:val="0"/>
        </w:rPr>
        <w:t>福建省政府采购供应商资格承诺函</w:t>
      </w:r>
    </w:p>
    <w:p w14:paraId="02005FC4">
      <w:pPr>
        <w:widowControl/>
        <w:shd w:val="clear" w:color="auto" w:fill="FFFFFF"/>
        <w:spacing w:after="150" w:line="360" w:lineRule="exact"/>
        <w:jc w:val="left"/>
        <w:rPr>
          <w:rFonts w:ascii="宋体" w:hAnsi="宋体"/>
          <w:kern w:val="0"/>
        </w:rPr>
      </w:pPr>
      <w:r>
        <w:rPr>
          <w:rFonts w:hint="eastAsia" w:ascii="宋体" w:hAnsi="宋体"/>
          <w:kern w:val="0"/>
        </w:rPr>
        <w:t>致(采购人或政府采购代理机构):</w:t>
      </w:r>
    </w:p>
    <w:p w14:paraId="590A5E5A">
      <w:pPr>
        <w:widowControl/>
        <w:shd w:val="clear" w:color="auto" w:fill="FFFFFF"/>
        <w:spacing w:after="150" w:line="360" w:lineRule="exact"/>
        <w:jc w:val="left"/>
        <w:rPr>
          <w:rFonts w:ascii="宋体" w:hAnsi="宋体"/>
          <w:kern w:val="0"/>
        </w:rPr>
      </w:pPr>
      <w:r>
        <w:rPr>
          <w:rFonts w:hint="eastAsia" w:ascii="宋体" w:hAnsi="宋体"/>
          <w:kern w:val="0"/>
        </w:rPr>
        <w:t>单位名称(自然人姓名):</w:t>
      </w:r>
    </w:p>
    <w:p w14:paraId="65B1D919">
      <w:pPr>
        <w:widowControl/>
        <w:shd w:val="clear" w:color="auto" w:fill="FFFFFF"/>
        <w:spacing w:after="150" w:line="360" w:lineRule="exact"/>
        <w:jc w:val="left"/>
        <w:rPr>
          <w:rFonts w:ascii="宋体" w:hAnsi="宋体"/>
          <w:kern w:val="0"/>
        </w:rPr>
      </w:pPr>
      <w:r>
        <w:rPr>
          <w:rFonts w:hint="eastAsia" w:ascii="宋体" w:hAnsi="宋体"/>
          <w:kern w:val="0"/>
        </w:rPr>
        <w:t>统一社会信用代码(身份证号码):</w:t>
      </w:r>
    </w:p>
    <w:p w14:paraId="219738A5">
      <w:pPr>
        <w:widowControl/>
        <w:shd w:val="clear" w:color="auto" w:fill="FFFFFF"/>
        <w:spacing w:after="150" w:line="360" w:lineRule="exact"/>
        <w:jc w:val="left"/>
        <w:rPr>
          <w:rFonts w:ascii="宋体" w:hAnsi="宋体"/>
          <w:kern w:val="0"/>
        </w:rPr>
      </w:pPr>
      <w:r>
        <w:rPr>
          <w:rFonts w:hint="eastAsia" w:ascii="宋体" w:hAnsi="宋体"/>
          <w:kern w:val="0"/>
        </w:rPr>
        <w:t>法定代表人(负责人):</w:t>
      </w:r>
    </w:p>
    <w:p w14:paraId="3D1F3252">
      <w:pPr>
        <w:widowControl/>
        <w:shd w:val="clear" w:color="auto" w:fill="FFFFFF"/>
        <w:spacing w:after="150" w:line="360" w:lineRule="exact"/>
        <w:jc w:val="left"/>
        <w:rPr>
          <w:rFonts w:ascii="宋体" w:hAnsi="宋体"/>
          <w:kern w:val="0"/>
        </w:rPr>
      </w:pPr>
      <w:r>
        <w:rPr>
          <w:rFonts w:hint="eastAsia" w:ascii="宋体" w:hAnsi="宋体"/>
          <w:kern w:val="0"/>
        </w:rPr>
        <w:t>联系地址和电话:</w:t>
      </w:r>
    </w:p>
    <w:p w14:paraId="2FF1B32E">
      <w:pPr>
        <w:widowControl/>
        <w:shd w:val="clear" w:color="auto" w:fill="FFFFFF"/>
        <w:spacing w:after="150" w:line="360" w:lineRule="exact"/>
        <w:jc w:val="left"/>
        <w:rPr>
          <w:rFonts w:ascii="宋体" w:hAnsi="宋体"/>
          <w:kern w:val="0"/>
        </w:rPr>
      </w:pPr>
    </w:p>
    <w:p w14:paraId="5A5F19C0">
      <w:pPr>
        <w:widowControl/>
        <w:shd w:val="clear" w:color="auto" w:fill="FFFFFF"/>
        <w:spacing w:after="150" w:line="360" w:lineRule="exact"/>
        <w:jc w:val="left"/>
        <w:rPr>
          <w:rFonts w:ascii="宋体" w:hAnsi="宋体"/>
          <w:kern w:val="0"/>
        </w:rPr>
      </w:pPr>
      <w:r>
        <w:rPr>
          <w:rFonts w:hint="eastAsia" w:ascii="宋体" w:hAnsi="宋体"/>
          <w:kern w:val="0"/>
        </w:rPr>
        <w:t>我单位(本人)自愿参加本次政府采购活动，严格遵守《中华人民共和国政府采购法》及相关法律法规，坚守公开、公平公正和诚实信用等原则，依法诚信经营，并郑重承诺:</w:t>
      </w:r>
    </w:p>
    <w:p w14:paraId="5D8E9C6B">
      <w:pPr>
        <w:widowControl/>
        <w:shd w:val="clear" w:color="auto" w:fill="FFFFFF"/>
        <w:spacing w:after="150" w:line="360" w:lineRule="exact"/>
        <w:jc w:val="left"/>
        <w:rPr>
          <w:rFonts w:ascii="宋体" w:hAnsi="宋体"/>
          <w:kern w:val="0"/>
        </w:rPr>
      </w:pPr>
      <w:r>
        <w:rPr>
          <w:rFonts w:hint="eastAsia" w:ascii="宋体" w:hAnsi="宋体"/>
          <w:kern w:val="0"/>
        </w:rPr>
        <w:t>一、我单位(本人)具备采购文件要求以及《中华人民共和国政府采购法》第二十二条规定的条件:</w:t>
      </w:r>
    </w:p>
    <w:p w14:paraId="2128FC3E">
      <w:pPr>
        <w:widowControl/>
        <w:shd w:val="clear" w:color="auto" w:fill="FFFFFF"/>
        <w:spacing w:after="150" w:line="360" w:lineRule="exact"/>
        <w:jc w:val="left"/>
        <w:rPr>
          <w:rFonts w:ascii="宋体" w:hAnsi="宋体"/>
          <w:kern w:val="0"/>
        </w:rPr>
      </w:pPr>
      <w:r>
        <w:rPr>
          <w:rFonts w:hint="eastAsia" w:ascii="宋体" w:hAnsi="宋体"/>
          <w:kern w:val="0"/>
        </w:rPr>
        <w:t>1.具有独立承担民事责任的能力;</w:t>
      </w:r>
    </w:p>
    <w:p w14:paraId="05AD0ED5">
      <w:pPr>
        <w:widowControl/>
        <w:shd w:val="clear" w:color="auto" w:fill="FFFFFF"/>
        <w:spacing w:after="150" w:line="360" w:lineRule="exact"/>
        <w:jc w:val="left"/>
        <w:rPr>
          <w:rFonts w:ascii="宋体" w:hAnsi="宋体"/>
          <w:kern w:val="0"/>
        </w:rPr>
      </w:pPr>
      <w:r>
        <w:rPr>
          <w:rFonts w:hint="eastAsia" w:ascii="宋体" w:hAnsi="宋体"/>
          <w:kern w:val="0"/>
        </w:rPr>
        <w:t>2.具有良好的商业信誉和健全的财务会计制度;</w:t>
      </w:r>
    </w:p>
    <w:p w14:paraId="56E73BFD">
      <w:pPr>
        <w:widowControl/>
        <w:shd w:val="clear" w:color="auto" w:fill="FFFFFF"/>
        <w:spacing w:after="150" w:line="360" w:lineRule="exact"/>
        <w:jc w:val="left"/>
        <w:rPr>
          <w:rFonts w:ascii="宋体" w:hAnsi="宋体"/>
          <w:kern w:val="0"/>
        </w:rPr>
      </w:pPr>
      <w:r>
        <w:rPr>
          <w:rFonts w:hint="eastAsia" w:ascii="宋体" w:hAnsi="宋体"/>
          <w:kern w:val="0"/>
        </w:rPr>
        <w:t>3.具有履行合同所必需的设备和专业技术能力;</w:t>
      </w:r>
    </w:p>
    <w:p w14:paraId="6AEBA8C4">
      <w:pPr>
        <w:widowControl/>
        <w:shd w:val="clear" w:color="auto" w:fill="FFFFFF"/>
        <w:spacing w:after="150" w:line="360" w:lineRule="exact"/>
        <w:jc w:val="left"/>
        <w:rPr>
          <w:rFonts w:ascii="宋体" w:hAnsi="宋体"/>
          <w:kern w:val="0"/>
        </w:rPr>
      </w:pPr>
      <w:r>
        <w:rPr>
          <w:rFonts w:hint="eastAsia" w:ascii="宋体" w:hAnsi="宋体"/>
          <w:kern w:val="0"/>
        </w:rPr>
        <w:t>4.有依法缴纳税收和社会保障资金的良好记录;</w:t>
      </w:r>
    </w:p>
    <w:p w14:paraId="0C3C2441">
      <w:pPr>
        <w:widowControl/>
        <w:shd w:val="clear" w:color="auto" w:fill="FFFFFF"/>
        <w:spacing w:after="150" w:line="360" w:lineRule="exact"/>
        <w:jc w:val="left"/>
        <w:rPr>
          <w:rFonts w:ascii="宋体" w:hAnsi="宋体"/>
          <w:kern w:val="0"/>
        </w:rPr>
      </w:pPr>
      <w:r>
        <w:rPr>
          <w:rFonts w:hint="eastAsia" w:ascii="宋体" w:hAnsi="宋体"/>
          <w:kern w:val="0"/>
        </w:rPr>
        <w:t>5.参加政府采购活动前三年内，在经营活动中没有重大违法记录；</w:t>
      </w:r>
    </w:p>
    <w:p w14:paraId="40D3E67B">
      <w:pPr>
        <w:widowControl/>
        <w:shd w:val="clear" w:color="auto" w:fill="FFFFFF"/>
        <w:spacing w:after="150" w:line="360" w:lineRule="exact"/>
        <w:jc w:val="left"/>
        <w:rPr>
          <w:rFonts w:ascii="宋体" w:hAnsi="宋体"/>
          <w:kern w:val="0"/>
        </w:rPr>
      </w:pPr>
      <w:r>
        <w:rPr>
          <w:rFonts w:hint="eastAsia" w:ascii="宋体" w:hAnsi="宋体"/>
          <w:kern w:val="0"/>
        </w:rPr>
        <w:t>6.法律、行政法规规定的其他条件。</w:t>
      </w:r>
    </w:p>
    <w:p w14:paraId="7EEBD6F7">
      <w:pPr>
        <w:widowControl/>
        <w:shd w:val="clear" w:color="auto" w:fill="FFFFFF"/>
        <w:spacing w:after="150" w:line="360" w:lineRule="exact"/>
        <w:jc w:val="left"/>
        <w:rPr>
          <w:rFonts w:ascii="宋体" w:hAnsi="宋体"/>
          <w:kern w:val="0"/>
        </w:rPr>
      </w:pPr>
      <w:r>
        <w:rPr>
          <w:rFonts w:hint="eastAsia" w:ascii="宋体" w:hAnsi="宋体"/>
          <w:kern w:val="0"/>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F175A09">
      <w:pPr>
        <w:widowControl/>
        <w:shd w:val="clear" w:color="auto" w:fill="FFFFFF"/>
        <w:spacing w:after="150" w:line="360" w:lineRule="exact"/>
        <w:jc w:val="left"/>
        <w:rPr>
          <w:rFonts w:ascii="宋体" w:hAnsi="宋体"/>
          <w:kern w:val="0"/>
        </w:rPr>
      </w:pPr>
      <w:r>
        <w:rPr>
          <w:rFonts w:hint="eastAsia" w:ascii="宋体" w:hAnsi="宋体"/>
          <w:kern w:val="0"/>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D381F2D">
      <w:pPr>
        <w:widowControl/>
        <w:shd w:val="clear" w:color="auto" w:fill="FFFFFF"/>
        <w:spacing w:after="150" w:line="360" w:lineRule="exact"/>
        <w:jc w:val="left"/>
        <w:rPr>
          <w:rFonts w:ascii="宋体" w:hAnsi="宋体"/>
          <w:kern w:val="0"/>
        </w:rPr>
      </w:pPr>
    </w:p>
    <w:p w14:paraId="7CEE16F0">
      <w:pPr>
        <w:spacing w:line="400" w:lineRule="exact"/>
        <w:ind w:firstLine="480"/>
        <w:jc w:val="right"/>
        <w:rPr>
          <w:rFonts w:ascii="宋体" w:hAnsi="宋体"/>
          <w:kern w:val="0"/>
        </w:rPr>
      </w:pPr>
      <w:r>
        <w:rPr>
          <w:rFonts w:hint="eastAsia" w:ascii="宋体" w:hAnsi="宋体"/>
          <w:kern w:val="0"/>
        </w:rPr>
        <w:t>供应商：</w:t>
      </w:r>
      <w:r>
        <w:rPr>
          <w:rFonts w:hint="eastAsia" w:ascii="宋体" w:hAnsi="宋体"/>
          <w:kern w:val="0"/>
          <w:u w:val="single"/>
        </w:rPr>
        <w:t>（全称并加盖单位公章）</w:t>
      </w:r>
    </w:p>
    <w:p w14:paraId="7BF6DF1E">
      <w:pPr>
        <w:spacing w:line="400" w:lineRule="exact"/>
        <w:ind w:firstLine="480"/>
        <w:jc w:val="right"/>
        <w:rPr>
          <w:rFonts w:ascii="宋体" w:hAnsi="宋体"/>
          <w:kern w:val="0"/>
        </w:rPr>
      </w:pPr>
      <w:r>
        <w:rPr>
          <w:rFonts w:hint="eastAsia" w:ascii="宋体" w:hAnsi="宋体"/>
          <w:kern w:val="0"/>
        </w:rPr>
        <w:t>日期：</w:t>
      </w:r>
      <w:r>
        <w:rPr>
          <w:rFonts w:hint="eastAsia" w:ascii="宋体" w:hAnsi="宋体"/>
          <w:kern w:val="0"/>
          <w:u w:val="single"/>
        </w:rPr>
        <w:t xml:space="preserve">  年  月  日</w:t>
      </w:r>
    </w:p>
    <w:p w14:paraId="5CED8846">
      <w:pPr>
        <w:widowControl/>
        <w:shd w:val="clear" w:color="auto" w:fill="FFFFFF"/>
        <w:spacing w:after="150" w:line="360" w:lineRule="exact"/>
        <w:jc w:val="left"/>
        <w:rPr>
          <w:rFonts w:ascii="宋体" w:hAnsi="宋体"/>
          <w:kern w:val="0"/>
        </w:rPr>
      </w:pPr>
      <w:r>
        <w:rPr>
          <w:rFonts w:hint="eastAsia" w:ascii="宋体" w:hAnsi="宋体"/>
          <w:kern w:val="0"/>
        </w:rPr>
        <w:t>注:</w:t>
      </w:r>
    </w:p>
    <w:p w14:paraId="4CCD86C5">
      <w:pPr>
        <w:widowControl/>
        <w:shd w:val="clear" w:color="auto" w:fill="FFFFFF"/>
        <w:spacing w:after="150" w:line="360" w:lineRule="exact"/>
        <w:jc w:val="left"/>
        <w:rPr>
          <w:rFonts w:ascii="宋体" w:hAnsi="宋体"/>
          <w:kern w:val="0"/>
        </w:rPr>
      </w:pPr>
      <w:r>
        <w:rPr>
          <w:rFonts w:hint="eastAsia" w:ascii="宋体" w:hAnsi="宋体"/>
          <w:kern w:val="0"/>
        </w:rPr>
        <w:t>1.我单位(本人)专指参加政府采购活动的供应商(含自然人)；</w:t>
      </w:r>
    </w:p>
    <w:p w14:paraId="1D1FDF90">
      <w:pPr>
        <w:widowControl/>
        <w:shd w:val="clear" w:color="auto" w:fill="FFFFFF"/>
        <w:spacing w:after="150" w:line="360" w:lineRule="exact"/>
        <w:jc w:val="left"/>
        <w:rPr>
          <w:rFonts w:ascii="宋体" w:hAnsi="宋体"/>
          <w:kern w:val="0"/>
        </w:rPr>
      </w:pPr>
      <w:r>
        <w:rPr>
          <w:rFonts w:hint="eastAsia" w:ascii="宋体" w:hAnsi="宋体"/>
          <w:kern w:val="0"/>
        </w:rPr>
        <w:t>2.资格承诺的供应商应在投标(响应)文件中按此模板提供承诺函，否则，视为未按照招标文件规定提交投标人的资格及资信文件，按资格审查不通过处理。</w:t>
      </w:r>
    </w:p>
    <w:p w14:paraId="5395EB10">
      <w:pPr>
        <w:pStyle w:val="6"/>
      </w:pPr>
    </w:p>
    <w:p w14:paraId="3839114E">
      <w:pPr>
        <w:widowControl/>
        <w:shd w:val="clear" w:color="auto" w:fill="FFFFFF"/>
        <w:spacing w:after="150" w:line="360" w:lineRule="exact"/>
        <w:rPr>
          <w:rFonts w:cs="宋体" w:asciiTheme="minorEastAsia" w:hAnsiTheme="minorEastAsia" w:eastAsiaTheme="minorEastAsia"/>
          <w:b/>
          <w:kern w:val="0"/>
          <w:szCs w:val="21"/>
        </w:rPr>
      </w:pPr>
    </w:p>
    <w:p w14:paraId="7EDBFC5D">
      <w:pPr>
        <w:widowControl/>
        <w:shd w:val="clear" w:color="auto" w:fill="FFFFFF"/>
        <w:spacing w:after="150" w:line="360" w:lineRule="exact"/>
        <w:rPr>
          <w:rFonts w:cs="宋体" w:asciiTheme="minorEastAsia" w:hAnsiTheme="minorEastAsia"/>
          <w:b/>
          <w:kern w:val="0"/>
          <w:szCs w:val="24"/>
        </w:rPr>
      </w:pPr>
      <w:r>
        <w:rPr>
          <w:rFonts w:hint="eastAsia" w:asciiTheme="minorEastAsia" w:hAnsiTheme="minorEastAsia" w:eastAsiaTheme="minorEastAsia"/>
          <w:b/>
          <w:kern w:val="0"/>
          <w:szCs w:val="24"/>
        </w:rPr>
        <w:t>（五）</w:t>
      </w:r>
      <w:r>
        <w:rPr>
          <w:rFonts w:hint="eastAsia" w:cs="宋体" w:asciiTheme="minorEastAsia" w:hAnsiTheme="minorEastAsia"/>
          <w:b/>
          <w:kern w:val="0"/>
          <w:szCs w:val="24"/>
        </w:rPr>
        <w:t>联合体协议（若有）</w:t>
      </w:r>
    </w:p>
    <w:p w14:paraId="07CF20B3">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致：</w:t>
      </w:r>
      <w:r>
        <w:rPr>
          <w:rFonts w:hint="eastAsia" w:cs="宋体" w:asciiTheme="minorEastAsia" w:hAnsiTheme="minorEastAsia"/>
          <w:kern w:val="0"/>
          <w:szCs w:val="24"/>
          <w:u w:val="single"/>
        </w:rPr>
        <w:t>    （采购人、采购代 理机构）   </w:t>
      </w:r>
    </w:p>
    <w:p w14:paraId="74FF4CA6">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兹有（填写“联合体中各方的全称”，各方的全称之间请用“、”分割）自愿组成联合体，共同参加（填写“项目名称”） 项目（项目编号：      ）的投标。现就联合体参加本项目投标的有关事宜达成下列协议：</w:t>
      </w:r>
    </w:p>
    <w:p w14:paraId="13C834A6">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一、联合体各方应承担的工作和义务具体如下：</w:t>
      </w:r>
    </w:p>
    <w:p w14:paraId="39933855">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1、牵头方（全称）：（填写“工作及义务的具体内容”） ；</w:t>
      </w:r>
    </w:p>
    <w:p w14:paraId="3EF1D4BD">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2、成员方：</w:t>
      </w:r>
    </w:p>
    <w:p w14:paraId="7141DD8E">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2.1（成员一的全称）：（填写“工作及义务的具体内容”） ；</w:t>
      </w:r>
    </w:p>
    <w:p w14:paraId="1954C083">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w:t>
      </w:r>
    </w:p>
    <w:p w14:paraId="0CDC2C3D">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二、联合体各方的合同金额占比，具体如下：</w:t>
      </w:r>
    </w:p>
    <w:p w14:paraId="6659F9C2">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1.牵头方（ 全称 ）的合同金额占合同总额的  %；</w:t>
      </w:r>
    </w:p>
    <w:p w14:paraId="2302FF86">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2.成员方：</w:t>
      </w:r>
    </w:p>
    <w:p w14:paraId="104D0169">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2.1（ 成员1的全称 ）的合同金额占合同总额的  %；</w:t>
      </w:r>
    </w:p>
    <w:p w14:paraId="457BE14D">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w:t>
      </w:r>
    </w:p>
    <w:p w14:paraId="7E19323A">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三、联合体各方约定：</w:t>
      </w:r>
    </w:p>
    <w:p w14:paraId="5CFE61F7">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1、由（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17A38EFD">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2、联合体各方约定由（填写“牵头方的全称”）代表联合体办理投标保证金事宜。</w:t>
      </w:r>
    </w:p>
    <w:p w14:paraId="567030AE">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C315EEC">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四、若中标，牵头方将代表联合体与采购人就合同签订事宜进行协商；若协商一致，则联合体各方将共同与采购人签订政府采购合同，并就政府采购合同约定的事项对采购人承担连带责任。</w:t>
      </w:r>
    </w:p>
    <w:p w14:paraId="4F565EC2">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五、本协议自签署之日起生效，政府采购合同履行完毕后自动失效。</w:t>
      </w:r>
    </w:p>
    <w:p w14:paraId="70F60157">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六、本协议一式（填写具体份数）份，联合体各方各执一份，电子投标文件中提交一份。</w:t>
      </w:r>
    </w:p>
    <w:p w14:paraId="648C5834">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（以下无正文）</w:t>
      </w:r>
    </w:p>
    <w:p w14:paraId="1CF58A19">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牵头方：（全称并加盖单位公章）</w:t>
      </w:r>
    </w:p>
    <w:p w14:paraId="788D80FA">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法定代表人或其委托代理人： （签字或盖章）</w:t>
      </w:r>
    </w:p>
    <w:p w14:paraId="46883070">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成员一：（全称并加盖成员一的单位公章）</w:t>
      </w:r>
    </w:p>
    <w:p w14:paraId="3BA60808">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法定代表人或其委托代理人： （签字或盖章）</w:t>
      </w:r>
    </w:p>
    <w:p w14:paraId="3FFA064D">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w:t>
      </w:r>
    </w:p>
    <w:p w14:paraId="55197F72">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成员**：（全称并加盖成员**的单位公章）</w:t>
      </w:r>
    </w:p>
    <w:p w14:paraId="682FFA76">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法定代表人或其委托代理人： （签字或盖章）</w:t>
      </w:r>
    </w:p>
    <w:p w14:paraId="344167C2">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签署日期：  年  月  日</w:t>
      </w:r>
    </w:p>
    <w:p w14:paraId="53D911B3">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※注意：</w:t>
      </w:r>
    </w:p>
    <w:p w14:paraId="4E78461E">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1、招标文件接受联合体投标且投标人为联合体的，投标人应提供本协议；否则无须提供。</w:t>
      </w:r>
    </w:p>
    <w:p w14:paraId="79320496">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2、本协议由委托代理人签字或盖章的，应按照本章载明的格式提供“单位授权书”。</w:t>
      </w:r>
    </w:p>
    <w:p w14:paraId="25A58C51">
      <w:pPr>
        <w:widowControl/>
        <w:shd w:val="clear" w:color="auto" w:fill="FFFFFF"/>
        <w:spacing w:after="150" w:line="360" w:lineRule="exact"/>
        <w:jc w:val="left"/>
        <w:rPr>
          <w:rFonts w:cs="宋体" w:asciiTheme="minorEastAsia" w:hAnsiTheme="minorEastAsia"/>
          <w:kern w:val="0"/>
          <w:szCs w:val="24"/>
        </w:rPr>
      </w:pPr>
      <w:r>
        <w:rPr>
          <w:rFonts w:hint="eastAsia" w:cs="宋体" w:asciiTheme="minorEastAsia" w:hAnsiTheme="minorEastAsia"/>
          <w:kern w:val="0"/>
          <w:szCs w:val="24"/>
        </w:rPr>
        <w:t>3、在以联合体形式落实中小企业预留份额项目中，投标人除了要提供《中小企业声明函》，还需提供本协议。</w:t>
      </w:r>
    </w:p>
    <w:p w14:paraId="57C15A54">
      <w:pPr>
        <w:widowControl/>
        <w:jc w:val="left"/>
        <w:rPr>
          <w:rFonts w:cs="宋体" w:asciiTheme="minorEastAsia" w:hAnsiTheme="minorEastAsia" w:eastAsiaTheme="minorEastAsia"/>
          <w:kern w:val="0"/>
          <w:szCs w:val="21"/>
        </w:rPr>
      </w:pPr>
    </w:p>
    <w:p w14:paraId="5D33D876">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四、</w:t>
      </w:r>
      <w:r>
        <w:rPr>
          <w:rFonts w:cs="宋体" w:asciiTheme="minorEastAsia" w:hAnsiTheme="minorEastAsia" w:eastAsiaTheme="minorEastAsia"/>
          <w:b/>
          <w:bCs/>
          <w:kern w:val="0"/>
          <w:szCs w:val="21"/>
        </w:rPr>
        <w:t>磋商保证金凭证</w:t>
      </w:r>
    </w:p>
    <w:p w14:paraId="60AA5407">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4F950D4B">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编制说明</w:t>
      </w:r>
    </w:p>
    <w:p w14:paraId="50786C67">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5EA8EE6F">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1、在此项下提交的“</w:t>
      </w:r>
      <w:r>
        <w:rPr>
          <w:rFonts w:cs="宋体" w:asciiTheme="minorEastAsia" w:hAnsiTheme="minorEastAsia" w:eastAsiaTheme="minorEastAsia"/>
          <w:b/>
          <w:bCs/>
          <w:kern w:val="0"/>
          <w:szCs w:val="21"/>
        </w:rPr>
        <w:t>磋商保证金</w:t>
      </w:r>
      <w:r>
        <w:rPr>
          <w:rFonts w:cs="宋体" w:asciiTheme="minorEastAsia" w:hAnsiTheme="minorEastAsia" w:eastAsiaTheme="minorEastAsia"/>
          <w:kern w:val="0"/>
          <w:szCs w:val="21"/>
        </w:rPr>
        <w:t>”材料可使用转账凭证</w:t>
      </w:r>
      <w:r>
        <w:rPr>
          <w:rFonts w:hint="eastAsia" w:cs="宋体" w:asciiTheme="minorEastAsia" w:hAnsiTheme="minorEastAsia" w:eastAsiaTheme="minorEastAsia"/>
          <w:kern w:val="0"/>
          <w:szCs w:val="21"/>
        </w:rPr>
        <w:t>或电汇底单</w:t>
      </w:r>
      <w:r>
        <w:rPr>
          <w:rFonts w:cs="宋体" w:asciiTheme="minorEastAsia" w:hAnsiTheme="minorEastAsia" w:eastAsiaTheme="minorEastAsia"/>
          <w:kern w:val="0"/>
          <w:szCs w:val="21"/>
        </w:rPr>
        <w:t>复印件</w:t>
      </w:r>
      <w:r>
        <w:rPr>
          <w:rFonts w:hint="eastAsia" w:cs="宋体" w:asciiTheme="minorEastAsia" w:hAnsiTheme="minorEastAsia" w:eastAsiaTheme="minorEastAsia"/>
          <w:kern w:val="0"/>
          <w:szCs w:val="21"/>
        </w:rPr>
        <w:t>。</w:t>
      </w:r>
    </w:p>
    <w:p w14:paraId="5DCD9BCB">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2、磋商保证金是否已提交按照磋商文件规定执行。</w:t>
      </w:r>
    </w:p>
    <w:p w14:paraId="2382A0C2">
      <w:pPr>
        <w:pStyle w:val="37"/>
        <w:ind w:firstLine="200"/>
        <w:rPr>
          <w:rFonts w:asciiTheme="minorEastAsia" w:hAnsiTheme="minorEastAsia" w:eastAsiaTheme="minorEastAsia"/>
        </w:rPr>
      </w:pPr>
    </w:p>
    <w:p w14:paraId="57E3E8DF">
      <w:pPr>
        <w:pStyle w:val="37"/>
        <w:ind w:firstLine="200"/>
        <w:rPr>
          <w:rFonts w:asciiTheme="minorEastAsia" w:hAnsiTheme="minorEastAsia" w:eastAsiaTheme="minorEastAsia"/>
        </w:rPr>
      </w:pPr>
    </w:p>
    <w:p w14:paraId="170C441E">
      <w:pPr>
        <w:pStyle w:val="37"/>
        <w:ind w:firstLine="200"/>
        <w:rPr>
          <w:rFonts w:asciiTheme="minorEastAsia" w:hAnsiTheme="minorEastAsia" w:eastAsiaTheme="minorEastAsia"/>
        </w:rPr>
      </w:pPr>
    </w:p>
    <w:p w14:paraId="46716551">
      <w:pPr>
        <w:widowControl/>
        <w:jc w:val="left"/>
        <w:rPr>
          <w:rFonts w:cs="宋体" w:asciiTheme="minorEastAsia" w:hAnsiTheme="minorEastAsia" w:eastAsiaTheme="minorEastAsia"/>
          <w:b/>
          <w:kern w:val="0"/>
          <w:szCs w:val="21"/>
        </w:rPr>
      </w:pPr>
      <w:r>
        <w:rPr>
          <w:rFonts w:cs="宋体" w:asciiTheme="minorEastAsia" w:hAnsiTheme="minorEastAsia" w:eastAsiaTheme="minorEastAsia"/>
          <w:b/>
          <w:kern w:val="0"/>
          <w:szCs w:val="21"/>
        </w:rPr>
        <w:br w:type="page"/>
      </w:r>
    </w:p>
    <w:p w14:paraId="7E9A25D5">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五、</w:t>
      </w:r>
      <w:r>
        <w:rPr>
          <w:rFonts w:cs="宋体" w:asciiTheme="minorEastAsia" w:hAnsiTheme="minorEastAsia" w:eastAsiaTheme="minorEastAsia"/>
          <w:b/>
          <w:bCs/>
          <w:kern w:val="0"/>
          <w:szCs w:val="21"/>
        </w:rPr>
        <w:t>技术和服务要求响应表</w:t>
      </w:r>
    </w:p>
    <w:p w14:paraId="5831CE89">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（全称加盖单位公章）</w:t>
      </w:r>
      <w:r>
        <w:rPr>
          <w:rFonts w:cs="宋体" w:asciiTheme="minorEastAsia" w:hAnsiTheme="minorEastAsia" w:eastAsiaTheme="minorEastAsia"/>
          <w:kern w:val="0"/>
          <w:szCs w:val="21"/>
        </w:rPr>
        <w:t>  项目编号</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u w:val="single"/>
        </w:rPr>
        <w:t>       </w:t>
      </w:r>
    </w:p>
    <w:tbl>
      <w:tblPr>
        <w:tblStyle w:val="39"/>
        <w:tblW w:w="10008" w:type="dxa"/>
        <w:tblInd w:w="0" w:type="dxa"/>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Layout w:type="fixed"/>
        <w:tblCellMar>
          <w:top w:w="15" w:type="dxa"/>
          <w:left w:w="15" w:type="dxa"/>
          <w:bottom w:w="15" w:type="dxa"/>
          <w:right w:w="15" w:type="dxa"/>
        </w:tblCellMar>
      </w:tblPr>
      <w:tblGrid>
        <w:gridCol w:w="1093"/>
        <w:gridCol w:w="3999"/>
        <w:gridCol w:w="3082"/>
        <w:gridCol w:w="1834"/>
      </w:tblGrid>
      <w:tr w14:paraId="58497E9D">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1178" w:hRule="atLeast"/>
        </w:trPr>
        <w:tc>
          <w:tcPr>
            <w:tcW w:w="1093" w:type="dxa"/>
            <w:tcBorders>
              <w:top w:val="single" w:color="000000" w:sz="8" w:space="0"/>
              <w:left w:val="single" w:color="000000" w:sz="8" w:space="0"/>
              <w:bottom w:val="single" w:color="000000" w:sz="8" w:space="0"/>
              <w:right w:val="single" w:color="000000" w:sz="8" w:space="0"/>
            </w:tcBorders>
            <w:shd w:val="clear" w:color="auto" w:fill="FFFFFF"/>
            <w:tcMar>
              <w:top w:w="0" w:type="dxa"/>
              <w:left w:w="131" w:type="dxa"/>
              <w:bottom w:w="0" w:type="dxa"/>
              <w:right w:w="131" w:type="dxa"/>
            </w:tcMar>
            <w:vAlign w:val="center"/>
          </w:tcPr>
          <w:p w14:paraId="7496D22F">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合同包</w:t>
            </w:r>
          </w:p>
        </w:tc>
        <w:tc>
          <w:tcPr>
            <w:tcW w:w="3999" w:type="dxa"/>
            <w:tcBorders>
              <w:top w:val="single" w:color="000000" w:sz="8" w:space="0"/>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1F8EF38E">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竞争性磋商文件规定的技术和服务要求</w:t>
            </w:r>
          </w:p>
        </w:tc>
        <w:tc>
          <w:tcPr>
            <w:tcW w:w="3082" w:type="dxa"/>
            <w:tcBorders>
              <w:top w:val="single" w:color="000000" w:sz="8" w:space="0"/>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573CB2E2">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响应文件响应承诺</w:t>
            </w:r>
          </w:p>
        </w:tc>
        <w:tc>
          <w:tcPr>
            <w:tcW w:w="1834" w:type="dxa"/>
            <w:tcBorders>
              <w:top w:val="single" w:color="000000" w:sz="8" w:space="0"/>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28F77E08">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是否偏离及说明</w:t>
            </w:r>
          </w:p>
        </w:tc>
      </w:tr>
      <w:tr w14:paraId="675FAB0B">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1093" w:type="dxa"/>
            <w:tcBorders>
              <w:top w:val="nil"/>
              <w:left w:val="single" w:color="000000" w:sz="8" w:space="0"/>
              <w:bottom w:val="single" w:color="000000" w:sz="8" w:space="0"/>
              <w:right w:val="single" w:color="000000" w:sz="8" w:space="0"/>
            </w:tcBorders>
            <w:shd w:val="clear" w:color="auto" w:fill="FFFFFF"/>
            <w:tcMar>
              <w:top w:w="0" w:type="dxa"/>
              <w:left w:w="131" w:type="dxa"/>
              <w:bottom w:w="0" w:type="dxa"/>
              <w:right w:w="131" w:type="dxa"/>
            </w:tcMar>
            <w:vAlign w:val="center"/>
          </w:tcPr>
          <w:p w14:paraId="75253042">
            <w:pPr>
              <w:widowControl/>
              <w:spacing w:line="460" w:lineRule="exact"/>
              <w:jc w:val="left"/>
              <w:rPr>
                <w:rFonts w:cs="宋体" w:asciiTheme="minorEastAsia" w:hAnsiTheme="minorEastAsia" w:eastAsiaTheme="minorEastAsia"/>
                <w:kern w:val="0"/>
                <w:szCs w:val="21"/>
              </w:rPr>
            </w:pPr>
          </w:p>
        </w:tc>
        <w:tc>
          <w:tcPr>
            <w:tcW w:w="3999"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4B82B142">
            <w:pPr>
              <w:widowControl/>
              <w:spacing w:line="460" w:lineRule="exact"/>
              <w:jc w:val="left"/>
              <w:rPr>
                <w:rFonts w:cs="宋体" w:asciiTheme="minorEastAsia" w:hAnsiTheme="minorEastAsia" w:eastAsiaTheme="minorEastAsia"/>
                <w:kern w:val="0"/>
                <w:szCs w:val="21"/>
              </w:rPr>
            </w:pPr>
          </w:p>
        </w:tc>
        <w:tc>
          <w:tcPr>
            <w:tcW w:w="3082"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2B038965">
            <w:pPr>
              <w:widowControl/>
              <w:spacing w:line="460" w:lineRule="exact"/>
              <w:jc w:val="left"/>
              <w:rPr>
                <w:rFonts w:cs="宋体" w:asciiTheme="minorEastAsia" w:hAnsiTheme="minorEastAsia" w:eastAsiaTheme="minorEastAsia"/>
                <w:kern w:val="0"/>
                <w:szCs w:val="21"/>
              </w:rPr>
            </w:pPr>
          </w:p>
        </w:tc>
        <w:tc>
          <w:tcPr>
            <w:tcW w:w="1834"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2002302A">
            <w:pPr>
              <w:widowControl/>
              <w:spacing w:line="460" w:lineRule="exact"/>
              <w:jc w:val="left"/>
              <w:rPr>
                <w:rFonts w:cs="宋体" w:asciiTheme="minorEastAsia" w:hAnsiTheme="minorEastAsia" w:eastAsiaTheme="minorEastAsia"/>
                <w:kern w:val="0"/>
                <w:szCs w:val="21"/>
              </w:rPr>
            </w:pPr>
          </w:p>
        </w:tc>
      </w:tr>
      <w:tr w14:paraId="4733A037">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1093" w:type="dxa"/>
            <w:tcBorders>
              <w:top w:val="nil"/>
              <w:left w:val="single" w:color="000000" w:sz="8" w:space="0"/>
              <w:bottom w:val="single" w:color="000000" w:sz="8" w:space="0"/>
              <w:right w:val="single" w:color="000000" w:sz="8" w:space="0"/>
            </w:tcBorders>
            <w:shd w:val="clear" w:color="auto" w:fill="FFFFFF"/>
            <w:tcMar>
              <w:top w:w="0" w:type="dxa"/>
              <w:left w:w="131" w:type="dxa"/>
              <w:bottom w:w="0" w:type="dxa"/>
              <w:right w:w="131" w:type="dxa"/>
            </w:tcMar>
            <w:vAlign w:val="center"/>
          </w:tcPr>
          <w:p w14:paraId="018CB00E">
            <w:pPr>
              <w:widowControl/>
              <w:spacing w:line="460" w:lineRule="exact"/>
              <w:jc w:val="left"/>
              <w:rPr>
                <w:rFonts w:cs="宋体" w:asciiTheme="minorEastAsia" w:hAnsiTheme="minorEastAsia" w:eastAsiaTheme="minorEastAsia"/>
                <w:kern w:val="0"/>
                <w:szCs w:val="21"/>
              </w:rPr>
            </w:pPr>
          </w:p>
        </w:tc>
        <w:tc>
          <w:tcPr>
            <w:tcW w:w="3999"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1267C44D">
            <w:pPr>
              <w:widowControl/>
              <w:spacing w:line="460" w:lineRule="exact"/>
              <w:jc w:val="left"/>
              <w:rPr>
                <w:rFonts w:cs="宋体" w:asciiTheme="minorEastAsia" w:hAnsiTheme="minorEastAsia" w:eastAsiaTheme="minorEastAsia"/>
                <w:kern w:val="0"/>
                <w:szCs w:val="21"/>
              </w:rPr>
            </w:pPr>
          </w:p>
        </w:tc>
        <w:tc>
          <w:tcPr>
            <w:tcW w:w="3082"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0BEBC162">
            <w:pPr>
              <w:widowControl/>
              <w:spacing w:line="460" w:lineRule="exact"/>
              <w:jc w:val="left"/>
              <w:rPr>
                <w:rFonts w:cs="宋体" w:asciiTheme="minorEastAsia" w:hAnsiTheme="minorEastAsia" w:eastAsiaTheme="minorEastAsia"/>
                <w:kern w:val="0"/>
                <w:szCs w:val="21"/>
              </w:rPr>
            </w:pPr>
          </w:p>
        </w:tc>
        <w:tc>
          <w:tcPr>
            <w:tcW w:w="1834"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3277356A">
            <w:pPr>
              <w:widowControl/>
              <w:spacing w:line="460" w:lineRule="exact"/>
              <w:jc w:val="left"/>
              <w:rPr>
                <w:rFonts w:cs="宋体" w:asciiTheme="minorEastAsia" w:hAnsiTheme="minorEastAsia" w:eastAsiaTheme="minorEastAsia"/>
                <w:kern w:val="0"/>
                <w:szCs w:val="21"/>
              </w:rPr>
            </w:pPr>
          </w:p>
        </w:tc>
      </w:tr>
      <w:tr w14:paraId="5135FA8A">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1093" w:type="dxa"/>
            <w:tcBorders>
              <w:top w:val="nil"/>
              <w:left w:val="single" w:color="000000" w:sz="8" w:space="0"/>
              <w:bottom w:val="single" w:color="000000" w:sz="8" w:space="0"/>
              <w:right w:val="single" w:color="000000" w:sz="8" w:space="0"/>
            </w:tcBorders>
            <w:shd w:val="clear" w:color="auto" w:fill="FFFFFF"/>
            <w:tcMar>
              <w:top w:w="0" w:type="dxa"/>
              <w:left w:w="131" w:type="dxa"/>
              <w:bottom w:w="0" w:type="dxa"/>
              <w:right w:w="131" w:type="dxa"/>
            </w:tcMar>
            <w:vAlign w:val="center"/>
          </w:tcPr>
          <w:p w14:paraId="6EC83D16">
            <w:pPr>
              <w:widowControl/>
              <w:spacing w:line="460" w:lineRule="exact"/>
              <w:jc w:val="left"/>
              <w:rPr>
                <w:rFonts w:cs="宋体" w:asciiTheme="minorEastAsia" w:hAnsiTheme="minorEastAsia" w:eastAsiaTheme="minorEastAsia"/>
                <w:kern w:val="0"/>
                <w:szCs w:val="21"/>
              </w:rPr>
            </w:pPr>
          </w:p>
        </w:tc>
        <w:tc>
          <w:tcPr>
            <w:tcW w:w="3999"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6A449104">
            <w:pPr>
              <w:widowControl/>
              <w:spacing w:line="460" w:lineRule="exact"/>
              <w:jc w:val="left"/>
              <w:rPr>
                <w:rFonts w:cs="宋体" w:asciiTheme="minorEastAsia" w:hAnsiTheme="minorEastAsia" w:eastAsiaTheme="minorEastAsia"/>
                <w:kern w:val="0"/>
                <w:szCs w:val="21"/>
              </w:rPr>
            </w:pPr>
          </w:p>
        </w:tc>
        <w:tc>
          <w:tcPr>
            <w:tcW w:w="3082"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4C610946">
            <w:pPr>
              <w:widowControl/>
              <w:spacing w:line="460" w:lineRule="exact"/>
              <w:jc w:val="left"/>
              <w:rPr>
                <w:rFonts w:cs="宋体" w:asciiTheme="minorEastAsia" w:hAnsiTheme="minorEastAsia" w:eastAsiaTheme="minorEastAsia"/>
                <w:kern w:val="0"/>
                <w:szCs w:val="21"/>
              </w:rPr>
            </w:pPr>
          </w:p>
        </w:tc>
        <w:tc>
          <w:tcPr>
            <w:tcW w:w="1834"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66090E8B">
            <w:pPr>
              <w:widowControl/>
              <w:spacing w:line="460" w:lineRule="exact"/>
              <w:jc w:val="left"/>
              <w:rPr>
                <w:rFonts w:cs="宋体" w:asciiTheme="minorEastAsia" w:hAnsiTheme="minorEastAsia" w:eastAsiaTheme="minorEastAsia"/>
                <w:kern w:val="0"/>
                <w:szCs w:val="21"/>
              </w:rPr>
            </w:pPr>
          </w:p>
        </w:tc>
      </w:tr>
      <w:tr w14:paraId="4E97F96D">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1093" w:type="dxa"/>
            <w:tcBorders>
              <w:top w:val="nil"/>
              <w:left w:val="single" w:color="000000" w:sz="8" w:space="0"/>
              <w:bottom w:val="single" w:color="000000" w:sz="8" w:space="0"/>
              <w:right w:val="single" w:color="000000" w:sz="8" w:space="0"/>
            </w:tcBorders>
            <w:shd w:val="clear" w:color="auto" w:fill="FFFFFF"/>
            <w:tcMar>
              <w:top w:w="0" w:type="dxa"/>
              <w:left w:w="131" w:type="dxa"/>
              <w:bottom w:w="0" w:type="dxa"/>
              <w:right w:w="131" w:type="dxa"/>
            </w:tcMar>
            <w:vAlign w:val="center"/>
          </w:tcPr>
          <w:p w14:paraId="41E34E89">
            <w:pPr>
              <w:widowControl/>
              <w:spacing w:line="460" w:lineRule="exact"/>
              <w:jc w:val="left"/>
              <w:rPr>
                <w:rFonts w:cs="宋体" w:asciiTheme="minorEastAsia" w:hAnsiTheme="minorEastAsia" w:eastAsiaTheme="minorEastAsia"/>
                <w:kern w:val="0"/>
                <w:szCs w:val="21"/>
              </w:rPr>
            </w:pPr>
          </w:p>
        </w:tc>
        <w:tc>
          <w:tcPr>
            <w:tcW w:w="3999"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285BF240">
            <w:pPr>
              <w:widowControl/>
              <w:spacing w:line="460" w:lineRule="exact"/>
              <w:jc w:val="left"/>
              <w:rPr>
                <w:rFonts w:cs="宋体" w:asciiTheme="minorEastAsia" w:hAnsiTheme="minorEastAsia" w:eastAsiaTheme="minorEastAsia"/>
                <w:kern w:val="0"/>
                <w:szCs w:val="21"/>
              </w:rPr>
            </w:pPr>
          </w:p>
        </w:tc>
        <w:tc>
          <w:tcPr>
            <w:tcW w:w="3082"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0D9C3C13">
            <w:pPr>
              <w:widowControl/>
              <w:spacing w:line="460" w:lineRule="exact"/>
              <w:jc w:val="left"/>
              <w:rPr>
                <w:rFonts w:cs="宋体" w:asciiTheme="minorEastAsia" w:hAnsiTheme="minorEastAsia" w:eastAsiaTheme="minorEastAsia"/>
                <w:kern w:val="0"/>
                <w:szCs w:val="21"/>
              </w:rPr>
            </w:pPr>
          </w:p>
        </w:tc>
        <w:tc>
          <w:tcPr>
            <w:tcW w:w="1834"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7DB21891">
            <w:pPr>
              <w:widowControl/>
              <w:spacing w:line="460" w:lineRule="exact"/>
              <w:jc w:val="left"/>
              <w:rPr>
                <w:rFonts w:cs="宋体" w:asciiTheme="minorEastAsia" w:hAnsiTheme="minorEastAsia" w:eastAsiaTheme="minorEastAsia"/>
                <w:kern w:val="0"/>
                <w:szCs w:val="21"/>
              </w:rPr>
            </w:pPr>
          </w:p>
        </w:tc>
      </w:tr>
      <w:tr w14:paraId="4E53DE1E">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1093" w:type="dxa"/>
            <w:tcBorders>
              <w:top w:val="nil"/>
              <w:left w:val="single" w:color="000000" w:sz="8" w:space="0"/>
              <w:bottom w:val="single" w:color="000000" w:sz="8" w:space="0"/>
              <w:right w:val="single" w:color="000000" w:sz="8" w:space="0"/>
            </w:tcBorders>
            <w:shd w:val="clear" w:color="auto" w:fill="FFFFFF"/>
            <w:tcMar>
              <w:top w:w="0" w:type="dxa"/>
              <w:left w:w="131" w:type="dxa"/>
              <w:bottom w:w="0" w:type="dxa"/>
              <w:right w:w="131" w:type="dxa"/>
            </w:tcMar>
            <w:vAlign w:val="center"/>
          </w:tcPr>
          <w:p w14:paraId="43AB1334">
            <w:pPr>
              <w:widowControl/>
              <w:spacing w:line="460" w:lineRule="exact"/>
              <w:jc w:val="left"/>
              <w:rPr>
                <w:rFonts w:cs="宋体" w:asciiTheme="minorEastAsia" w:hAnsiTheme="minorEastAsia" w:eastAsiaTheme="minorEastAsia"/>
                <w:kern w:val="0"/>
                <w:szCs w:val="21"/>
              </w:rPr>
            </w:pPr>
          </w:p>
        </w:tc>
        <w:tc>
          <w:tcPr>
            <w:tcW w:w="3999"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15B43501">
            <w:pPr>
              <w:widowControl/>
              <w:spacing w:line="460" w:lineRule="exact"/>
              <w:jc w:val="left"/>
              <w:rPr>
                <w:rFonts w:cs="宋体" w:asciiTheme="minorEastAsia" w:hAnsiTheme="minorEastAsia" w:eastAsiaTheme="minorEastAsia"/>
                <w:kern w:val="0"/>
                <w:szCs w:val="21"/>
              </w:rPr>
            </w:pPr>
          </w:p>
        </w:tc>
        <w:tc>
          <w:tcPr>
            <w:tcW w:w="3082"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3C0121D6">
            <w:pPr>
              <w:widowControl/>
              <w:spacing w:line="460" w:lineRule="exact"/>
              <w:jc w:val="left"/>
              <w:rPr>
                <w:rFonts w:cs="宋体" w:asciiTheme="minorEastAsia" w:hAnsiTheme="minorEastAsia" w:eastAsiaTheme="minorEastAsia"/>
                <w:kern w:val="0"/>
                <w:szCs w:val="21"/>
              </w:rPr>
            </w:pPr>
          </w:p>
        </w:tc>
        <w:tc>
          <w:tcPr>
            <w:tcW w:w="1834"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3173CD4E">
            <w:pPr>
              <w:widowControl/>
              <w:spacing w:line="460" w:lineRule="exact"/>
              <w:jc w:val="left"/>
              <w:rPr>
                <w:rFonts w:cs="宋体" w:asciiTheme="minorEastAsia" w:hAnsiTheme="minorEastAsia" w:eastAsiaTheme="minorEastAsia"/>
                <w:kern w:val="0"/>
                <w:szCs w:val="21"/>
              </w:rPr>
            </w:pPr>
          </w:p>
        </w:tc>
      </w:tr>
      <w:tr w14:paraId="1268190E">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1093" w:type="dxa"/>
            <w:tcBorders>
              <w:top w:val="nil"/>
              <w:left w:val="single" w:color="000000" w:sz="8" w:space="0"/>
              <w:bottom w:val="single" w:color="000000" w:sz="8" w:space="0"/>
              <w:right w:val="single" w:color="000000" w:sz="8" w:space="0"/>
            </w:tcBorders>
            <w:shd w:val="clear" w:color="auto" w:fill="FFFFFF"/>
            <w:tcMar>
              <w:top w:w="0" w:type="dxa"/>
              <w:left w:w="131" w:type="dxa"/>
              <w:bottom w:w="0" w:type="dxa"/>
              <w:right w:w="131" w:type="dxa"/>
            </w:tcMar>
            <w:vAlign w:val="center"/>
          </w:tcPr>
          <w:p w14:paraId="1CF5BDE4">
            <w:pPr>
              <w:widowControl/>
              <w:spacing w:line="460" w:lineRule="exact"/>
              <w:jc w:val="left"/>
              <w:rPr>
                <w:rFonts w:cs="宋体" w:asciiTheme="minorEastAsia" w:hAnsiTheme="minorEastAsia" w:eastAsiaTheme="minorEastAsia"/>
                <w:kern w:val="0"/>
                <w:szCs w:val="21"/>
              </w:rPr>
            </w:pPr>
          </w:p>
        </w:tc>
        <w:tc>
          <w:tcPr>
            <w:tcW w:w="3999"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17AD8F28">
            <w:pPr>
              <w:widowControl/>
              <w:spacing w:line="460" w:lineRule="exact"/>
              <w:jc w:val="left"/>
              <w:rPr>
                <w:rFonts w:cs="宋体" w:asciiTheme="minorEastAsia" w:hAnsiTheme="minorEastAsia" w:eastAsiaTheme="minorEastAsia"/>
                <w:kern w:val="0"/>
                <w:szCs w:val="21"/>
              </w:rPr>
            </w:pPr>
          </w:p>
        </w:tc>
        <w:tc>
          <w:tcPr>
            <w:tcW w:w="3082"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26AEEA1C">
            <w:pPr>
              <w:widowControl/>
              <w:spacing w:line="460" w:lineRule="exact"/>
              <w:jc w:val="left"/>
              <w:rPr>
                <w:rFonts w:cs="宋体" w:asciiTheme="minorEastAsia" w:hAnsiTheme="minorEastAsia" w:eastAsiaTheme="minorEastAsia"/>
                <w:kern w:val="0"/>
                <w:szCs w:val="21"/>
              </w:rPr>
            </w:pPr>
          </w:p>
        </w:tc>
        <w:tc>
          <w:tcPr>
            <w:tcW w:w="1834"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653BD7FA">
            <w:pPr>
              <w:widowControl/>
              <w:spacing w:line="460" w:lineRule="exact"/>
              <w:jc w:val="left"/>
              <w:rPr>
                <w:rFonts w:cs="宋体" w:asciiTheme="minorEastAsia" w:hAnsiTheme="minorEastAsia" w:eastAsiaTheme="minorEastAsia"/>
                <w:kern w:val="0"/>
                <w:szCs w:val="21"/>
              </w:rPr>
            </w:pPr>
          </w:p>
        </w:tc>
      </w:tr>
      <w:tr w14:paraId="5823F735">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1093" w:type="dxa"/>
            <w:tcBorders>
              <w:top w:val="nil"/>
              <w:left w:val="single" w:color="000000" w:sz="8" w:space="0"/>
              <w:bottom w:val="single" w:color="000000" w:sz="8" w:space="0"/>
              <w:right w:val="single" w:color="000000" w:sz="8" w:space="0"/>
            </w:tcBorders>
            <w:shd w:val="clear" w:color="auto" w:fill="FFFFFF"/>
            <w:tcMar>
              <w:top w:w="0" w:type="dxa"/>
              <w:left w:w="131" w:type="dxa"/>
              <w:bottom w:w="0" w:type="dxa"/>
              <w:right w:w="131" w:type="dxa"/>
            </w:tcMar>
            <w:vAlign w:val="center"/>
          </w:tcPr>
          <w:p w14:paraId="643D59DD">
            <w:pPr>
              <w:widowControl/>
              <w:spacing w:line="460" w:lineRule="exact"/>
              <w:jc w:val="left"/>
              <w:rPr>
                <w:rFonts w:cs="宋体" w:asciiTheme="minorEastAsia" w:hAnsiTheme="minorEastAsia" w:eastAsiaTheme="minorEastAsia"/>
                <w:kern w:val="0"/>
                <w:szCs w:val="21"/>
              </w:rPr>
            </w:pPr>
          </w:p>
        </w:tc>
        <w:tc>
          <w:tcPr>
            <w:tcW w:w="3999"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5374091E">
            <w:pPr>
              <w:widowControl/>
              <w:spacing w:line="460" w:lineRule="exact"/>
              <w:jc w:val="left"/>
              <w:rPr>
                <w:rFonts w:cs="宋体" w:asciiTheme="minorEastAsia" w:hAnsiTheme="minorEastAsia" w:eastAsiaTheme="minorEastAsia"/>
                <w:kern w:val="0"/>
                <w:szCs w:val="21"/>
              </w:rPr>
            </w:pPr>
          </w:p>
        </w:tc>
        <w:tc>
          <w:tcPr>
            <w:tcW w:w="3082"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4BAC3F52">
            <w:pPr>
              <w:widowControl/>
              <w:spacing w:line="460" w:lineRule="exact"/>
              <w:jc w:val="left"/>
              <w:rPr>
                <w:rFonts w:cs="宋体" w:asciiTheme="minorEastAsia" w:hAnsiTheme="minorEastAsia" w:eastAsiaTheme="minorEastAsia"/>
                <w:kern w:val="0"/>
                <w:szCs w:val="21"/>
              </w:rPr>
            </w:pPr>
          </w:p>
        </w:tc>
        <w:tc>
          <w:tcPr>
            <w:tcW w:w="1834"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1DF6901B">
            <w:pPr>
              <w:widowControl/>
              <w:spacing w:line="460" w:lineRule="exact"/>
              <w:jc w:val="left"/>
              <w:rPr>
                <w:rFonts w:cs="宋体" w:asciiTheme="minorEastAsia" w:hAnsiTheme="minorEastAsia" w:eastAsiaTheme="minorEastAsia"/>
                <w:kern w:val="0"/>
                <w:szCs w:val="21"/>
              </w:rPr>
            </w:pPr>
          </w:p>
        </w:tc>
      </w:tr>
      <w:tr w14:paraId="27230AA0">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1093" w:type="dxa"/>
            <w:tcBorders>
              <w:top w:val="nil"/>
              <w:left w:val="single" w:color="000000" w:sz="8" w:space="0"/>
              <w:bottom w:val="single" w:color="000000" w:sz="8" w:space="0"/>
              <w:right w:val="single" w:color="000000" w:sz="8" w:space="0"/>
            </w:tcBorders>
            <w:shd w:val="clear" w:color="auto" w:fill="FFFFFF"/>
            <w:tcMar>
              <w:top w:w="0" w:type="dxa"/>
              <w:left w:w="131" w:type="dxa"/>
              <w:bottom w:w="0" w:type="dxa"/>
              <w:right w:w="131" w:type="dxa"/>
            </w:tcMar>
            <w:vAlign w:val="center"/>
          </w:tcPr>
          <w:p w14:paraId="35E9D2FE">
            <w:pPr>
              <w:widowControl/>
              <w:spacing w:line="460" w:lineRule="exact"/>
              <w:jc w:val="left"/>
              <w:rPr>
                <w:rFonts w:cs="宋体" w:asciiTheme="minorEastAsia" w:hAnsiTheme="minorEastAsia" w:eastAsiaTheme="minorEastAsia"/>
                <w:kern w:val="0"/>
                <w:szCs w:val="21"/>
              </w:rPr>
            </w:pPr>
          </w:p>
        </w:tc>
        <w:tc>
          <w:tcPr>
            <w:tcW w:w="3999"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7B78720D">
            <w:pPr>
              <w:widowControl/>
              <w:spacing w:line="460" w:lineRule="exact"/>
              <w:jc w:val="left"/>
              <w:rPr>
                <w:rFonts w:cs="宋体" w:asciiTheme="minorEastAsia" w:hAnsiTheme="minorEastAsia" w:eastAsiaTheme="minorEastAsia"/>
                <w:kern w:val="0"/>
                <w:szCs w:val="21"/>
              </w:rPr>
            </w:pPr>
          </w:p>
        </w:tc>
        <w:tc>
          <w:tcPr>
            <w:tcW w:w="3082"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3C0E8F91">
            <w:pPr>
              <w:widowControl/>
              <w:spacing w:line="460" w:lineRule="exact"/>
              <w:jc w:val="left"/>
              <w:rPr>
                <w:rFonts w:cs="宋体" w:asciiTheme="minorEastAsia" w:hAnsiTheme="minorEastAsia" w:eastAsiaTheme="minorEastAsia"/>
                <w:kern w:val="0"/>
                <w:szCs w:val="21"/>
              </w:rPr>
            </w:pPr>
          </w:p>
        </w:tc>
        <w:tc>
          <w:tcPr>
            <w:tcW w:w="1834"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64D55770">
            <w:pPr>
              <w:widowControl/>
              <w:spacing w:line="460" w:lineRule="exact"/>
              <w:jc w:val="left"/>
              <w:rPr>
                <w:rFonts w:cs="宋体" w:asciiTheme="minorEastAsia" w:hAnsiTheme="minorEastAsia" w:eastAsiaTheme="minorEastAsia"/>
                <w:kern w:val="0"/>
                <w:szCs w:val="21"/>
              </w:rPr>
            </w:pPr>
          </w:p>
        </w:tc>
      </w:tr>
    </w:tbl>
    <w:p w14:paraId="2651D539">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注：（1）</w:t>
      </w:r>
      <w:r>
        <w:rPr>
          <w:rFonts w:hint="eastAsia" w:cs="宋体" w:asciiTheme="minorEastAsia" w:hAnsiTheme="minorEastAsia" w:eastAsiaTheme="minorEastAsia"/>
          <w:b/>
          <w:bCs/>
          <w:kern w:val="0"/>
          <w:szCs w:val="21"/>
        </w:rPr>
        <w:t>供应商应如实详细填写技术和服务要求响应表，若无详细填写技术和服务要求响应表或未按要求填写者，按响应无效处理。</w:t>
      </w:r>
    </w:p>
    <w:p w14:paraId="59C7B267">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3B41F033">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58B514FA">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55C68AC2">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1B48C870">
      <w:pPr>
        <w:widowControl/>
        <w:spacing w:line="460" w:lineRule="exact"/>
        <w:jc w:val="center"/>
        <w:rPr>
          <w:rFonts w:cs="宋体" w:asciiTheme="minorEastAsia" w:hAnsiTheme="minorEastAsia" w:eastAsiaTheme="minorEastAsia"/>
          <w:b/>
          <w:kern w:val="0"/>
          <w:szCs w:val="21"/>
        </w:rPr>
      </w:pPr>
    </w:p>
    <w:p w14:paraId="5E05074D">
      <w:pPr>
        <w:pStyle w:val="37"/>
        <w:ind w:firstLine="200"/>
        <w:rPr>
          <w:rFonts w:asciiTheme="minorEastAsia" w:hAnsiTheme="minorEastAsia" w:eastAsiaTheme="minorEastAsia"/>
        </w:rPr>
      </w:pPr>
    </w:p>
    <w:p w14:paraId="50F610D8">
      <w:pPr>
        <w:widowControl/>
        <w:jc w:val="left"/>
        <w:rPr>
          <w:rFonts w:cs="宋体" w:asciiTheme="minorEastAsia" w:hAnsiTheme="minorEastAsia" w:eastAsiaTheme="minorEastAsia"/>
          <w:b/>
          <w:kern w:val="0"/>
          <w:szCs w:val="21"/>
        </w:rPr>
      </w:pPr>
      <w:r>
        <w:rPr>
          <w:rFonts w:cs="宋体" w:asciiTheme="minorEastAsia" w:hAnsiTheme="minorEastAsia" w:eastAsiaTheme="minorEastAsia"/>
          <w:b/>
          <w:kern w:val="0"/>
          <w:szCs w:val="21"/>
        </w:rPr>
        <w:br w:type="page"/>
      </w:r>
    </w:p>
    <w:p w14:paraId="098B55A4">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六、</w:t>
      </w:r>
      <w:r>
        <w:rPr>
          <w:rFonts w:cs="宋体" w:asciiTheme="minorEastAsia" w:hAnsiTheme="minorEastAsia" w:eastAsiaTheme="minorEastAsia"/>
          <w:b/>
          <w:bCs/>
          <w:kern w:val="0"/>
          <w:szCs w:val="21"/>
        </w:rPr>
        <w:t>商务条件和</w:t>
      </w:r>
      <w:r>
        <w:rPr>
          <w:rFonts w:hint="eastAsia" w:cs="宋体" w:asciiTheme="minorEastAsia" w:hAnsiTheme="minorEastAsia" w:eastAsiaTheme="minorEastAsia"/>
          <w:b/>
          <w:bCs/>
          <w:kern w:val="0"/>
          <w:szCs w:val="21"/>
          <w:lang w:eastAsia="zh-CN"/>
        </w:rPr>
        <w:t>其他</w:t>
      </w:r>
      <w:r>
        <w:rPr>
          <w:rFonts w:cs="宋体" w:asciiTheme="minorEastAsia" w:hAnsiTheme="minorEastAsia" w:eastAsiaTheme="minorEastAsia"/>
          <w:b/>
          <w:bCs/>
          <w:kern w:val="0"/>
          <w:szCs w:val="21"/>
        </w:rPr>
        <w:t>事项响应表</w:t>
      </w:r>
    </w:p>
    <w:p w14:paraId="5CEAFDBB">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（全称加盖单位公章）</w:t>
      </w:r>
      <w:r>
        <w:rPr>
          <w:rFonts w:cs="宋体" w:asciiTheme="minorEastAsia" w:hAnsiTheme="minorEastAsia" w:eastAsiaTheme="minorEastAsia"/>
          <w:kern w:val="0"/>
          <w:szCs w:val="21"/>
        </w:rPr>
        <w:t>  项目编号</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u w:val="single"/>
        </w:rPr>
        <w:t>       </w:t>
      </w:r>
    </w:p>
    <w:tbl>
      <w:tblPr>
        <w:tblStyle w:val="39"/>
        <w:tblW w:w="10008" w:type="dxa"/>
        <w:tblInd w:w="0" w:type="dxa"/>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Layout w:type="fixed"/>
        <w:tblCellMar>
          <w:top w:w="15" w:type="dxa"/>
          <w:left w:w="15" w:type="dxa"/>
          <w:bottom w:w="15" w:type="dxa"/>
          <w:right w:w="15" w:type="dxa"/>
        </w:tblCellMar>
      </w:tblPr>
      <w:tblGrid>
        <w:gridCol w:w="895"/>
        <w:gridCol w:w="1817"/>
        <w:gridCol w:w="3052"/>
        <w:gridCol w:w="2744"/>
        <w:gridCol w:w="1500"/>
      </w:tblGrid>
      <w:tr w14:paraId="698194A2">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1178" w:hRule="atLeast"/>
        </w:trPr>
        <w:tc>
          <w:tcPr>
            <w:tcW w:w="895" w:type="dxa"/>
            <w:tcBorders>
              <w:top w:val="single" w:color="000000" w:sz="8" w:space="0"/>
              <w:left w:val="single" w:color="000000" w:sz="8" w:space="0"/>
              <w:bottom w:val="single" w:color="000000" w:sz="8" w:space="0"/>
              <w:right w:val="single" w:color="000000" w:sz="8" w:space="0"/>
            </w:tcBorders>
            <w:shd w:val="clear" w:color="auto" w:fill="FFFFFF"/>
            <w:tcMar>
              <w:top w:w="0" w:type="dxa"/>
              <w:left w:w="131" w:type="dxa"/>
              <w:bottom w:w="0" w:type="dxa"/>
              <w:right w:w="131" w:type="dxa"/>
            </w:tcMar>
            <w:vAlign w:val="center"/>
          </w:tcPr>
          <w:p w14:paraId="102EA673">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合同包</w:t>
            </w:r>
          </w:p>
        </w:tc>
        <w:tc>
          <w:tcPr>
            <w:tcW w:w="1817" w:type="dxa"/>
            <w:tcBorders>
              <w:top w:val="single" w:color="000000" w:sz="8" w:space="0"/>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623ADB6E">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章节条目号</w:t>
            </w:r>
          </w:p>
        </w:tc>
        <w:tc>
          <w:tcPr>
            <w:tcW w:w="3052" w:type="dxa"/>
            <w:tcBorders>
              <w:top w:val="single" w:color="000000" w:sz="8" w:space="0"/>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3F7A277A">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竞争性磋商文件规定的商务条件要求</w:t>
            </w:r>
          </w:p>
        </w:tc>
        <w:tc>
          <w:tcPr>
            <w:tcW w:w="2744" w:type="dxa"/>
            <w:tcBorders>
              <w:top w:val="single" w:color="000000" w:sz="8" w:space="0"/>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7456DC9E">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响应文件响应承诺</w:t>
            </w:r>
          </w:p>
        </w:tc>
        <w:tc>
          <w:tcPr>
            <w:tcW w:w="1500" w:type="dxa"/>
            <w:tcBorders>
              <w:top w:val="single" w:color="000000" w:sz="8" w:space="0"/>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6DF2E820">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是否偏离及说明</w:t>
            </w:r>
          </w:p>
        </w:tc>
      </w:tr>
      <w:tr w14:paraId="3B894D88">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895" w:type="dxa"/>
            <w:tcBorders>
              <w:top w:val="nil"/>
              <w:left w:val="single" w:color="000000" w:sz="8" w:space="0"/>
              <w:bottom w:val="single" w:color="000000" w:sz="8" w:space="0"/>
              <w:right w:val="single" w:color="000000" w:sz="8" w:space="0"/>
            </w:tcBorders>
            <w:shd w:val="clear" w:color="auto" w:fill="FFFFFF"/>
            <w:tcMar>
              <w:top w:w="0" w:type="dxa"/>
              <w:left w:w="131" w:type="dxa"/>
              <w:bottom w:w="0" w:type="dxa"/>
              <w:right w:w="131" w:type="dxa"/>
            </w:tcMar>
            <w:vAlign w:val="center"/>
          </w:tcPr>
          <w:p w14:paraId="364B4362">
            <w:pPr>
              <w:widowControl/>
              <w:spacing w:line="460" w:lineRule="exact"/>
              <w:jc w:val="left"/>
              <w:rPr>
                <w:rFonts w:cs="宋体" w:asciiTheme="minorEastAsia" w:hAnsiTheme="minorEastAsia" w:eastAsiaTheme="minorEastAsia"/>
                <w:kern w:val="0"/>
                <w:szCs w:val="21"/>
              </w:rPr>
            </w:pPr>
          </w:p>
        </w:tc>
        <w:tc>
          <w:tcPr>
            <w:tcW w:w="1817"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17593E42">
            <w:pPr>
              <w:widowControl/>
              <w:spacing w:line="460" w:lineRule="exact"/>
              <w:jc w:val="left"/>
              <w:rPr>
                <w:rFonts w:cs="宋体" w:asciiTheme="minorEastAsia" w:hAnsiTheme="minorEastAsia" w:eastAsiaTheme="minorEastAsia"/>
                <w:kern w:val="0"/>
                <w:szCs w:val="21"/>
              </w:rPr>
            </w:pPr>
          </w:p>
        </w:tc>
        <w:tc>
          <w:tcPr>
            <w:tcW w:w="3052"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5EDF92CA">
            <w:pPr>
              <w:widowControl/>
              <w:spacing w:line="460" w:lineRule="exact"/>
              <w:jc w:val="left"/>
              <w:rPr>
                <w:rFonts w:cs="宋体" w:asciiTheme="minorEastAsia" w:hAnsiTheme="minorEastAsia" w:eastAsiaTheme="minorEastAsia"/>
                <w:kern w:val="0"/>
                <w:szCs w:val="21"/>
              </w:rPr>
            </w:pPr>
          </w:p>
        </w:tc>
        <w:tc>
          <w:tcPr>
            <w:tcW w:w="2744"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79687373">
            <w:pPr>
              <w:widowControl/>
              <w:spacing w:line="460" w:lineRule="exact"/>
              <w:jc w:val="left"/>
              <w:rPr>
                <w:rFonts w:cs="宋体" w:asciiTheme="minorEastAsia" w:hAnsiTheme="minorEastAsia" w:eastAsiaTheme="minorEastAsia"/>
                <w:kern w:val="0"/>
                <w:szCs w:val="21"/>
              </w:rPr>
            </w:pPr>
          </w:p>
        </w:tc>
        <w:tc>
          <w:tcPr>
            <w:tcW w:w="1500"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25C72E1A">
            <w:pPr>
              <w:widowControl/>
              <w:spacing w:line="460" w:lineRule="exact"/>
              <w:jc w:val="left"/>
              <w:rPr>
                <w:rFonts w:cs="宋体" w:asciiTheme="minorEastAsia" w:hAnsiTheme="minorEastAsia" w:eastAsiaTheme="minorEastAsia"/>
                <w:kern w:val="0"/>
                <w:szCs w:val="21"/>
              </w:rPr>
            </w:pPr>
          </w:p>
        </w:tc>
      </w:tr>
      <w:tr w14:paraId="43A6480B">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895" w:type="dxa"/>
            <w:tcBorders>
              <w:top w:val="nil"/>
              <w:left w:val="single" w:color="000000" w:sz="8" w:space="0"/>
              <w:bottom w:val="single" w:color="000000" w:sz="8" w:space="0"/>
              <w:right w:val="single" w:color="000000" w:sz="8" w:space="0"/>
            </w:tcBorders>
            <w:shd w:val="clear" w:color="auto" w:fill="FFFFFF"/>
            <w:tcMar>
              <w:top w:w="0" w:type="dxa"/>
              <w:left w:w="131" w:type="dxa"/>
              <w:bottom w:w="0" w:type="dxa"/>
              <w:right w:w="131" w:type="dxa"/>
            </w:tcMar>
            <w:vAlign w:val="center"/>
          </w:tcPr>
          <w:p w14:paraId="44096E26">
            <w:pPr>
              <w:widowControl/>
              <w:spacing w:line="460" w:lineRule="exact"/>
              <w:jc w:val="left"/>
              <w:rPr>
                <w:rFonts w:cs="宋体" w:asciiTheme="minorEastAsia" w:hAnsiTheme="minorEastAsia" w:eastAsiaTheme="minorEastAsia"/>
                <w:kern w:val="0"/>
                <w:szCs w:val="21"/>
              </w:rPr>
            </w:pPr>
          </w:p>
        </w:tc>
        <w:tc>
          <w:tcPr>
            <w:tcW w:w="1817"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3D7BD257">
            <w:pPr>
              <w:widowControl/>
              <w:spacing w:line="460" w:lineRule="exact"/>
              <w:jc w:val="left"/>
              <w:rPr>
                <w:rFonts w:cs="宋体" w:asciiTheme="minorEastAsia" w:hAnsiTheme="minorEastAsia" w:eastAsiaTheme="minorEastAsia"/>
                <w:kern w:val="0"/>
                <w:szCs w:val="21"/>
              </w:rPr>
            </w:pPr>
          </w:p>
        </w:tc>
        <w:tc>
          <w:tcPr>
            <w:tcW w:w="3052"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50D92006">
            <w:pPr>
              <w:widowControl/>
              <w:spacing w:line="460" w:lineRule="exact"/>
              <w:jc w:val="left"/>
              <w:rPr>
                <w:rFonts w:cs="宋体" w:asciiTheme="minorEastAsia" w:hAnsiTheme="minorEastAsia" w:eastAsiaTheme="minorEastAsia"/>
                <w:kern w:val="0"/>
                <w:szCs w:val="21"/>
              </w:rPr>
            </w:pPr>
          </w:p>
        </w:tc>
        <w:tc>
          <w:tcPr>
            <w:tcW w:w="2744"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629769E4">
            <w:pPr>
              <w:widowControl/>
              <w:spacing w:line="460" w:lineRule="exact"/>
              <w:jc w:val="left"/>
              <w:rPr>
                <w:rFonts w:cs="宋体" w:asciiTheme="minorEastAsia" w:hAnsiTheme="minorEastAsia" w:eastAsiaTheme="minorEastAsia"/>
                <w:kern w:val="0"/>
                <w:szCs w:val="21"/>
              </w:rPr>
            </w:pPr>
          </w:p>
        </w:tc>
        <w:tc>
          <w:tcPr>
            <w:tcW w:w="1500"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0E0C6512">
            <w:pPr>
              <w:widowControl/>
              <w:spacing w:line="460" w:lineRule="exact"/>
              <w:jc w:val="left"/>
              <w:rPr>
                <w:rFonts w:cs="宋体" w:asciiTheme="minorEastAsia" w:hAnsiTheme="minorEastAsia" w:eastAsiaTheme="minorEastAsia"/>
                <w:kern w:val="0"/>
                <w:szCs w:val="21"/>
              </w:rPr>
            </w:pPr>
          </w:p>
        </w:tc>
      </w:tr>
      <w:tr w14:paraId="410DD73B">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895" w:type="dxa"/>
            <w:tcBorders>
              <w:top w:val="nil"/>
              <w:left w:val="single" w:color="000000" w:sz="8" w:space="0"/>
              <w:bottom w:val="single" w:color="000000" w:sz="8" w:space="0"/>
              <w:right w:val="single" w:color="000000" w:sz="8" w:space="0"/>
            </w:tcBorders>
            <w:shd w:val="clear" w:color="auto" w:fill="FFFFFF"/>
            <w:tcMar>
              <w:top w:w="0" w:type="dxa"/>
              <w:left w:w="131" w:type="dxa"/>
              <w:bottom w:w="0" w:type="dxa"/>
              <w:right w:w="131" w:type="dxa"/>
            </w:tcMar>
            <w:vAlign w:val="center"/>
          </w:tcPr>
          <w:p w14:paraId="6656850C">
            <w:pPr>
              <w:widowControl/>
              <w:spacing w:line="460" w:lineRule="exact"/>
              <w:jc w:val="left"/>
              <w:rPr>
                <w:rFonts w:cs="宋体" w:asciiTheme="minorEastAsia" w:hAnsiTheme="minorEastAsia" w:eastAsiaTheme="minorEastAsia"/>
                <w:kern w:val="0"/>
                <w:szCs w:val="21"/>
              </w:rPr>
            </w:pPr>
          </w:p>
        </w:tc>
        <w:tc>
          <w:tcPr>
            <w:tcW w:w="1817"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45BBF36E">
            <w:pPr>
              <w:widowControl/>
              <w:spacing w:line="460" w:lineRule="exact"/>
              <w:jc w:val="left"/>
              <w:rPr>
                <w:rFonts w:cs="宋体" w:asciiTheme="minorEastAsia" w:hAnsiTheme="minorEastAsia" w:eastAsiaTheme="minorEastAsia"/>
                <w:kern w:val="0"/>
                <w:szCs w:val="21"/>
              </w:rPr>
            </w:pPr>
          </w:p>
        </w:tc>
        <w:tc>
          <w:tcPr>
            <w:tcW w:w="3052"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7788E974">
            <w:pPr>
              <w:widowControl/>
              <w:spacing w:line="460" w:lineRule="exact"/>
              <w:jc w:val="left"/>
              <w:rPr>
                <w:rFonts w:cs="宋体" w:asciiTheme="minorEastAsia" w:hAnsiTheme="minorEastAsia" w:eastAsiaTheme="minorEastAsia"/>
                <w:kern w:val="0"/>
                <w:szCs w:val="21"/>
              </w:rPr>
            </w:pPr>
          </w:p>
        </w:tc>
        <w:tc>
          <w:tcPr>
            <w:tcW w:w="2744"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459B55A7">
            <w:pPr>
              <w:widowControl/>
              <w:spacing w:line="460" w:lineRule="exact"/>
              <w:jc w:val="left"/>
              <w:rPr>
                <w:rFonts w:cs="宋体" w:asciiTheme="minorEastAsia" w:hAnsiTheme="minorEastAsia" w:eastAsiaTheme="minorEastAsia"/>
                <w:kern w:val="0"/>
                <w:szCs w:val="21"/>
              </w:rPr>
            </w:pPr>
          </w:p>
        </w:tc>
        <w:tc>
          <w:tcPr>
            <w:tcW w:w="1500" w:type="dxa"/>
            <w:tcBorders>
              <w:top w:val="nil"/>
              <w:left w:val="nil"/>
              <w:bottom w:val="single" w:color="000000" w:sz="8" w:space="0"/>
              <w:right w:val="single" w:color="000000" w:sz="8" w:space="0"/>
            </w:tcBorders>
            <w:shd w:val="clear" w:color="auto" w:fill="FFFFFF"/>
            <w:tcMar>
              <w:top w:w="0" w:type="dxa"/>
              <w:left w:w="131" w:type="dxa"/>
              <w:bottom w:w="0" w:type="dxa"/>
              <w:right w:w="131" w:type="dxa"/>
            </w:tcMar>
            <w:vAlign w:val="center"/>
          </w:tcPr>
          <w:p w14:paraId="5DB4F1F0">
            <w:pPr>
              <w:widowControl/>
              <w:spacing w:line="460" w:lineRule="exact"/>
              <w:jc w:val="left"/>
              <w:rPr>
                <w:rFonts w:cs="宋体" w:asciiTheme="minorEastAsia" w:hAnsiTheme="minorEastAsia" w:eastAsiaTheme="minorEastAsia"/>
                <w:kern w:val="0"/>
                <w:szCs w:val="21"/>
              </w:rPr>
            </w:pPr>
          </w:p>
        </w:tc>
      </w:tr>
      <w:tr w14:paraId="6D58608D">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895" w:type="dxa"/>
            <w:tcBorders>
              <w:top w:val="nil"/>
              <w:left w:val="single" w:color="000000" w:sz="8" w:space="0"/>
              <w:bottom w:val="single" w:color="auto" w:sz="4" w:space="0"/>
              <w:right w:val="single" w:color="000000" w:sz="8" w:space="0"/>
            </w:tcBorders>
            <w:shd w:val="clear" w:color="auto" w:fill="FFFFFF"/>
            <w:tcMar>
              <w:top w:w="0" w:type="dxa"/>
              <w:left w:w="131" w:type="dxa"/>
              <w:bottom w:w="0" w:type="dxa"/>
              <w:right w:w="131" w:type="dxa"/>
            </w:tcMar>
            <w:vAlign w:val="center"/>
          </w:tcPr>
          <w:p w14:paraId="4CEB55F6">
            <w:pPr>
              <w:widowControl/>
              <w:spacing w:line="460" w:lineRule="exact"/>
              <w:jc w:val="left"/>
              <w:rPr>
                <w:rFonts w:cs="宋体" w:asciiTheme="minorEastAsia" w:hAnsiTheme="minorEastAsia" w:eastAsiaTheme="minorEastAsia"/>
                <w:kern w:val="0"/>
                <w:szCs w:val="21"/>
              </w:rPr>
            </w:pPr>
          </w:p>
        </w:tc>
        <w:tc>
          <w:tcPr>
            <w:tcW w:w="1817" w:type="dxa"/>
            <w:tcBorders>
              <w:top w:val="nil"/>
              <w:left w:val="nil"/>
              <w:bottom w:val="single" w:color="auto" w:sz="4" w:space="0"/>
              <w:right w:val="single" w:color="000000" w:sz="8" w:space="0"/>
            </w:tcBorders>
            <w:shd w:val="clear" w:color="auto" w:fill="FFFFFF"/>
            <w:tcMar>
              <w:top w:w="0" w:type="dxa"/>
              <w:left w:w="131" w:type="dxa"/>
              <w:bottom w:w="0" w:type="dxa"/>
              <w:right w:w="131" w:type="dxa"/>
            </w:tcMar>
            <w:vAlign w:val="center"/>
          </w:tcPr>
          <w:p w14:paraId="3F192225">
            <w:pPr>
              <w:widowControl/>
              <w:spacing w:line="460" w:lineRule="exact"/>
              <w:jc w:val="left"/>
              <w:rPr>
                <w:rFonts w:cs="宋体" w:asciiTheme="minorEastAsia" w:hAnsiTheme="minorEastAsia" w:eastAsiaTheme="minorEastAsia"/>
                <w:kern w:val="0"/>
                <w:szCs w:val="21"/>
              </w:rPr>
            </w:pPr>
          </w:p>
        </w:tc>
        <w:tc>
          <w:tcPr>
            <w:tcW w:w="3052" w:type="dxa"/>
            <w:tcBorders>
              <w:top w:val="nil"/>
              <w:left w:val="nil"/>
              <w:bottom w:val="single" w:color="auto" w:sz="4" w:space="0"/>
              <w:right w:val="single" w:color="000000" w:sz="8" w:space="0"/>
            </w:tcBorders>
            <w:shd w:val="clear" w:color="auto" w:fill="FFFFFF"/>
            <w:tcMar>
              <w:top w:w="0" w:type="dxa"/>
              <w:left w:w="131" w:type="dxa"/>
              <w:bottom w:w="0" w:type="dxa"/>
              <w:right w:w="131" w:type="dxa"/>
            </w:tcMar>
            <w:vAlign w:val="center"/>
          </w:tcPr>
          <w:p w14:paraId="4F68A59C">
            <w:pPr>
              <w:widowControl/>
              <w:spacing w:line="460" w:lineRule="exact"/>
              <w:jc w:val="left"/>
              <w:rPr>
                <w:rFonts w:cs="宋体" w:asciiTheme="minorEastAsia" w:hAnsiTheme="minorEastAsia" w:eastAsiaTheme="minorEastAsia"/>
                <w:kern w:val="0"/>
                <w:szCs w:val="21"/>
              </w:rPr>
            </w:pPr>
          </w:p>
        </w:tc>
        <w:tc>
          <w:tcPr>
            <w:tcW w:w="2744" w:type="dxa"/>
            <w:tcBorders>
              <w:top w:val="nil"/>
              <w:left w:val="nil"/>
              <w:bottom w:val="single" w:color="auto" w:sz="4" w:space="0"/>
              <w:right w:val="single" w:color="000000" w:sz="8" w:space="0"/>
            </w:tcBorders>
            <w:shd w:val="clear" w:color="auto" w:fill="FFFFFF"/>
            <w:tcMar>
              <w:top w:w="0" w:type="dxa"/>
              <w:left w:w="131" w:type="dxa"/>
              <w:bottom w:w="0" w:type="dxa"/>
              <w:right w:w="131" w:type="dxa"/>
            </w:tcMar>
            <w:vAlign w:val="center"/>
          </w:tcPr>
          <w:p w14:paraId="7A25A547">
            <w:pPr>
              <w:widowControl/>
              <w:spacing w:line="460" w:lineRule="exact"/>
              <w:jc w:val="left"/>
              <w:rPr>
                <w:rFonts w:cs="宋体" w:asciiTheme="minorEastAsia" w:hAnsiTheme="minorEastAsia" w:eastAsiaTheme="minorEastAsia"/>
                <w:kern w:val="0"/>
                <w:szCs w:val="21"/>
              </w:rPr>
            </w:pPr>
          </w:p>
        </w:tc>
        <w:tc>
          <w:tcPr>
            <w:tcW w:w="1500" w:type="dxa"/>
            <w:tcBorders>
              <w:top w:val="nil"/>
              <w:left w:val="nil"/>
              <w:bottom w:val="single" w:color="auto" w:sz="4" w:space="0"/>
              <w:right w:val="single" w:color="000000" w:sz="8" w:space="0"/>
            </w:tcBorders>
            <w:shd w:val="clear" w:color="auto" w:fill="FFFFFF"/>
            <w:tcMar>
              <w:top w:w="0" w:type="dxa"/>
              <w:left w:w="131" w:type="dxa"/>
              <w:bottom w:w="0" w:type="dxa"/>
              <w:right w:w="131" w:type="dxa"/>
            </w:tcMar>
            <w:vAlign w:val="center"/>
          </w:tcPr>
          <w:p w14:paraId="46CAEDA8">
            <w:pPr>
              <w:widowControl/>
              <w:spacing w:line="460" w:lineRule="exact"/>
              <w:jc w:val="left"/>
              <w:rPr>
                <w:rFonts w:cs="宋体" w:asciiTheme="minorEastAsia" w:hAnsiTheme="minorEastAsia" w:eastAsiaTheme="minorEastAsia"/>
                <w:kern w:val="0"/>
                <w:szCs w:val="21"/>
              </w:rPr>
            </w:pPr>
          </w:p>
        </w:tc>
      </w:tr>
      <w:tr w14:paraId="3E601785">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895"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74590736">
            <w:pPr>
              <w:widowControl/>
              <w:spacing w:line="460" w:lineRule="exact"/>
              <w:jc w:val="left"/>
              <w:rPr>
                <w:rFonts w:cs="宋体" w:asciiTheme="minorEastAsia" w:hAnsiTheme="minorEastAsia" w:eastAsiaTheme="minorEastAsia"/>
                <w:kern w:val="0"/>
                <w:szCs w:val="21"/>
              </w:rPr>
            </w:pPr>
          </w:p>
        </w:tc>
        <w:tc>
          <w:tcPr>
            <w:tcW w:w="1817"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1461DA83">
            <w:pPr>
              <w:widowControl/>
              <w:spacing w:line="460" w:lineRule="exact"/>
              <w:jc w:val="left"/>
              <w:rPr>
                <w:rFonts w:cs="宋体" w:asciiTheme="minorEastAsia" w:hAnsiTheme="minorEastAsia" w:eastAsiaTheme="minorEastAsia"/>
                <w:kern w:val="0"/>
                <w:szCs w:val="21"/>
              </w:rPr>
            </w:pPr>
          </w:p>
        </w:tc>
        <w:tc>
          <w:tcPr>
            <w:tcW w:w="3052"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30571F87">
            <w:pPr>
              <w:widowControl/>
              <w:spacing w:line="460" w:lineRule="exact"/>
              <w:jc w:val="left"/>
              <w:rPr>
                <w:rFonts w:cs="宋体" w:asciiTheme="minorEastAsia" w:hAnsiTheme="minorEastAsia" w:eastAsiaTheme="minorEastAsia"/>
                <w:kern w:val="0"/>
                <w:szCs w:val="21"/>
              </w:rPr>
            </w:pPr>
          </w:p>
        </w:tc>
        <w:tc>
          <w:tcPr>
            <w:tcW w:w="2744"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0A87F218">
            <w:pPr>
              <w:widowControl/>
              <w:spacing w:line="460" w:lineRule="exact"/>
              <w:jc w:val="left"/>
              <w:rPr>
                <w:rFonts w:cs="宋体" w:asciiTheme="minorEastAsia" w:hAnsiTheme="minorEastAsia" w:eastAsiaTheme="minorEastAsia"/>
                <w:kern w:val="0"/>
                <w:szCs w:val="21"/>
              </w:rPr>
            </w:pPr>
          </w:p>
        </w:tc>
        <w:tc>
          <w:tcPr>
            <w:tcW w:w="1500"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323E3889">
            <w:pPr>
              <w:widowControl/>
              <w:spacing w:line="460" w:lineRule="exact"/>
              <w:jc w:val="left"/>
              <w:rPr>
                <w:rFonts w:cs="宋体" w:asciiTheme="minorEastAsia" w:hAnsiTheme="minorEastAsia" w:eastAsiaTheme="minorEastAsia"/>
                <w:kern w:val="0"/>
                <w:szCs w:val="21"/>
              </w:rPr>
            </w:pPr>
          </w:p>
        </w:tc>
      </w:tr>
      <w:tr w14:paraId="0581AE9D">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895"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14A479D9">
            <w:pPr>
              <w:widowControl/>
              <w:spacing w:line="460" w:lineRule="exact"/>
              <w:jc w:val="left"/>
              <w:rPr>
                <w:rFonts w:cs="宋体" w:asciiTheme="minorEastAsia" w:hAnsiTheme="minorEastAsia" w:eastAsiaTheme="minorEastAsia"/>
                <w:kern w:val="0"/>
                <w:szCs w:val="21"/>
              </w:rPr>
            </w:pPr>
          </w:p>
        </w:tc>
        <w:tc>
          <w:tcPr>
            <w:tcW w:w="1817"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1F1317D6">
            <w:pPr>
              <w:widowControl/>
              <w:spacing w:line="460" w:lineRule="exact"/>
              <w:jc w:val="left"/>
              <w:rPr>
                <w:rFonts w:cs="宋体" w:asciiTheme="minorEastAsia" w:hAnsiTheme="minorEastAsia" w:eastAsiaTheme="minorEastAsia"/>
                <w:kern w:val="0"/>
                <w:szCs w:val="21"/>
              </w:rPr>
            </w:pPr>
          </w:p>
        </w:tc>
        <w:tc>
          <w:tcPr>
            <w:tcW w:w="3052"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220DFAA2">
            <w:pPr>
              <w:widowControl/>
              <w:spacing w:line="460" w:lineRule="exact"/>
              <w:jc w:val="left"/>
              <w:rPr>
                <w:rFonts w:cs="宋体" w:asciiTheme="minorEastAsia" w:hAnsiTheme="minorEastAsia" w:eastAsiaTheme="minorEastAsia"/>
                <w:kern w:val="0"/>
                <w:szCs w:val="21"/>
              </w:rPr>
            </w:pPr>
          </w:p>
        </w:tc>
        <w:tc>
          <w:tcPr>
            <w:tcW w:w="2744"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0BC8BC12">
            <w:pPr>
              <w:widowControl/>
              <w:spacing w:line="460" w:lineRule="exact"/>
              <w:jc w:val="left"/>
              <w:rPr>
                <w:rFonts w:cs="宋体" w:asciiTheme="minorEastAsia" w:hAnsiTheme="minorEastAsia" w:eastAsiaTheme="minorEastAsia"/>
                <w:kern w:val="0"/>
                <w:szCs w:val="21"/>
              </w:rPr>
            </w:pPr>
          </w:p>
        </w:tc>
        <w:tc>
          <w:tcPr>
            <w:tcW w:w="1500"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40CDAD56">
            <w:pPr>
              <w:widowControl/>
              <w:spacing w:line="460" w:lineRule="exact"/>
              <w:jc w:val="left"/>
              <w:rPr>
                <w:rFonts w:cs="宋体" w:asciiTheme="minorEastAsia" w:hAnsiTheme="minorEastAsia" w:eastAsiaTheme="minorEastAsia"/>
                <w:kern w:val="0"/>
                <w:szCs w:val="21"/>
              </w:rPr>
            </w:pPr>
          </w:p>
        </w:tc>
      </w:tr>
      <w:tr w14:paraId="7330C020">
        <w:tblPrEx>
          <w:tblBorders>
            <w:top w:val="outset" w:color="666666" w:sz="8" w:space="0"/>
            <w:left w:val="outset" w:color="666666" w:sz="8" w:space="0"/>
            <w:bottom w:val="outset" w:color="666666" w:sz="8" w:space="0"/>
            <w:right w:val="outset" w:color="666666" w:sz="8"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895"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30538B1F">
            <w:pPr>
              <w:widowControl/>
              <w:spacing w:line="460" w:lineRule="exact"/>
              <w:jc w:val="left"/>
              <w:rPr>
                <w:rFonts w:cs="宋体" w:asciiTheme="minorEastAsia" w:hAnsiTheme="minorEastAsia" w:eastAsiaTheme="minorEastAsia"/>
                <w:kern w:val="0"/>
                <w:szCs w:val="21"/>
              </w:rPr>
            </w:pPr>
          </w:p>
        </w:tc>
        <w:tc>
          <w:tcPr>
            <w:tcW w:w="1817"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45F177D0">
            <w:pPr>
              <w:widowControl/>
              <w:spacing w:line="460" w:lineRule="exact"/>
              <w:jc w:val="left"/>
              <w:rPr>
                <w:rFonts w:cs="宋体" w:asciiTheme="minorEastAsia" w:hAnsiTheme="minorEastAsia" w:eastAsiaTheme="minorEastAsia"/>
                <w:kern w:val="0"/>
                <w:szCs w:val="21"/>
              </w:rPr>
            </w:pPr>
          </w:p>
        </w:tc>
        <w:tc>
          <w:tcPr>
            <w:tcW w:w="3052"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67340181">
            <w:pPr>
              <w:widowControl/>
              <w:spacing w:line="460" w:lineRule="exact"/>
              <w:jc w:val="left"/>
              <w:rPr>
                <w:rFonts w:cs="宋体" w:asciiTheme="minorEastAsia" w:hAnsiTheme="minorEastAsia" w:eastAsiaTheme="minorEastAsia"/>
                <w:kern w:val="0"/>
                <w:szCs w:val="21"/>
              </w:rPr>
            </w:pPr>
          </w:p>
        </w:tc>
        <w:tc>
          <w:tcPr>
            <w:tcW w:w="2744"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0E88DFF8">
            <w:pPr>
              <w:widowControl/>
              <w:spacing w:line="460" w:lineRule="exact"/>
              <w:jc w:val="left"/>
              <w:rPr>
                <w:rFonts w:cs="宋体" w:asciiTheme="minorEastAsia" w:hAnsiTheme="minorEastAsia" w:eastAsiaTheme="minorEastAsia"/>
                <w:kern w:val="0"/>
                <w:szCs w:val="21"/>
              </w:rPr>
            </w:pPr>
          </w:p>
        </w:tc>
        <w:tc>
          <w:tcPr>
            <w:tcW w:w="1500" w:type="dxa"/>
            <w:tcBorders>
              <w:top w:val="single" w:color="auto" w:sz="4" w:space="0"/>
              <w:left w:val="single" w:color="auto" w:sz="4" w:space="0"/>
              <w:bottom w:val="single" w:color="auto" w:sz="4" w:space="0"/>
              <w:right w:val="single" w:color="auto" w:sz="4" w:space="0"/>
            </w:tcBorders>
            <w:shd w:val="clear" w:color="auto" w:fill="FFFFFF"/>
            <w:tcMar>
              <w:top w:w="0" w:type="dxa"/>
              <w:left w:w="131" w:type="dxa"/>
              <w:bottom w:w="0" w:type="dxa"/>
              <w:right w:w="131" w:type="dxa"/>
            </w:tcMar>
            <w:vAlign w:val="center"/>
          </w:tcPr>
          <w:p w14:paraId="7236AED4">
            <w:pPr>
              <w:widowControl/>
              <w:spacing w:line="460" w:lineRule="exact"/>
              <w:jc w:val="left"/>
              <w:rPr>
                <w:rFonts w:cs="宋体" w:asciiTheme="minorEastAsia" w:hAnsiTheme="minorEastAsia" w:eastAsiaTheme="minorEastAsia"/>
                <w:kern w:val="0"/>
                <w:szCs w:val="21"/>
              </w:rPr>
            </w:pPr>
          </w:p>
        </w:tc>
      </w:tr>
    </w:tbl>
    <w:p w14:paraId="0100B0F0">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注：（1）</w:t>
      </w:r>
      <w:r>
        <w:rPr>
          <w:rFonts w:hint="eastAsia" w:cs="宋体" w:asciiTheme="minorEastAsia" w:hAnsiTheme="minorEastAsia" w:eastAsiaTheme="minorEastAsia"/>
          <w:b/>
          <w:bCs/>
          <w:kern w:val="0"/>
          <w:szCs w:val="21"/>
        </w:rPr>
        <w:t>供应商应如实详细填写商务条件和</w:t>
      </w:r>
      <w:r>
        <w:rPr>
          <w:rFonts w:hint="eastAsia" w:cs="宋体" w:asciiTheme="minorEastAsia" w:hAnsiTheme="minorEastAsia" w:eastAsiaTheme="minorEastAsia"/>
          <w:b/>
          <w:bCs/>
          <w:kern w:val="0"/>
          <w:szCs w:val="21"/>
          <w:lang w:eastAsia="zh-CN"/>
        </w:rPr>
        <w:t>其他</w:t>
      </w:r>
      <w:r>
        <w:rPr>
          <w:rFonts w:hint="eastAsia" w:cs="宋体" w:asciiTheme="minorEastAsia" w:hAnsiTheme="minorEastAsia" w:eastAsiaTheme="minorEastAsia"/>
          <w:b/>
          <w:bCs/>
          <w:kern w:val="0"/>
          <w:szCs w:val="21"/>
        </w:rPr>
        <w:t>事项响应表，若无详细填写商务条件和</w:t>
      </w:r>
      <w:r>
        <w:rPr>
          <w:rFonts w:hint="eastAsia" w:cs="宋体" w:asciiTheme="minorEastAsia" w:hAnsiTheme="minorEastAsia" w:eastAsiaTheme="minorEastAsia"/>
          <w:b/>
          <w:bCs/>
          <w:kern w:val="0"/>
          <w:szCs w:val="21"/>
          <w:lang w:eastAsia="zh-CN"/>
        </w:rPr>
        <w:t>其他</w:t>
      </w:r>
      <w:r>
        <w:rPr>
          <w:rFonts w:hint="eastAsia" w:cs="宋体" w:asciiTheme="minorEastAsia" w:hAnsiTheme="minorEastAsia" w:eastAsiaTheme="minorEastAsia"/>
          <w:b/>
          <w:bCs/>
          <w:kern w:val="0"/>
          <w:szCs w:val="21"/>
        </w:rPr>
        <w:t>事项响应表或未按要求填写者，按响应无效处理。</w:t>
      </w:r>
    </w:p>
    <w:p w14:paraId="34373395">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51AA0173">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6B0EBCA0">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2CB8B7E7">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75F9C2A2">
      <w:pPr>
        <w:widowControl/>
        <w:jc w:val="left"/>
        <w:rPr>
          <w:rFonts w:cs="宋体" w:asciiTheme="minorEastAsia" w:hAnsiTheme="minorEastAsia" w:eastAsiaTheme="minorEastAsia"/>
          <w:b/>
          <w:kern w:val="0"/>
          <w:szCs w:val="21"/>
        </w:rPr>
      </w:pPr>
      <w:r>
        <w:rPr>
          <w:rFonts w:cs="宋体" w:asciiTheme="minorEastAsia" w:hAnsiTheme="minorEastAsia" w:eastAsiaTheme="minorEastAsia"/>
          <w:b/>
          <w:kern w:val="0"/>
          <w:szCs w:val="21"/>
        </w:rPr>
        <w:br w:type="page"/>
      </w:r>
    </w:p>
    <w:p w14:paraId="09E95D40">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七、</w:t>
      </w:r>
      <w:r>
        <w:rPr>
          <w:rFonts w:cs="宋体" w:asciiTheme="minorEastAsia" w:hAnsiTheme="minorEastAsia" w:eastAsiaTheme="minorEastAsia"/>
          <w:b/>
          <w:bCs/>
          <w:kern w:val="0"/>
          <w:szCs w:val="21"/>
        </w:rPr>
        <w:t>相关技术、商务、服务响应承诺及资料</w:t>
      </w:r>
    </w:p>
    <w:p w14:paraId="7231AFA6">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说明：    </w:t>
      </w:r>
    </w:p>
    <w:p w14:paraId="3994C62B">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53E5104D">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2.如果没有特别要求的，供应商根据磋商文件的要求以及特点，提供相关技术、商务、服务响应承诺及资料，格式自拟。</w:t>
      </w:r>
    </w:p>
    <w:p w14:paraId="60C34956">
      <w:pPr>
        <w:widowControl/>
        <w:spacing w:line="460" w:lineRule="exact"/>
        <w:rPr>
          <w:rFonts w:cs="宋体" w:asciiTheme="minorEastAsia" w:hAnsiTheme="minorEastAsia" w:eastAsiaTheme="minorEastAsia"/>
          <w:kern w:val="0"/>
          <w:szCs w:val="21"/>
        </w:rPr>
      </w:pPr>
    </w:p>
    <w:p w14:paraId="620DD845">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3F21B621">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330B7D9E">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0A9CFC17">
      <w:pPr>
        <w:widowControl/>
        <w:spacing w:line="460" w:lineRule="exact"/>
        <w:jc w:val="center"/>
        <w:rPr>
          <w:rFonts w:cs="宋体" w:asciiTheme="minorEastAsia" w:hAnsiTheme="minorEastAsia" w:eastAsiaTheme="minorEastAsia"/>
          <w:b/>
          <w:kern w:val="0"/>
          <w:szCs w:val="21"/>
        </w:rPr>
      </w:pPr>
    </w:p>
    <w:p w14:paraId="69D88565">
      <w:pPr>
        <w:widowControl/>
        <w:spacing w:line="460" w:lineRule="exact"/>
        <w:jc w:val="center"/>
        <w:rPr>
          <w:rFonts w:cs="宋体" w:asciiTheme="minorEastAsia" w:hAnsiTheme="minorEastAsia" w:eastAsiaTheme="minorEastAsia"/>
          <w:b/>
          <w:kern w:val="0"/>
          <w:szCs w:val="21"/>
        </w:rPr>
      </w:pPr>
    </w:p>
    <w:p w14:paraId="351FCC1E">
      <w:pPr>
        <w:widowControl/>
        <w:spacing w:line="460" w:lineRule="exact"/>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八、</w:t>
      </w:r>
      <w:r>
        <w:rPr>
          <w:rFonts w:cs="宋体" w:asciiTheme="minorEastAsia" w:hAnsiTheme="minorEastAsia" w:eastAsiaTheme="minorEastAsia"/>
          <w:b/>
          <w:bCs/>
          <w:kern w:val="0"/>
          <w:szCs w:val="21"/>
        </w:rPr>
        <w:t>要求作为响应文件组成部分的其他内容（若有）</w:t>
      </w:r>
    </w:p>
    <w:p w14:paraId="1D1992B8">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38A8E2C3">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48FAD2FB">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30B9A470">
      <w:pPr>
        <w:widowControl/>
        <w:spacing w:line="46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2、供应商根据自身实际情况编写有关资料包括如供应商单位简介、竞争性磋商文件要求提供或供应商自</w:t>
      </w:r>
      <w:r>
        <w:rPr>
          <w:rFonts w:hint="eastAsia" w:cs="宋体" w:asciiTheme="minorEastAsia" w:hAnsiTheme="minorEastAsia" w:eastAsiaTheme="minorEastAsia"/>
          <w:kern w:val="0"/>
          <w:szCs w:val="21"/>
          <w:lang w:val="en-US" w:eastAsia="zh-CN"/>
        </w:rPr>
        <w:t>己</w:t>
      </w:r>
      <w:r>
        <w:rPr>
          <w:rFonts w:cs="宋体" w:asciiTheme="minorEastAsia" w:hAnsiTheme="minorEastAsia" w:eastAsiaTheme="minorEastAsia"/>
          <w:kern w:val="0"/>
          <w:szCs w:val="21"/>
        </w:rPr>
        <w:t>认为体现自身优势，需要补充说明的</w:t>
      </w:r>
      <w:r>
        <w:rPr>
          <w:rFonts w:hint="eastAsia" w:cs="宋体" w:asciiTheme="minorEastAsia" w:hAnsiTheme="minorEastAsia" w:eastAsiaTheme="minorEastAsia"/>
          <w:kern w:val="0"/>
          <w:szCs w:val="21"/>
          <w:lang w:eastAsia="zh-CN"/>
        </w:rPr>
        <w:t>其他</w:t>
      </w:r>
      <w:r>
        <w:rPr>
          <w:rFonts w:cs="宋体" w:asciiTheme="minorEastAsia" w:hAnsiTheme="minorEastAsia" w:eastAsiaTheme="minorEastAsia"/>
          <w:kern w:val="0"/>
          <w:szCs w:val="21"/>
        </w:rPr>
        <w:t>资料，格式自拟。</w:t>
      </w:r>
    </w:p>
    <w:p w14:paraId="611E5E93">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供应商代表：</w:t>
      </w:r>
      <w:r>
        <w:rPr>
          <w:rFonts w:cs="宋体" w:asciiTheme="minorEastAsia" w:hAnsiTheme="minorEastAsia" w:eastAsiaTheme="minorEastAsia"/>
          <w:kern w:val="0"/>
          <w:szCs w:val="21"/>
          <w:u w:val="single"/>
        </w:rPr>
        <w:t>             （签字） </w:t>
      </w:r>
    </w:p>
    <w:p w14:paraId="54D83711">
      <w:pPr>
        <w:widowControl/>
        <w:spacing w:line="46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供应商名称：</w:t>
      </w:r>
      <w:r>
        <w:rPr>
          <w:rFonts w:cs="宋体" w:asciiTheme="minorEastAsia" w:hAnsiTheme="minorEastAsia" w:eastAsiaTheme="minorEastAsia"/>
          <w:kern w:val="0"/>
          <w:szCs w:val="21"/>
          <w:u w:val="single"/>
        </w:rPr>
        <w:t>         （全称并加盖公章）              </w:t>
      </w:r>
    </w:p>
    <w:p w14:paraId="16468749">
      <w:pPr>
        <w:widowControl/>
        <w:spacing w:line="460" w:lineRule="exact"/>
        <w:jc w:val="left"/>
        <w:rPr>
          <w:rFonts w:cs="宋体" w:asciiTheme="minorEastAsia" w:hAnsiTheme="minorEastAsia" w:eastAsiaTheme="minorEastAsia"/>
          <w:szCs w:val="21"/>
          <w:u w:val="single"/>
        </w:rPr>
      </w:pPr>
      <w:r>
        <w:rPr>
          <w:rFonts w:cs="宋体" w:asciiTheme="minorEastAsia" w:hAnsiTheme="minorEastAsia" w:eastAsiaTheme="minorEastAsia"/>
          <w:kern w:val="0"/>
          <w:szCs w:val="21"/>
        </w:rPr>
        <w:t>日  期：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年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月 </w:t>
      </w:r>
      <w:r>
        <w:rPr>
          <w:rFonts w:cs="宋体" w:asciiTheme="minorEastAsia" w:hAnsiTheme="minorEastAsia" w:eastAsiaTheme="minorEastAsia"/>
          <w:kern w:val="0"/>
          <w:szCs w:val="21"/>
          <w:u w:val="single"/>
        </w:rPr>
        <w:t>   </w:t>
      </w:r>
      <w:r>
        <w:rPr>
          <w:rFonts w:cs="宋体" w:asciiTheme="minorEastAsia" w:hAnsiTheme="minorEastAsia" w:eastAsiaTheme="minorEastAsia"/>
          <w:kern w:val="0"/>
          <w:szCs w:val="21"/>
        </w:rPr>
        <w:t>日</w:t>
      </w:r>
    </w:p>
    <w:p w14:paraId="40D37CF2">
      <w:pPr>
        <w:widowControl/>
        <w:spacing w:line="400" w:lineRule="exact"/>
        <w:jc w:val="left"/>
        <w:rPr>
          <w:rFonts w:cs="宋体" w:asciiTheme="minorEastAsia" w:hAnsiTheme="minorEastAsia" w:eastAsiaTheme="minorEastAsia"/>
          <w:b/>
          <w:bCs/>
          <w:kern w:val="0"/>
          <w:sz w:val="24"/>
          <w:szCs w:val="24"/>
        </w:rPr>
      </w:pPr>
    </w:p>
    <w:p w14:paraId="71C69C30">
      <w:pPr>
        <w:spacing w:line="500" w:lineRule="exact"/>
        <w:rPr>
          <w:rFonts w:ascii="宋体" w:hAnsi="宋体" w:cs="宋体"/>
          <w:szCs w:val="21"/>
        </w:rPr>
      </w:pPr>
    </w:p>
    <w:p w14:paraId="7A65D168">
      <w:pPr>
        <w:widowControl/>
        <w:spacing w:line="400" w:lineRule="exact"/>
        <w:jc w:val="left"/>
        <w:rPr>
          <w:rFonts w:cs="宋体" w:asciiTheme="minorEastAsia" w:hAnsiTheme="minorEastAsia" w:eastAsiaTheme="minorEastAsia"/>
          <w:b/>
          <w:bCs/>
          <w:kern w:val="0"/>
          <w:sz w:val="24"/>
          <w:szCs w:val="24"/>
        </w:rPr>
      </w:pPr>
    </w:p>
    <w:p w14:paraId="021F2873">
      <w:pPr>
        <w:widowControl/>
        <w:jc w:val="left"/>
        <w:rPr>
          <w:rFonts w:ascii="宋体" w:hAnsi="宋体" w:cs="宋体"/>
          <w:b/>
          <w:bCs/>
          <w:kern w:val="0"/>
          <w:szCs w:val="21"/>
        </w:rPr>
      </w:pPr>
      <w:r>
        <w:rPr>
          <w:rFonts w:ascii="宋体" w:hAnsi="宋体" w:cs="宋体"/>
          <w:b/>
          <w:bCs/>
          <w:kern w:val="0"/>
          <w:szCs w:val="21"/>
        </w:rPr>
        <w:br w:type="page"/>
      </w:r>
    </w:p>
    <w:p w14:paraId="39271AD3">
      <w:pPr>
        <w:shd w:val="clear" w:color="auto" w:fill="FFFFFF"/>
        <w:spacing w:before="180" w:line="345" w:lineRule="atLeast"/>
        <w:ind w:right="420" w:firstLine="482"/>
        <w:jc w:val="center"/>
        <w:rPr>
          <w:rFonts w:ascii="宋体" w:hAnsi="宋体" w:cs="宋体"/>
          <w:b/>
          <w:bCs/>
          <w:kern w:val="0"/>
          <w:szCs w:val="21"/>
        </w:rPr>
      </w:pPr>
      <w:r>
        <w:rPr>
          <w:rFonts w:hint="eastAsia" w:ascii="宋体" w:hAnsi="宋体" w:cs="宋体"/>
          <w:b/>
          <w:bCs/>
          <w:kern w:val="0"/>
          <w:szCs w:val="21"/>
        </w:rPr>
        <w:t>8-1退回保证金申请函</w:t>
      </w:r>
    </w:p>
    <w:p w14:paraId="4EEE1CCF">
      <w:pPr>
        <w:shd w:val="clear" w:color="auto" w:fill="FFFFFF"/>
        <w:spacing w:before="180" w:line="345" w:lineRule="atLeast"/>
        <w:ind w:right="420" w:firstLine="482"/>
        <w:jc w:val="center"/>
        <w:rPr>
          <w:rFonts w:ascii="宋体" w:hAnsi="宋体" w:cs="宋体"/>
          <w:b/>
          <w:bCs/>
          <w:kern w:val="0"/>
          <w:sz w:val="24"/>
          <w:szCs w:val="24"/>
        </w:rPr>
      </w:pPr>
      <w:r>
        <w:rPr>
          <w:rFonts w:hint="eastAsia" w:ascii="宋体" w:hAnsi="宋体" w:cs="宋体"/>
          <w:b/>
          <w:bCs/>
          <w:kern w:val="0"/>
          <w:sz w:val="24"/>
          <w:szCs w:val="24"/>
        </w:rPr>
        <w:t>单独提交无需胶装、密封</w:t>
      </w:r>
    </w:p>
    <w:p w14:paraId="44711547">
      <w:pPr>
        <w:widowControl/>
        <w:spacing w:line="460" w:lineRule="exact"/>
        <w:rPr>
          <w:rFonts w:ascii="宋体" w:hAnsi="宋体" w:cs="宋体"/>
          <w:kern w:val="0"/>
          <w:szCs w:val="21"/>
          <w:u w:val="single"/>
        </w:rPr>
      </w:pPr>
      <w:r>
        <w:rPr>
          <w:rFonts w:hint="eastAsia" w:ascii="宋体" w:hAnsi="宋体" w:cs="宋体"/>
          <w:kern w:val="0"/>
          <w:szCs w:val="21"/>
        </w:rPr>
        <w:t>致：</w:t>
      </w:r>
      <w:r>
        <w:rPr>
          <w:rFonts w:hint="eastAsia" w:ascii="宋体" w:hAnsi="宋体" w:cs="宋体"/>
          <w:kern w:val="0"/>
          <w:szCs w:val="21"/>
          <w:u w:val="single"/>
        </w:rPr>
        <w:t> 福建金桔项目</w:t>
      </w:r>
      <w:r>
        <w:rPr>
          <w:rFonts w:ascii="宋体" w:hAnsi="宋体" w:cs="宋体"/>
          <w:kern w:val="0"/>
          <w:szCs w:val="21"/>
          <w:u w:val="single"/>
        </w:rPr>
        <w:t>管理有限公司</w:t>
      </w:r>
    </w:p>
    <w:p w14:paraId="0B945118">
      <w:pPr>
        <w:widowControl/>
        <w:spacing w:line="460" w:lineRule="exact"/>
        <w:rPr>
          <w:rFonts w:ascii="宋体" w:hAnsi="宋体" w:cs="宋体"/>
          <w:kern w:val="0"/>
          <w:szCs w:val="21"/>
        </w:rPr>
      </w:pPr>
      <w:r>
        <w:rPr>
          <w:rFonts w:hint="eastAsia" w:ascii="宋体" w:hAnsi="宋体" w:cs="宋体"/>
          <w:kern w:val="0"/>
          <w:szCs w:val="21"/>
        </w:rPr>
        <w:t>我方参与</w:t>
      </w:r>
      <w:r>
        <w:rPr>
          <w:rFonts w:hint="eastAsia" w:ascii="宋体" w:hAnsi="宋体" w:cs="宋体"/>
          <w:kern w:val="0"/>
          <w:szCs w:val="21"/>
          <w:u w:val="single"/>
        </w:rPr>
        <w:t> （项目编号）</w:t>
      </w:r>
      <w:r>
        <w:rPr>
          <w:rFonts w:hint="eastAsia" w:ascii="宋体" w:hAnsi="宋体" w:cs="宋体"/>
          <w:kern w:val="0"/>
          <w:szCs w:val="21"/>
        </w:rPr>
        <w:t>的</w:t>
      </w:r>
      <w:r>
        <w:rPr>
          <w:rFonts w:hint="eastAsia" w:ascii="宋体" w:hAnsi="宋体" w:cs="宋体"/>
          <w:kern w:val="0"/>
          <w:szCs w:val="21"/>
          <w:u w:val="single"/>
        </w:rPr>
        <w:t> （项目名称）</w:t>
      </w:r>
      <w:r>
        <w:rPr>
          <w:rFonts w:hint="eastAsia" w:ascii="宋体" w:hAnsi="宋体" w:cs="宋体"/>
          <w:kern w:val="0"/>
          <w:szCs w:val="21"/>
        </w:rPr>
        <w:t>投标，提供人民币</w:t>
      </w:r>
      <w:r>
        <w:rPr>
          <w:rFonts w:hint="eastAsia" w:ascii="宋体" w:hAnsi="宋体" w:cs="宋体"/>
          <w:kern w:val="0"/>
          <w:szCs w:val="21"/>
          <w:u w:val="single"/>
        </w:rPr>
        <w:t> </w:t>
      </w:r>
      <w:r>
        <w:rPr>
          <w:rFonts w:hint="eastAsia" w:ascii="宋体" w:hAnsi="宋体" w:cs="宋体"/>
          <w:kern w:val="0"/>
          <w:szCs w:val="21"/>
        </w:rPr>
        <w:t>元保证金，当可以退回时，请退回到我公司以下</w:t>
      </w:r>
      <w:r>
        <w:rPr>
          <w:rFonts w:hint="eastAsia" w:ascii="宋体" w:hAnsi="宋体" w:cs="宋体"/>
          <w:kern w:val="0"/>
          <w:szCs w:val="21"/>
          <w:lang w:eastAsia="zh-CN"/>
        </w:rPr>
        <w:t>账</w:t>
      </w:r>
      <w:r>
        <w:rPr>
          <w:rFonts w:hint="eastAsia" w:ascii="宋体" w:hAnsi="宋体" w:cs="宋体"/>
          <w:kern w:val="0"/>
          <w:szCs w:val="21"/>
        </w:rPr>
        <w:t>户：</w:t>
      </w:r>
    </w:p>
    <w:p w14:paraId="0DFCBA17">
      <w:pPr>
        <w:widowControl/>
        <w:spacing w:line="460" w:lineRule="exact"/>
        <w:rPr>
          <w:rFonts w:ascii="宋体" w:hAnsi="宋体" w:cs="宋体"/>
          <w:kern w:val="0"/>
          <w:szCs w:val="21"/>
        </w:rPr>
      </w:pPr>
      <w:r>
        <w:rPr>
          <w:rFonts w:hint="eastAsia" w:ascii="宋体" w:hAnsi="宋体" w:cs="宋体"/>
          <w:kern w:val="0"/>
          <w:szCs w:val="21"/>
        </w:rPr>
        <w:t>1.开户名：</w:t>
      </w:r>
    </w:p>
    <w:p w14:paraId="3261018D">
      <w:pPr>
        <w:widowControl/>
        <w:spacing w:line="460" w:lineRule="exact"/>
        <w:rPr>
          <w:rFonts w:ascii="宋体" w:hAnsi="宋体" w:cs="宋体"/>
          <w:kern w:val="0"/>
          <w:szCs w:val="21"/>
        </w:rPr>
      </w:pPr>
      <w:r>
        <w:rPr>
          <w:rFonts w:hint="eastAsia" w:ascii="宋体" w:hAnsi="宋体" w:cs="宋体"/>
          <w:kern w:val="0"/>
          <w:szCs w:val="21"/>
        </w:rPr>
        <w:t>2.开户行：</w:t>
      </w:r>
    </w:p>
    <w:p w14:paraId="5CD03042">
      <w:pPr>
        <w:widowControl/>
        <w:spacing w:line="460" w:lineRule="exact"/>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账</w:t>
      </w:r>
      <w:r>
        <w:rPr>
          <w:rFonts w:hint="eastAsia" w:ascii="宋体" w:hAnsi="宋体" w:cs="宋体"/>
          <w:kern w:val="0"/>
          <w:szCs w:val="21"/>
        </w:rPr>
        <w:t> 号：</w:t>
      </w:r>
    </w:p>
    <w:p w14:paraId="7DEC11DE">
      <w:pPr>
        <w:widowControl/>
        <w:shd w:val="clear" w:color="auto" w:fill="FFFFFF"/>
        <w:ind w:left="817" w:hanging="397"/>
        <w:jc w:val="left"/>
        <w:rPr>
          <w:rFonts w:ascii="微软雅黑" w:hAnsi="微软雅黑" w:eastAsia="微软雅黑" w:cs="宋体"/>
          <w:color w:val="333333"/>
          <w:kern w:val="0"/>
          <w:sz w:val="24"/>
          <w:szCs w:val="24"/>
        </w:rPr>
      </w:pPr>
    </w:p>
    <w:tbl>
      <w:tblPr>
        <w:tblStyle w:val="39"/>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766"/>
      </w:tblGrid>
      <w:tr w14:paraId="486ECE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7" w:hRule="atLeast"/>
          <w:jc w:val="center"/>
        </w:trPr>
        <w:tc>
          <w:tcPr>
            <w:tcW w:w="5000" w:type="pct"/>
            <w:tcBorders>
              <w:top w:val="single" w:color="auto" w:sz="8" w:space="0"/>
              <w:left w:val="single" w:color="auto" w:sz="8" w:space="0"/>
              <w:bottom w:val="single" w:color="auto" w:sz="8" w:space="0"/>
              <w:right w:val="single" w:color="auto" w:sz="8" w:space="0"/>
            </w:tcBorders>
            <w:vAlign w:val="center"/>
          </w:tcPr>
          <w:p w14:paraId="4FE07B01">
            <w:pPr>
              <w:widowControl/>
              <w:spacing w:line="460" w:lineRule="exact"/>
              <w:jc w:val="center"/>
              <w:rPr>
                <w:rFonts w:ascii="宋体" w:hAnsi="宋体" w:cs="宋体"/>
                <w:kern w:val="0"/>
                <w:sz w:val="24"/>
                <w:szCs w:val="24"/>
              </w:rPr>
            </w:pPr>
            <w:r>
              <w:rPr>
                <w:rFonts w:hint="eastAsia" w:ascii="宋体" w:hAnsi="宋体" w:cs="宋体"/>
                <w:kern w:val="0"/>
                <w:szCs w:val="21"/>
              </w:rPr>
              <w:t>本次项目投标保证金交纳单据复印件并加盖公章！</w:t>
            </w:r>
          </w:p>
        </w:tc>
      </w:tr>
    </w:tbl>
    <w:p w14:paraId="1EC5497E">
      <w:pPr>
        <w:widowControl/>
        <w:shd w:val="clear" w:color="auto" w:fill="FFFFFF"/>
        <w:ind w:firstLine="4678"/>
        <w:jc w:val="left"/>
        <w:rPr>
          <w:rFonts w:ascii="微软雅黑" w:hAnsi="微软雅黑" w:eastAsia="微软雅黑" w:cs="宋体"/>
          <w:color w:val="333333"/>
          <w:kern w:val="0"/>
          <w:sz w:val="24"/>
          <w:szCs w:val="24"/>
        </w:rPr>
      </w:pPr>
    </w:p>
    <w:p w14:paraId="68AC27BC">
      <w:pPr>
        <w:widowControl/>
        <w:spacing w:line="460" w:lineRule="exact"/>
        <w:rPr>
          <w:rFonts w:ascii="宋体" w:hAnsi="宋体" w:cs="宋体"/>
          <w:kern w:val="0"/>
          <w:szCs w:val="21"/>
        </w:rPr>
      </w:pPr>
      <w:r>
        <w:rPr>
          <w:rFonts w:hint="eastAsia" w:ascii="宋体" w:hAnsi="宋体" w:cs="宋体"/>
          <w:kern w:val="0"/>
          <w:szCs w:val="21"/>
        </w:rPr>
        <w:t>投标人名称：（全称并加盖公章）</w:t>
      </w:r>
    </w:p>
    <w:p w14:paraId="571A0944">
      <w:pPr>
        <w:widowControl/>
        <w:spacing w:line="460" w:lineRule="exact"/>
        <w:rPr>
          <w:rFonts w:ascii="宋体" w:hAnsi="宋体" w:cs="宋体"/>
          <w:kern w:val="0"/>
          <w:szCs w:val="21"/>
        </w:rPr>
      </w:pPr>
      <w:r>
        <w:rPr>
          <w:rFonts w:hint="eastAsia" w:ascii="宋体" w:hAnsi="宋体" w:cs="宋体"/>
          <w:kern w:val="0"/>
          <w:szCs w:val="21"/>
        </w:rPr>
        <w:t>投标人代表签名：______________</w:t>
      </w:r>
    </w:p>
    <w:p w14:paraId="09BE0FAD">
      <w:pPr>
        <w:widowControl/>
        <w:spacing w:line="460" w:lineRule="exact"/>
        <w:rPr>
          <w:rFonts w:ascii="宋体" w:hAnsi="宋体" w:cs="宋体"/>
          <w:kern w:val="0"/>
          <w:szCs w:val="21"/>
        </w:rPr>
      </w:pPr>
      <w:r>
        <w:rPr>
          <w:rFonts w:hint="eastAsia" w:ascii="宋体" w:hAnsi="宋体" w:cs="宋体"/>
          <w:kern w:val="0"/>
          <w:szCs w:val="21"/>
        </w:rPr>
        <w:t>日期： 年 月 日</w:t>
      </w:r>
    </w:p>
    <w:p w14:paraId="5959E994">
      <w:pPr>
        <w:widowControl/>
        <w:spacing w:line="400" w:lineRule="exact"/>
        <w:jc w:val="left"/>
        <w:rPr>
          <w:rFonts w:cs="宋体" w:asciiTheme="minorEastAsia" w:hAnsiTheme="minorEastAsia" w:eastAsiaTheme="minorEastAsia"/>
          <w:b/>
          <w:bCs/>
          <w:kern w:val="0"/>
          <w:sz w:val="24"/>
          <w:szCs w:val="24"/>
        </w:rPr>
      </w:pPr>
    </w:p>
    <w:sectPr>
      <w:footerReference r:id="rId8" w:type="first"/>
      <w:headerReference r:id="rId5" w:type="default"/>
      <w:footerReference r:id="rId7" w:type="default"/>
      <w:headerReference r:id="rId6" w:type="even"/>
      <w:pgSz w:w="11906" w:h="16838"/>
      <w:pgMar w:top="1440" w:right="1080" w:bottom="1440" w:left="1080" w:header="851" w:footer="794"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G Times">
    <w:altName w:val="Traditional Arabic"/>
    <w:panose1 w:val="02020603050405020304"/>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Dotum">
    <w:panose1 w:val="020B0600000101010101"/>
    <w:charset w:val="81"/>
    <w:family w:val="modern"/>
    <w:pitch w:val="default"/>
    <w:sig w:usb0="B00002AF" w:usb1="69D77CFB" w:usb2="00000030" w:usb3="00000000" w:csb0="4008009F" w:csb1="DFD70000"/>
  </w:font>
  <w:font w:name="Traditional Arabic">
    <w:panose1 w:val="02020603050405020304"/>
    <w:charset w:val="00"/>
    <w:family w:val="auto"/>
    <w:pitch w:val="default"/>
    <w:sig w:usb0="00006003" w:usb1="80000000" w:usb2="00000008" w:usb3="00000000" w:csb0="00000041" w:csb1="2008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20907"/>
      <w:docPartObj>
        <w:docPartGallery w:val="autotext"/>
      </w:docPartObj>
    </w:sdtPr>
    <w:sdtContent>
      <w:p w14:paraId="4EEA80DC">
        <w:pPr>
          <w:pStyle w:val="25"/>
        </w:pPr>
        <w:r>
          <w:fldChar w:fldCharType="begin"/>
        </w:r>
        <w:r>
          <w:instrText xml:space="preserve"> PAGE   \* MERGEFORMAT </w:instrText>
        </w:r>
        <w:r>
          <w:fldChar w:fldCharType="separate"/>
        </w:r>
        <w:r>
          <w:rPr>
            <w:lang w:val="zh-CN"/>
          </w:rPr>
          <w:t>30</w:t>
        </w:r>
        <w:r>
          <w:rPr>
            <w:lang w:val="zh-CN"/>
          </w:rPr>
          <w:fldChar w:fldCharType="end"/>
        </w:r>
      </w:p>
    </w:sdtContent>
  </w:sdt>
  <w:p w14:paraId="5C13264F">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197AA">
    <w:pPr>
      <w:pStyle w:val="25"/>
    </w:pPr>
    <w:r>
      <w:rPr>
        <w:rFonts w:hint="eastAsia"/>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D77AD">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A36F2">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ACA8E"/>
    <w:multiLevelType w:val="singleLevel"/>
    <w:tmpl w:val="86BACA8E"/>
    <w:lvl w:ilvl="0" w:tentative="0">
      <w:start w:val="1"/>
      <w:numFmt w:val="decimal"/>
      <w:suff w:val="nothing"/>
      <w:lvlText w:val="（%1）"/>
      <w:lvlJc w:val="left"/>
    </w:lvl>
  </w:abstractNum>
  <w:abstractNum w:abstractNumId="1">
    <w:nsid w:val="D8DC8651"/>
    <w:multiLevelType w:val="singleLevel"/>
    <w:tmpl w:val="D8DC8651"/>
    <w:lvl w:ilvl="0" w:tentative="0">
      <w:start w:val="9"/>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NjkzOTFmNTM2N2U0OTVhNmYzMjExYzc0N2U4MTIifQ=="/>
  </w:docVars>
  <w:rsids>
    <w:rsidRoot w:val="00172A27"/>
    <w:rsid w:val="0000081C"/>
    <w:rsid w:val="00000871"/>
    <w:rsid w:val="00002095"/>
    <w:rsid w:val="0000229C"/>
    <w:rsid w:val="000024AB"/>
    <w:rsid w:val="000042BB"/>
    <w:rsid w:val="00004A1E"/>
    <w:rsid w:val="00004F55"/>
    <w:rsid w:val="00005207"/>
    <w:rsid w:val="000052B1"/>
    <w:rsid w:val="000060E7"/>
    <w:rsid w:val="0000656F"/>
    <w:rsid w:val="000078AA"/>
    <w:rsid w:val="00011F5A"/>
    <w:rsid w:val="000142B9"/>
    <w:rsid w:val="00014DD0"/>
    <w:rsid w:val="000150C0"/>
    <w:rsid w:val="000151E2"/>
    <w:rsid w:val="00015343"/>
    <w:rsid w:val="00015D4E"/>
    <w:rsid w:val="00016192"/>
    <w:rsid w:val="0001660A"/>
    <w:rsid w:val="00016EC3"/>
    <w:rsid w:val="0002017D"/>
    <w:rsid w:val="00020952"/>
    <w:rsid w:val="0002199C"/>
    <w:rsid w:val="00021B27"/>
    <w:rsid w:val="0002381F"/>
    <w:rsid w:val="00023F6B"/>
    <w:rsid w:val="00024189"/>
    <w:rsid w:val="00026130"/>
    <w:rsid w:val="000265E4"/>
    <w:rsid w:val="00026CFA"/>
    <w:rsid w:val="00026E97"/>
    <w:rsid w:val="0002714C"/>
    <w:rsid w:val="00027598"/>
    <w:rsid w:val="00030F83"/>
    <w:rsid w:val="00033C1D"/>
    <w:rsid w:val="000360D9"/>
    <w:rsid w:val="000403B2"/>
    <w:rsid w:val="00041E75"/>
    <w:rsid w:val="000423D5"/>
    <w:rsid w:val="000426C0"/>
    <w:rsid w:val="000434A4"/>
    <w:rsid w:val="00044DF8"/>
    <w:rsid w:val="00047BC3"/>
    <w:rsid w:val="000500F3"/>
    <w:rsid w:val="0005032C"/>
    <w:rsid w:val="00050638"/>
    <w:rsid w:val="000508AF"/>
    <w:rsid w:val="00051E1C"/>
    <w:rsid w:val="000520D5"/>
    <w:rsid w:val="000537ED"/>
    <w:rsid w:val="00055306"/>
    <w:rsid w:val="00056C6B"/>
    <w:rsid w:val="00060D5E"/>
    <w:rsid w:val="00061ADE"/>
    <w:rsid w:val="00062D0B"/>
    <w:rsid w:val="00062FE5"/>
    <w:rsid w:val="0006345B"/>
    <w:rsid w:val="00063B23"/>
    <w:rsid w:val="000645B9"/>
    <w:rsid w:val="000671F6"/>
    <w:rsid w:val="000702AA"/>
    <w:rsid w:val="000703ED"/>
    <w:rsid w:val="00070687"/>
    <w:rsid w:val="00070AE3"/>
    <w:rsid w:val="00070EDB"/>
    <w:rsid w:val="00072F37"/>
    <w:rsid w:val="00074609"/>
    <w:rsid w:val="0007515B"/>
    <w:rsid w:val="00075440"/>
    <w:rsid w:val="000758D1"/>
    <w:rsid w:val="00077052"/>
    <w:rsid w:val="00080565"/>
    <w:rsid w:val="00080931"/>
    <w:rsid w:val="00081DCA"/>
    <w:rsid w:val="000835DC"/>
    <w:rsid w:val="00083C9B"/>
    <w:rsid w:val="00086CCF"/>
    <w:rsid w:val="00086D73"/>
    <w:rsid w:val="00086FB0"/>
    <w:rsid w:val="00087256"/>
    <w:rsid w:val="00087FC6"/>
    <w:rsid w:val="00090E65"/>
    <w:rsid w:val="00091473"/>
    <w:rsid w:val="00091635"/>
    <w:rsid w:val="000927AA"/>
    <w:rsid w:val="00092E76"/>
    <w:rsid w:val="00093099"/>
    <w:rsid w:val="000944BC"/>
    <w:rsid w:val="00097ECA"/>
    <w:rsid w:val="000A1405"/>
    <w:rsid w:val="000A14C6"/>
    <w:rsid w:val="000A20AB"/>
    <w:rsid w:val="000A2452"/>
    <w:rsid w:val="000A444C"/>
    <w:rsid w:val="000A4E70"/>
    <w:rsid w:val="000A5547"/>
    <w:rsid w:val="000A5576"/>
    <w:rsid w:val="000A6C5A"/>
    <w:rsid w:val="000A75F5"/>
    <w:rsid w:val="000A7C46"/>
    <w:rsid w:val="000A7FF4"/>
    <w:rsid w:val="000B2689"/>
    <w:rsid w:val="000B3D83"/>
    <w:rsid w:val="000B5A9D"/>
    <w:rsid w:val="000B5E76"/>
    <w:rsid w:val="000B76EC"/>
    <w:rsid w:val="000C12D9"/>
    <w:rsid w:val="000C2A21"/>
    <w:rsid w:val="000C2FE7"/>
    <w:rsid w:val="000C3AF6"/>
    <w:rsid w:val="000C3B62"/>
    <w:rsid w:val="000C40E3"/>
    <w:rsid w:val="000C4518"/>
    <w:rsid w:val="000C4B2C"/>
    <w:rsid w:val="000C5268"/>
    <w:rsid w:val="000C5720"/>
    <w:rsid w:val="000C5E29"/>
    <w:rsid w:val="000D13A6"/>
    <w:rsid w:val="000D2672"/>
    <w:rsid w:val="000D2EB6"/>
    <w:rsid w:val="000D35B4"/>
    <w:rsid w:val="000D4DAE"/>
    <w:rsid w:val="000D63BA"/>
    <w:rsid w:val="000D64C1"/>
    <w:rsid w:val="000D6AA8"/>
    <w:rsid w:val="000D78BF"/>
    <w:rsid w:val="000D7A37"/>
    <w:rsid w:val="000E12E6"/>
    <w:rsid w:val="000E1B56"/>
    <w:rsid w:val="000E1BF9"/>
    <w:rsid w:val="000E23F5"/>
    <w:rsid w:val="000E2FE2"/>
    <w:rsid w:val="000E3CFB"/>
    <w:rsid w:val="000E3F46"/>
    <w:rsid w:val="000E7480"/>
    <w:rsid w:val="000F0140"/>
    <w:rsid w:val="000F18A9"/>
    <w:rsid w:val="000F1EA0"/>
    <w:rsid w:val="000F3126"/>
    <w:rsid w:val="000F3A68"/>
    <w:rsid w:val="000F4C5F"/>
    <w:rsid w:val="000F5844"/>
    <w:rsid w:val="000F5A05"/>
    <w:rsid w:val="000F6CEB"/>
    <w:rsid w:val="000F748E"/>
    <w:rsid w:val="00100451"/>
    <w:rsid w:val="001004F0"/>
    <w:rsid w:val="001006AE"/>
    <w:rsid w:val="00100BC4"/>
    <w:rsid w:val="00101F34"/>
    <w:rsid w:val="00102452"/>
    <w:rsid w:val="001025F2"/>
    <w:rsid w:val="001028D3"/>
    <w:rsid w:val="00103D19"/>
    <w:rsid w:val="001045B2"/>
    <w:rsid w:val="0010523E"/>
    <w:rsid w:val="001068F4"/>
    <w:rsid w:val="00106DE5"/>
    <w:rsid w:val="001073A8"/>
    <w:rsid w:val="0011088B"/>
    <w:rsid w:val="0011202A"/>
    <w:rsid w:val="00112794"/>
    <w:rsid w:val="00113CFB"/>
    <w:rsid w:val="00114817"/>
    <w:rsid w:val="00114CA8"/>
    <w:rsid w:val="001156EE"/>
    <w:rsid w:val="001160A3"/>
    <w:rsid w:val="00116E7E"/>
    <w:rsid w:val="00120152"/>
    <w:rsid w:val="00121444"/>
    <w:rsid w:val="0012391C"/>
    <w:rsid w:val="00123BCB"/>
    <w:rsid w:val="00123E8D"/>
    <w:rsid w:val="00125C49"/>
    <w:rsid w:val="00126257"/>
    <w:rsid w:val="001266BE"/>
    <w:rsid w:val="00126BD6"/>
    <w:rsid w:val="00126C79"/>
    <w:rsid w:val="00127E7F"/>
    <w:rsid w:val="00130723"/>
    <w:rsid w:val="00131DA1"/>
    <w:rsid w:val="00133FEF"/>
    <w:rsid w:val="00136FDB"/>
    <w:rsid w:val="0013742D"/>
    <w:rsid w:val="00137B17"/>
    <w:rsid w:val="00137FD6"/>
    <w:rsid w:val="00140195"/>
    <w:rsid w:val="00140278"/>
    <w:rsid w:val="00140938"/>
    <w:rsid w:val="001409C1"/>
    <w:rsid w:val="00140F1E"/>
    <w:rsid w:val="001418A6"/>
    <w:rsid w:val="00141EF5"/>
    <w:rsid w:val="001420AE"/>
    <w:rsid w:val="0014223A"/>
    <w:rsid w:val="00142AB6"/>
    <w:rsid w:val="00142CF9"/>
    <w:rsid w:val="00144A80"/>
    <w:rsid w:val="00147122"/>
    <w:rsid w:val="00147164"/>
    <w:rsid w:val="00147459"/>
    <w:rsid w:val="00147C98"/>
    <w:rsid w:val="0015009F"/>
    <w:rsid w:val="00150A7C"/>
    <w:rsid w:val="00151F20"/>
    <w:rsid w:val="00152757"/>
    <w:rsid w:val="00152BFC"/>
    <w:rsid w:val="001548B1"/>
    <w:rsid w:val="0015697B"/>
    <w:rsid w:val="0015738D"/>
    <w:rsid w:val="001574AB"/>
    <w:rsid w:val="00160325"/>
    <w:rsid w:val="001605B0"/>
    <w:rsid w:val="001611A2"/>
    <w:rsid w:val="00161824"/>
    <w:rsid w:val="00161CFF"/>
    <w:rsid w:val="00161E44"/>
    <w:rsid w:val="001627B4"/>
    <w:rsid w:val="00163F10"/>
    <w:rsid w:val="00167469"/>
    <w:rsid w:val="0017006D"/>
    <w:rsid w:val="001701C0"/>
    <w:rsid w:val="00171925"/>
    <w:rsid w:val="00171CB4"/>
    <w:rsid w:val="001727EA"/>
    <w:rsid w:val="00172A27"/>
    <w:rsid w:val="00173FA6"/>
    <w:rsid w:val="00175A7F"/>
    <w:rsid w:val="00176EAD"/>
    <w:rsid w:val="001774C9"/>
    <w:rsid w:val="00180337"/>
    <w:rsid w:val="00180922"/>
    <w:rsid w:val="00181476"/>
    <w:rsid w:val="0018395D"/>
    <w:rsid w:val="00184768"/>
    <w:rsid w:val="00186286"/>
    <w:rsid w:val="001866F7"/>
    <w:rsid w:val="00186A9E"/>
    <w:rsid w:val="0019073F"/>
    <w:rsid w:val="001907B0"/>
    <w:rsid w:val="00190A1E"/>
    <w:rsid w:val="001910E8"/>
    <w:rsid w:val="001941BF"/>
    <w:rsid w:val="001976E7"/>
    <w:rsid w:val="001A0706"/>
    <w:rsid w:val="001A0B34"/>
    <w:rsid w:val="001A1CD8"/>
    <w:rsid w:val="001A2782"/>
    <w:rsid w:val="001A359F"/>
    <w:rsid w:val="001A3B35"/>
    <w:rsid w:val="001A3C1C"/>
    <w:rsid w:val="001A413D"/>
    <w:rsid w:val="001A49B7"/>
    <w:rsid w:val="001A5532"/>
    <w:rsid w:val="001A5A91"/>
    <w:rsid w:val="001A5B19"/>
    <w:rsid w:val="001B0B72"/>
    <w:rsid w:val="001B1694"/>
    <w:rsid w:val="001B2814"/>
    <w:rsid w:val="001B2FDB"/>
    <w:rsid w:val="001B3D2E"/>
    <w:rsid w:val="001B3E42"/>
    <w:rsid w:val="001B49BE"/>
    <w:rsid w:val="001B7758"/>
    <w:rsid w:val="001C02B2"/>
    <w:rsid w:val="001C0873"/>
    <w:rsid w:val="001C12CF"/>
    <w:rsid w:val="001C1881"/>
    <w:rsid w:val="001C3B3D"/>
    <w:rsid w:val="001C4482"/>
    <w:rsid w:val="001C7CBB"/>
    <w:rsid w:val="001D0769"/>
    <w:rsid w:val="001D0814"/>
    <w:rsid w:val="001D6362"/>
    <w:rsid w:val="001E0A50"/>
    <w:rsid w:val="001E4090"/>
    <w:rsid w:val="001E49C7"/>
    <w:rsid w:val="001E5488"/>
    <w:rsid w:val="001E63AF"/>
    <w:rsid w:val="001E6F2A"/>
    <w:rsid w:val="001E73D8"/>
    <w:rsid w:val="001E7C35"/>
    <w:rsid w:val="001F0416"/>
    <w:rsid w:val="001F1195"/>
    <w:rsid w:val="001F3A4C"/>
    <w:rsid w:val="001F3EA7"/>
    <w:rsid w:val="001F4521"/>
    <w:rsid w:val="001F4947"/>
    <w:rsid w:val="001F4A27"/>
    <w:rsid w:val="001F4F9A"/>
    <w:rsid w:val="001F7355"/>
    <w:rsid w:val="002000B7"/>
    <w:rsid w:val="002041A5"/>
    <w:rsid w:val="002041C1"/>
    <w:rsid w:val="00204F21"/>
    <w:rsid w:val="00205603"/>
    <w:rsid w:val="00205781"/>
    <w:rsid w:val="00205FAF"/>
    <w:rsid w:val="002072CF"/>
    <w:rsid w:val="00207922"/>
    <w:rsid w:val="00211C77"/>
    <w:rsid w:val="00212BD5"/>
    <w:rsid w:val="00212BDB"/>
    <w:rsid w:val="00213DAA"/>
    <w:rsid w:val="00216895"/>
    <w:rsid w:val="002177EE"/>
    <w:rsid w:val="00217CED"/>
    <w:rsid w:val="00220043"/>
    <w:rsid w:val="00220644"/>
    <w:rsid w:val="00221C06"/>
    <w:rsid w:val="0022209A"/>
    <w:rsid w:val="0022237C"/>
    <w:rsid w:val="00222C3B"/>
    <w:rsid w:val="00223080"/>
    <w:rsid w:val="00223096"/>
    <w:rsid w:val="00224090"/>
    <w:rsid w:val="00224ECB"/>
    <w:rsid w:val="002272CA"/>
    <w:rsid w:val="002274C7"/>
    <w:rsid w:val="00227689"/>
    <w:rsid w:val="002302BE"/>
    <w:rsid w:val="002308D3"/>
    <w:rsid w:val="00230B66"/>
    <w:rsid w:val="00230E56"/>
    <w:rsid w:val="00231166"/>
    <w:rsid w:val="002335B9"/>
    <w:rsid w:val="002345B4"/>
    <w:rsid w:val="00234833"/>
    <w:rsid w:val="00235043"/>
    <w:rsid w:val="00235E29"/>
    <w:rsid w:val="002372A5"/>
    <w:rsid w:val="00237562"/>
    <w:rsid w:val="00237CAB"/>
    <w:rsid w:val="0024013F"/>
    <w:rsid w:val="00240433"/>
    <w:rsid w:val="002426DB"/>
    <w:rsid w:val="00242AD1"/>
    <w:rsid w:val="00243BA8"/>
    <w:rsid w:val="00244140"/>
    <w:rsid w:val="00244725"/>
    <w:rsid w:val="00245A3C"/>
    <w:rsid w:val="00245BA3"/>
    <w:rsid w:val="00245E20"/>
    <w:rsid w:val="00250206"/>
    <w:rsid w:val="00250337"/>
    <w:rsid w:val="00250DE5"/>
    <w:rsid w:val="00251966"/>
    <w:rsid w:val="00251B4B"/>
    <w:rsid w:val="00252869"/>
    <w:rsid w:val="00252AA8"/>
    <w:rsid w:val="00253C93"/>
    <w:rsid w:val="00254595"/>
    <w:rsid w:val="002546B6"/>
    <w:rsid w:val="00255296"/>
    <w:rsid w:val="00261DF1"/>
    <w:rsid w:val="002625F5"/>
    <w:rsid w:val="00263980"/>
    <w:rsid w:val="00266285"/>
    <w:rsid w:val="00266624"/>
    <w:rsid w:val="0026744E"/>
    <w:rsid w:val="00267EEF"/>
    <w:rsid w:val="0027105E"/>
    <w:rsid w:val="00272AC5"/>
    <w:rsid w:val="0027343E"/>
    <w:rsid w:val="0027351F"/>
    <w:rsid w:val="002757AE"/>
    <w:rsid w:val="00275A52"/>
    <w:rsid w:val="00276818"/>
    <w:rsid w:val="002771D3"/>
    <w:rsid w:val="002806CC"/>
    <w:rsid w:val="00283491"/>
    <w:rsid w:val="00284827"/>
    <w:rsid w:val="00284A7E"/>
    <w:rsid w:val="0028523C"/>
    <w:rsid w:val="0028638E"/>
    <w:rsid w:val="002868C8"/>
    <w:rsid w:val="00286AB2"/>
    <w:rsid w:val="00286EA3"/>
    <w:rsid w:val="00286FA1"/>
    <w:rsid w:val="00287CA9"/>
    <w:rsid w:val="002922E3"/>
    <w:rsid w:val="00292EE9"/>
    <w:rsid w:val="00293F92"/>
    <w:rsid w:val="00294174"/>
    <w:rsid w:val="002948BF"/>
    <w:rsid w:val="00294DFA"/>
    <w:rsid w:val="0029555F"/>
    <w:rsid w:val="00295880"/>
    <w:rsid w:val="002972BF"/>
    <w:rsid w:val="00297D50"/>
    <w:rsid w:val="002A00F1"/>
    <w:rsid w:val="002A1186"/>
    <w:rsid w:val="002A1588"/>
    <w:rsid w:val="002A26EB"/>
    <w:rsid w:val="002A486E"/>
    <w:rsid w:val="002A4E35"/>
    <w:rsid w:val="002A61B0"/>
    <w:rsid w:val="002A6E47"/>
    <w:rsid w:val="002B156E"/>
    <w:rsid w:val="002B17F4"/>
    <w:rsid w:val="002B48FC"/>
    <w:rsid w:val="002B518B"/>
    <w:rsid w:val="002B5C33"/>
    <w:rsid w:val="002B5E98"/>
    <w:rsid w:val="002B63E2"/>
    <w:rsid w:val="002B7DBA"/>
    <w:rsid w:val="002C0CB3"/>
    <w:rsid w:val="002C0E4C"/>
    <w:rsid w:val="002C30C1"/>
    <w:rsid w:val="002C350C"/>
    <w:rsid w:val="002C4DC3"/>
    <w:rsid w:val="002C5A17"/>
    <w:rsid w:val="002C69D6"/>
    <w:rsid w:val="002D0DD1"/>
    <w:rsid w:val="002D3235"/>
    <w:rsid w:val="002D5667"/>
    <w:rsid w:val="002D592F"/>
    <w:rsid w:val="002D5B1B"/>
    <w:rsid w:val="002D681F"/>
    <w:rsid w:val="002D75CD"/>
    <w:rsid w:val="002D7879"/>
    <w:rsid w:val="002E0E1B"/>
    <w:rsid w:val="002E1772"/>
    <w:rsid w:val="002E1E0E"/>
    <w:rsid w:val="002E1EB3"/>
    <w:rsid w:val="002E2048"/>
    <w:rsid w:val="002E207E"/>
    <w:rsid w:val="002E25E7"/>
    <w:rsid w:val="002E3E83"/>
    <w:rsid w:val="002E4B69"/>
    <w:rsid w:val="002E4D83"/>
    <w:rsid w:val="002E550F"/>
    <w:rsid w:val="002E636A"/>
    <w:rsid w:val="002E7145"/>
    <w:rsid w:val="002E7BD7"/>
    <w:rsid w:val="002F1D15"/>
    <w:rsid w:val="002F32A0"/>
    <w:rsid w:val="002F3D63"/>
    <w:rsid w:val="002F57BA"/>
    <w:rsid w:val="002F5E2B"/>
    <w:rsid w:val="002F66FE"/>
    <w:rsid w:val="002F6F9B"/>
    <w:rsid w:val="002F78CB"/>
    <w:rsid w:val="003000FF"/>
    <w:rsid w:val="0030061F"/>
    <w:rsid w:val="00300749"/>
    <w:rsid w:val="00302ACA"/>
    <w:rsid w:val="00303FD2"/>
    <w:rsid w:val="0030541B"/>
    <w:rsid w:val="00305B2A"/>
    <w:rsid w:val="00306E09"/>
    <w:rsid w:val="00310341"/>
    <w:rsid w:val="00310EFA"/>
    <w:rsid w:val="00311906"/>
    <w:rsid w:val="003123C6"/>
    <w:rsid w:val="00313DE7"/>
    <w:rsid w:val="0031489D"/>
    <w:rsid w:val="00314AD5"/>
    <w:rsid w:val="0031616D"/>
    <w:rsid w:val="00316A4F"/>
    <w:rsid w:val="00316F3D"/>
    <w:rsid w:val="0032100A"/>
    <w:rsid w:val="00321402"/>
    <w:rsid w:val="00321D6C"/>
    <w:rsid w:val="003229F9"/>
    <w:rsid w:val="0032365D"/>
    <w:rsid w:val="00325A45"/>
    <w:rsid w:val="00326109"/>
    <w:rsid w:val="00326608"/>
    <w:rsid w:val="00327AB0"/>
    <w:rsid w:val="00330550"/>
    <w:rsid w:val="00331523"/>
    <w:rsid w:val="00332272"/>
    <w:rsid w:val="0033514F"/>
    <w:rsid w:val="00336126"/>
    <w:rsid w:val="00336C5B"/>
    <w:rsid w:val="0034002C"/>
    <w:rsid w:val="00341B6E"/>
    <w:rsid w:val="00342D83"/>
    <w:rsid w:val="003432E1"/>
    <w:rsid w:val="0034390C"/>
    <w:rsid w:val="00344FC9"/>
    <w:rsid w:val="003472A2"/>
    <w:rsid w:val="00350011"/>
    <w:rsid w:val="0035136D"/>
    <w:rsid w:val="00351E9A"/>
    <w:rsid w:val="003522B3"/>
    <w:rsid w:val="0035397B"/>
    <w:rsid w:val="00353AF4"/>
    <w:rsid w:val="00354C28"/>
    <w:rsid w:val="00354F02"/>
    <w:rsid w:val="00357A12"/>
    <w:rsid w:val="003613BE"/>
    <w:rsid w:val="0036181D"/>
    <w:rsid w:val="00363B67"/>
    <w:rsid w:val="00363B68"/>
    <w:rsid w:val="00365028"/>
    <w:rsid w:val="003650DE"/>
    <w:rsid w:val="00366153"/>
    <w:rsid w:val="003701B3"/>
    <w:rsid w:val="003723C6"/>
    <w:rsid w:val="00375E53"/>
    <w:rsid w:val="00377D92"/>
    <w:rsid w:val="00380311"/>
    <w:rsid w:val="00381D57"/>
    <w:rsid w:val="00383836"/>
    <w:rsid w:val="00383CC4"/>
    <w:rsid w:val="00383D23"/>
    <w:rsid w:val="003846B6"/>
    <w:rsid w:val="0038552F"/>
    <w:rsid w:val="003858C1"/>
    <w:rsid w:val="00385B4F"/>
    <w:rsid w:val="003860B7"/>
    <w:rsid w:val="00387323"/>
    <w:rsid w:val="00390E85"/>
    <w:rsid w:val="00391FDD"/>
    <w:rsid w:val="003927DB"/>
    <w:rsid w:val="00392E07"/>
    <w:rsid w:val="00393460"/>
    <w:rsid w:val="003934B3"/>
    <w:rsid w:val="00394BF5"/>
    <w:rsid w:val="00396813"/>
    <w:rsid w:val="0039779E"/>
    <w:rsid w:val="003A0A0B"/>
    <w:rsid w:val="003A153E"/>
    <w:rsid w:val="003A22A7"/>
    <w:rsid w:val="003A4340"/>
    <w:rsid w:val="003A5A9A"/>
    <w:rsid w:val="003A68B8"/>
    <w:rsid w:val="003A6E71"/>
    <w:rsid w:val="003A725E"/>
    <w:rsid w:val="003A72C1"/>
    <w:rsid w:val="003A7579"/>
    <w:rsid w:val="003A75DC"/>
    <w:rsid w:val="003A7F09"/>
    <w:rsid w:val="003B0468"/>
    <w:rsid w:val="003B3EDD"/>
    <w:rsid w:val="003B4891"/>
    <w:rsid w:val="003B4D51"/>
    <w:rsid w:val="003B4ECF"/>
    <w:rsid w:val="003B50D6"/>
    <w:rsid w:val="003B52BB"/>
    <w:rsid w:val="003B5B2C"/>
    <w:rsid w:val="003B5E4F"/>
    <w:rsid w:val="003B65A8"/>
    <w:rsid w:val="003C027B"/>
    <w:rsid w:val="003C0F77"/>
    <w:rsid w:val="003C25C8"/>
    <w:rsid w:val="003C2B9E"/>
    <w:rsid w:val="003C2CEB"/>
    <w:rsid w:val="003C4062"/>
    <w:rsid w:val="003C42D9"/>
    <w:rsid w:val="003C47C4"/>
    <w:rsid w:val="003C6A74"/>
    <w:rsid w:val="003C6CC9"/>
    <w:rsid w:val="003D22B0"/>
    <w:rsid w:val="003D2EF6"/>
    <w:rsid w:val="003D4C72"/>
    <w:rsid w:val="003D7D9E"/>
    <w:rsid w:val="003E0D82"/>
    <w:rsid w:val="003E4723"/>
    <w:rsid w:val="003E5DFB"/>
    <w:rsid w:val="003E6BE9"/>
    <w:rsid w:val="003F0173"/>
    <w:rsid w:val="003F0ACF"/>
    <w:rsid w:val="003F2C47"/>
    <w:rsid w:val="003F3BE4"/>
    <w:rsid w:val="003F5366"/>
    <w:rsid w:val="003F5854"/>
    <w:rsid w:val="003F5C50"/>
    <w:rsid w:val="004007FB"/>
    <w:rsid w:val="00400995"/>
    <w:rsid w:val="00400DC3"/>
    <w:rsid w:val="00401A3D"/>
    <w:rsid w:val="00403095"/>
    <w:rsid w:val="00404459"/>
    <w:rsid w:val="00405E84"/>
    <w:rsid w:val="0040748E"/>
    <w:rsid w:val="004112C7"/>
    <w:rsid w:val="0041165E"/>
    <w:rsid w:val="0041355B"/>
    <w:rsid w:val="00414397"/>
    <w:rsid w:val="00415562"/>
    <w:rsid w:val="00415BDB"/>
    <w:rsid w:val="00415F09"/>
    <w:rsid w:val="004161C3"/>
    <w:rsid w:val="004163E5"/>
    <w:rsid w:val="00416CB8"/>
    <w:rsid w:val="0042013E"/>
    <w:rsid w:val="004213E0"/>
    <w:rsid w:val="004228C0"/>
    <w:rsid w:val="00422D71"/>
    <w:rsid w:val="00423125"/>
    <w:rsid w:val="0042526C"/>
    <w:rsid w:val="00425B73"/>
    <w:rsid w:val="00425C30"/>
    <w:rsid w:val="0042694E"/>
    <w:rsid w:val="004301FE"/>
    <w:rsid w:val="00430A67"/>
    <w:rsid w:val="00431764"/>
    <w:rsid w:val="0043578C"/>
    <w:rsid w:val="004359B4"/>
    <w:rsid w:val="00435C66"/>
    <w:rsid w:val="00436331"/>
    <w:rsid w:val="0043647F"/>
    <w:rsid w:val="00437DBB"/>
    <w:rsid w:val="00437DDF"/>
    <w:rsid w:val="00440F58"/>
    <w:rsid w:val="00441327"/>
    <w:rsid w:val="00441880"/>
    <w:rsid w:val="00441E22"/>
    <w:rsid w:val="0044205C"/>
    <w:rsid w:val="00442784"/>
    <w:rsid w:val="00443B2B"/>
    <w:rsid w:val="0044433F"/>
    <w:rsid w:val="00446CDA"/>
    <w:rsid w:val="00447263"/>
    <w:rsid w:val="00451247"/>
    <w:rsid w:val="00451881"/>
    <w:rsid w:val="00451F38"/>
    <w:rsid w:val="00451FB4"/>
    <w:rsid w:val="0045236E"/>
    <w:rsid w:val="0045315E"/>
    <w:rsid w:val="004533F5"/>
    <w:rsid w:val="0045579B"/>
    <w:rsid w:val="004558C7"/>
    <w:rsid w:val="004565CD"/>
    <w:rsid w:val="00457731"/>
    <w:rsid w:val="0046089A"/>
    <w:rsid w:val="004611D2"/>
    <w:rsid w:val="0046274C"/>
    <w:rsid w:val="004652D0"/>
    <w:rsid w:val="00465311"/>
    <w:rsid w:val="00465B2A"/>
    <w:rsid w:val="004661A7"/>
    <w:rsid w:val="00467201"/>
    <w:rsid w:val="0046757B"/>
    <w:rsid w:val="00467C54"/>
    <w:rsid w:val="00467ED4"/>
    <w:rsid w:val="0047116C"/>
    <w:rsid w:val="004759D8"/>
    <w:rsid w:val="00475FF7"/>
    <w:rsid w:val="0047669A"/>
    <w:rsid w:val="0047706C"/>
    <w:rsid w:val="004806A5"/>
    <w:rsid w:val="004808DC"/>
    <w:rsid w:val="00480952"/>
    <w:rsid w:val="00482517"/>
    <w:rsid w:val="00483201"/>
    <w:rsid w:val="00483762"/>
    <w:rsid w:val="00483CB0"/>
    <w:rsid w:val="00483FC8"/>
    <w:rsid w:val="0048490A"/>
    <w:rsid w:val="00485FB3"/>
    <w:rsid w:val="004873BC"/>
    <w:rsid w:val="00490DC9"/>
    <w:rsid w:val="00490E9D"/>
    <w:rsid w:val="00491D77"/>
    <w:rsid w:val="00494A6E"/>
    <w:rsid w:val="00494AE6"/>
    <w:rsid w:val="004952D1"/>
    <w:rsid w:val="00497845"/>
    <w:rsid w:val="004978B6"/>
    <w:rsid w:val="004A0A5A"/>
    <w:rsid w:val="004A0B41"/>
    <w:rsid w:val="004A1735"/>
    <w:rsid w:val="004A38D9"/>
    <w:rsid w:val="004A4975"/>
    <w:rsid w:val="004A65F5"/>
    <w:rsid w:val="004A7716"/>
    <w:rsid w:val="004A7F03"/>
    <w:rsid w:val="004B0AD2"/>
    <w:rsid w:val="004B0CDE"/>
    <w:rsid w:val="004B2B6C"/>
    <w:rsid w:val="004B2E60"/>
    <w:rsid w:val="004B3824"/>
    <w:rsid w:val="004B47D4"/>
    <w:rsid w:val="004B4CE8"/>
    <w:rsid w:val="004B50BD"/>
    <w:rsid w:val="004B5B7F"/>
    <w:rsid w:val="004B5F20"/>
    <w:rsid w:val="004B6916"/>
    <w:rsid w:val="004B73F4"/>
    <w:rsid w:val="004C1A56"/>
    <w:rsid w:val="004C2542"/>
    <w:rsid w:val="004C48F2"/>
    <w:rsid w:val="004C5E95"/>
    <w:rsid w:val="004C6FE4"/>
    <w:rsid w:val="004C743B"/>
    <w:rsid w:val="004C7843"/>
    <w:rsid w:val="004D097E"/>
    <w:rsid w:val="004D18FE"/>
    <w:rsid w:val="004D2AE9"/>
    <w:rsid w:val="004D2B69"/>
    <w:rsid w:val="004D3E76"/>
    <w:rsid w:val="004D49B6"/>
    <w:rsid w:val="004D641C"/>
    <w:rsid w:val="004D6464"/>
    <w:rsid w:val="004D7534"/>
    <w:rsid w:val="004E1845"/>
    <w:rsid w:val="004E3339"/>
    <w:rsid w:val="004E4A86"/>
    <w:rsid w:val="004E710E"/>
    <w:rsid w:val="004E71CE"/>
    <w:rsid w:val="004F0BF0"/>
    <w:rsid w:val="004F0C40"/>
    <w:rsid w:val="004F13C8"/>
    <w:rsid w:val="004F22AB"/>
    <w:rsid w:val="004F2F66"/>
    <w:rsid w:val="004F4FC9"/>
    <w:rsid w:val="004F6485"/>
    <w:rsid w:val="004F6E62"/>
    <w:rsid w:val="004F7901"/>
    <w:rsid w:val="004F7E2D"/>
    <w:rsid w:val="00500EE6"/>
    <w:rsid w:val="00502F14"/>
    <w:rsid w:val="00505A61"/>
    <w:rsid w:val="00505B45"/>
    <w:rsid w:val="0050615E"/>
    <w:rsid w:val="005061DA"/>
    <w:rsid w:val="0050659B"/>
    <w:rsid w:val="00506C1F"/>
    <w:rsid w:val="005070A5"/>
    <w:rsid w:val="00507566"/>
    <w:rsid w:val="00512888"/>
    <w:rsid w:val="005135C5"/>
    <w:rsid w:val="00515CAB"/>
    <w:rsid w:val="005175E8"/>
    <w:rsid w:val="005206F5"/>
    <w:rsid w:val="00520D79"/>
    <w:rsid w:val="0052288B"/>
    <w:rsid w:val="005229B7"/>
    <w:rsid w:val="005243BC"/>
    <w:rsid w:val="00524450"/>
    <w:rsid w:val="00527B40"/>
    <w:rsid w:val="005308D5"/>
    <w:rsid w:val="0053309E"/>
    <w:rsid w:val="00533F90"/>
    <w:rsid w:val="005341EC"/>
    <w:rsid w:val="00534CDF"/>
    <w:rsid w:val="0053517B"/>
    <w:rsid w:val="0053602B"/>
    <w:rsid w:val="00536AF7"/>
    <w:rsid w:val="00536CBE"/>
    <w:rsid w:val="00536FEB"/>
    <w:rsid w:val="00537375"/>
    <w:rsid w:val="00537574"/>
    <w:rsid w:val="00540B8E"/>
    <w:rsid w:val="00540F73"/>
    <w:rsid w:val="00541121"/>
    <w:rsid w:val="00541B6A"/>
    <w:rsid w:val="005421E1"/>
    <w:rsid w:val="00544283"/>
    <w:rsid w:val="005447D9"/>
    <w:rsid w:val="00545972"/>
    <w:rsid w:val="00546776"/>
    <w:rsid w:val="0054689F"/>
    <w:rsid w:val="00547B15"/>
    <w:rsid w:val="005508DF"/>
    <w:rsid w:val="00551D6A"/>
    <w:rsid w:val="00553565"/>
    <w:rsid w:val="00553EA4"/>
    <w:rsid w:val="00554223"/>
    <w:rsid w:val="005560EA"/>
    <w:rsid w:val="00561F11"/>
    <w:rsid w:val="00562538"/>
    <w:rsid w:val="0056399B"/>
    <w:rsid w:val="005639C0"/>
    <w:rsid w:val="0056448E"/>
    <w:rsid w:val="00564C24"/>
    <w:rsid w:val="005658D8"/>
    <w:rsid w:val="00566806"/>
    <w:rsid w:val="00566808"/>
    <w:rsid w:val="00567C1F"/>
    <w:rsid w:val="0057178A"/>
    <w:rsid w:val="00571D11"/>
    <w:rsid w:val="0057248A"/>
    <w:rsid w:val="0057290A"/>
    <w:rsid w:val="0057306C"/>
    <w:rsid w:val="005738AF"/>
    <w:rsid w:val="00573B16"/>
    <w:rsid w:val="00573FE8"/>
    <w:rsid w:val="00574304"/>
    <w:rsid w:val="0057432F"/>
    <w:rsid w:val="0057577B"/>
    <w:rsid w:val="0058128D"/>
    <w:rsid w:val="0058146D"/>
    <w:rsid w:val="0058234B"/>
    <w:rsid w:val="00582A95"/>
    <w:rsid w:val="00583B7C"/>
    <w:rsid w:val="005855F3"/>
    <w:rsid w:val="005856CB"/>
    <w:rsid w:val="00585EF4"/>
    <w:rsid w:val="00586C65"/>
    <w:rsid w:val="00587D76"/>
    <w:rsid w:val="00590816"/>
    <w:rsid w:val="00591B61"/>
    <w:rsid w:val="00591F53"/>
    <w:rsid w:val="00591FC1"/>
    <w:rsid w:val="005920A5"/>
    <w:rsid w:val="00592344"/>
    <w:rsid w:val="00592576"/>
    <w:rsid w:val="0059311A"/>
    <w:rsid w:val="00594C39"/>
    <w:rsid w:val="005968B8"/>
    <w:rsid w:val="005A102F"/>
    <w:rsid w:val="005A1BE0"/>
    <w:rsid w:val="005A2F04"/>
    <w:rsid w:val="005A2F87"/>
    <w:rsid w:val="005A41EA"/>
    <w:rsid w:val="005A4255"/>
    <w:rsid w:val="005A4492"/>
    <w:rsid w:val="005A4743"/>
    <w:rsid w:val="005A5023"/>
    <w:rsid w:val="005B097D"/>
    <w:rsid w:val="005B16A0"/>
    <w:rsid w:val="005B20F1"/>
    <w:rsid w:val="005B2473"/>
    <w:rsid w:val="005B3A8D"/>
    <w:rsid w:val="005B5589"/>
    <w:rsid w:val="005B7EAB"/>
    <w:rsid w:val="005C1427"/>
    <w:rsid w:val="005C18C9"/>
    <w:rsid w:val="005C1B60"/>
    <w:rsid w:val="005C21BD"/>
    <w:rsid w:val="005C25E0"/>
    <w:rsid w:val="005C2785"/>
    <w:rsid w:val="005C2AD9"/>
    <w:rsid w:val="005C2EC7"/>
    <w:rsid w:val="005C2F83"/>
    <w:rsid w:val="005C47E0"/>
    <w:rsid w:val="005C554F"/>
    <w:rsid w:val="005C57E9"/>
    <w:rsid w:val="005C5DD8"/>
    <w:rsid w:val="005C6BF4"/>
    <w:rsid w:val="005C7882"/>
    <w:rsid w:val="005C7A8C"/>
    <w:rsid w:val="005C7DB1"/>
    <w:rsid w:val="005D17C7"/>
    <w:rsid w:val="005D1BD8"/>
    <w:rsid w:val="005D2010"/>
    <w:rsid w:val="005D446B"/>
    <w:rsid w:val="005D5D4A"/>
    <w:rsid w:val="005D6529"/>
    <w:rsid w:val="005D763D"/>
    <w:rsid w:val="005D76CD"/>
    <w:rsid w:val="005D7CCF"/>
    <w:rsid w:val="005E165E"/>
    <w:rsid w:val="005E20D3"/>
    <w:rsid w:val="005E2887"/>
    <w:rsid w:val="005E3001"/>
    <w:rsid w:val="005E5084"/>
    <w:rsid w:val="005E5A50"/>
    <w:rsid w:val="005E5EB2"/>
    <w:rsid w:val="005E69D9"/>
    <w:rsid w:val="005E7348"/>
    <w:rsid w:val="005F0661"/>
    <w:rsid w:val="005F1507"/>
    <w:rsid w:val="005F1E6E"/>
    <w:rsid w:val="005F2461"/>
    <w:rsid w:val="005F2603"/>
    <w:rsid w:val="005F2EEA"/>
    <w:rsid w:val="005F307C"/>
    <w:rsid w:val="005F3997"/>
    <w:rsid w:val="005F679C"/>
    <w:rsid w:val="005F6BE1"/>
    <w:rsid w:val="005F702B"/>
    <w:rsid w:val="005F715A"/>
    <w:rsid w:val="0060080F"/>
    <w:rsid w:val="0060228E"/>
    <w:rsid w:val="00604657"/>
    <w:rsid w:val="00604694"/>
    <w:rsid w:val="00604D07"/>
    <w:rsid w:val="0060531A"/>
    <w:rsid w:val="0060596A"/>
    <w:rsid w:val="00607BCE"/>
    <w:rsid w:val="00607CF9"/>
    <w:rsid w:val="00610BBC"/>
    <w:rsid w:val="0061136D"/>
    <w:rsid w:val="006116E6"/>
    <w:rsid w:val="006127B6"/>
    <w:rsid w:val="00613598"/>
    <w:rsid w:val="006151DE"/>
    <w:rsid w:val="006152E0"/>
    <w:rsid w:val="0061568D"/>
    <w:rsid w:val="00616C84"/>
    <w:rsid w:val="00617264"/>
    <w:rsid w:val="00617A23"/>
    <w:rsid w:val="0062167D"/>
    <w:rsid w:val="0062217B"/>
    <w:rsid w:val="00622D99"/>
    <w:rsid w:val="00623763"/>
    <w:rsid w:val="00626E34"/>
    <w:rsid w:val="00627084"/>
    <w:rsid w:val="006273B3"/>
    <w:rsid w:val="00632A50"/>
    <w:rsid w:val="00634818"/>
    <w:rsid w:val="00635ED1"/>
    <w:rsid w:val="006367E4"/>
    <w:rsid w:val="006368A7"/>
    <w:rsid w:val="00636C1E"/>
    <w:rsid w:val="00636DFD"/>
    <w:rsid w:val="00637470"/>
    <w:rsid w:val="00640A55"/>
    <w:rsid w:val="00642018"/>
    <w:rsid w:val="0064217D"/>
    <w:rsid w:val="00644794"/>
    <w:rsid w:val="00645208"/>
    <w:rsid w:val="006468AA"/>
    <w:rsid w:val="0064730C"/>
    <w:rsid w:val="0064787E"/>
    <w:rsid w:val="00652EBB"/>
    <w:rsid w:val="006533EE"/>
    <w:rsid w:val="0065396B"/>
    <w:rsid w:val="00653F48"/>
    <w:rsid w:val="00654680"/>
    <w:rsid w:val="006547AA"/>
    <w:rsid w:val="006561A5"/>
    <w:rsid w:val="00657AEE"/>
    <w:rsid w:val="00660AAE"/>
    <w:rsid w:val="006612B1"/>
    <w:rsid w:val="00661B42"/>
    <w:rsid w:val="00661B54"/>
    <w:rsid w:val="00662288"/>
    <w:rsid w:val="00662C98"/>
    <w:rsid w:val="0066547A"/>
    <w:rsid w:val="006662EE"/>
    <w:rsid w:val="00666C54"/>
    <w:rsid w:val="00667431"/>
    <w:rsid w:val="00667D3B"/>
    <w:rsid w:val="00671F88"/>
    <w:rsid w:val="006721D5"/>
    <w:rsid w:val="0067310F"/>
    <w:rsid w:val="00673473"/>
    <w:rsid w:val="00674B9E"/>
    <w:rsid w:val="00675C51"/>
    <w:rsid w:val="00676B53"/>
    <w:rsid w:val="00676E08"/>
    <w:rsid w:val="00677C52"/>
    <w:rsid w:val="006832E4"/>
    <w:rsid w:val="00685442"/>
    <w:rsid w:val="0068574A"/>
    <w:rsid w:val="00685AA8"/>
    <w:rsid w:val="00686539"/>
    <w:rsid w:val="00690341"/>
    <w:rsid w:val="00690492"/>
    <w:rsid w:val="006909FF"/>
    <w:rsid w:val="00692AB9"/>
    <w:rsid w:val="0069361D"/>
    <w:rsid w:val="00696D52"/>
    <w:rsid w:val="00697384"/>
    <w:rsid w:val="006A1FA4"/>
    <w:rsid w:val="006A673C"/>
    <w:rsid w:val="006A685F"/>
    <w:rsid w:val="006A7A88"/>
    <w:rsid w:val="006B1B54"/>
    <w:rsid w:val="006B3DBE"/>
    <w:rsid w:val="006B6C7E"/>
    <w:rsid w:val="006B7FE5"/>
    <w:rsid w:val="006C0547"/>
    <w:rsid w:val="006C1AF8"/>
    <w:rsid w:val="006C2E4B"/>
    <w:rsid w:val="006C3EC1"/>
    <w:rsid w:val="006C488C"/>
    <w:rsid w:val="006C6B54"/>
    <w:rsid w:val="006C7DEF"/>
    <w:rsid w:val="006D0938"/>
    <w:rsid w:val="006D3031"/>
    <w:rsid w:val="006D3647"/>
    <w:rsid w:val="006D3990"/>
    <w:rsid w:val="006D4708"/>
    <w:rsid w:val="006D6A5F"/>
    <w:rsid w:val="006D76B8"/>
    <w:rsid w:val="006D7FAB"/>
    <w:rsid w:val="006E01F7"/>
    <w:rsid w:val="006E1237"/>
    <w:rsid w:val="006E31EA"/>
    <w:rsid w:val="006E328C"/>
    <w:rsid w:val="006E45E4"/>
    <w:rsid w:val="006E6A64"/>
    <w:rsid w:val="006F2182"/>
    <w:rsid w:val="006F21EF"/>
    <w:rsid w:val="006F3D7C"/>
    <w:rsid w:val="006F422F"/>
    <w:rsid w:val="006F50C8"/>
    <w:rsid w:val="006F5888"/>
    <w:rsid w:val="006F69CA"/>
    <w:rsid w:val="006F75A7"/>
    <w:rsid w:val="00700347"/>
    <w:rsid w:val="0070121B"/>
    <w:rsid w:val="0070131F"/>
    <w:rsid w:val="00703A13"/>
    <w:rsid w:val="00706C12"/>
    <w:rsid w:val="0070764C"/>
    <w:rsid w:val="007150F4"/>
    <w:rsid w:val="00715E69"/>
    <w:rsid w:val="00716288"/>
    <w:rsid w:val="007169DD"/>
    <w:rsid w:val="0071748C"/>
    <w:rsid w:val="007178E5"/>
    <w:rsid w:val="00717E2F"/>
    <w:rsid w:val="00720B86"/>
    <w:rsid w:val="00722370"/>
    <w:rsid w:val="00723489"/>
    <w:rsid w:val="00723D4E"/>
    <w:rsid w:val="007264CF"/>
    <w:rsid w:val="00726B91"/>
    <w:rsid w:val="00731D33"/>
    <w:rsid w:val="00732FD9"/>
    <w:rsid w:val="007333E7"/>
    <w:rsid w:val="00733CEB"/>
    <w:rsid w:val="00733E32"/>
    <w:rsid w:val="007348CE"/>
    <w:rsid w:val="00735B10"/>
    <w:rsid w:val="00735EF7"/>
    <w:rsid w:val="00736153"/>
    <w:rsid w:val="00736A41"/>
    <w:rsid w:val="00740713"/>
    <w:rsid w:val="00740E71"/>
    <w:rsid w:val="00741C16"/>
    <w:rsid w:val="00742178"/>
    <w:rsid w:val="00742210"/>
    <w:rsid w:val="00742D5A"/>
    <w:rsid w:val="00743119"/>
    <w:rsid w:val="007433A2"/>
    <w:rsid w:val="00743594"/>
    <w:rsid w:val="00744AF2"/>
    <w:rsid w:val="007451FB"/>
    <w:rsid w:val="00745385"/>
    <w:rsid w:val="00750ECB"/>
    <w:rsid w:val="00752468"/>
    <w:rsid w:val="00752F76"/>
    <w:rsid w:val="007550A0"/>
    <w:rsid w:val="007551BD"/>
    <w:rsid w:val="007604FD"/>
    <w:rsid w:val="00760C54"/>
    <w:rsid w:val="00761317"/>
    <w:rsid w:val="007620A6"/>
    <w:rsid w:val="00762DDB"/>
    <w:rsid w:val="00763001"/>
    <w:rsid w:val="00763365"/>
    <w:rsid w:val="00763BCB"/>
    <w:rsid w:val="00763EAD"/>
    <w:rsid w:val="0076567C"/>
    <w:rsid w:val="00770626"/>
    <w:rsid w:val="007719F8"/>
    <w:rsid w:val="00771A3A"/>
    <w:rsid w:val="007731B2"/>
    <w:rsid w:val="0077360F"/>
    <w:rsid w:val="00774326"/>
    <w:rsid w:val="00774B5E"/>
    <w:rsid w:val="00775D51"/>
    <w:rsid w:val="007772FB"/>
    <w:rsid w:val="007777B2"/>
    <w:rsid w:val="00780758"/>
    <w:rsid w:val="00783B88"/>
    <w:rsid w:val="00784A22"/>
    <w:rsid w:val="00785664"/>
    <w:rsid w:val="00786DD6"/>
    <w:rsid w:val="0078760B"/>
    <w:rsid w:val="007910B4"/>
    <w:rsid w:val="007919B3"/>
    <w:rsid w:val="007920C9"/>
    <w:rsid w:val="00793299"/>
    <w:rsid w:val="0079448B"/>
    <w:rsid w:val="007972C1"/>
    <w:rsid w:val="007973F0"/>
    <w:rsid w:val="00797949"/>
    <w:rsid w:val="007A2DCE"/>
    <w:rsid w:val="007A30A7"/>
    <w:rsid w:val="007A3191"/>
    <w:rsid w:val="007A3A5E"/>
    <w:rsid w:val="007A4796"/>
    <w:rsid w:val="007A5640"/>
    <w:rsid w:val="007A7415"/>
    <w:rsid w:val="007A761B"/>
    <w:rsid w:val="007B416B"/>
    <w:rsid w:val="007B5F7A"/>
    <w:rsid w:val="007B6524"/>
    <w:rsid w:val="007B664E"/>
    <w:rsid w:val="007C02C8"/>
    <w:rsid w:val="007C0B40"/>
    <w:rsid w:val="007C0F7B"/>
    <w:rsid w:val="007C154C"/>
    <w:rsid w:val="007C203F"/>
    <w:rsid w:val="007C2E24"/>
    <w:rsid w:val="007C3CCD"/>
    <w:rsid w:val="007C4387"/>
    <w:rsid w:val="007C6993"/>
    <w:rsid w:val="007C7D53"/>
    <w:rsid w:val="007D0286"/>
    <w:rsid w:val="007D0511"/>
    <w:rsid w:val="007D0567"/>
    <w:rsid w:val="007D137E"/>
    <w:rsid w:val="007D17B2"/>
    <w:rsid w:val="007D2915"/>
    <w:rsid w:val="007D454D"/>
    <w:rsid w:val="007D5538"/>
    <w:rsid w:val="007D5EB5"/>
    <w:rsid w:val="007D6CDB"/>
    <w:rsid w:val="007E032E"/>
    <w:rsid w:val="007E0A0A"/>
    <w:rsid w:val="007E1B93"/>
    <w:rsid w:val="007E2388"/>
    <w:rsid w:val="007E2404"/>
    <w:rsid w:val="007E2DCC"/>
    <w:rsid w:val="007E307E"/>
    <w:rsid w:val="007E5AC2"/>
    <w:rsid w:val="007E5E24"/>
    <w:rsid w:val="007E79BA"/>
    <w:rsid w:val="007F0902"/>
    <w:rsid w:val="007F1590"/>
    <w:rsid w:val="007F2128"/>
    <w:rsid w:val="007F243F"/>
    <w:rsid w:val="007F24E3"/>
    <w:rsid w:val="007F310E"/>
    <w:rsid w:val="007F367E"/>
    <w:rsid w:val="007F3B66"/>
    <w:rsid w:val="007F4D01"/>
    <w:rsid w:val="007F5965"/>
    <w:rsid w:val="007F6E07"/>
    <w:rsid w:val="00802F22"/>
    <w:rsid w:val="00804039"/>
    <w:rsid w:val="00804AA5"/>
    <w:rsid w:val="008055E5"/>
    <w:rsid w:val="00806D68"/>
    <w:rsid w:val="00811755"/>
    <w:rsid w:val="00811A9A"/>
    <w:rsid w:val="00811E52"/>
    <w:rsid w:val="008127E0"/>
    <w:rsid w:val="008130F7"/>
    <w:rsid w:val="008153E3"/>
    <w:rsid w:val="00816233"/>
    <w:rsid w:val="00816D92"/>
    <w:rsid w:val="00816E06"/>
    <w:rsid w:val="008174F6"/>
    <w:rsid w:val="00817A19"/>
    <w:rsid w:val="0082001E"/>
    <w:rsid w:val="00820D30"/>
    <w:rsid w:val="00822865"/>
    <w:rsid w:val="00822FF8"/>
    <w:rsid w:val="0082316A"/>
    <w:rsid w:val="00823258"/>
    <w:rsid w:val="00823A96"/>
    <w:rsid w:val="00824642"/>
    <w:rsid w:val="008269AA"/>
    <w:rsid w:val="0082711C"/>
    <w:rsid w:val="0082732D"/>
    <w:rsid w:val="00827CCA"/>
    <w:rsid w:val="00827F18"/>
    <w:rsid w:val="0083068A"/>
    <w:rsid w:val="00830C48"/>
    <w:rsid w:val="00832084"/>
    <w:rsid w:val="00832638"/>
    <w:rsid w:val="0083329A"/>
    <w:rsid w:val="0083345B"/>
    <w:rsid w:val="00834F53"/>
    <w:rsid w:val="00835CE9"/>
    <w:rsid w:val="00835D49"/>
    <w:rsid w:val="0083752E"/>
    <w:rsid w:val="00841349"/>
    <w:rsid w:val="008414F8"/>
    <w:rsid w:val="00842108"/>
    <w:rsid w:val="008426F6"/>
    <w:rsid w:val="00843051"/>
    <w:rsid w:val="00843194"/>
    <w:rsid w:val="00843C86"/>
    <w:rsid w:val="00844A3F"/>
    <w:rsid w:val="00845536"/>
    <w:rsid w:val="00845850"/>
    <w:rsid w:val="00846407"/>
    <w:rsid w:val="008472E2"/>
    <w:rsid w:val="00847823"/>
    <w:rsid w:val="00850044"/>
    <w:rsid w:val="00850757"/>
    <w:rsid w:val="008512F1"/>
    <w:rsid w:val="00851C29"/>
    <w:rsid w:val="008534EA"/>
    <w:rsid w:val="00853B49"/>
    <w:rsid w:val="00853BED"/>
    <w:rsid w:val="008540F0"/>
    <w:rsid w:val="008545AB"/>
    <w:rsid w:val="0085557B"/>
    <w:rsid w:val="00856CBA"/>
    <w:rsid w:val="00857181"/>
    <w:rsid w:val="00857867"/>
    <w:rsid w:val="00861A86"/>
    <w:rsid w:val="00862BB8"/>
    <w:rsid w:val="00863AA9"/>
    <w:rsid w:val="0086665A"/>
    <w:rsid w:val="00866E2B"/>
    <w:rsid w:val="00867440"/>
    <w:rsid w:val="00867A74"/>
    <w:rsid w:val="00867A8A"/>
    <w:rsid w:val="00867CFA"/>
    <w:rsid w:val="0087006B"/>
    <w:rsid w:val="0087083B"/>
    <w:rsid w:val="008715D5"/>
    <w:rsid w:val="00871B6A"/>
    <w:rsid w:val="0087300E"/>
    <w:rsid w:val="00874663"/>
    <w:rsid w:val="00874D63"/>
    <w:rsid w:val="00875E5C"/>
    <w:rsid w:val="008764EC"/>
    <w:rsid w:val="00877464"/>
    <w:rsid w:val="00881AAD"/>
    <w:rsid w:val="00882178"/>
    <w:rsid w:val="0089021F"/>
    <w:rsid w:val="00890733"/>
    <w:rsid w:val="00890F78"/>
    <w:rsid w:val="0089172C"/>
    <w:rsid w:val="00892831"/>
    <w:rsid w:val="00892A6F"/>
    <w:rsid w:val="00892C34"/>
    <w:rsid w:val="0089327C"/>
    <w:rsid w:val="00894B40"/>
    <w:rsid w:val="008A1666"/>
    <w:rsid w:val="008A1FBC"/>
    <w:rsid w:val="008A20B7"/>
    <w:rsid w:val="008A37B3"/>
    <w:rsid w:val="008A3FF6"/>
    <w:rsid w:val="008A53CF"/>
    <w:rsid w:val="008A5C62"/>
    <w:rsid w:val="008A5FC7"/>
    <w:rsid w:val="008B0213"/>
    <w:rsid w:val="008B3CB5"/>
    <w:rsid w:val="008B4C3C"/>
    <w:rsid w:val="008B5175"/>
    <w:rsid w:val="008B51F9"/>
    <w:rsid w:val="008B6435"/>
    <w:rsid w:val="008C03E8"/>
    <w:rsid w:val="008C1736"/>
    <w:rsid w:val="008C26A1"/>
    <w:rsid w:val="008C3320"/>
    <w:rsid w:val="008C452A"/>
    <w:rsid w:val="008C6A94"/>
    <w:rsid w:val="008C6E63"/>
    <w:rsid w:val="008C71CB"/>
    <w:rsid w:val="008C7288"/>
    <w:rsid w:val="008C799D"/>
    <w:rsid w:val="008C7F64"/>
    <w:rsid w:val="008D03A9"/>
    <w:rsid w:val="008D2B3F"/>
    <w:rsid w:val="008D4136"/>
    <w:rsid w:val="008D4516"/>
    <w:rsid w:val="008D4908"/>
    <w:rsid w:val="008D4FF2"/>
    <w:rsid w:val="008D6BF0"/>
    <w:rsid w:val="008E127E"/>
    <w:rsid w:val="008E1A94"/>
    <w:rsid w:val="008E24CC"/>
    <w:rsid w:val="008E2A88"/>
    <w:rsid w:val="008E5315"/>
    <w:rsid w:val="008E6231"/>
    <w:rsid w:val="008E6C6D"/>
    <w:rsid w:val="008F05B3"/>
    <w:rsid w:val="008F0AC2"/>
    <w:rsid w:val="008F0C46"/>
    <w:rsid w:val="008F1AE9"/>
    <w:rsid w:val="008F29AA"/>
    <w:rsid w:val="008F3139"/>
    <w:rsid w:val="008F4B44"/>
    <w:rsid w:val="008F5284"/>
    <w:rsid w:val="00900E2D"/>
    <w:rsid w:val="00901B4D"/>
    <w:rsid w:val="00903D4E"/>
    <w:rsid w:val="0090554A"/>
    <w:rsid w:val="00907331"/>
    <w:rsid w:val="00910E2C"/>
    <w:rsid w:val="009132C2"/>
    <w:rsid w:val="009139B7"/>
    <w:rsid w:val="009160C0"/>
    <w:rsid w:val="0091659C"/>
    <w:rsid w:val="0091681B"/>
    <w:rsid w:val="0092094E"/>
    <w:rsid w:val="00920DFC"/>
    <w:rsid w:val="00922195"/>
    <w:rsid w:val="0092224D"/>
    <w:rsid w:val="00922650"/>
    <w:rsid w:val="00924D1D"/>
    <w:rsid w:val="00925AC6"/>
    <w:rsid w:val="00926118"/>
    <w:rsid w:val="009262F4"/>
    <w:rsid w:val="00926B41"/>
    <w:rsid w:val="0093058E"/>
    <w:rsid w:val="0093191B"/>
    <w:rsid w:val="00931D26"/>
    <w:rsid w:val="0093586C"/>
    <w:rsid w:val="00937310"/>
    <w:rsid w:val="0094018F"/>
    <w:rsid w:val="0094023D"/>
    <w:rsid w:val="009405E0"/>
    <w:rsid w:val="00942185"/>
    <w:rsid w:val="00943CFB"/>
    <w:rsid w:val="00943F02"/>
    <w:rsid w:val="009475DD"/>
    <w:rsid w:val="00947B1A"/>
    <w:rsid w:val="0095076A"/>
    <w:rsid w:val="00950BDD"/>
    <w:rsid w:val="00950FC8"/>
    <w:rsid w:val="00952E32"/>
    <w:rsid w:val="00953EC8"/>
    <w:rsid w:val="0095456F"/>
    <w:rsid w:val="00955C37"/>
    <w:rsid w:val="00957674"/>
    <w:rsid w:val="00961C49"/>
    <w:rsid w:val="00962141"/>
    <w:rsid w:val="00962280"/>
    <w:rsid w:val="0096245D"/>
    <w:rsid w:val="00962E7D"/>
    <w:rsid w:val="009631DE"/>
    <w:rsid w:val="00963293"/>
    <w:rsid w:val="00963A02"/>
    <w:rsid w:val="00963E36"/>
    <w:rsid w:val="00966661"/>
    <w:rsid w:val="0097084E"/>
    <w:rsid w:val="00971528"/>
    <w:rsid w:val="0097174C"/>
    <w:rsid w:val="00971A3D"/>
    <w:rsid w:val="00971C4C"/>
    <w:rsid w:val="0097207F"/>
    <w:rsid w:val="00972559"/>
    <w:rsid w:val="00972FCE"/>
    <w:rsid w:val="009732AC"/>
    <w:rsid w:val="00974A54"/>
    <w:rsid w:val="00975143"/>
    <w:rsid w:val="00975888"/>
    <w:rsid w:val="009762AD"/>
    <w:rsid w:val="00976643"/>
    <w:rsid w:val="00976B09"/>
    <w:rsid w:val="00981EEF"/>
    <w:rsid w:val="00982098"/>
    <w:rsid w:val="00983377"/>
    <w:rsid w:val="009841DB"/>
    <w:rsid w:val="00986239"/>
    <w:rsid w:val="009863EE"/>
    <w:rsid w:val="009870A0"/>
    <w:rsid w:val="00987A8F"/>
    <w:rsid w:val="0099139E"/>
    <w:rsid w:val="0099294B"/>
    <w:rsid w:val="00994620"/>
    <w:rsid w:val="0099557B"/>
    <w:rsid w:val="00995928"/>
    <w:rsid w:val="009962E7"/>
    <w:rsid w:val="00997050"/>
    <w:rsid w:val="00997870"/>
    <w:rsid w:val="0099798A"/>
    <w:rsid w:val="009A3C47"/>
    <w:rsid w:val="009A5321"/>
    <w:rsid w:val="009A6489"/>
    <w:rsid w:val="009A7138"/>
    <w:rsid w:val="009A7593"/>
    <w:rsid w:val="009A7ECC"/>
    <w:rsid w:val="009B0D15"/>
    <w:rsid w:val="009B2B58"/>
    <w:rsid w:val="009B30E4"/>
    <w:rsid w:val="009B332A"/>
    <w:rsid w:val="009B39B1"/>
    <w:rsid w:val="009B6947"/>
    <w:rsid w:val="009B727D"/>
    <w:rsid w:val="009C04F4"/>
    <w:rsid w:val="009C135E"/>
    <w:rsid w:val="009C1563"/>
    <w:rsid w:val="009C1E6D"/>
    <w:rsid w:val="009C2F9D"/>
    <w:rsid w:val="009C401A"/>
    <w:rsid w:val="009C4207"/>
    <w:rsid w:val="009C4C9A"/>
    <w:rsid w:val="009C5CCD"/>
    <w:rsid w:val="009D0E98"/>
    <w:rsid w:val="009D1928"/>
    <w:rsid w:val="009D1D96"/>
    <w:rsid w:val="009D2EF6"/>
    <w:rsid w:val="009D3784"/>
    <w:rsid w:val="009D5EC3"/>
    <w:rsid w:val="009D73EC"/>
    <w:rsid w:val="009D7AF1"/>
    <w:rsid w:val="009E0333"/>
    <w:rsid w:val="009E1436"/>
    <w:rsid w:val="009E34FB"/>
    <w:rsid w:val="009E3636"/>
    <w:rsid w:val="009E3DA9"/>
    <w:rsid w:val="009E3E10"/>
    <w:rsid w:val="009E4A34"/>
    <w:rsid w:val="009E56F3"/>
    <w:rsid w:val="009E5EBD"/>
    <w:rsid w:val="009E61AA"/>
    <w:rsid w:val="009E6ED3"/>
    <w:rsid w:val="009F11F2"/>
    <w:rsid w:val="009F17C4"/>
    <w:rsid w:val="009F1D84"/>
    <w:rsid w:val="009F25B4"/>
    <w:rsid w:val="009F3693"/>
    <w:rsid w:val="009F3935"/>
    <w:rsid w:val="009F3ED9"/>
    <w:rsid w:val="009F4C57"/>
    <w:rsid w:val="009F5AA8"/>
    <w:rsid w:val="00A00307"/>
    <w:rsid w:val="00A01C14"/>
    <w:rsid w:val="00A03181"/>
    <w:rsid w:val="00A06175"/>
    <w:rsid w:val="00A06892"/>
    <w:rsid w:val="00A07215"/>
    <w:rsid w:val="00A10567"/>
    <w:rsid w:val="00A11B8F"/>
    <w:rsid w:val="00A11EC8"/>
    <w:rsid w:val="00A1293F"/>
    <w:rsid w:val="00A1667E"/>
    <w:rsid w:val="00A1712B"/>
    <w:rsid w:val="00A177C9"/>
    <w:rsid w:val="00A179C6"/>
    <w:rsid w:val="00A20F9E"/>
    <w:rsid w:val="00A21CA9"/>
    <w:rsid w:val="00A22616"/>
    <w:rsid w:val="00A22F26"/>
    <w:rsid w:val="00A24687"/>
    <w:rsid w:val="00A2478B"/>
    <w:rsid w:val="00A25685"/>
    <w:rsid w:val="00A26674"/>
    <w:rsid w:val="00A26C5F"/>
    <w:rsid w:val="00A27079"/>
    <w:rsid w:val="00A279D1"/>
    <w:rsid w:val="00A30650"/>
    <w:rsid w:val="00A30B25"/>
    <w:rsid w:val="00A30B8E"/>
    <w:rsid w:val="00A310E4"/>
    <w:rsid w:val="00A31F1E"/>
    <w:rsid w:val="00A32BCE"/>
    <w:rsid w:val="00A3365F"/>
    <w:rsid w:val="00A337A9"/>
    <w:rsid w:val="00A359EE"/>
    <w:rsid w:val="00A35E93"/>
    <w:rsid w:val="00A40379"/>
    <w:rsid w:val="00A4059C"/>
    <w:rsid w:val="00A41207"/>
    <w:rsid w:val="00A416EF"/>
    <w:rsid w:val="00A41A2E"/>
    <w:rsid w:val="00A431E0"/>
    <w:rsid w:val="00A43693"/>
    <w:rsid w:val="00A44EF2"/>
    <w:rsid w:val="00A45B07"/>
    <w:rsid w:val="00A45CA9"/>
    <w:rsid w:val="00A47461"/>
    <w:rsid w:val="00A51456"/>
    <w:rsid w:val="00A51937"/>
    <w:rsid w:val="00A5443D"/>
    <w:rsid w:val="00A555D0"/>
    <w:rsid w:val="00A55DC2"/>
    <w:rsid w:val="00A56D90"/>
    <w:rsid w:val="00A57BA5"/>
    <w:rsid w:val="00A60136"/>
    <w:rsid w:val="00A613E9"/>
    <w:rsid w:val="00A61964"/>
    <w:rsid w:val="00A61988"/>
    <w:rsid w:val="00A63523"/>
    <w:rsid w:val="00A63C80"/>
    <w:rsid w:val="00A6407A"/>
    <w:rsid w:val="00A71028"/>
    <w:rsid w:val="00A734EC"/>
    <w:rsid w:val="00A735B5"/>
    <w:rsid w:val="00A73B1F"/>
    <w:rsid w:val="00A74412"/>
    <w:rsid w:val="00A75763"/>
    <w:rsid w:val="00A76A61"/>
    <w:rsid w:val="00A7786B"/>
    <w:rsid w:val="00A77A30"/>
    <w:rsid w:val="00A8507B"/>
    <w:rsid w:val="00A86105"/>
    <w:rsid w:val="00A8776B"/>
    <w:rsid w:val="00A87EF4"/>
    <w:rsid w:val="00A90620"/>
    <w:rsid w:val="00A90655"/>
    <w:rsid w:val="00A92996"/>
    <w:rsid w:val="00A94F58"/>
    <w:rsid w:val="00A95531"/>
    <w:rsid w:val="00A95AF2"/>
    <w:rsid w:val="00A969E7"/>
    <w:rsid w:val="00A974A8"/>
    <w:rsid w:val="00AA041C"/>
    <w:rsid w:val="00AA1513"/>
    <w:rsid w:val="00AA207C"/>
    <w:rsid w:val="00AA2AA7"/>
    <w:rsid w:val="00AA3A68"/>
    <w:rsid w:val="00AA4EDE"/>
    <w:rsid w:val="00AA5A44"/>
    <w:rsid w:val="00AA6DCB"/>
    <w:rsid w:val="00AA6EC5"/>
    <w:rsid w:val="00AA766D"/>
    <w:rsid w:val="00AB052B"/>
    <w:rsid w:val="00AB20EB"/>
    <w:rsid w:val="00AB387B"/>
    <w:rsid w:val="00AB502F"/>
    <w:rsid w:val="00AB53A4"/>
    <w:rsid w:val="00AB7469"/>
    <w:rsid w:val="00AC0045"/>
    <w:rsid w:val="00AC0709"/>
    <w:rsid w:val="00AC17D2"/>
    <w:rsid w:val="00AC38DA"/>
    <w:rsid w:val="00AC4011"/>
    <w:rsid w:val="00AC531F"/>
    <w:rsid w:val="00AC5719"/>
    <w:rsid w:val="00AC581F"/>
    <w:rsid w:val="00AC69FC"/>
    <w:rsid w:val="00AD0B02"/>
    <w:rsid w:val="00AD0E9F"/>
    <w:rsid w:val="00AD1D15"/>
    <w:rsid w:val="00AD1E17"/>
    <w:rsid w:val="00AD35F7"/>
    <w:rsid w:val="00AD4BFA"/>
    <w:rsid w:val="00AD5392"/>
    <w:rsid w:val="00AD5C05"/>
    <w:rsid w:val="00AD719F"/>
    <w:rsid w:val="00AE08AD"/>
    <w:rsid w:val="00AE0E55"/>
    <w:rsid w:val="00AE0F7A"/>
    <w:rsid w:val="00AE14D7"/>
    <w:rsid w:val="00AE184D"/>
    <w:rsid w:val="00AE2635"/>
    <w:rsid w:val="00AE3937"/>
    <w:rsid w:val="00AE3DCE"/>
    <w:rsid w:val="00AE3E47"/>
    <w:rsid w:val="00AE4C0D"/>
    <w:rsid w:val="00AE58B3"/>
    <w:rsid w:val="00AE6118"/>
    <w:rsid w:val="00AF19D9"/>
    <w:rsid w:val="00AF1ABD"/>
    <w:rsid w:val="00AF2158"/>
    <w:rsid w:val="00AF24A5"/>
    <w:rsid w:val="00AF29C3"/>
    <w:rsid w:val="00AF2ABD"/>
    <w:rsid w:val="00AF2ECA"/>
    <w:rsid w:val="00AF3B87"/>
    <w:rsid w:val="00AF3C57"/>
    <w:rsid w:val="00AF536F"/>
    <w:rsid w:val="00AF5D84"/>
    <w:rsid w:val="00AF6946"/>
    <w:rsid w:val="00AF7B44"/>
    <w:rsid w:val="00B00604"/>
    <w:rsid w:val="00B01C41"/>
    <w:rsid w:val="00B021EA"/>
    <w:rsid w:val="00B022B6"/>
    <w:rsid w:val="00B07618"/>
    <w:rsid w:val="00B11724"/>
    <w:rsid w:val="00B1283B"/>
    <w:rsid w:val="00B12DE9"/>
    <w:rsid w:val="00B1333E"/>
    <w:rsid w:val="00B1341A"/>
    <w:rsid w:val="00B14883"/>
    <w:rsid w:val="00B148C6"/>
    <w:rsid w:val="00B16C4A"/>
    <w:rsid w:val="00B17EEE"/>
    <w:rsid w:val="00B17F13"/>
    <w:rsid w:val="00B20DC2"/>
    <w:rsid w:val="00B210EE"/>
    <w:rsid w:val="00B21E98"/>
    <w:rsid w:val="00B22515"/>
    <w:rsid w:val="00B23523"/>
    <w:rsid w:val="00B23DC9"/>
    <w:rsid w:val="00B24C9C"/>
    <w:rsid w:val="00B256D1"/>
    <w:rsid w:val="00B25A86"/>
    <w:rsid w:val="00B25BE7"/>
    <w:rsid w:val="00B30848"/>
    <w:rsid w:val="00B3186F"/>
    <w:rsid w:val="00B31AEE"/>
    <w:rsid w:val="00B31E9E"/>
    <w:rsid w:val="00B327DD"/>
    <w:rsid w:val="00B32AF9"/>
    <w:rsid w:val="00B3548E"/>
    <w:rsid w:val="00B3636B"/>
    <w:rsid w:val="00B36C18"/>
    <w:rsid w:val="00B409DC"/>
    <w:rsid w:val="00B41497"/>
    <w:rsid w:val="00B4233F"/>
    <w:rsid w:val="00B4297C"/>
    <w:rsid w:val="00B43B4E"/>
    <w:rsid w:val="00B45614"/>
    <w:rsid w:val="00B47941"/>
    <w:rsid w:val="00B50B9D"/>
    <w:rsid w:val="00B51892"/>
    <w:rsid w:val="00B51CAD"/>
    <w:rsid w:val="00B52B1A"/>
    <w:rsid w:val="00B52C09"/>
    <w:rsid w:val="00B5472F"/>
    <w:rsid w:val="00B56779"/>
    <w:rsid w:val="00B607F4"/>
    <w:rsid w:val="00B6106A"/>
    <w:rsid w:val="00B619C2"/>
    <w:rsid w:val="00B61D6D"/>
    <w:rsid w:val="00B635A1"/>
    <w:rsid w:val="00B6497D"/>
    <w:rsid w:val="00B64AE3"/>
    <w:rsid w:val="00B64CE9"/>
    <w:rsid w:val="00B64F94"/>
    <w:rsid w:val="00B65053"/>
    <w:rsid w:val="00B651C9"/>
    <w:rsid w:val="00B65507"/>
    <w:rsid w:val="00B6552E"/>
    <w:rsid w:val="00B66959"/>
    <w:rsid w:val="00B66CDD"/>
    <w:rsid w:val="00B67FE7"/>
    <w:rsid w:val="00B704F4"/>
    <w:rsid w:val="00B74D61"/>
    <w:rsid w:val="00B7645B"/>
    <w:rsid w:val="00B764AC"/>
    <w:rsid w:val="00B770AA"/>
    <w:rsid w:val="00B81FF0"/>
    <w:rsid w:val="00B82D1D"/>
    <w:rsid w:val="00B83B16"/>
    <w:rsid w:val="00B8484C"/>
    <w:rsid w:val="00B848D2"/>
    <w:rsid w:val="00B84F68"/>
    <w:rsid w:val="00B85724"/>
    <w:rsid w:val="00B85DD6"/>
    <w:rsid w:val="00B87111"/>
    <w:rsid w:val="00B875AC"/>
    <w:rsid w:val="00B90113"/>
    <w:rsid w:val="00B901C8"/>
    <w:rsid w:val="00B91F2D"/>
    <w:rsid w:val="00B921A1"/>
    <w:rsid w:val="00B93012"/>
    <w:rsid w:val="00B931EE"/>
    <w:rsid w:val="00B95A8E"/>
    <w:rsid w:val="00BA01F4"/>
    <w:rsid w:val="00BA0EBA"/>
    <w:rsid w:val="00BA10BB"/>
    <w:rsid w:val="00BA2BE1"/>
    <w:rsid w:val="00BA2E69"/>
    <w:rsid w:val="00BA3C68"/>
    <w:rsid w:val="00BA52D2"/>
    <w:rsid w:val="00BA5FFE"/>
    <w:rsid w:val="00BA6053"/>
    <w:rsid w:val="00BA6243"/>
    <w:rsid w:val="00BA6645"/>
    <w:rsid w:val="00BA7211"/>
    <w:rsid w:val="00BB02BA"/>
    <w:rsid w:val="00BB0796"/>
    <w:rsid w:val="00BB0BA1"/>
    <w:rsid w:val="00BB2613"/>
    <w:rsid w:val="00BB2678"/>
    <w:rsid w:val="00BB2BA6"/>
    <w:rsid w:val="00BB2D9C"/>
    <w:rsid w:val="00BB2F68"/>
    <w:rsid w:val="00BB3566"/>
    <w:rsid w:val="00BB45D8"/>
    <w:rsid w:val="00BB6149"/>
    <w:rsid w:val="00BB6BE0"/>
    <w:rsid w:val="00BB70C5"/>
    <w:rsid w:val="00BB7436"/>
    <w:rsid w:val="00BB7600"/>
    <w:rsid w:val="00BB7D30"/>
    <w:rsid w:val="00BC0360"/>
    <w:rsid w:val="00BC2E2F"/>
    <w:rsid w:val="00BC2EBF"/>
    <w:rsid w:val="00BC3136"/>
    <w:rsid w:val="00BC3BCC"/>
    <w:rsid w:val="00BC3CB9"/>
    <w:rsid w:val="00BC462A"/>
    <w:rsid w:val="00BC58DB"/>
    <w:rsid w:val="00BC628F"/>
    <w:rsid w:val="00BC6594"/>
    <w:rsid w:val="00BC6A64"/>
    <w:rsid w:val="00BC6C9A"/>
    <w:rsid w:val="00BC7455"/>
    <w:rsid w:val="00BC7AD5"/>
    <w:rsid w:val="00BD0E18"/>
    <w:rsid w:val="00BD2B43"/>
    <w:rsid w:val="00BD38C7"/>
    <w:rsid w:val="00BD4B0F"/>
    <w:rsid w:val="00BD4D63"/>
    <w:rsid w:val="00BD58DD"/>
    <w:rsid w:val="00BD5EFF"/>
    <w:rsid w:val="00BE051A"/>
    <w:rsid w:val="00BE0667"/>
    <w:rsid w:val="00BE06DE"/>
    <w:rsid w:val="00BE0B02"/>
    <w:rsid w:val="00BE48C4"/>
    <w:rsid w:val="00BF0873"/>
    <w:rsid w:val="00BF0979"/>
    <w:rsid w:val="00BF103C"/>
    <w:rsid w:val="00BF169C"/>
    <w:rsid w:val="00BF333E"/>
    <w:rsid w:val="00BF4292"/>
    <w:rsid w:val="00BF6B2F"/>
    <w:rsid w:val="00C0088E"/>
    <w:rsid w:val="00C01577"/>
    <w:rsid w:val="00C024F1"/>
    <w:rsid w:val="00C03610"/>
    <w:rsid w:val="00C0498E"/>
    <w:rsid w:val="00C04997"/>
    <w:rsid w:val="00C05343"/>
    <w:rsid w:val="00C10A1B"/>
    <w:rsid w:val="00C112B4"/>
    <w:rsid w:val="00C116AF"/>
    <w:rsid w:val="00C12946"/>
    <w:rsid w:val="00C14371"/>
    <w:rsid w:val="00C145FC"/>
    <w:rsid w:val="00C14F46"/>
    <w:rsid w:val="00C15574"/>
    <w:rsid w:val="00C159D1"/>
    <w:rsid w:val="00C20327"/>
    <w:rsid w:val="00C20471"/>
    <w:rsid w:val="00C21AAF"/>
    <w:rsid w:val="00C2227D"/>
    <w:rsid w:val="00C22AE2"/>
    <w:rsid w:val="00C23537"/>
    <w:rsid w:val="00C24826"/>
    <w:rsid w:val="00C25179"/>
    <w:rsid w:val="00C256C6"/>
    <w:rsid w:val="00C260D2"/>
    <w:rsid w:val="00C2688D"/>
    <w:rsid w:val="00C26BFB"/>
    <w:rsid w:val="00C26D55"/>
    <w:rsid w:val="00C27113"/>
    <w:rsid w:val="00C30B98"/>
    <w:rsid w:val="00C34A95"/>
    <w:rsid w:val="00C37AEE"/>
    <w:rsid w:val="00C41FDA"/>
    <w:rsid w:val="00C421BF"/>
    <w:rsid w:val="00C42773"/>
    <w:rsid w:val="00C440EE"/>
    <w:rsid w:val="00C47054"/>
    <w:rsid w:val="00C4710A"/>
    <w:rsid w:val="00C4768E"/>
    <w:rsid w:val="00C50AEA"/>
    <w:rsid w:val="00C50D08"/>
    <w:rsid w:val="00C51B05"/>
    <w:rsid w:val="00C52697"/>
    <w:rsid w:val="00C530D8"/>
    <w:rsid w:val="00C534B9"/>
    <w:rsid w:val="00C53649"/>
    <w:rsid w:val="00C546EC"/>
    <w:rsid w:val="00C54A29"/>
    <w:rsid w:val="00C556E9"/>
    <w:rsid w:val="00C569A9"/>
    <w:rsid w:val="00C579E6"/>
    <w:rsid w:val="00C60020"/>
    <w:rsid w:val="00C6133E"/>
    <w:rsid w:val="00C6244A"/>
    <w:rsid w:val="00C62822"/>
    <w:rsid w:val="00C62DB2"/>
    <w:rsid w:val="00C63533"/>
    <w:rsid w:val="00C645D7"/>
    <w:rsid w:val="00C64735"/>
    <w:rsid w:val="00C64F56"/>
    <w:rsid w:val="00C65326"/>
    <w:rsid w:val="00C67CE2"/>
    <w:rsid w:val="00C67E5A"/>
    <w:rsid w:val="00C70AC7"/>
    <w:rsid w:val="00C726B3"/>
    <w:rsid w:val="00C735DC"/>
    <w:rsid w:val="00C74E9B"/>
    <w:rsid w:val="00C75B90"/>
    <w:rsid w:val="00C76EE4"/>
    <w:rsid w:val="00C77B5C"/>
    <w:rsid w:val="00C77E66"/>
    <w:rsid w:val="00C80769"/>
    <w:rsid w:val="00C80774"/>
    <w:rsid w:val="00C81381"/>
    <w:rsid w:val="00C824D5"/>
    <w:rsid w:val="00C82518"/>
    <w:rsid w:val="00C82644"/>
    <w:rsid w:val="00C82C23"/>
    <w:rsid w:val="00C830A3"/>
    <w:rsid w:val="00C84EC8"/>
    <w:rsid w:val="00C85B26"/>
    <w:rsid w:val="00C85C33"/>
    <w:rsid w:val="00C87E04"/>
    <w:rsid w:val="00C906E4"/>
    <w:rsid w:val="00C907E9"/>
    <w:rsid w:val="00C919BD"/>
    <w:rsid w:val="00C92516"/>
    <w:rsid w:val="00CA0E31"/>
    <w:rsid w:val="00CA134D"/>
    <w:rsid w:val="00CA1373"/>
    <w:rsid w:val="00CA232E"/>
    <w:rsid w:val="00CA2FAE"/>
    <w:rsid w:val="00CA3BBB"/>
    <w:rsid w:val="00CA46E9"/>
    <w:rsid w:val="00CA485B"/>
    <w:rsid w:val="00CA4A85"/>
    <w:rsid w:val="00CA4E57"/>
    <w:rsid w:val="00CA5FFC"/>
    <w:rsid w:val="00CA60AB"/>
    <w:rsid w:val="00CA75DA"/>
    <w:rsid w:val="00CB00A7"/>
    <w:rsid w:val="00CB0647"/>
    <w:rsid w:val="00CB0A44"/>
    <w:rsid w:val="00CB3A8C"/>
    <w:rsid w:val="00CB3EF4"/>
    <w:rsid w:val="00CB622D"/>
    <w:rsid w:val="00CB7CC2"/>
    <w:rsid w:val="00CC239B"/>
    <w:rsid w:val="00CC43B6"/>
    <w:rsid w:val="00CC4581"/>
    <w:rsid w:val="00CD0272"/>
    <w:rsid w:val="00CD12C3"/>
    <w:rsid w:val="00CD1426"/>
    <w:rsid w:val="00CD1784"/>
    <w:rsid w:val="00CD2AA9"/>
    <w:rsid w:val="00CD3EAB"/>
    <w:rsid w:val="00CD49A2"/>
    <w:rsid w:val="00CD5514"/>
    <w:rsid w:val="00CD5F2B"/>
    <w:rsid w:val="00CD7822"/>
    <w:rsid w:val="00CE0375"/>
    <w:rsid w:val="00CE1E94"/>
    <w:rsid w:val="00CE1FCD"/>
    <w:rsid w:val="00CE2353"/>
    <w:rsid w:val="00CE2F85"/>
    <w:rsid w:val="00CE4E61"/>
    <w:rsid w:val="00CE52C8"/>
    <w:rsid w:val="00CE6512"/>
    <w:rsid w:val="00CE653F"/>
    <w:rsid w:val="00CE71E0"/>
    <w:rsid w:val="00CE7954"/>
    <w:rsid w:val="00CE79E1"/>
    <w:rsid w:val="00CF0086"/>
    <w:rsid w:val="00CF14D7"/>
    <w:rsid w:val="00CF1705"/>
    <w:rsid w:val="00CF1E45"/>
    <w:rsid w:val="00CF2C9F"/>
    <w:rsid w:val="00CF304A"/>
    <w:rsid w:val="00CF361A"/>
    <w:rsid w:val="00CF4B34"/>
    <w:rsid w:val="00CF76F4"/>
    <w:rsid w:val="00CF7B96"/>
    <w:rsid w:val="00D0209F"/>
    <w:rsid w:val="00D02443"/>
    <w:rsid w:val="00D0377B"/>
    <w:rsid w:val="00D0385A"/>
    <w:rsid w:val="00D05633"/>
    <w:rsid w:val="00D05D95"/>
    <w:rsid w:val="00D0639E"/>
    <w:rsid w:val="00D10F28"/>
    <w:rsid w:val="00D112FC"/>
    <w:rsid w:val="00D118AD"/>
    <w:rsid w:val="00D11CA6"/>
    <w:rsid w:val="00D1424A"/>
    <w:rsid w:val="00D14495"/>
    <w:rsid w:val="00D14676"/>
    <w:rsid w:val="00D15229"/>
    <w:rsid w:val="00D1590D"/>
    <w:rsid w:val="00D160F1"/>
    <w:rsid w:val="00D1680F"/>
    <w:rsid w:val="00D1794D"/>
    <w:rsid w:val="00D20230"/>
    <w:rsid w:val="00D211E8"/>
    <w:rsid w:val="00D22B93"/>
    <w:rsid w:val="00D2372D"/>
    <w:rsid w:val="00D23D7A"/>
    <w:rsid w:val="00D244B9"/>
    <w:rsid w:val="00D24578"/>
    <w:rsid w:val="00D24612"/>
    <w:rsid w:val="00D26D4D"/>
    <w:rsid w:val="00D27349"/>
    <w:rsid w:val="00D30ABC"/>
    <w:rsid w:val="00D31B9B"/>
    <w:rsid w:val="00D31E05"/>
    <w:rsid w:val="00D326ED"/>
    <w:rsid w:val="00D33144"/>
    <w:rsid w:val="00D331C9"/>
    <w:rsid w:val="00D337F0"/>
    <w:rsid w:val="00D339D2"/>
    <w:rsid w:val="00D349EF"/>
    <w:rsid w:val="00D3676D"/>
    <w:rsid w:val="00D40B6C"/>
    <w:rsid w:val="00D435CE"/>
    <w:rsid w:val="00D45EE7"/>
    <w:rsid w:val="00D4623F"/>
    <w:rsid w:val="00D5183E"/>
    <w:rsid w:val="00D52C2F"/>
    <w:rsid w:val="00D53F30"/>
    <w:rsid w:val="00D54ED7"/>
    <w:rsid w:val="00D55C5F"/>
    <w:rsid w:val="00D56EB5"/>
    <w:rsid w:val="00D570A0"/>
    <w:rsid w:val="00D57314"/>
    <w:rsid w:val="00D57DF9"/>
    <w:rsid w:val="00D60295"/>
    <w:rsid w:val="00D60766"/>
    <w:rsid w:val="00D6118A"/>
    <w:rsid w:val="00D61481"/>
    <w:rsid w:val="00D623DA"/>
    <w:rsid w:val="00D62C2A"/>
    <w:rsid w:val="00D62E9E"/>
    <w:rsid w:val="00D632EA"/>
    <w:rsid w:val="00D63A82"/>
    <w:rsid w:val="00D64EEB"/>
    <w:rsid w:val="00D65B60"/>
    <w:rsid w:val="00D65C24"/>
    <w:rsid w:val="00D6615A"/>
    <w:rsid w:val="00D66458"/>
    <w:rsid w:val="00D67297"/>
    <w:rsid w:val="00D675AC"/>
    <w:rsid w:val="00D7017C"/>
    <w:rsid w:val="00D702E6"/>
    <w:rsid w:val="00D70544"/>
    <w:rsid w:val="00D71805"/>
    <w:rsid w:val="00D72A1C"/>
    <w:rsid w:val="00D75497"/>
    <w:rsid w:val="00D76577"/>
    <w:rsid w:val="00D76B84"/>
    <w:rsid w:val="00D76DCF"/>
    <w:rsid w:val="00D800B1"/>
    <w:rsid w:val="00D808D4"/>
    <w:rsid w:val="00D809D5"/>
    <w:rsid w:val="00D80CDA"/>
    <w:rsid w:val="00D810F9"/>
    <w:rsid w:val="00D81752"/>
    <w:rsid w:val="00D824A7"/>
    <w:rsid w:val="00D827CD"/>
    <w:rsid w:val="00D840E8"/>
    <w:rsid w:val="00D85632"/>
    <w:rsid w:val="00D8721A"/>
    <w:rsid w:val="00D87233"/>
    <w:rsid w:val="00D903E3"/>
    <w:rsid w:val="00D9127E"/>
    <w:rsid w:val="00D93C3F"/>
    <w:rsid w:val="00D97755"/>
    <w:rsid w:val="00DA0166"/>
    <w:rsid w:val="00DA0EDD"/>
    <w:rsid w:val="00DA2B7F"/>
    <w:rsid w:val="00DA4A86"/>
    <w:rsid w:val="00DA4F45"/>
    <w:rsid w:val="00DA500A"/>
    <w:rsid w:val="00DA5702"/>
    <w:rsid w:val="00DA5B57"/>
    <w:rsid w:val="00DA5D36"/>
    <w:rsid w:val="00DA7D45"/>
    <w:rsid w:val="00DB1715"/>
    <w:rsid w:val="00DB1985"/>
    <w:rsid w:val="00DB1BD4"/>
    <w:rsid w:val="00DB2ED9"/>
    <w:rsid w:val="00DB3070"/>
    <w:rsid w:val="00DB3693"/>
    <w:rsid w:val="00DB3726"/>
    <w:rsid w:val="00DB3F1E"/>
    <w:rsid w:val="00DB5036"/>
    <w:rsid w:val="00DB642F"/>
    <w:rsid w:val="00DC0EF1"/>
    <w:rsid w:val="00DC1874"/>
    <w:rsid w:val="00DC194C"/>
    <w:rsid w:val="00DC1F5F"/>
    <w:rsid w:val="00DC2238"/>
    <w:rsid w:val="00DC3CDD"/>
    <w:rsid w:val="00DC40CD"/>
    <w:rsid w:val="00DC4A0D"/>
    <w:rsid w:val="00DC6471"/>
    <w:rsid w:val="00DC668D"/>
    <w:rsid w:val="00DC7C5C"/>
    <w:rsid w:val="00DD1998"/>
    <w:rsid w:val="00DD588D"/>
    <w:rsid w:val="00DD7D68"/>
    <w:rsid w:val="00DD7DA7"/>
    <w:rsid w:val="00DE1A09"/>
    <w:rsid w:val="00DE1D94"/>
    <w:rsid w:val="00DE23EF"/>
    <w:rsid w:val="00DE31A3"/>
    <w:rsid w:val="00DE3318"/>
    <w:rsid w:val="00DE6078"/>
    <w:rsid w:val="00DE6849"/>
    <w:rsid w:val="00DE6D8F"/>
    <w:rsid w:val="00DE7244"/>
    <w:rsid w:val="00DF0DE7"/>
    <w:rsid w:val="00DF14B4"/>
    <w:rsid w:val="00DF191D"/>
    <w:rsid w:val="00DF3C3E"/>
    <w:rsid w:val="00DF5A08"/>
    <w:rsid w:val="00DF5D1A"/>
    <w:rsid w:val="00DF69B2"/>
    <w:rsid w:val="00DF6C6D"/>
    <w:rsid w:val="00DF7BBB"/>
    <w:rsid w:val="00DF7E2B"/>
    <w:rsid w:val="00E00033"/>
    <w:rsid w:val="00E00042"/>
    <w:rsid w:val="00E00107"/>
    <w:rsid w:val="00E003EA"/>
    <w:rsid w:val="00E00D09"/>
    <w:rsid w:val="00E00D35"/>
    <w:rsid w:val="00E00D7A"/>
    <w:rsid w:val="00E021FA"/>
    <w:rsid w:val="00E02622"/>
    <w:rsid w:val="00E02A9B"/>
    <w:rsid w:val="00E05DAD"/>
    <w:rsid w:val="00E0606E"/>
    <w:rsid w:val="00E06311"/>
    <w:rsid w:val="00E06323"/>
    <w:rsid w:val="00E06E27"/>
    <w:rsid w:val="00E071F0"/>
    <w:rsid w:val="00E07846"/>
    <w:rsid w:val="00E100BB"/>
    <w:rsid w:val="00E112E3"/>
    <w:rsid w:val="00E11827"/>
    <w:rsid w:val="00E11ABF"/>
    <w:rsid w:val="00E13A29"/>
    <w:rsid w:val="00E14498"/>
    <w:rsid w:val="00E16FB6"/>
    <w:rsid w:val="00E1779F"/>
    <w:rsid w:val="00E201CD"/>
    <w:rsid w:val="00E2036A"/>
    <w:rsid w:val="00E20B32"/>
    <w:rsid w:val="00E20DBF"/>
    <w:rsid w:val="00E2105F"/>
    <w:rsid w:val="00E21BE2"/>
    <w:rsid w:val="00E22E5F"/>
    <w:rsid w:val="00E233AF"/>
    <w:rsid w:val="00E23988"/>
    <w:rsid w:val="00E24F16"/>
    <w:rsid w:val="00E25592"/>
    <w:rsid w:val="00E256AE"/>
    <w:rsid w:val="00E26002"/>
    <w:rsid w:val="00E2667D"/>
    <w:rsid w:val="00E26A3F"/>
    <w:rsid w:val="00E278EE"/>
    <w:rsid w:val="00E30927"/>
    <w:rsid w:val="00E318CB"/>
    <w:rsid w:val="00E3246C"/>
    <w:rsid w:val="00E332E3"/>
    <w:rsid w:val="00E364AB"/>
    <w:rsid w:val="00E37521"/>
    <w:rsid w:val="00E37D6A"/>
    <w:rsid w:val="00E37EA9"/>
    <w:rsid w:val="00E4145E"/>
    <w:rsid w:val="00E41BF9"/>
    <w:rsid w:val="00E42021"/>
    <w:rsid w:val="00E421E9"/>
    <w:rsid w:val="00E4319A"/>
    <w:rsid w:val="00E45160"/>
    <w:rsid w:val="00E45BC5"/>
    <w:rsid w:val="00E45EC6"/>
    <w:rsid w:val="00E4620E"/>
    <w:rsid w:val="00E4708A"/>
    <w:rsid w:val="00E50B1C"/>
    <w:rsid w:val="00E52223"/>
    <w:rsid w:val="00E548CF"/>
    <w:rsid w:val="00E55C93"/>
    <w:rsid w:val="00E56E9B"/>
    <w:rsid w:val="00E5755B"/>
    <w:rsid w:val="00E578A1"/>
    <w:rsid w:val="00E605EB"/>
    <w:rsid w:val="00E608BE"/>
    <w:rsid w:val="00E60BB2"/>
    <w:rsid w:val="00E60D4C"/>
    <w:rsid w:val="00E63EF0"/>
    <w:rsid w:val="00E641F7"/>
    <w:rsid w:val="00E642A6"/>
    <w:rsid w:val="00E6458E"/>
    <w:rsid w:val="00E64F02"/>
    <w:rsid w:val="00E65549"/>
    <w:rsid w:val="00E659EF"/>
    <w:rsid w:val="00E65D2E"/>
    <w:rsid w:val="00E666E2"/>
    <w:rsid w:val="00E66B1D"/>
    <w:rsid w:val="00E672D1"/>
    <w:rsid w:val="00E725A8"/>
    <w:rsid w:val="00E731DD"/>
    <w:rsid w:val="00E74331"/>
    <w:rsid w:val="00E74795"/>
    <w:rsid w:val="00E7495F"/>
    <w:rsid w:val="00E74EBC"/>
    <w:rsid w:val="00E76FD0"/>
    <w:rsid w:val="00E772A1"/>
    <w:rsid w:val="00E7752F"/>
    <w:rsid w:val="00E77E74"/>
    <w:rsid w:val="00E81599"/>
    <w:rsid w:val="00E82DE9"/>
    <w:rsid w:val="00E83AFB"/>
    <w:rsid w:val="00E84E8C"/>
    <w:rsid w:val="00E84EAC"/>
    <w:rsid w:val="00E87544"/>
    <w:rsid w:val="00E8782B"/>
    <w:rsid w:val="00E9042D"/>
    <w:rsid w:val="00E90663"/>
    <w:rsid w:val="00E906AF"/>
    <w:rsid w:val="00E90B0B"/>
    <w:rsid w:val="00E911E1"/>
    <w:rsid w:val="00E92FEA"/>
    <w:rsid w:val="00E93258"/>
    <w:rsid w:val="00E942FD"/>
    <w:rsid w:val="00E94E7D"/>
    <w:rsid w:val="00E96D69"/>
    <w:rsid w:val="00EA00AA"/>
    <w:rsid w:val="00EA019D"/>
    <w:rsid w:val="00EA0E9C"/>
    <w:rsid w:val="00EA1A5D"/>
    <w:rsid w:val="00EA1DBF"/>
    <w:rsid w:val="00EA2064"/>
    <w:rsid w:val="00EA26A8"/>
    <w:rsid w:val="00EA3D74"/>
    <w:rsid w:val="00EA6872"/>
    <w:rsid w:val="00EA68CB"/>
    <w:rsid w:val="00EA75CF"/>
    <w:rsid w:val="00EB070C"/>
    <w:rsid w:val="00EB0AC4"/>
    <w:rsid w:val="00EB107F"/>
    <w:rsid w:val="00EB12C0"/>
    <w:rsid w:val="00EB1524"/>
    <w:rsid w:val="00EB1B34"/>
    <w:rsid w:val="00EB28FB"/>
    <w:rsid w:val="00EB2E8F"/>
    <w:rsid w:val="00EB354B"/>
    <w:rsid w:val="00EB3C05"/>
    <w:rsid w:val="00EB45FF"/>
    <w:rsid w:val="00EB6C04"/>
    <w:rsid w:val="00EB7A79"/>
    <w:rsid w:val="00EC06E2"/>
    <w:rsid w:val="00EC0DBC"/>
    <w:rsid w:val="00EC1F43"/>
    <w:rsid w:val="00EC3757"/>
    <w:rsid w:val="00EC4D3C"/>
    <w:rsid w:val="00EC5AEF"/>
    <w:rsid w:val="00EC5B2D"/>
    <w:rsid w:val="00EC6B74"/>
    <w:rsid w:val="00EC7FBF"/>
    <w:rsid w:val="00ED0F16"/>
    <w:rsid w:val="00ED2490"/>
    <w:rsid w:val="00ED384B"/>
    <w:rsid w:val="00ED3A4B"/>
    <w:rsid w:val="00ED3C5C"/>
    <w:rsid w:val="00ED48F9"/>
    <w:rsid w:val="00ED5C5A"/>
    <w:rsid w:val="00ED7861"/>
    <w:rsid w:val="00EE01DC"/>
    <w:rsid w:val="00EE13A7"/>
    <w:rsid w:val="00EE2FE5"/>
    <w:rsid w:val="00EE4626"/>
    <w:rsid w:val="00EE4C35"/>
    <w:rsid w:val="00EE5036"/>
    <w:rsid w:val="00EE50AA"/>
    <w:rsid w:val="00EE5A1E"/>
    <w:rsid w:val="00EE5D61"/>
    <w:rsid w:val="00EE664A"/>
    <w:rsid w:val="00EE69C5"/>
    <w:rsid w:val="00EE6D12"/>
    <w:rsid w:val="00EE7739"/>
    <w:rsid w:val="00EE7AB4"/>
    <w:rsid w:val="00EF057F"/>
    <w:rsid w:val="00EF1B7C"/>
    <w:rsid w:val="00EF1BB7"/>
    <w:rsid w:val="00EF2CB4"/>
    <w:rsid w:val="00EF3453"/>
    <w:rsid w:val="00EF39C1"/>
    <w:rsid w:val="00EF409B"/>
    <w:rsid w:val="00EF4406"/>
    <w:rsid w:val="00EF44BE"/>
    <w:rsid w:val="00EF4A77"/>
    <w:rsid w:val="00EF4B05"/>
    <w:rsid w:val="00EF51CD"/>
    <w:rsid w:val="00EF6698"/>
    <w:rsid w:val="00EF70F8"/>
    <w:rsid w:val="00EF7CA5"/>
    <w:rsid w:val="00EF7FD0"/>
    <w:rsid w:val="00F000AC"/>
    <w:rsid w:val="00F01DAC"/>
    <w:rsid w:val="00F01DBA"/>
    <w:rsid w:val="00F02072"/>
    <w:rsid w:val="00F028EA"/>
    <w:rsid w:val="00F03241"/>
    <w:rsid w:val="00F035E8"/>
    <w:rsid w:val="00F056C5"/>
    <w:rsid w:val="00F05DE8"/>
    <w:rsid w:val="00F064C8"/>
    <w:rsid w:val="00F0780B"/>
    <w:rsid w:val="00F07CAB"/>
    <w:rsid w:val="00F1111F"/>
    <w:rsid w:val="00F11E63"/>
    <w:rsid w:val="00F13EBC"/>
    <w:rsid w:val="00F13FB2"/>
    <w:rsid w:val="00F1427B"/>
    <w:rsid w:val="00F16730"/>
    <w:rsid w:val="00F1766C"/>
    <w:rsid w:val="00F20A4E"/>
    <w:rsid w:val="00F21836"/>
    <w:rsid w:val="00F21EF0"/>
    <w:rsid w:val="00F224CC"/>
    <w:rsid w:val="00F23B30"/>
    <w:rsid w:val="00F24AB1"/>
    <w:rsid w:val="00F25C02"/>
    <w:rsid w:val="00F25F8A"/>
    <w:rsid w:val="00F270D1"/>
    <w:rsid w:val="00F31040"/>
    <w:rsid w:val="00F31F72"/>
    <w:rsid w:val="00F35903"/>
    <w:rsid w:val="00F37B35"/>
    <w:rsid w:val="00F40AAB"/>
    <w:rsid w:val="00F4229A"/>
    <w:rsid w:val="00F4245D"/>
    <w:rsid w:val="00F4270A"/>
    <w:rsid w:val="00F45FEF"/>
    <w:rsid w:val="00F4670F"/>
    <w:rsid w:val="00F509DA"/>
    <w:rsid w:val="00F525A0"/>
    <w:rsid w:val="00F55656"/>
    <w:rsid w:val="00F55902"/>
    <w:rsid w:val="00F56569"/>
    <w:rsid w:val="00F56692"/>
    <w:rsid w:val="00F566A5"/>
    <w:rsid w:val="00F56ECA"/>
    <w:rsid w:val="00F57931"/>
    <w:rsid w:val="00F6092D"/>
    <w:rsid w:val="00F63ABC"/>
    <w:rsid w:val="00F65917"/>
    <w:rsid w:val="00F70528"/>
    <w:rsid w:val="00F7096A"/>
    <w:rsid w:val="00F712C8"/>
    <w:rsid w:val="00F714D3"/>
    <w:rsid w:val="00F71C9A"/>
    <w:rsid w:val="00F7282C"/>
    <w:rsid w:val="00F7342A"/>
    <w:rsid w:val="00F74118"/>
    <w:rsid w:val="00F74C66"/>
    <w:rsid w:val="00F753FD"/>
    <w:rsid w:val="00F75EE2"/>
    <w:rsid w:val="00F77792"/>
    <w:rsid w:val="00F77D8B"/>
    <w:rsid w:val="00F81E9F"/>
    <w:rsid w:val="00F82B9B"/>
    <w:rsid w:val="00F82E7E"/>
    <w:rsid w:val="00F839A7"/>
    <w:rsid w:val="00F842A6"/>
    <w:rsid w:val="00F848B1"/>
    <w:rsid w:val="00F851E2"/>
    <w:rsid w:val="00F90E97"/>
    <w:rsid w:val="00F9118C"/>
    <w:rsid w:val="00F92A54"/>
    <w:rsid w:val="00F9390F"/>
    <w:rsid w:val="00F94E34"/>
    <w:rsid w:val="00F95398"/>
    <w:rsid w:val="00F96317"/>
    <w:rsid w:val="00F968EF"/>
    <w:rsid w:val="00F96963"/>
    <w:rsid w:val="00F97EA6"/>
    <w:rsid w:val="00FA16AD"/>
    <w:rsid w:val="00FA20B4"/>
    <w:rsid w:val="00FA240B"/>
    <w:rsid w:val="00FA29F1"/>
    <w:rsid w:val="00FA2BD5"/>
    <w:rsid w:val="00FA5A7E"/>
    <w:rsid w:val="00FA5BBF"/>
    <w:rsid w:val="00FA6B6E"/>
    <w:rsid w:val="00FA6BBF"/>
    <w:rsid w:val="00FB0492"/>
    <w:rsid w:val="00FB16D9"/>
    <w:rsid w:val="00FB1D8B"/>
    <w:rsid w:val="00FB3568"/>
    <w:rsid w:val="00FB3EB0"/>
    <w:rsid w:val="00FB47B7"/>
    <w:rsid w:val="00FB5BD2"/>
    <w:rsid w:val="00FB5FA4"/>
    <w:rsid w:val="00FC09A0"/>
    <w:rsid w:val="00FC0DF3"/>
    <w:rsid w:val="00FC159F"/>
    <w:rsid w:val="00FC17DC"/>
    <w:rsid w:val="00FC4504"/>
    <w:rsid w:val="00FC4523"/>
    <w:rsid w:val="00FC48B8"/>
    <w:rsid w:val="00FD15CB"/>
    <w:rsid w:val="00FD2E19"/>
    <w:rsid w:val="00FD6B4D"/>
    <w:rsid w:val="00FD6E55"/>
    <w:rsid w:val="00FD70B8"/>
    <w:rsid w:val="00FD7731"/>
    <w:rsid w:val="00FE23CB"/>
    <w:rsid w:val="00FE2DB3"/>
    <w:rsid w:val="00FE4486"/>
    <w:rsid w:val="00FE4DB8"/>
    <w:rsid w:val="00FE67D7"/>
    <w:rsid w:val="00FE7FF3"/>
    <w:rsid w:val="00FF1F87"/>
    <w:rsid w:val="00FF2F6C"/>
    <w:rsid w:val="00FF32D8"/>
    <w:rsid w:val="00FF4CCC"/>
    <w:rsid w:val="00FF595C"/>
    <w:rsid w:val="011D4355"/>
    <w:rsid w:val="01527242"/>
    <w:rsid w:val="01954D19"/>
    <w:rsid w:val="01AC0F9C"/>
    <w:rsid w:val="01B43187"/>
    <w:rsid w:val="02577502"/>
    <w:rsid w:val="02D74B05"/>
    <w:rsid w:val="03136A2E"/>
    <w:rsid w:val="03DF4A35"/>
    <w:rsid w:val="03E94B2B"/>
    <w:rsid w:val="04400D69"/>
    <w:rsid w:val="04402605"/>
    <w:rsid w:val="04B270C1"/>
    <w:rsid w:val="04CF69F1"/>
    <w:rsid w:val="055D41D5"/>
    <w:rsid w:val="05AB50DB"/>
    <w:rsid w:val="05C4086E"/>
    <w:rsid w:val="05F16B49"/>
    <w:rsid w:val="06265280"/>
    <w:rsid w:val="062C3E9D"/>
    <w:rsid w:val="06714501"/>
    <w:rsid w:val="069E3FD5"/>
    <w:rsid w:val="07693F70"/>
    <w:rsid w:val="07751E23"/>
    <w:rsid w:val="077F17CC"/>
    <w:rsid w:val="07A50719"/>
    <w:rsid w:val="07AF767B"/>
    <w:rsid w:val="07F20818"/>
    <w:rsid w:val="08D40360"/>
    <w:rsid w:val="08D70227"/>
    <w:rsid w:val="090E4140"/>
    <w:rsid w:val="0A2C4990"/>
    <w:rsid w:val="0A7B3839"/>
    <w:rsid w:val="0B556A85"/>
    <w:rsid w:val="0B676472"/>
    <w:rsid w:val="0B971310"/>
    <w:rsid w:val="0B9C72DD"/>
    <w:rsid w:val="0BD107F3"/>
    <w:rsid w:val="0BD75148"/>
    <w:rsid w:val="0BF75D9F"/>
    <w:rsid w:val="0C3C2701"/>
    <w:rsid w:val="0D1817B3"/>
    <w:rsid w:val="0D631E83"/>
    <w:rsid w:val="0D6F4328"/>
    <w:rsid w:val="0D7E44BC"/>
    <w:rsid w:val="0DB032E2"/>
    <w:rsid w:val="0E9E7B9F"/>
    <w:rsid w:val="0EF44384"/>
    <w:rsid w:val="0F331DEF"/>
    <w:rsid w:val="0F6634D4"/>
    <w:rsid w:val="0FDA152B"/>
    <w:rsid w:val="0FEC01D8"/>
    <w:rsid w:val="0FF024B1"/>
    <w:rsid w:val="10712928"/>
    <w:rsid w:val="10A81C60"/>
    <w:rsid w:val="10CA6263"/>
    <w:rsid w:val="10EA17D0"/>
    <w:rsid w:val="110509B7"/>
    <w:rsid w:val="11207A31"/>
    <w:rsid w:val="1125681C"/>
    <w:rsid w:val="115A7505"/>
    <w:rsid w:val="11DC2F0A"/>
    <w:rsid w:val="12313822"/>
    <w:rsid w:val="123B3068"/>
    <w:rsid w:val="123D3EC9"/>
    <w:rsid w:val="1283439D"/>
    <w:rsid w:val="12870969"/>
    <w:rsid w:val="12962D75"/>
    <w:rsid w:val="12C6782B"/>
    <w:rsid w:val="13076D7C"/>
    <w:rsid w:val="14725519"/>
    <w:rsid w:val="14740A1C"/>
    <w:rsid w:val="14871C3B"/>
    <w:rsid w:val="148E15C6"/>
    <w:rsid w:val="14AD18F5"/>
    <w:rsid w:val="15157CFA"/>
    <w:rsid w:val="153A2191"/>
    <w:rsid w:val="156C6838"/>
    <w:rsid w:val="156E44B7"/>
    <w:rsid w:val="1662251B"/>
    <w:rsid w:val="16BA5EB3"/>
    <w:rsid w:val="16EF3DAF"/>
    <w:rsid w:val="172135A9"/>
    <w:rsid w:val="17EC4792"/>
    <w:rsid w:val="1844295B"/>
    <w:rsid w:val="188D3433"/>
    <w:rsid w:val="189439DF"/>
    <w:rsid w:val="189C0DB1"/>
    <w:rsid w:val="19350624"/>
    <w:rsid w:val="19BE2108"/>
    <w:rsid w:val="19CD1A6B"/>
    <w:rsid w:val="1A38596D"/>
    <w:rsid w:val="1A3D6716"/>
    <w:rsid w:val="1AC81839"/>
    <w:rsid w:val="1B657081"/>
    <w:rsid w:val="1C231D8E"/>
    <w:rsid w:val="1C2361BA"/>
    <w:rsid w:val="1C3F19F6"/>
    <w:rsid w:val="1CDC057D"/>
    <w:rsid w:val="1CF91C60"/>
    <w:rsid w:val="1D105904"/>
    <w:rsid w:val="1D312446"/>
    <w:rsid w:val="1EA913DC"/>
    <w:rsid w:val="1F06656B"/>
    <w:rsid w:val="1F0F77F4"/>
    <w:rsid w:val="1F20041B"/>
    <w:rsid w:val="1F3B3ED8"/>
    <w:rsid w:val="1F423032"/>
    <w:rsid w:val="1FB82F7B"/>
    <w:rsid w:val="1FE6313B"/>
    <w:rsid w:val="209D4D0F"/>
    <w:rsid w:val="20E04EFA"/>
    <w:rsid w:val="2116671D"/>
    <w:rsid w:val="21E2721F"/>
    <w:rsid w:val="22551E62"/>
    <w:rsid w:val="225536BD"/>
    <w:rsid w:val="22666CB6"/>
    <w:rsid w:val="2267795B"/>
    <w:rsid w:val="228B288F"/>
    <w:rsid w:val="238B02A5"/>
    <w:rsid w:val="23A10B26"/>
    <w:rsid w:val="23A40523"/>
    <w:rsid w:val="243B4281"/>
    <w:rsid w:val="24427675"/>
    <w:rsid w:val="252235A1"/>
    <w:rsid w:val="25ED205C"/>
    <w:rsid w:val="26927F5E"/>
    <w:rsid w:val="269834DF"/>
    <w:rsid w:val="26B74D5E"/>
    <w:rsid w:val="26F65C4A"/>
    <w:rsid w:val="272007F8"/>
    <w:rsid w:val="275D25EF"/>
    <w:rsid w:val="279B0C6E"/>
    <w:rsid w:val="27F241A8"/>
    <w:rsid w:val="28083682"/>
    <w:rsid w:val="2864443F"/>
    <w:rsid w:val="28DC6898"/>
    <w:rsid w:val="295C4868"/>
    <w:rsid w:val="296C2904"/>
    <w:rsid w:val="299A0172"/>
    <w:rsid w:val="29AF7DF8"/>
    <w:rsid w:val="2A7D127A"/>
    <w:rsid w:val="2A8B3650"/>
    <w:rsid w:val="2BE2435A"/>
    <w:rsid w:val="2C377149"/>
    <w:rsid w:val="2CB35427"/>
    <w:rsid w:val="2D60377E"/>
    <w:rsid w:val="2D8F684C"/>
    <w:rsid w:val="2F007E3C"/>
    <w:rsid w:val="2F556B04"/>
    <w:rsid w:val="2F876CAA"/>
    <w:rsid w:val="2F9B3A1E"/>
    <w:rsid w:val="30416714"/>
    <w:rsid w:val="307C3EB5"/>
    <w:rsid w:val="30AC3D02"/>
    <w:rsid w:val="30EC3CCF"/>
    <w:rsid w:val="30FF59EB"/>
    <w:rsid w:val="312824DE"/>
    <w:rsid w:val="316945B9"/>
    <w:rsid w:val="32355624"/>
    <w:rsid w:val="32705150"/>
    <w:rsid w:val="3283636F"/>
    <w:rsid w:val="328E0E7D"/>
    <w:rsid w:val="333E58EB"/>
    <w:rsid w:val="336A3110"/>
    <w:rsid w:val="33B70200"/>
    <w:rsid w:val="33DC080F"/>
    <w:rsid w:val="33E13EAD"/>
    <w:rsid w:val="3400217B"/>
    <w:rsid w:val="344D7206"/>
    <w:rsid w:val="346307A2"/>
    <w:rsid w:val="346F76D6"/>
    <w:rsid w:val="34734997"/>
    <w:rsid w:val="34AB1475"/>
    <w:rsid w:val="35071987"/>
    <w:rsid w:val="357E6FD1"/>
    <w:rsid w:val="358A3AD8"/>
    <w:rsid w:val="35AF77A0"/>
    <w:rsid w:val="36C41867"/>
    <w:rsid w:val="36DC0D13"/>
    <w:rsid w:val="36FB4753"/>
    <w:rsid w:val="377C1D48"/>
    <w:rsid w:val="37EA1649"/>
    <w:rsid w:val="384719E3"/>
    <w:rsid w:val="385002E8"/>
    <w:rsid w:val="387963F4"/>
    <w:rsid w:val="38D43FE0"/>
    <w:rsid w:val="391C08A5"/>
    <w:rsid w:val="394036B6"/>
    <w:rsid w:val="39491F32"/>
    <w:rsid w:val="3AB0776C"/>
    <w:rsid w:val="3AEB79EE"/>
    <w:rsid w:val="3B55593C"/>
    <w:rsid w:val="3BD61426"/>
    <w:rsid w:val="3BEB00E3"/>
    <w:rsid w:val="3BF9256D"/>
    <w:rsid w:val="3C290FB7"/>
    <w:rsid w:val="3CA96714"/>
    <w:rsid w:val="3D865874"/>
    <w:rsid w:val="3DAC5CA6"/>
    <w:rsid w:val="3EB14296"/>
    <w:rsid w:val="3ED457F0"/>
    <w:rsid w:val="3F4127D6"/>
    <w:rsid w:val="3F715003"/>
    <w:rsid w:val="3F8D2FD4"/>
    <w:rsid w:val="3FAF0F8B"/>
    <w:rsid w:val="3FCE0A5F"/>
    <w:rsid w:val="40420CBA"/>
    <w:rsid w:val="407E304E"/>
    <w:rsid w:val="40972E3F"/>
    <w:rsid w:val="40B939AE"/>
    <w:rsid w:val="40DC40B1"/>
    <w:rsid w:val="426339F7"/>
    <w:rsid w:val="42A915A5"/>
    <w:rsid w:val="42D6268D"/>
    <w:rsid w:val="44697218"/>
    <w:rsid w:val="44A54102"/>
    <w:rsid w:val="45960747"/>
    <w:rsid w:val="465251FF"/>
    <w:rsid w:val="46A243E4"/>
    <w:rsid w:val="46B75DE7"/>
    <w:rsid w:val="46E3355B"/>
    <w:rsid w:val="476B11AA"/>
    <w:rsid w:val="47B325AF"/>
    <w:rsid w:val="481002C2"/>
    <w:rsid w:val="4888168E"/>
    <w:rsid w:val="48A25E6A"/>
    <w:rsid w:val="48D850C1"/>
    <w:rsid w:val="492B4C8F"/>
    <w:rsid w:val="498867BD"/>
    <w:rsid w:val="49B036B9"/>
    <w:rsid w:val="4AF81276"/>
    <w:rsid w:val="4AFD2237"/>
    <w:rsid w:val="4B5B3163"/>
    <w:rsid w:val="4BB21F75"/>
    <w:rsid w:val="4C926E1F"/>
    <w:rsid w:val="4CF25595"/>
    <w:rsid w:val="4D216E53"/>
    <w:rsid w:val="4D3B328B"/>
    <w:rsid w:val="4D6B5E76"/>
    <w:rsid w:val="4D9F185B"/>
    <w:rsid w:val="4EAA4484"/>
    <w:rsid w:val="4F1C3004"/>
    <w:rsid w:val="4F3552F3"/>
    <w:rsid w:val="4F360182"/>
    <w:rsid w:val="4F413B0F"/>
    <w:rsid w:val="50A22C57"/>
    <w:rsid w:val="50AB045C"/>
    <w:rsid w:val="50CA55BE"/>
    <w:rsid w:val="50E336C1"/>
    <w:rsid w:val="512E5549"/>
    <w:rsid w:val="513C6B5E"/>
    <w:rsid w:val="51631B5E"/>
    <w:rsid w:val="518C2F2C"/>
    <w:rsid w:val="51932EE3"/>
    <w:rsid w:val="51CC1882"/>
    <w:rsid w:val="52176DEE"/>
    <w:rsid w:val="521C69DC"/>
    <w:rsid w:val="522030C9"/>
    <w:rsid w:val="52242AC3"/>
    <w:rsid w:val="527A319D"/>
    <w:rsid w:val="527C13DA"/>
    <w:rsid w:val="52965DE9"/>
    <w:rsid w:val="537451B8"/>
    <w:rsid w:val="537B42CF"/>
    <w:rsid w:val="53F27E83"/>
    <w:rsid w:val="53FD7EA6"/>
    <w:rsid w:val="54036AE1"/>
    <w:rsid w:val="543E548D"/>
    <w:rsid w:val="54C06697"/>
    <w:rsid w:val="55497DEA"/>
    <w:rsid w:val="55746149"/>
    <w:rsid w:val="56357097"/>
    <w:rsid w:val="568279B9"/>
    <w:rsid w:val="56AE4428"/>
    <w:rsid w:val="56B030A0"/>
    <w:rsid w:val="574C110F"/>
    <w:rsid w:val="579730CB"/>
    <w:rsid w:val="57C641CF"/>
    <w:rsid w:val="586F3740"/>
    <w:rsid w:val="588E2720"/>
    <w:rsid w:val="58B54896"/>
    <w:rsid w:val="58D236C2"/>
    <w:rsid w:val="59060A06"/>
    <w:rsid w:val="59114FB0"/>
    <w:rsid w:val="5942577F"/>
    <w:rsid w:val="598633F7"/>
    <w:rsid w:val="59CD7F72"/>
    <w:rsid w:val="5A0A5DD6"/>
    <w:rsid w:val="5A5D394D"/>
    <w:rsid w:val="5A724B0F"/>
    <w:rsid w:val="5AA224B3"/>
    <w:rsid w:val="5AD90D18"/>
    <w:rsid w:val="5B3023F2"/>
    <w:rsid w:val="5BE16BC4"/>
    <w:rsid w:val="5C27624F"/>
    <w:rsid w:val="5C767840"/>
    <w:rsid w:val="5CBC0529"/>
    <w:rsid w:val="5CDA6971"/>
    <w:rsid w:val="5D820B7F"/>
    <w:rsid w:val="5D9A0C66"/>
    <w:rsid w:val="5D9B732D"/>
    <w:rsid w:val="5DB004C1"/>
    <w:rsid w:val="5DB1138B"/>
    <w:rsid w:val="5E3F2582"/>
    <w:rsid w:val="5EF37781"/>
    <w:rsid w:val="5EFD35C6"/>
    <w:rsid w:val="5F6059ED"/>
    <w:rsid w:val="60774B09"/>
    <w:rsid w:val="60B171C0"/>
    <w:rsid w:val="61C240B7"/>
    <w:rsid w:val="61E15FB7"/>
    <w:rsid w:val="61F66F47"/>
    <w:rsid w:val="62255429"/>
    <w:rsid w:val="623025A4"/>
    <w:rsid w:val="639706C6"/>
    <w:rsid w:val="63A150C0"/>
    <w:rsid w:val="63DF227F"/>
    <w:rsid w:val="6473128A"/>
    <w:rsid w:val="64784D10"/>
    <w:rsid w:val="64C610C5"/>
    <w:rsid w:val="64DE2339"/>
    <w:rsid w:val="64DF440C"/>
    <w:rsid w:val="64E135E5"/>
    <w:rsid w:val="657202BE"/>
    <w:rsid w:val="65901886"/>
    <w:rsid w:val="663771AF"/>
    <w:rsid w:val="66733B59"/>
    <w:rsid w:val="667C005C"/>
    <w:rsid w:val="66A27570"/>
    <w:rsid w:val="66BB48C8"/>
    <w:rsid w:val="675D7CA3"/>
    <w:rsid w:val="67B95729"/>
    <w:rsid w:val="67E30D1E"/>
    <w:rsid w:val="684C1B2A"/>
    <w:rsid w:val="68A0210C"/>
    <w:rsid w:val="68A827B8"/>
    <w:rsid w:val="68F24605"/>
    <w:rsid w:val="69270594"/>
    <w:rsid w:val="69FD14AF"/>
    <w:rsid w:val="6A9103B7"/>
    <w:rsid w:val="6AFF5C1B"/>
    <w:rsid w:val="6B1738D9"/>
    <w:rsid w:val="6B213BD1"/>
    <w:rsid w:val="6B5C74DB"/>
    <w:rsid w:val="6BAF6933"/>
    <w:rsid w:val="6BFE4664"/>
    <w:rsid w:val="6C3F2D24"/>
    <w:rsid w:val="6C54142D"/>
    <w:rsid w:val="6C9A38C6"/>
    <w:rsid w:val="6CA71DFE"/>
    <w:rsid w:val="6D5879D2"/>
    <w:rsid w:val="6D7256A0"/>
    <w:rsid w:val="6E686ECE"/>
    <w:rsid w:val="6E9B5902"/>
    <w:rsid w:val="6FED2384"/>
    <w:rsid w:val="704613FD"/>
    <w:rsid w:val="70F22AF4"/>
    <w:rsid w:val="710E2334"/>
    <w:rsid w:val="7119038A"/>
    <w:rsid w:val="7141510E"/>
    <w:rsid w:val="7164080C"/>
    <w:rsid w:val="71693855"/>
    <w:rsid w:val="72797A70"/>
    <w:rsid w:val="72C53ED8"/>
    <w:rsid w:val="72F62F98"/>
    <w:rsid w:val="736B711A"/>
    <w:rsid w:val="73997733"/>
    <w:rsid w:val="73BC418E"/>
    <w:rsid w:val="73EF387C"/>
    <w:rsid w:val="7434641A"/>
    <w:rsid w:val="74533602"/>
    <w:rsid w:val="74686510"/>
    <w:rsid w:val="747016D0"/>
    <w:rsid w:val="749F6996"/>
    <w:rsid w:val="74BB7047"/>
    <w:rsid w:val="75DC225A"/>
    <w:rsid w:val="75DC7F1B"/>
    <w:rsid w:val="75E86D3B"/>
    <w:rsid w:val="760E25CC"/>
    <w:rsid w:val="76256FD6"/>
    <w:rsid w:val="76373012"/>
    <w:rsid w:val="7711087A"/>
    <w:rsid w:val="772B2E92"/>
    <w:rsid w:val="776158EB"/>
    <w:rsid w:val="787F0CAA"/>
    <w:rsid w:val="78F12D78"/>
    <w:rsid w:val="799278B0"/>
    <w:rsid w:val="7A444BD3"/>
    <w:rsid w:val="7B362A78"/>
    <w:rsid w:val="7B582F6D"/>
    <w:rsid w:val="7B7956A0"/>
    <w:rsid w:val="7B94204B"/>
    <w:rsid w:val="7BCA0140"/>
    <w:rsid w:val="7C0B7A60"/>
    <w:rsid w:val="7CB21B70"/>
    <w:rsid w:val="7D1876CA"/>
    <w:rsid w:val="7D845AEE"/>
    <w:rsid w:val="7EBC1F79"/>
    <w:rsid w:val="7EF17302"/>
    <w:rsid w:val="7F370F50"/>
    <w:rsid w:val="7F7607B4"/>
    <w:rsid w:val="7F82244D"/>
    <w:rsid w:val="7F9D34FA"/>
    <w:rsid w:val="7FAD34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9"/>
    <w:autoRedefine/>
    <w:qFormat/>
    <w:uiPriority w:val="0"/>
    <w:pPr>
      <w:keepNext/>
      <w:keepLines/>
      <w:spacing w:before="340" w:after="330" w:line="576" w:lineRule="auto"/>
      <w:jc w:val="center"/>
      <w:outlineLvl w:val="0"/>
    </w:pPr>
    <w:rPr>
      <w:rFonts w:eastAsia="黑体"/>
      <w:b/>
      <w:kern w:val="44"/>
      <w:sz w:val="36"/>
    </w:rPr>
  </w:style>
  <w:style w:type="paragraph" w:styleId="3">
    <w:name w:val="heading 2"/>
    <w:basedOn w:val="1"/>
    <w:next w:val="1"/>
    <w:link w:val="50"/>
    <w:autoRedefine/>
    <w:qFormat/>
    <w:uiPriority w:val="0"/>
    <w:pPr>
      <w:keepNext/>
      <w:keepLines/>
      <w:spacing w:before="260" w:after="260" w:line="413" w:lineRule="auto"/>
      <w:jc w:val="center"/>
      <w:outlineLvl w:val="1"/>
    </w:pPr>
    <w:rPr>
      <w:rFonts w:ascii="CG Times" w:hAnsi="CG Times"/>
      <w:b/>
      <w:sz w:val="30"/>
    </w:rPr>
  </w:style>
  <w:style w:type="paragraph" w:styleId="4">
    <w:name w:val="heading 3"/>
    <w:basedOn w:val="1"/>
    <w:next w:val="1"/>
    <w:link w:val="51"/>
    <w:autoRedefine/>
    <w:qFormat/>
    <w:uiPriority w:val="0"/>
    <w:pPr>
      <w:keepNext/>
      <w:keepLines/>
      <w:spacing w:before="260" w:after="260" w:line="413" w:lineRule="auto"/>
      <w:outlineLvl w:val="2"/>
    </w:pPr>
    <w:rPr>
      <w:rFonts w:ascii="Tahoma" w:hAnsi="Tahoma"/>
      <w:b/>
      <w:kern w:val="0"/>
      <w:sz w:val="32"/>
    </w:rPr>
  </w:style>
  <w:style w:type="paragraph" w:styleId="5">
    <w:name w:val="heading 4"/>
    <w:basedOn w:val="1"/>
    <w:next w:val="6"/>
    <w:link w:val="53"/>
    <w:autoRedefine/>
    <w:qFormat/>
    <w:uiPriority w:val="0"/>
    <w:pPr>
      <w:keepNext/>
      <w:keepLines/>
      <w:tabs>
        <w:tab w:val="left" w:pos="425"/>
      </w:tabs>
      <w:spacing w:before="360" w:line="240" w:lineRule="exact"/>
      <w:outlineLvl w:val="3"/>
    </w:pPr>
    <w:rPr>
      <w:rFonts w:ascii="宋体"/>
      <w:b/>
      <w:sz w:val="28"/>
    </w:rPr>
  </w:style>
  <w:style w:type="paragraph" w:styleId="7">
    <w:name w:val="heading 5"/>
    <w:basedOn w:val="1"/>
    <w:next w:val="6"/>
    <w:link w:val="54"/>
    <w:autoRedefine/>
    <w:qFormat/>
    <w:uiPriority w:val="0"/>
    <w:pPr>
      <w:keepNext/>
      <w:keepLines/>
      <w:spacing w:before="280" w:after="290" w:line="372" w:lineRule="auto"/>
      <w:outlineLvl w:val="4"/>
    </w:pPr>
    <w:rPr>
      <w:b/>
      <w:sz w:val="28"/>
    </w:rPr>
  </w:style>
  <w:style w:type="paragraph" w:styleId="8">
    <w:name w:val="heading 6"/>
    <w:basedOn w:val="1"/>
    <w:next w:val="6"/>
    <w:link w:val="55"/>
    <w:autoRedefine/>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6"/>
    <w:link w:val="56"/>
    <w:autoRedefine/>
    <w:qFormat/>
    <w:uiPriority w:val="0"/>
    <w:pPr>
      <w:keepNext/>
      <w:keepLines/>
      <w:spacing w:before="240" w:after="64" w:line="317" w:lineRule="auto"/>
      <w:outlineLvl w:val="6"/>
    </w:pPr>
    <w:rPr>
      <w:b/>
      <w:sz w:val="24"/>
    </w:rPr>
  </w:style>
  <w:style w:type="paragraph" w:styleId="10">
    <w:name w:val="heading 8"/>
    <w:basedOn w:val="1"/>
    <w:next w:val="6"/>
    <w:link w:val="57"/>
    <w:autoRedefine/>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6"/>
    <w:link w:val="58"/>
    <w:autoRedefine/>
    <w:qFormat/>
    <w:uiPriority w:val="0"/>
    <w:pPr>
      <w:keepNext/>
      <w:keepLines/>
      <w:spacing w:before="240" w:after="64" w:line="317" w:lineRule="auto"/>
      <w:outlineLvl w:val="8"/>
    </w:pPr>
    <w:rPr>
      <w:rFonts w:ascii="Arial" w:hAnsi="Arial" w:eastAsia="黑体"/>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2"/>
    <w:autoRedefine/>
    <w:qFormat/>
    <w:uiPriority w:val="0"/>
    <w:pPr>
      <w:ind w:firstLine="420"/>
    </w:pPr>
    <w:rPr>
      <w:rFonts w:ascii="Tahoma" w:hAnsi="Tahoma"/>
    </w:rPr>
  </w:style>
  <w:style w:type="paragraph" w:styleId="12">
    <w:name w:val="toc 7"/>
    <w:basedOn w:val="1"/>
    <w:next w:val="1"/>
    <w:autoRedefine/>
    <w:qFormat/>
    <w:uiPriority w:val="0"/>
    <w:pPr>
      <w:ind w:left="2520" w:leftChars="1200"/>
    </w:pPr>
  </w:style>
  <w:style w:type="paragraph" w:styleId="13">
    <w:name w:val="Document Map"/>
    <w:basedOn w:val="1"/>
    <w:link w:val="59"/>
    <w:autoRedefine/>
    <w:qFormat/>
    <w:uiPriority w:val="0"/>
    <w:pPr>
      <w:shd w:val="clear" w:color="auto" w:fill="000080"/>
    </w:pPr>
  </w:style>
  <w:style w:type="paragraph" w:styleId="14">
    <w:name w:val="annotation text"/>
    <w:basedOn w:val="1"/>
    <w:link w:val="60"/>
    <w:autoRedefine/>
    <w:qFormat/>
    <w:uiPriority w:val="99"/>
    <w:pPr>
      <w:jc w:val="left"/>
    </w:pPr>
    <w:rPr>
      <w:rFonts w:ascii="Tahoma" w:hAnsi="Tahoma"/>
    </w:rPr>
  </w:style>
  <w:style w:type="paragraph" w:styleId="15">
    <w:name w:val="Salutation"/>
    <w:basedOn w:val="1"/>
    <w:next w:val="1"/>
    <w:link w:val="61"/>
    <w:autoRedefine/>
    <w:qFormat/>
    <w:uiPriority w:val="0"/>
    <w:pPr>
      <w:adjustRightInd w:val="0"/>
      <w:spacing w:line="312" w:lineRule="atLeast"/>
      <w:textAlignment w:val="baseline"/>
    </w:pPr>
    <w:rPr>
      <w:rFonts w:ascii="宋体" w:hAnsi="Tahoma"/>
      <w:kern w:val="0"/>
      <w:sz w:val="24"/>
    </w:rPr>
  </w:style>
  <w:style w:type="paragraph" w:styleId="16">
    <w:name w:val="Body Text"/>
    <w:basedOn w:val="1"/>
    <w:next w:val="1"/>
    <w:link w:val="48"/>
    <w:autoRedefine/>
    <w:qFormat/>
    <w:uiPriority w:val="0"/>
    <w:pPr>
      <w:spacing w:after="120"/>
    </w:pPr>
  </w:style>
  <w:style w:type="paragraph" w:styleId="17">
    <w:name w:val="Body Text Indent"/>
    <w:basedOn w:val="1"/>
    <w:link w:val="143"/>
    <w:autoRedefine/>
    <w:qFormat/>
    <w:uiPriority w:val="0"/>
    <w:pPr>
      <w:spacing w:line="360" w:lineRule="auto"/>
      <w:ind w:firstLine="525"/>
    </w:pPr>
    <w:rPr>
      <w:rFonts w:ascii="宋体" w:hAnsi="宋体"/>
      <w:sz w:val="24"/>
    </w:rPr>
  </w:style>
  <w:style w:type="paragraph" w:styleId="18">
    <w:name w:val="toc 5"/>
    <w:basedOn w:val="1"/>
    <w:next w:val="1"/>
    <w:qFormat/>
    <w:uiPriority w:val="0"/>
    <w:pPr>
      <w:ind w:left="1680" w:leftChars="800"/>
    </w:pPr>
  </w:style>
  <w:style w:type="paragraph" w:styleId="19">
    <w:name w:val="toc 3"/>
    <w:basedOn w:val="1"/>
    <w:next w:val="1"/>
    <w:autoRedefine/>
    <w:qFormat/>
    <w:uiPriority w:val="39"/>
    <w:pPr>
      <w:ind w:left="840" w:leftChars="400"/>
    </w:pPr>
  </w:style>
  <w:style w:type="paragraph" w:styleId="20">
    <w:name w:val="Plain Text"/>
    <w:basedOn w:val="1"/>
    <w:link w:val="62"/>
    <w:autoRedefine/>
    <w:qFormat/>
    <w:uiPriority w:val="0"/>
    <w:rPr>
      <w:rFonts w:ascii="宋体" w:hAnsi="Courier New"/>
    </w:rPr>
  </w:style>
  <w:style w:type="paragraph" w:styleId="21">
    <w:name w:val="toc 8"/>
    <w:basedOn w:val="1"/>
    <w:next w:val="1"/>
    <w:autoRedefine/>
    <w:qFormat/>
    <w:uiPriority w:val="0"/>
    <w:pPr>
      <w:ind w:left="2940" w:leftChars="1400"/>
    </w:pPr>
  </w:style>
  <w:style w:type="paragraph" w:styleId="22">
    <w:name w:val="Date"/>
    <w:basedOn w:val="1"/>
    <w:next w:val="1"/>
    <w:link w:val="63"/>
    <w:autoRedefine/>
    <w:qFormat/>
    <w:uiPriority w:val="0"/>
    <w:pPr>
      <w:ind w:left="100" w:leftChars="2500"/>
    </w:pPr>
    <w:rPr>
      <w:rFonts w:ascii="宋体" w:hAnsi="宋体"/>
      <w:sz w:val="24"/>
    </w:rPr>
  </w:style>
  <w:style w:type="paragraph" w:styleId="23">
    <w:name w:val="Body Text Indent 2"/>
    <w:basedOn w:val="1"/>
    <w:autoRedefine/>
    <w:qFormat/>
    <w:uiPriority w:val="0"/>
    <w:pPr>
      <w:spacing w:line="360" w:lineRule="auto"/>
      <w:ind w:firstLine="480" w:firstLineChars="200"/>
      <w:jc w:val="left"/>
    </w:pPr>
    <w:rPr>
      <w:rFonts w:hAnsi="宋体"/>
      <w:sz w:val="24"/>
    </w:rPr>
  </w:style>
  <w:style w:type="paragraph" w:styleId="24">
    <w:name w:val="Balloon Text"/>
    <w:basedOn w:val="1"/>
    <w:link w:val="64"/>
    <w:qFormat/>
    <w:uiPriority w:val="99"/>
    <w:rPr>
      <w:sz w:val="18"/>
    </w:rPr>
  </w:style>
  <w:style w:type="paragraph" w:styleId="25">
    <w:name w:val="footer"/>
    <w:basedOn w:val="1"/>
    <w:link w:val="65"/>
    <w:autoRedefine/>
    <w:qFormat/>
    <w:uiPriority w:val="99"/>
    <w:pPr>
      <w:tabs>
        <w:tab w:val="center" w:pos="4153"/>
        <w:tab w:val="right" w:pos="8306"/>
      </w:tabs>
      <w:snapToGrid w:val="0"/>
      <w:jc w:val="center"/>
    </w:pPr>
    <w:rPr>
      <w:sz w:val="18"/>
    </w:rPr>
  </w:style>
  <w:style w:type="paragraph" w:styleId="26">
    <w:name w:val="header"/>
    <w:basedOn w:val="1"/>
    <w:link w:val="66"/>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autoRedefine/>
    <w:qFormat/>
    <w:uiPriority w:val="39"/>
  </w:style>
  <w:style w:type="paragraph" w:styleId="28">
    <w:name w:val="toc 4"/>
    <w:basedOn w:val="1"/>
    <w:next w:val="1"/>
    <w:autoRedefine/>
    <w:qFormat/>
    <w:uiPriority w:val="0"/>
    <w:pPr>
      <w:ind w:left="1260" w:leftChars="600"/>
    </w:pPr>
  </w:style>
  <w:style w:type="paragraph" w:styleId="29">
    <w:name w:val="toc 6"/>
    <w:basedOn w:val="1"/>
    <w:next w:val="1"/>
    <w:autoRedefine/>
    <w:qFormat/>
    <w:uiPriority w:val="0"/>
    <w:pPr>
      <w:ind w:left="2100" w:leftChars="1000"/>
    </w:p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Body Text 2"/>
    <w:basedOn w:val="1"/>
    <w:next w:val="16"/>
    <w:autoRedefine/>
    <w:qFormat/>
    <w:uiPriority w:val="0"/>
    <w:pPr>
      <w:spacing w:after="120" w:line="480" w:lineRule="auto"/>
    </w:pPr>
  </w:style>
  <w:style w:type="paragraph" w:styleId="33">
    <w:name w:val="Normal (Web)"/>
    <w:basedOn w:val="1"/>
    <w:link w:val="67"/>
    <w:autoRedefine/>
    <w:qFormat/>
    <w:uiPriority w:val="99"/>
    <w:pPr>
      <w:widowControl/>
      <w:spacing w:before="100" w:beforeAutospacing="1" w:after="100" w:afterAutospacing="1"/>
      <w:jc w:val="left"/>
    </w:pPr>
    <w:rPr>
      <w:rFonts w:ascii="宋体" w:hAnsi="宋体" w:cs="宋体"/>
      <w:kern w:val="0"/>
      <w:sz w:val="24"/>
      <w:szCs w:val="24"/>
    </w:rPr>
  </w:style>
  <w:style w:type="paragraph" w:styleId="34">
    <w:name w:val="index 1"/>
    <w:basedOn w:val="1"/>
    <w:next w:val="1"/>
    <w:autoRedefine/>
    <w:qFormat/>
    <w:uiPriority w:val="0"/>
  </w:style>
  <w:style w:type="paragraph" w:styleId="35">
    <w:name w:val="Title"/>
    <w:basedOn w:val="1"/>
    <w:next w:val="1"/>
    <w:link w:val="124"/>
    <w:autoRedefine/>
    <w:qFormat/>
    <w:uiPriority w:val="0"/>
    <w:pPr>
      <w:spacing w:before="240" w:after="60"/>
      <w:jc w:val="center"/>
      <w:outlineLvl w:val="0"/>
    </w:pPr>
    <w:rPr>
      <w:rFonts w:ascii="Cambria" w:hAnsi="Cambria"/>
      <w:b/>
      <w:bCs/>
      <w:sz w:val="32"/>
      <w:szCs w:val="32"/>
    </w:rPr>
  </w:style>
  <w:style w:type="paragraph" w:styleId="36">
    <w:name w:val="annotation subject"/>
    <w:basedOn w:val="14"/>
    <w:next w:val="14"/>
    <w:link w:val="68"/>
    <w:autoRedefine/>
    <w:qFormat/>
    <w:uiPriority w:val="0"/>
    <w:rPr>
      <w:b/>
      <w:bCs/>
    </w:rPr>
  </w:style>
  <w:style w:type="paragraph" w:styleId="37">
    <w:name w:val="Body Text First Indent"/>
    <w:basedOn w:val="16"/>
    <w:next w:val="1"/>
    <w:autoRedefine/>
    <w:qFormat/>
    <w:uiPriority w:val="0"/>
    <w:pPr>
      <w:ind w:firstLine="420" w:firstLineChars="100"/>
    </w:pPr>
    <w:rPr>
      <w:kern w:val="0"/>
      <w:sz w:val="20"/>
    </w:rPr>
  </w:style>
  <w:style w:type="paragraph" w:styleId="38">
    <w:name w:val="Body Text First Indent 2"/>
    <w:basedOn w:val="17"/>
    <w:link w:val="139"/>
    <w:qFormat/>
    <w:uiPriority w:val="0"/>
    <w:pPr>
      <w:spacing w:after="120" w:line="240" w:lineRule="auto"/>
      <w:ind w:left="420" w:leftChars="200" w:firstLine="210" w:firstLineChars="200"/>
    </w:pPr>
    <w:rPr>
      <w:rFonts w:ascii="Times New Roman" w:hAnsi="Times New Roman"/>
      <w:kern w:val="0"/>
      <w:sz w:val="20"/>
      <w:szCs w:val="24"/>
    </w:rPr>
  </w:style>
  <w:style w:type="table" w:styleId="40">
    <w:name w:val="Table Grid"/>
    <w:basedOn w:val="3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basedOn w:val="41"/>
    <w:autoRedefine/>
    <w:qFormat/>
    <w:uiPriority w:val="0"/>
    <w:rPr>
      <w:rFonts w:ascii="Tahoma" w:hAnsi="Tahoma"/>
      <w:b/>
      <w:sz w:val="24"/>
      <w:szCs w:val="20"/>
    </w:rPr>
  </w:style>
  <w:style w:type="character" w:styleId="43">
    <w:name w:val="page number"/>
    <w:basedOn w:val="41"/>
    <w:autoRedefine/>
    <w:qFormat/>
    <w:uiPriority w:val="0"/>
  </w:style>
  <w:style w:type="character" w:styleId="44">
    <w:name w:val="FollowedHyperlink"/>
    <w:autoRedefine/>
    <w:qFormat/>
    <w:uiPriority w:val="0"/>
    <w:rPr>
      <w:rFonts w:hint="eastAsia" w:ascii="微软雅黑" w:hAnsi="微软雅黑" w:eastAsia="微软雅黑" w:cs="微软雅黑"/>
      <w:color w:val="02396F"/>
      <w:sz w:val="24"/>
      <w:szCs w:val="20"/>
      <w:u w:val="single"/>
    </w:rPr>
  </w:style>
  <w:style w:type="character" w:styleId="45">
    <w:name w:val="Emphasis"/>
    <w:qFormat/>
    <w:uiPriority w:val="20"/>
    <w:rPr>
      <w:rFonts w:ascii="Arial Black" w:hAnsi="Arial Black" w:eastAsia="黑体"/>
      <w:b/>
      <w:spacing w:val="0"/>
      <w:sz w:val="21"/>
      <w:lang w:eastAsia="zh-CN"/>
    </w:rPr>
  </w:style>
  <w:style w:type="character" w:styleId="46">
    <w:name w:val="Hyperlink"/>
    <w:autoRedefine/>
    <w:qFormat/>
    <w:uiPriority w:val="99"/>
    <w:rPr>
      <w:rFonts w:ascii="微软雅黑" w:hAnsi="微软雅黑" w:eastAsia="微软雅黑" w:cs="微软雅黑"/>
      <w:color w:val="02396F"/>
      <w:sz w:val="24"/>
      <w:szCs w:val="20"/>
      <w:u w:val="single"/>
    </w:rPr>
  </w:style>
  <w:style w:type="character" w:styleId="47">
    <w:name w:val="annotation reference"/>
    <w:autoRedefine/>
    <w:qFormat/>
    <w:uiPriority w:val="0"/>
    <w:rPr>
      <w:rFonts w:ascii="Tahoma" w:hAnsi="Tahoma"/>
      <w:sz w:val="21"/>
      <w:szCs w:val="21"/>
    </w:rPr>
  </w:style>
  <w:style w:type="character" w:customStyle="1" w:styleId="48">
    <w:name w:val="正文文本 Char"/>
    <w:basedOn w:val="41"/>
    <w:link w:val="16"/>
    <w:qFormat/>
    <w:uiPriority w:val="0"/>
    <w:rPr>
      <w:rFonts w:ascii="Times New Roman" w:hAnsi="Times New Roman" w:eastAsia="宋体" w:cs="Times New Roman"/>
      <w:kern w:val="2"/>
      <w:sz w:val="21"/>
    </w:rPr>
  </w:style>
  <w:style w:type="character" w:customStyle="1" w:styleId="49">
    <w:name w:val="标题 1 Char"/>
    <w:basedOn w:val="41"/>
    <w:link w:val="2"/>
    <w:autoRedefine/>
    <w:qFormat/>
    <w:uiPriority w:val="0"/>
    <w:rPr>
      <w:rFonts w:eastAsia="黑体"/>
      <w:b/>
      <w:kern w:val="44"/>
      <w:sz w:val="36"/>
    </w:rPr>
  </w:style>
  <w:style w:type="character" w:customStyle="1" w:styleId="50">
    <w:name w:val="标题 2 Char"/>
    <w:basedOn w:val="41"/>
    <w:link w:val="3"/>
    <w:autoRedefine/>
    <w:qFormat/>
    <w:uiPriority w:val="0"/>
    <w:rPr>
      <w:rFonts w:ascii="CG Times" w:hAnsi="CG Times" w:eastAsia="宋体" w:cs="Times New Roman"/>
      <w:b/>
      <w:kern w:val="2"/>
      <w:sz w:val="30"/>
    </w:rPr>
  </w:style>
  <w:style w:type="character" w:customStyle="1" w:styleId="51">
    <w:name w:val="标题 3 Char"/>
    <w:link w:val="4"/>
    <w:qFormat/>
    <w:uiPriority w:val="0"/>
    <w:rPr>
      <w:rFonts w:ascii="Tahoma" w:hAnsi="Tahoma"/>
      <w:b/>
      <w:sz w:val="32"/>
      <w:szCs w:val="20"/>
    </w:rPr>
  </w:style>
  <w:style w:type="character" w:customStyle="1" w:styleId="52">
    <w:name w:val="正文缩进 Char"/>
    <w:link w:val="6"/>
    <w:autoRedefine/>
    <w:qFormat/>
    <w:uiPriority w:val="0"/>
    <w:rPr>
      <w:rFonts w:ascii="Tahoma" w:hAnsi="Tahoma" w:eastAsia="宋体"/>
      <w:kern w:val="2"/>
      <w:sz w:val="21"/>
      <w:szCs w:val="20"/>
      <w:lang w:val="en-US" w:eastAsia="zh-CN" w:bidi="ar-SA"/>
    </w:rPr>
  </w:style>
  <w:style w:type="character" w:customStyle="1" w:styleId="53">
    <w:name w:val="标题 4 Char"/>
    <w:basedOn w:val="41"/>
    <w:link w:val="5"/>
    <w:autoRedefine/>
    <w:qFormat/>
    <w:uiPriority w:val="0"/>
    <w:rPr>
      <w:rFonts w:ascii="宋体" w:hAnsi="Times New Roman" w:eastAsia="宋体" w:cs="Times New Roman"/>
      <w:b/>
      <w:kern w:val="2"/>
      <w:sz w:val="28"/>
    </w:rPr>
  </w:style>
  <w:style w:type="character" w:customStyle="1" w:styleId="54">
    <w:name w:val="标题 5 Char"/>
    <w:basedOn w:val="41"/>
    <w:link w:val="7"/>
    <w:qFormat/>
    <w:uiPriority w:val="0"/>
    <w:rPr>
      <w:rFonts w:ascii="Times New Roman" w:hAnsi="Times New Roman" w:eastAsia="宋体" w:cs="Times New Roman"/>
      <w:b/>
      <w:kern w:val="2"/>
      <w:sz w:val="28"/>
    </w:rPr>
  </w:style>
  <w:style w:type="character" w:customStyle="1" w:styleId="55">
    <w:name w:val="标题 6 Char"/>
    <w:basedOn w:val="41"/>
    <w:link w:val="8"/>
    <w:autoRedefine/>
    <w:qFormat/>
    <w:uiPriority w:val="0"/>
    <w:rPr>
      <w:rFonts w:ascii="Arial" w:hAnsi="Arial" w:eastAsia="黑体" w:cs="Times New Roman"/>
      <w:b/>
      <w:kern w:val="2"/>
      <w:sz w:val="24"/>
    </w:rPr>
  </w:style>
  <w:style w:type="character" w:customStyle="1" w:styleId="56">
    <w:name w:val="标题 7 Char"/>
    <w:basedOn w:val="41"/>
    <w:link w:val="9"/>
    <w:autoRedefine/>
    <w:qFormat/>
    <w:uiPriority w:val="0"/>
    <w:rPr>
      <w:rFonts w:ascii="Times New Roman" w:hAnsi="Times New Roman" w:eastAsia="宋体" w:cs="Times New Roman"/>
      <w:b/>
      <w:kern w:val="2"/>
      <w:sz w:val="24"/>
    </w:rPr>
  </w:style>
  <w:style w:type="character" w:customStyle="1" w:styleId="57">
    <w:name w:val="标题 8 Char"/>
    <w:basedOn w:val="41"/>
    <w:link w:val="10"/>
    <w:autoRedefine/>
    <w:qFormat/>
    <w:uiPriority w:val="0"/>
    <w:rPr>
      <w:rFonts w:ascii="Arial" w:hAnsi="Arial" w:eastAsia="黑体" w:cs="Times New Roman"/>
      <w:kern w:val="2"/>
      <w:sz w:val="24"/>
    </w:rPr>
  </w:style>
  <w:style w:type="character" w:customStyle="1" w:styleId="58">
    <w:name w:val="标题 9 Char"/>
    <w:basedOn w:val="41"/>
    <w:link w:val="11"/>
    <w:autoRedefine/>
    <w:qFormat/>
    <w:uiPriority w:val="0"/>
    <w:rPr>
      <w:rFonts w:ascii="Arial" w:hAnsi="Arial" w:eastAsia="黑体" w:cs="Times New Roman"/>
      <w:kern w:val="2"/>
      <w:sz w:val="21"/>
    </w:rPr>
  </w:style>
  <w:style w:type="character" w:customStyle="1" w:styleId="59">
    <w:name w:val="文档结构图 Char"/>
    <w:link w:val="13"/>
    <w:autoRedefine/>
    <w:qFormat/>
    <w:uiPriority w:val="0"/>
    <w:rPr>
      <w:rFonts w:ascii="Times New Roman" w:hAnsi="Times New Roman" w:eastAsia="宋体" w:cs="Times New Roman"/>
      <w:kern w:val="2"/>
      <w:sz w:val="21"/>
      <w:shd w:val="clear" w:color="auto" w:fill="000080"/>
    </w:rPr>
  </w:style>
  <w:style w:type="character" w:customStyle="1" w:styleId="60">
    <w:name w:val="批注文字 Char"/>
    <w:link w:val="14"/>
    <w:autoRedefine/>
    <w:qFormat/>
    <w:uiPriority w:val="0"/>
    <w:rPr>
      <w:rFonts w:ascii="Tahoma" w:hAnsi="Tahoma"/>
      <w:kern w:val="2"/>
      <w:sz w:val="21"/>
      <w:szCs w:val="20"/>
    </w:rPr>
  </w:style>
  <w:style w:type="character" w:customStyle="1" w:styleId="61">
    <w:name w:val="称呼 Char"/>
    <w:link w:val="15"/>
    <w:autoRedefine/>
    <w:qFormat/>
    <w:uiPriority w:val="0"/>
    <w:rPr>
      <w:rFonts w:ascii="宋体" w:hAnsi="Tahoma" w:eastAsia="宋体"/>
      <w:sz w:val="24"/>
      <w:szCs w:val="20"/>
      <w:lang w:val="en-US" w:eastAsia="zh-CN" w:bidi="ar-SA"/>
    </w:rPr>
  </w:style>
  <w:style w:type="character" w:customStyle="1" w:styleId="62">
    <w:name w:val="纯文本 Char"/>
    <w:link w:val="20"/>
    <w:autoRedefine/>
    <w:qFormat/>
    <w:uiPriority w:val="0"/>
    <w:rPr>
      <w:rFonts w:ascii="宋体" w:hAnsi="Courier New" w:eastAsia="宋体"/>
      <w:kern w:val="2"/>
      <w:sz w:val="21"/>
      <w:szCs w:val="20"/>
      <w:lang w:val="en-US" w:eastAsia="zh-CN" w:bidi="ar-SA"/>
    </w:rPr>
  </w:style>
  <w:style w:type="character" w:customStyle="1" w:styleId="63">
    <w:name w:val="日期 Char"/>
    <w:link w:val="22"/>
    <w:autoRedefine/>
    <w:qFormat/>
    <w:uiPriority w:val="0"/>
    <w:rPr>
      <w:rFonts w:ascii="宋体" w:hAnsi="宋体" w:eastAsia="宋体"/>
      <w:kern w:val="2"/>
      <w:sz w:val="24"/>
      <w:szCs w:val="20"/>
      <w:lang w:val="en-US" w:eastAsia="zh-CN" w:bidi="ar-SA"/>
    </w:rPr>
  </w:style>
  <w:style w:type="character" w:customStyle="1" w:styleId="64">
    <w:name w:val="批注框文本 Char"/>
    <w:basedOn w:val="41"/>
    <w:link w:val="24"/>
    <w:autoRedefine/>
    <w:qFormat/>
    <w:uiPriority w:val="0"/>
    <w:rPr>
      <w:rFonts w:ascii="Times New Roman" w:hAnsi="Times New Roman" w:eastAsia="宋体" w:cs="Times New Roman"/>
      <w:kern w:val="2"/>
      <w:sz w:val="18"/>
    </w:rPr>
  </w:style>
  <w:style w:type="character" w:customStyle="1" w:styleId="65">
    <w:name w:val="页脚 Char"/>
    <w:basedOn w:val="41"/>
    <w:link w:val="25"/>
    <w:autoRedefine/>
    <w:qFormat/>
    <w:uiPriority w:val="99"/>
    <w:rPr>
      <w:kern w:val="2"/>
      <w:sz w:val="18"/>
    </w:rPr>
  </w:style>
  <w:style w:type="character" w:customStyle="1" w:styleId="66">
    <w:name w:val="页眉 Char"/>
    <w:basedOn w:val="41"/>
    <w:link w:val="26"/>
    <w:autoRedefine/>
    <w:qFormat/>
    <w:uiPriority w:val="0"/>
    <w:rPr>
      <w:kern w:val="2"/>
      <w:sz w:val="18"/>
    </w:rPr>
  </w:style>
  <w:style w:type="character" w:customStyle="1" w:styleId="67">
    <w:name w:val="普通(网站) Char"/>
    <w:link w:val="33"/>
    <w:autoRedefine/>
    <w:qFormat/>
    <w:uiPriority w:val="0"/>
    <w:rPr>
      <w:rFonts w:ascii="宋体" w:hAnsi="宋体" w:eastAsia="宋体" w:cs="宋体"/>
      <w:sz w:val="24"/>
      <w:szCs w:val="24"/>
    </w:rPr>
  </w:style>
  <w:style w:type="character" w:customStyle="1" w:styleId="68">
    <w:name w:val="批注主题 Char"/>
    <w:basedOn w:val="69"/>
    <w:link w:val="36"/>
    <w:autoRedefine/>
    <w:qFormat/>
    <w:uiPriority w:val="0"/>
    <w:rPr>
      <w:rFonts w:ascii="Tahoma" w:hAnsi="Tahoma" w:eastAsia="宋体" w:cs="Times New Roman"/>
      <w:b/>
      <w:bCs/>
      <w:kern w:val="2"/>
      <w:sz w:val="21"/>
      <w:szCs w:val="24"/>
    </w:rPr>
  </w:style>
  <w:style w:type="character" w:customStyle="1" w:styleId="69">
    <w:name w:val="批注文字 Char1"/>
    <w:basedOn w:val="41"/>
    <w:autoRedefine/>
    <w:semiHidden/>
    <w:qFormat/>
    <w:uiPriority w:val="99"/>
    <w:rPr>
      <w:kern w:val="2"/>
      <w:sz w:val="21"/>
      <w:szCs w:val="24"/>
    </w:rPr>
  </w:style>
  <w:style w:type="character" w:customStyle="1" w:styleId="70">
    <w:name w:val="p121"/>
    <w:autoRedefine/>
    <w:qFormat/>
    <w:uiPriority w:val="0"/>
    <w:rPr>
      <w:rFonts w:hint="default" w:ascii="ˎ̥" w:hAnsi="ˎ̥"/>
      <w:sz w:val="18"/>
      <w:szCs w:val="20"/>
    </w:rPr>
  </w:style>
  <w:style w:type="character" w:customStyle="1" w:styleId="71">
    <w:name w:val="h141"/>
    <w:autoRedefine/>
    <w:qFormat/>
    <w:uiPriority w:val="0"/>
    <w:rPr>
      <w:rFonts w:ascii="Tahoma" w:hAnsi="Tahoma"/>
      <w:color w:val="262626"/>
      <w:sz w:val="21"/>
      <w:szCs w:val="20"/>
    </w:rPr>
  </w:style>
  <w:style w:type="character" w:customStyle="1" w:styleId="72">
    <w:name w:val="cfdate"/>
    <w:autoRedefine/>
    <w:qFormat/>
    <w:uiPriority w:val="0"/>
    <w:rPr>
      <w:rFonts w:ascii="Tahoma" w:hAnsi="Tahoma"/>
      <w:color w:val="333333"/>
      <w:sz w:val="18"/>
      <w:szCs w:val="18"/>
    </w:rPr>
  </w:style>
  <w:style w:type="character" w:customStyle="1" w:styleId="73">
    <w:name w:val="特点 Char1"/>
    <w:autoRedefine/>
    <w:qFormat/>
    <w:uiPriority w:val="0"/>
    <w:rPr>
      <w:rFonts w:ascii="Tahoma" w:hAnsi="Tahoma" w:eastAsia="宋体"/>
      <w:kern w:val="2"/>
      <w:sz w:val="21"/>
      <w:szCs w:val="24"/>
      <w:lang w:val="en-US" w:eastAsia="zh-CN" w:bidi="ar-SA"/>
    </w:rPr>
  </w:style>
  <w:style w:type="character" w:customStyle="1" w:styleId="74">
    <w:name w:val="纯文本 Char Char1"/>
    <w:autoRedefine/>
    <w:qFormat/>
    <w:uiPriority w:val="0"/>
    <w:rPr>
      <w:rFonts w:ascii="宋体" w:hAnsi="Courier New" w:eastAsia="宋体"/>
      <w:kern w:val="2"/>
      <w:sz w:val="21"/>
      <w:szCs w:val="20"/>
      <w:lang w:val="en-US" w:eastAsia="zh-CN"/>
    </w:rPr>
  </w:style>
  <w:style w:type="character" w:customStyle="1" w:styleId="75">
    <w:name w:val="redfilefwwh"/>
    <w:autoRedefine/>
    <w:qFormat/>
    <w:uiPriority w:val="0"/>
    <w:rPr>
      <w:rFonts w:ascii="Tahoma" w:hAnsi="Tahoma"/>
      <w:color w:val="BA2636"/>
      <w:sz w:val="18"/>
      <w:szCs w:val="18"/>
    </w:rPr>
  </w:style>
  <w:style w:type="character" w:customStyle="1" w:styleId="76">
    <w:name w:val="displayarti"/>
    <w:autoRedefine/>
    <w:qFormat/>
    <w:uiPriority w:val="0"/>
    <w:rPr>
      <w:rFonts w:ascii="Tahoma" w:hAnsi="Tahoma"/>
      <w:color w:val="FFFFFF"/>
      <w:sz w:val="24"/>
      <w:szCs w:val="20"/>
      <w:shd w:val="clear" w:color="auto" w:fill="A00000"/>
    </w:rPr>
  </w:style>
  <w:style w:type="character" w:customStyle="1" w:styleId="77">
    <w:name w:val="Char Char1"/>
    <w:autoRedefine/>
    <w:qFormat/>
    <w:uiPriority w:val="0"/>
    <w:rPr>
      <w:rFonts w:ascii="宋体" w:hAnsi="Courier New" w:eastAsia="宋体"/>
      <w:kern w:val="2"/>
      <w:sz w:val="21"/>
      <w:szCs w:val="20"/>
      <w:lang w:val="en-US" w:eastAsia="zh-CN"/>
    </w:rPr>
  </w:style>
  <w:style w:type="character" w:customStyle="1" w:styleId="78">
    <w:name w:val="qxdate"/>
    <w:autoRedefine/>
    <w:qFormat/>
    <w:uiPriority w:val="0"/>
    <w:rPr>
      <w:rFonts w:ascii="Tahoma" w:hAnsi="Tahoma"/>
      <w:color w:val="333333"/>
      <w:sz w:val="18"/>
      <w:szCs w:val="18"/>
    </w:rPr>
  </w:style>
  <w:style w:type="character" w:customStyle="1" w:styleId="79">
    <w:name w:val="gjfg"/>
    <w:basedOn w:val="41"/>
    <w:autoRedefine/>
    <w:qFormat/>
    <w:uiPriority w:val="0"/>
  </w:style>
  <w:style w:type="character" w:customStyle="1" w:styleId="80">
    <w:name w:val="redfilenumber"/>
    <w:autoRedefine/>
    <w:qFormat/>
    <w:uiPriority w:val="0"/>
    <w:rPr>
      <w:rFonts w:ascii="Tahoma" w:hAnsi="Tahoma"/>
      <w:color w:val="BA2636"/>
      <w:sz w:val="18"/>
      <w:szCs w:val="18"/>
    </w:rPr>
  </w:style>
  <w:style w:type="character" w:customStyle="1" w:styleId="81">
    <w:name w:val="普通文字 Char Char"/>
    <w:autoRedefine/>
    <w:qFormat/>
    <w:uiPriority w:val="0"/>
    <w:rPr>
      <w:rFonts w:ascii="宋体" w:hAnsi="Courier New" w:eastAsia="宋体"/>
      <w:kern w:val="2"/>
      <w:sz w:val="21"/>
      <w:szCs w:val="20"/>
      <w:lang w:val="en-US" w:eastAsia="zh-CN"/>
    </w:rPr>
  </w:style>
  <w:style w:type="paragraph" w:customStyle="1" w:styleId="82">
    <w:name w:val="样式3"/>
    <w:basedOn w:val="20"/>
    <w:autoRedefine/>
    <w:qFormat/>
    <w:uiPriority w:val="0"/>
    <w:pPr>
      <w:spacing w:line="0" w:lineRule="atLeast"/>
      <w:outlineLvl w:val="0"/>
    </w:pPr>
    <w:rPr>
      <w:sz w:val="28"/>
    </w:rPr>
  </w:style>
  <w:style w:type="paragraph" w:customStyle="1" w:styleId="83">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84">
    <w:name w:val="Char2"/>
    <w:basedOn w:val="1"/>
    <w:autoRedefine/>
    <w:qFormat/>
    <w:uiPriority w:val="0"/>
    <w:rPr>
      <w:rFonts w:ascii="Tahoma" w:hAnsi="Tahoma"/>
      <w:sz w:val="24"/>
    </w:rPr>
  </w:style>
  <w:style w:type="paragraph" w:customStyle="1" w:styleId="85">
    <w:name w:val="标准"/>
    <w:basedOn w:val="1"/>
    <w:autoRedefine/>
    <w:qFormat/>
    <w:uiPriority w:val="0"/>
    <w:pPr>
      <w:spacing w:line="360" w:lineRule="auto"/>
      <w:ind w:firstLine="200" w:firstLineChars="200"/>
    </w:pPr>
    <w:rPr>
      <w:rFonts w:cs="宋体"/>
    </w:rPr>
  </w:style>
  <w:style w:type="paragraph" w:customStyle="1" w:styleId="86">
    <w:name w:val="ptdl"/>
    <w:basedOn w:val="1"/>
    <w:autoRedefine/>
    <w:qFormat/>
    <w:uiPriority w:val="0"/>
    <w:pPr>
      <w:spacing w:after="156"/>
      <w:ind w:firstLine="480"/>
    </w:pPr>
    <w:rPr>
      <w:sz w:val="24"/>
    </w:rPr>
  </w:style>
  <w:style w:type="paragraph" w:customStyle="1" w:styleId="87">
    <w:name w:val="正文_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Char Char Char Char"/>
    <w:basedOn w:val="1"/>
    <w:autoRedefine/>
    <w:qFormat/>
    <w:uiPriority w:val="0"/>
    <w:rPr>
      <w:rFonts w:ascii="Tahoma" w:hAnsi="Tahoma"/>
      <w:sz w:val="24"/>
    </w:rPr>
  </w:style>
  <w:style w:type="paragraph" w:customStyle="1" w:styleId="89">
    <w:name w:val="样式1"/>
    <w:basedOn w:val="1"/>
    <w:autoRedefine/>
    <w:qFormat/>
    <w:uiPriority w:val="0"/>
    <w:pPr>
      <w:spacing w:line="360" w:lineRule="auto"/>
      <w:jc w:val="center"/>
    </w:pPr>
    <w:rPr>
      <w:rFonts w:ascii="宋体" w:hAnsi="宋体"/>
      <w:b/>
      <w:sz w:val="32"/>
      <w:szCs w:val="30"/>
    </w:rPr>
  </w:style>
  <w:style w:type="paragraph" w:customStyle="1" w:styleId="90">
    <w:name w:val="Document Label"/>
    <w:basedOn w:val="1"/>
    <w:autoRedefine/>
    <w:qFormat/>
    <w:uiPriority w:val="0"/>
    <w:pPr>
      <w:keepNext/>
      <w:keepLines/>
      <w:widowControl/>
      <w:spacing w:before="400" w:after="120" w:line="240" w:lineRule="atLeast"/>
      <w:jc w:val="left"/>
    </w:pPr>
    <w:rPr>
      <w:rFonts w:ascii="Arial Black" w:hAnsi="Arial Black"/>
      <w:spacing w:val="-100"/>
      <w:kern w:val="28"/>
      <w:sz w:val="108"/>
    </w:rPr>
  </w:style>
  <w:style w:type="paragraph" w:customStyle="1" w:styleId="91">
    <w:name w:val="列出段落1"/>
    <w:basedOn w:val="1"/>
    <w:autoRedefine/>
    <w:qFormat/>
    <w:uiPriority w:val="99"/>
    <w:pPr>
      <w:ind w:firstLine="420" w:firstLineChars="200"/>
    </w:pPr>
  </w:style>
  <w:style w:type="paragraph" w:customStyle="1" w:styleId="92">
    <w:name w:val="彩色列表 - 强调文字颜色 11"/>
    <w:basedOn w:val="1"/>
    <w:autoRedefine/>
    <w:qFormat/>
    <w:uiPriority w:val="34"/>
    <w:pPr>
      <w:ind w:firstLine="420" w:firstLineChars="200"/>
    </w:pPr>
  </w:style>
  <w:style w:type="paragraph" w:customStyle="1" w:styleId="93">
    <w:name w:val="Char1 Char Char Char Char Char Char"/>
    <w:basedOn w:val="1"/>
    <w:autoRedefine/>
    <w:qFormat/>
    <w:uiPriority w:val="0"/>
    <w:rPr>
      <w:rFonts w:ascii="Tahoma" w:hAnsi="Tahoma"/>
      <w:sz w:val="24"/>
    </w:rPr>
  </w:style>
  <w:style w:type="paragraph" w:customStyle="1" w:styleId="94">
    <w:name w:val="纯文本_2"/>
    <w:basedOn w:val="87"/>
    <w:autoRedefine/>
    <w:qFormat/>
    <w:uiPriority w:val="0"/>
    <w:rPr>
      <w:rFonts w:ascii="宋体" w:hAnsi="Courier New"/>
      <w:szCs w:val="20"/>
    </w:rPr>
  </w:style>
  <w:style w:type="paragraph" w:customStyle="1" w:styleId="95">
    <w:name w:val="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96">
    <w:name w:val="xl22"/>
    <w:basedOn w:val="1"/>
    <w:autoRedefine/>
    <w:qFormat/>
    <w:uiPriority w:val="0"/>
    <w:pPr>
      <w:widowControl/>
      <w:spacing w:before="100" w:beforeAutospacing="1" w:after="100" w:afterAutospacing="1"/>
      <w:jc w:val="center"/>
    </w:pPr>
    <w:rPr>
      <w:rFonts w:ascii="宋体" w:hAnsi="宋体"/>
      <w:kern w:val="0"/>
      <w:sz w:val="24"/>
    </w:rPr>
  </w:style>
  <w:style w:type="paragraph" w:customStyle="1" w:styleId="97">
    <w:name w:val="正文0"/>
    <w:basedOn w:val="1"/>
    <w:autoRedefine/>
    <w:qFormat/>
    <w:uiPriority w:val="0"/>
    <w:pPr>
      <w:autoSpaceDE w:val="0"/>
      <w:autoSpaceDN w:val="0"/>
      <w:adjustRightInd w:val="0"/>
      <w:spacing w:before="240" w:after="60" w:line="360" w:lineRule="atLeast"/>
    </w:pPr>
    <w:rPr>
      <w:b/>
      <w:kern w:val="0"/>
      <w:sz w:val="24"/>
    </w:rPr>
  </w:style>
  <w:style w:type="paragraph" w:customStyle="1" w:styleId="98">
    <w:name w:val="Char Char Char Char Char Char Char"/>
    <w:basedOn w:val="1"/>
    <w:autoRedefine/>
    <w:qFormat/>
    <w:uiPriority w:val="0"/>
    <w:rPr>
      <w:rFonts w:ascii="Tahoma" w:hAnsi="Tahoma"/>
      <w:sz w:val="24"/>
    </w:rPr>
  </w:style>
  <w:style w:type="paragraph" w:customStyle="1" w:styleId="99">
    <w:name w:val="Char Char Char Char1"/>
    <w:basedOn w:val="1"/>
    <w:autoRedefine/>
    <w:qFormat/>
    <w:uiPriority w:val="0"/>
    <w:rPr>
      <w:rFonts w:ascii="Tahoma" w:hAnsi="Tahoma"/>
      <w:sz w:val="24"/>
    </w:rPr>
  </w:style>
  <w:style w:type="paragraph" w:customStyle="1" w:styleId="100">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101">
    <w:name w:val="Char Char Char"/>
    <w:basedOn w:val="1"/>
    <w:autoRedefine/>
    <w:qFormat/>
    <w:uiPriority w:val="0"/>
    <w:rPr>
      <w:rFonts w:ascii="Tahoma" w:hAnsi="Tahoma"/>
      <w:sz w:val="24"/>
    </w:rPr>
  </w:style>
  <w:style w:type="paragraph" w:customStyle="1" w:styleId="102">
    <w:name w:val="Char1"/>
    <w:basedOn w:val="1"/>
    <w:autoRedefine/>
    <w:qFormat/>
    <w:uiPriority w:val="0"/>
    <w:rPr>
      <w:rFonts w:ascii="Tahoma" w:hAnsi="Tahoma"/>
      <w:sz w:val="24"/>
    </w:rPr>
  </w:style>
  <w:style w:type="paragraph" w:customStyle="1" w:styleId="103">
    <w:name w:val="Char3"/>
    <w:basedOn w:val="1"/>
    <w:autoRedefine/>
    <w:qFormat/>
    <w:uiPriority w:val="0"/>
    <w:rPr>
      <w:rFonts w:ascii="Tahoma" w:hAnsi="Tahoma"/>
      <w:sz w:val="24"/>
    </w:rPr>
  </w:style>
  <w:style w:type="paragraph" w:customStyle="1" w:styleId="104">
    <w:name w:val="p0"/>
    <w:basedOn w:val="1"/>
    <w:autoRedefine/>
    <w:qFormat/>
    <w:uiPriority w:val="0"/>
    <w:pPr>
      <w:widowControl/>
    </w:pPr>
    <w:rPr>
      <w:kern w:val="0"/>
      <w:szCs w:val="21"/>
    </w:rPr>
  </w:style>
  <w:style w:type="paragraph" w:customStyle="1" w:styleId="105">
    <w:name w:val="TOC 标题1"/>
    <w:basedOn w:val="2"/>
    <w:next w:val="1"/>
    <w:autoRedefine/>
    <w:qFormat/>
    <w:uiPriority w:val="39"/>
    <w:pPr>
      <w:widowControl/>
      <w:spacing w:before="480" w:after="0" w:line="276" w:lineRule="auto"/>
      <w:jc w:val="left"/>
      <w:outlineLvl w:val="9"/>
    </w:pPr>
    <w:rPr>
      <w:rFonts w:ascii="Cambria" w:hAnsi="Cambria" w:eastAsia="宋体"/>
      <w:bCs/>
      <w:color w:val="365F91"/>
      <w:kern w:val="0"/>
      <w:sz w:val="28"/>
      <w:szCs w:val="28"/>
    </w:rPr>
  </w:style>
  <w:style w:type="paragraph" w:customStyle="1" w:styleId="106">
    <w:name w:val="Char Char Char Char Char Char Char Char Char Char"/>
    <w:basedOn w:val="1"/>
    <w:autoRedefine/>
    <w:qFormat/>
    <w:uiPriority w:val="0"/>
    <w:rPr>
      <w:rFonts w:ascii="Tahoma" w:hAnsi="Tahoma"/>
      <w:sz w:val="24"/>
    </w:rPr>
  </w:style>
  <w:style w:type="paragraph" w:customStyle="1" w:styleId="107">
    <w:name w:val="段落格式"/>
    <w:basedOn w:val="1"/>
    <w:autoRedefine/>
    <w:qFormat/>
    <w:uiPriority w:val="0"/>
    <w:pPr>
      <w:wordWrap w:val="0"/>
      <w:spacing w:after="60" w:line="500" w:lineRule="exact"/>
      <w:ind w:firstLine="640" w:firstLineChars="200"/>
    </w:pPr>
    <w:rPr>
      <w:rFonts w:ascii="Calibri" w:hAnsi="Calibri" w:eastAsia="仿宋_GB2312"/>
      <w:sz w:val="32"/>
      <w:szCs w:val="32"/>
    </w:rPr>
  </w:style>
  <w:style w:type="paragraph" w:customStyle="1" w:styleId="108">
    <w:name w:val="Char Char Char Char Char Char Char Char Char Char1"/>
    <w:basedOn w:val="1"/>
    <w:autoRedefine/>
    <w:qFormat/>
    <w:uiPriority w:val="0"/>
    <w:rPr>
      <w:rFonts w:ascii="Tahoma" w:hAnsi="Tahoma"/>
      <w:sz w:val="24"/>
    </w:rPr>
  </w:style>
  <w:style w:type="paragraph" w:customStyle="1" w:styleId="109">
    <w:name w:val="Char21"/>
    <w:basedOn w:val="1"/>
    <w:autoRedefine/>
    <w:qFormat/>
    <w:uiPriority w:val="0"/>
    <w:rPr>
      <w:rFonts w:ascii="Tahoma" w:hAnsi="Tahoma"/>
      <w:sz w:val="24"/>
    </w:rPr>
  </w:style>
  <w:style w:type="paragraph" w:customStyle="1" w:styleId="110">
    <w:name w:val="Char11"/>
    <w:basedOn w:val="1"/>
    <w:autoRedefine/>
    <w:qFormat/>
    <w:uiPriority w:val="0"/>
    <w:rPr>
      <w:rFonts w:ascii="Tahoma" w:hAnsi="Tahoma"/>
      <w:sz w:val="24"/>
    </w:rPr>
  </w:style>
  <w:style w:type="paragraph" w:customStyle="1" w:styleId="111">
    <w:name w:val="正文_62_6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
    <w:name w:val="正文_66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3">
    <w:name w:val="Fließtext"/>
    <w:basedOn w:val="1"/>
    <w:autoRedefine/>
    <w:qFormat/>
    <w:uiPriority w:val="0"/>
    <w:pPr>
      <w:overflowPunct w:val="0"/>
      <w:autoSpaceDE w:val="0"/>
      <w:autoSpaceDN w:val="0"/>
      <w:adjustRightInd w:val="0"/>
      <w:textAlignment w:val="baseline"/>
    </w:pPr>
    <w:rPr>
      <w:kern w:val="28"/>
    </w:rPr>
  </w:style>
  <w:style w:type="paragraph" w:customStyle="1" w:styleId="114">
    <w:name w:val="Char1 Char Char Char Char Char Char1"/>
    <w:basedOn w:val="1"/>
    <w:autoRedefine/>
    <w:qFormat/>
    <w:uiPriority w:val="0"/>
  </w:style>
  <w:style w:type="paragraph" w:customStyle="1" w:styleId="115">
    <w:name w:val="Normal1"/>
    <w:next w:val="1"/>
    <w:autoRedefine/>
    <w:qFormat/>
    <w:uiPriority w:val="0"/>
    <w:pPr>
      <w:overflowPunct w:val="0"/>
      <w:autoSpaceDE w:val="0"/>
      <w:autoSpaceDN w:val="0"/>
      <w:adjustRightInd w:val="0"/>
      <w:textAlignment w:val="baseline"/>
    </w:pPr>
    <w:rPr>
      <w:rFonts w:ascii="Times" w:hAnsi="Times" w:eastAsia="宋体" w:cs="Times New Roman"/>
      <w:sz w:val="24"/>
      <w:lang w:val="fr-FR" w:eastAsia="zh-CN" w:bidi="ar-SA"/>
    </w:rPr>
  </w:style>
  <w:style w:type="paragraph" w:customStyle="1" w:styleId="116">
    <w:name w:val="标3"/>
    <w:basedOn w:val="1"/>
    <w:autoRedefine/>
    <w:qFormat/>
    <w:uiPriority w:val="0"/>
    <w:pPr>
      <w:tabs>
        <w:tab w:val="left" w:pos="1965"/>
      </w:tabs>
      <w:adjustRightInd w:val="0"/>
      <w:snapToGrid w:val="0"/>
      <w:spacing w:before="50"/>
      <w:ind w:left="1965" w:hanging="420"/>
      <w:outlineLvl w:val="2"/>
    </w:pPr>
    <w:rPr>
      <w:rFonts w:ascii="Arial Narrow" w:hAnsi="Arial Narrow" w:eastAsia="仿宋_GB2312"/>
      <w:sz w:val="28"/>
    </w:rPr>
  </w:style>
  <w:style w:type="paragraph" w:customStyle="1" w:styleId="117">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18">
    <w:name w:val="列出段落11"/>
    <w:basedOn w:val="1"/>
    <w:link w:val="119"/>
    <w:autoRedefine/>
    <w:qFormat/>
    <w:uiPriority w:val="34"/>
    <w:pPr>
      <w:ind w:firstLine="420" w:firstLineChars="200"/>
    </w:pPr>
    <w:rPr>
      <w:rFonts w:ascii="Calibri" w:hAnsi="Calibri"/>
      <w:szCs w:val="22"/>
    </w:rPr>
  </w:style>
  <w:style w:type="character" w:customStyle="1" w:styleId="119">
    <w:name w:val="列出段落 Char"/>
    <w:link w:val="118"/>
    <w:autoRedefine/>
    <w:qFormat/>
    <w:uiPriority w:val="34"/>
    <w:rPr>
      <w:rFonts w:ascii="Calibri" w:hAnsi="Calibri"/>
      <w:kern w:val="2"/>
      <w:sz w:val="21"/>
      <w:szCs w:val="22"/>
    </w:rPr>
  </w:style>
  <w:style w:type="character" w:customStyle="1" w:styleId="120">
    <w:name w:val="apple-style-span"/>
    <w:basedOn w:val="41"/>
    <w:autoRedefine/>
    <w:qFormat/>
    <w:uiPriority w:val="99"/>
    <w:rPr>
      <w:rFonts w:ascii="Tahoma" w:hAnsi="Tahoma" w:cs="Times New Roman"/>
      <w:sz w:val="24"/>
    </w:rPr>
  </w:style>
  <w:style w:type="character" w:customStyle="1" w:styleId="121">
    <w:name w:val="font31"/>
    <w:basedOn w:val="41"/>
    <w:autoRedefine/>
    <w:qFormat/>
    <w:uiPriority w:val="0"/>
    <w:rPr>
      <w:rFonts w:hint="eastAsia" w:ascii="黑体" w:hAnsi="宋体" w:eastAsia="黑体" w:cs="黑体"/>
      <w:b/>
      <w:color w:val="000000"/>
      <w:sz w:val="32"/>
      <w:szCs w:val="32"/>
      <w:u w:val="none"/>
    </w:rPr>
  </w:style>
  <w:style w:type="character" w:customStyle="1" w:styleId="122">
    <w:name w:val="font01"/>
    <w:basedOn w:val="41"/>
    <w:autoRedefine/>
    <w:qFormat/>
    <w:uiPriority w:val="0"/>
    <w:rPr>
      <w:rFonts w:hint="eastAsia" w:ascii="黑体" w:hAnsi="宋体" w:eastAsia="黑体" w:cs="黑体"/>
      <w:b/>
      <w:color w:val="000000"/>
      <w:sz w:val="18"/>
      <w:szCs w:val="18"/>
      <w:u w:val="none"/>
    </w:rPr>
  </w:style>
  <w:style w:type="paragraph" w:customStyle="1" w:styleId="123">
    <w:name w:val="正文2"/>
    <w:autoRedefine/>
    <w:qFormat/>
    <w:uiPriority w:val="0"/>
    <w:pPr>
      <w:jc w:val="both"/>
    </w:pPr>
    <w:rPr>
      <w:rFonts w:ascii="Calibri" w:hAnsi="Calibri" w:eastAsia="宋体" w:cs="宋体"/>
      <w:kern w:val="2"/>
      <w:sz w:val="21"/>
      <w:szCs w:val="21"/>
      <w:lang w:val="en-US" w:eastAsia="zh-CN" w:bidi="ar-SA"/>
    </w:rPr>
  </w:style>
  <w:style w:type="character" w:customStyle="1" w:styleId="124">
    <w:name w:val="标题 Char"/>
    <w:basedOn w:val="41"/>
    <w:link w:val="35"/>
    <w:autoRedefine/>
    <w:qFormat/>
    <w:uiPriority w:val="0"/>
    <w:rPr>
      <w:rFonts w:ascii="Cambria" w:hAnsi="Cambria" w:eastAsia="宋体" w:cs="Times New Roman"/>
      <w:b/>
      <w:bCs/>
      <w:kern w:val="2"/>
      <w:sz w:val="32"/>
      <w:szCs w:val="32"/>
    </w:rPr>
  </w:style>
  <w:style w:type="character" w:customStyle="1" w:styleId="125">
    <w:name w:val="highlight"/>
    <w:basedOn w:val="41"/>
    <w:autoRedefine/>
    <w:qFormat/>
    <w:uiPriority w:val="0"/>
  </w:style>
  <w:style w:type="character" w:customStyle="1" w:styleId="126">
    <w:name w:val="font11"/>
    <w:basedOn w:val="41"/>
    <w:autoRedefine/>
    <w:qFormat/>
    <w:uiPriority w:val="0"/>
    <w:rPr>
      <w:rFonts w:hint="eastAsia" w:ascii="仿宋_GB2312" w:eastAsia="仿宋_GB2312" w:cs="仿宋_GB2312"/>
      <w:b/>
      <w:color w:val="FF0000"/>
      <w:sz w:val="24"/>
      <w:szCs w:val="24"/>
      <w:u w:val="none"/>
    </w:rPr>
  </w:style>
  <w:style w:type="character" w:customStyle="1" w:styleId="127">
    <w:name w:val="font41"/>
    <w:basedOn w:val="41"/>
    <w:autoRedefine/>
    <w:qFormat/>
    <w:uiPriority w:val="0"/>
    <w:rPr>
      <w:rFonts w:hint="eastAsia" w:ascii="仿宋_GB2312" w:eastAsia="仿宋_GB2312" w:cs="仿宋_GB2312"/>
      <w:color w:val="000000"/>
      <w:sz w:val="24"/>
      <w:szCs w:val="24"/>
      <w:u w:val="none"/>
    </w:rPr>
  </w:style>
  <w:style w:type="character" w:customStyle="1" w:styleId="128">
    <w:name w:val="NormalCharacter"/>
    <w:autoRedefine/>
    <w:qFormat/>
    <w:uiPriority w:val="0"/>
    <w:rPr>
      <w:rFonts w:ascii="Tahoma" w:hAnsi="Tahoma"/>
      <w:sz w:val="24"/>
    </w:rPr>
  </w:style>
  <w:style w:type="paragraph" w:customStyle="1" w:styleId="129">
    <w:name w:val="1"/>
    <w:basedOn w:val="1"/>
    <w:next w:val="1"/>
    <w:autoRedefine/>
    <w:qFormat/>
    <w:uiPriority w:val="0"/>
    <w:rPr>
      <w:szCs w:val="24"/>
    </w:rPr>
  </w:style>
  <w:style w:type="paragraph" w:customStyle="1" w:styleId="130">
    <w:name w:val="Char Char10"/>
    <w:basedOn w:val="1"/>
    <w:next w:val="1"/>
    <w:autoRedefine/>
    <w:qFormat/>
    <w:uiPriority w:val="0"/>
    <w:pPr>
      <w:shd w:val="clear" w:color="auto" w:fill="000080"/>
    </w:pPr>
    <w:rPr>
      <w:rFonts w:ascii="Tahoma" w:hAnsi="Tahoma" w:eastAsia="Times New Roman"/>
      <w:kern w:val="0"/>
      <w:sz w:val="24"/>
    </w:rPr>
  </w:style>
  <w:style w:type="paragraph" w:customStyle="1" w:styleId="131">
    <w:name w:val="a"/>
    <w:autoRedefine/>
    <w:qFormat/>
    <w:uiPriority w:val="0"/>
    <w:rPr>
      <w:rFonts w:ascii="宋体" w:hAnsi="宋体" w:eastAsia="宋体" w:cs="宋体"/>
      <w:sz w:val="24"/>
      <w:lang w:val="en-US" w:eastAsia="zh-CN" w:bidi="ar-SA"/>
    </w:rPr>
  </w:style>
  <w:style w:type="paragraph" w:customStyle="1" w:styleId="132">
    <w:name w:val="Char Char Char Char Char Char1 Char"/>
    <w:basedOn w:val="1"/>
    <w:autoRedefine/>
    <w:qFormat/>
    <w:uiPriority w:val="0"/>
    <w:rPr>
      <w:rFonts w:ascii="Tahoma" w:hAnsi="Tahoma"/>
      <w:sz w:val="24"/>
    </w:rPr>
  </w:style>
  <w:style w:type="paragraph" w:customStyle="1" w:styleId="133">
    <w:name w:val="Char Char Char1"/>
    <w:basedOn w:val="1"/>
    <w:autoRedefine/>
    <w:qFormat/>
    <w:uiPriority w:val="0"/>
    <w:rPr>
      <w:rFonts w:ascii="Wingdings" w:hAnsi="Wingdings" w:cs="Courier New"/>
      <w:sz w:val="24"/>
    </w:rPr>
  </w:style>
  <w:style w:type="paragraph" w:customStyle="1" w:styleId="134">
    <w:name w:val="正文_9"/>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5">
    <w:name w:val="正文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Char2 Char Char Char Char Char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137">
    <w:name w:val="我的正文"/>
    <w:basedOn w:val="1"/>
    <w:autoRedefine/>
    <w:qFormat/>
    <w:uiPriority w:val="0"/>
    <w:pPr>
      <w:spacing w:line="400" w:lineRule="exact"/>
      <w:ind w:firstLine="200" w:firstLineChars="200"/>
    </w:pPr>
    <w:rPr>
      <w:rFonts w:ascii="Dotum" w:hAnsi="Dotum"/>
      <w:sz w:val="24"/>
    </w:rPr>
  </w:style>
  <w:style w:type="paragraph" w:customStyle="1" w:styleId="138">
    <w:name w:val="Char2 Char Char Char Char Char Char Char Char Char Char Char Char1"/>
    <w:basedOn w:val="1"/>
    <w:autoRedefine/>
    <w:qFormat/>
    <w:uiPriority w:val="0"/>
    <w:pPr>
      <w:spacing w:line="360" w:lineRule="auto"/>
      <w:ind w:firstLine="200" w:firstLineChars="200"/>
    </w:pPr>
    <w:rPr>
      <w:rFonts w:ascii="Tahoma" w:hAnsi="Tahoma" w:cs="Tahoma"/>
      <w:sz w:val="24"/>
      <w:szCs w:val="24"/>
    </w:rPr>
  </w:style>
  <w:style w:type="character" w:customStyle="1" w:styleId="139">
    <w:name w:val="正文首行缩进 2 Char"/>
    <w:basedOn w:val="41"/>
    <w:link w:val="38"/>
    <w:autoRedefine/>
    <w:qFormat/>
    <w:uiPriority w:val="0"/>
    <w:rPr>
      <w:rFonts w:ascii="Times New Roman" w:hAnsi="Times New Roman" w:eastAsia="宋体" w:cs="Times New Roman"/>
      <w:szCs w:val="24"/>
    </w:rPr>
  </w:style>
  <w:style w:type="paragraph" w:customStyle="1" w:styleId="140">
    <w:name w:val="修订1"/>
    <w:autoRedefine/>
    <w:hidden/>
    <w:unhideWhenUsed/>
    <w:qFormat/>
    <w:uiPriority w:val="99"/>
    <w:rPr>
      <w:rFonts w:ascii="Times New Roman" w:hAnsi="Times New Roman" w:eastAsia="宋体" w:cs="Times New Roman"/>
      <w:kern w:val="2"/>
      <w:sz w:val="21"/>
      <w:lang w:val="en-US" w:eastAsia="zh-CN" w:bidi="ar-SA"/>
    </w:rPr>
  </w:style>
  <w:style w:type="paragraph" w:customStyle="1" w:styleId="141">
    <w:name w:val="修订2"/>
    <w:autoRedefine/>
    <w:hidden/>
    <w:unhideWhenUsed/>
    <w:qFormat/>
    <w:uiPriority w:val="99"/>
    <w:rPr>
      <w:rFonts w:ascii="Times New Roman" w:hAnsi="Times New Roman" w:eastAsia="宋体" w:cs="Times New Roman"/>
      <w:kern w:val="2"/>
      <w:sz w:val="21"/>
      <w:lang w:val="en-US" w:eastAsia="zh-CN" w:bidi="ar-SA"/>
    </w:rPr>
  </w:style>
  <w:style w:type="paragraph" w:customStyle="1" w:styleId="142">
    <w:name w:val="null3"/>
    <w:autoRedefine/>
    <w:hidden/>
    <w:qFormat/>
    <w:uiPriority w:val="0"/>
    <w:pPr>
      <w:spacing w:line="400" w:lineRule="exact"/>
    </w:pPr>
    <w:rPr>
      <w:rFonts w:hint="eastAsia" w:asciiTheme="minorHAnsi" w:hAnsiTheme="minorHAnsi" w:eastAsiaTheme="minorEastAsia" w:cstheme="minorBidi"/>
      <w:lang w:val="en-US" w:eastAsia="zh-CN" w:bidi="ar-SA"/>
    </w:rPr>
  </w:style>
  <w:style w:type="character" w:customStyle="1" w:styleId="143">
    <w:name w:val="正文文本缩进 Char"/>
    <w:basedOn w:val="41"/>
    <w:link w:val="17"/>
    <w:autoRedefine/>
    <w:qFormat/>
    <w:uiPriority w:val="0"/>
    <w:rPr>
      <w:rFonts w:ascii="宋体" w:hAnsi="宋体"/>
      <w:kern w:val="2"/>
      <w:sz w:val="24"/>
    </w:rPr>
  </w:style>
  <w:style w:type="paragraph" w:styleId="144">
    <w:name w:val="List Paragraph"/>
    <w:basedOn w:val="1"/>
    <w:unhideWhenUsed/>
    <w:qFormat/>
    <w:uiPriority w:val="99"/>
    <w:pPr>
      <w:ind w:firstLine="420" w:firstLineChars="200"/>
    </w:pPr>
  </w:style>
  <w:style w:type="paragraph" w:customStyle="1" w:styleId="145">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46">
    <w:name w:val="font1"/>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47">
    <w:name w:val="font2"/>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48">
    <w:name w:val="font3"/>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49">
    <w:name w:val="font4"/>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50">
    <w:name w:val="font5"/>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51">
    <w:name w:val="font6"/>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52">
    <w:name w:val="et2"/>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53">
    <w:name w:val="et4"/>
    <w:basedOn w:val="1"/>
    <w:qFormat/>
    <w:uiPriority w:val="0"/>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154">
    <w:name w:val="et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b/>
      <w:bCs/>
      <w:color w:val="000000"/>
      <w:kern w:val="0"/>
      <w:sz w:val="24"/>
      <w:szCs w:val="24"/>
    </w:rPr>
  </w:style>
  <w:style w:type="paragraph" w:customStyle="1" w:styleId="155">
    <w:name w:val="et7"/>
    <w:basedOn w:val="1"/>
    <w:qFormat/>
    <w:uiPriority w:val="0"/>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cs="宋体"/>
      <w:b/>
      <w:bCs/>
      <w:color w:val="000000"/>
      <w:kern w:val="0"/>
      <w:sz w:val="24"/>
      <w:szCs w:val="24"/>
    </w:rPr>
  </w:style>
  <w:style w:type="paragraph" w:customStyle="1" w:styleId="156">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57">
    <w:name w:val="et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pPr>
    <w:rPr>
      <w:rFonts w:ascii="宋体" w:hAnsi="宋体" w:cs="宋体"/>
      <w:color w:val="000000"/>
      <w:kern w:val="0"/>
      <w:sz w:val="24"/>
      <w:szCs w:val="24"/>
    </w:rPr>
  </w:style>
  <w:style w:type="paragraph" w:customStyle="1" w:styleId="158">
    <w:name w:val="et1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4"/>
      <w:szCs w:val="24"/>
    </w:rPr>
  </w:style>
  <w:style w:type="paragraph" w:customStyle="1" w:styleId="159">
    <w:name w:val="et11"/>
    <w:basedOn w:val="1"/>
    <w:qFormat/>
    <w:uiPriority w:val="0"/>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cs="宋体"/>
      <w:color w:val="000000"/>
      <w:kern w:val="0"/>
      <w:sz w:val="24"/>
      <w:szCs w:val="24"/>
    </w:rPr>
  </w:style>
  <w:style w:type="paragraph" w:customStyle="1" w:styleId="160">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161">
    <w:name w:val="et1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162">
    <w:name w:val="et1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4"/>
      <w:szCs w:val="24"/>
    </w:rPr>
  </w:style>
  <w:style w:type="paragraph" w:customStyle="1" w:styleId="163">
    <w:name w:val="et15"/>
    <w:basedOn w:val="1"/>
    <w:qFormat/>
    <w:uiPriority w:val="0"/>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cs="宋体"/>
      <w:color w:val="000000"/>
      <w:kern w:val="0"/>
      <w:sz w:val="24"/>
      <w:szCs w:val="24"/>
    </w:rPr>
  </w:style>
  <w:style w:type="paragraph" w:customStyle="1" w:styleId="164">
    <w:name w:val="et16"/>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kern w:val="0"/>
      <w:sz w:val="24"/>
      <w:szCs w:val="24"/>
    </w:rPr>
  </w:style>
  <w:style w:type="paragraph" w:customStyle="1" w:styleId="165">
    <w:name w:val="et1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Cs w:val="21"/>
    </w:rPr>
  </w:style>
  <w:style w:type="paragraph" w:customStyle="1" w:styleId="166">
    <w:name w:val="et1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4"/>
      <w:szCs w:val="24"/>
    </w:rPr>
  </w:style>
  <w:style w:type="paragraph" w:customStyle="1" w:styleId="167">
    <w:name w:val="et1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pPr>
    <w:rPr>
      <w:rFonts w:ascii="宋体" w:hAnsi="宋体" w:cs="宋体"/>
      <w:kern w:val="0"/>
      <w:sz w:val="24"/>
      <w:szCs w:val="24"/>
    </w:rPr>
  </w:style>
  <w:style w:type="paragraph" w:customStyle="1" w:styleId="168">
    <w:name w:val="et2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169">
    <w:name w:val="et21"/>
    <w:basedOn w:val="1"/>
    <w:qFormat/>
    <w:uiPriority w:val="0"/>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170">
    <w:name w:val="et2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Cs w:val="21"/>
    </w:rPr>
  </w:style>
  <w:style w:type="paragraph" w:customStyle="1" w:styleId="171">
    <w:name w:val="et2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Cs w:val="21"/>
    </w:rPr>
  </w:style>
  <w:style w:type="paragraph" w:customStyle="1" w:styleId="172">
    <w:name w:val="et24"/>
    <w:basedOn w:val="1"/>
    <w:qFormat/>
    <w:uiPriority w:val="0"/>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textAlignment w:val="top"/>
    </w:pPr>
    <w:rPr>
      <w:rFonts w:ascii="宋体" w:hAnsi="宋体" w:cs="宋体"/>
      <w:color w:val="000000"/>
      <w:kern w:val="0"/>
      <w:szCs w:val="21"/>
    </w:rPr>
  </w:style>
  <w:style w:type="paragraph" w:customStyle="1" w:styleId="173">
    <w:name w:val="et25"/>
    <w:basedOn w:val="1"/>
    <w:qFormat/>
    <w:uiPriority w:val="0"/>
    <w:pPr>
      <w:widowControl/>
      <w:pBdr>
        <w:top w:val="single" w:color="000000" w:sz="4" w:space="0"/>
        <w:bottom w:val="single" w:color="000000" w:sz="4" w:space="0"/>
      </w:pBdr>
      <w:shd w:val="clear" w:color="auto" w:fill="FFFFFF"/>
      <w:spacing w:before="100" w:beforeAutospacing="1" w:after="100" w:afterAutospacing="1"/>
      <w:jc w:val="center"/>
    </w:pPr>
    <w:rPr>
      <w:rFonts w:ascii="宋体" w:hAnsi="宋体" w:cs="宋体"/>
      <w:color w:val="000000"/>
      <w:kern w:val="0"/>
      <w:sz w:val="24"/>
      <w:szCs w:val="24"/>
    </w:rPr>
  </w:style>
  <w:style w:type="paragraph" w:customStyle="1" w:styleId="174">
    <w:name w:val="et26"/>
    <w:basedOn w:val="1"/>
    <w:qFormat/>
    <w:uiPriority w:val="0"/>
    <w:pPr>
      <w:widowControl/>
      <w:pBdr>
        <w:top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4"/>
      <w:szCs w:val="24"/>
    </w:rPr>
  </w:style>
  <w:style w:type="paragraph" w:customStyle="1" w:styleId="175">
    <w:name w:val="et27"/>
    <w:basedOn w:val="1"/>
    <w:qFormat/>
    <w:uiPriority w:val="0"/>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176">
    <w:name w:val="et28"/>
    <w:basedOn w:val="1"/>
    <w:qFormat/>
    <w:uiPriority w:val="0"/>
    <w:pPr>
      <w:widowControl/>
      <w:pBdr>
        <w:top w:val="single" w:color="000000" w:sz="4" w:space="0"/>
        <w:bottom w:val="single" w:color="000000"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177">
    <w:name w:val="et29"/>
    <w:basedOn w:val="1"/>
    <w:qFormat/>
    <w:uiPriority w:val="0"/>
    <w:pPr>
      <w:widowControl/>
      <w:pBdr>
        <w:top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4"/>
      <w:szCs w:val="24"/>
    </w:rPr>
  </w:style>
  <w:style w:type="character" w:customStyle="1" w:styleId="178">
    <w:name w:val="font21"/>
    <w:basedOn w:val="41"/>
    <w:qFormat/>
    <w:uiPriority w:val="0"/>
    <w:rPr>
      <w:rFonts w:hint="eastAsia" w:ascii="宋体" w:hAnsi="宋体" w:eastAsia="宋体"/>
      <w:color w:val="000000"/>
      <w:sz w:val="24"/>
      <w:szCs w:val="24"/>
      <w:u w:val="none"/>
    </w:rPr>
  </w:style>
  <w:style w:type="character" w:customStyle="1" w:styleId="179">
    <w:name w:val="font61"/>
    <w:basedOn w:val="41"/>
    <w:qFormat/>
    <w:uiPriority w:val="0"/>
    <w:rPr>
      <w:rFonts w:hint="eastAsia" w:ascii="宋体" w:hAnsi="宋体" w:eastAsia="宋体"/>
      <w:color w:val="000000"/>
      <w:sz w:val="21"/>
      <w:szCs w:val="21"/>
      <w:u w:val="none"/>
    </w:rPr>
  </w:style>
  <w:style w:type="character" w:customStyle="1" w:styleId="180">
    <w:name w:val="fontstyle01"/>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06021-19AC-42BD-9820-CC4A345BC2D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54</Pages>
  <Words>2007</Words>
  <Characters>2197</Characters>
  <Lines>288</Lines>
  <Paragraphs>81</Paragraphs>
  <TotalTime>39</TotalTime>
  <ScaleCrop>false</ScaleCrop>
  <LinksUpToDate>false</LinksUpToDate>
  <CharactersWithSpaces>2229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2023-01-04T09:15:00Z</dcterms:created>
  <dc:creator>Administrator</dc:creator>
  <cp:lastModifiedBy>H C</cp:lastModifiedBy>
  <cp:lastPrinted>2025-12-05T07:59:00Z</cp:lastPrinted>
  <dcterms:modified xsi:type="dcterms:W3CDTF">2025-12-08T03:07:50Z</dcterms:modified>
  <dc:title>福州市政府采购</dc:title>
  <cp:revision>577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7C2E1AFA155047B69F970A74D454094F_13</vt:lpwstr>
  </property>
  <property fmtid="{D5CDD505-2E9C-101B-9397-08002B2CF9AE}" pid="4" name="KSOTemplateDocerSaveRecord">
    <vt:lpwstr>eyJoZGlkIjoiNzBkZjdlYmJhNjQ1Y2E4MmMwOThjODEzYzAyYWNhYjUiLCJ1c2VySWQiOiIzNDIyMjYwOTEifQ==</vt:lpwstr>
  </property>
</Properties>
</file>