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2E974">
      <w:pPr>
        <w:jc w:val="distribute"/>
        <w:rPr>
          <w:rFonts w:hint="eastAsia" w:ascii="方正小标宋简体" w:hAnsi="方正小标宋简体" w:eastAsia="方正小标宋简体" w:cs="方正小标宋简体"/>
          <w:color w:val="FF0000"/>
          <w:spacing w:val="-57"/>
          <w:sz w:val="72"/>
          <w:szCs w:val="72"/>
          <w:lang w:val="en-US" w:eastAsia="zh-CN"/>
        </w:rPr>
      </w:pPr>
      <w:r>
        <w:rPr>
          <w:sz w:val="72"/>
        </w:rPr>
        <mc:AlternateContent>
          <mc:Choice Requires="wps">
            <w:drawing>
              <wp:anchor distT="0" distB="0" distL="114300" distR="114300" simplePos="0" relativeHeight="251659264" behindDoc="0" locked="0" layoutInCell="1" allowOverlap="1">
                <wp:simplePos x="0" y="0"/>
                <wp:positionH relativeFrom="column">
                  <wp:posOffset>-264795</wp:posOffset>
                </wp:positionH>
                <wp:positionV relativeFrom="paragraph">
                  <wp:posOffset>770890</wp:posOffset>
                </wp:positionV>
                <wp:extent cx="6158230" cy="635"/>
                <wp:effectExtent l="0" t="38100" r="13970" b="56515"/>
                <wp:wrapNone/>
                <wp:docPr id="1" name="直线 3"/>
                <wp:cNvGraphicFramePr/>
                <a:graphic xmlns:a="http://schemas.openxmlformats.org/drawingml/2006/main">
                  <a:graphicData uri="http://schemas.microsoft.com/office/word/2010/wordprocessingShape">
                    <wps:wsp>
                      <wps:cNvSpPr/>
                      <wps:spPr>
                        <a:xfrm>
                          <a:off x="0" y="0"/>
                          <a:ext cx="6158230" cy="635"/>
                        </a:xfrm>
                        <a:prstGeom prst="line">
                          <a:avLst/>
                        </a:prstGeom>
                        <a:ln w="76200" cap="flat" cmpd="thickThin">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0.85pt;margin-top:60.7pt;height:0.05pt;width:484.9pt;z-index:251659264;mso-width-relative:page;mso-height-relative:page;" filled="f" stroked="t" coordsize="21600,21600" o:gfxdata="UEsDBAoAAAAAAIdO4kAAAAAAAAAAAAAAAAAEAAAAZHJzL1BLAwQUAAAACACHTuJAab9gFNoAAAAL&#10;AQAADwAAAGRycy9kb3ducmV2LnhtbE2PTU/DMAyG70j8h8hI3LY01TpGaboDUjkgJLTBYcesMW1F&#10;45Qm3Qe/HsNlHO330evHxfrkenHAMXSeNKh5AgKp9rajRsP7WzVbgQjRkDW9J9RwxgDr8vqqMLn1&#10;R9rgYRsbwSUUcqOhjXHIpQx1i86EuR+QOPvwozORx7GRdjRHLne9TJNkKZ3piC+0ZsDHFuvP7eQ0&#10;fNnzS/a8+a7cU+V38XU3LWM2aX17o5IHEBFP8QLDrz6rQ8lOez+RDaLXMFuoO0Y5SNUCBBP36UqB&#10;2P9tMpBlIf//UP4AUEsDBBQAAAAIAIdO4kB2VfY97wEAAOQDAAAOAAAAZHJzL2Uyb0RvYy54bWyt&#10;U0uS0zAQ3VPFHVTaEztJTZhyxZkFIWwomKoZDtCRZFuFfqVW4uQsXIMVG44z16BlmwwMmyzwwm6p&#10;n5/6vW6t707WsKOKqL2r+XxWcqac8FK7tuZfHndvbjnDBE6C8U7V/KyQ321ev1r3oVIL33kjVWRE&#10;4rDqQ827lEJVFCg6ZQFnPihHycZHC4mWsS1khJ7YrSkWZbkqeh9liF4oRNrdjkk+McZrCH3TaKG2&#10;XhyscmlkjcpAIknY6YB8M1TbNEqkz02DKjFTc1KahjcdQvE+v4vNGqo2Qui0mEqAa0p4ocmCdnTo&#10;hWoLCdgh6n+orBbRo2/STHhbjEIGR0jFvHzhzUMHQQ1ayGoMF9Px/9GKT8f7yLSkSeDMgaWGP337&#10;/vTjJ1tmb/qAFUEewn2cVkhhFnpqos1fksBOg5/ni5/qlJigzdX85naxJKsF5VbLm8xYPP8aIqYP&#10;yluWg5ob7bJYqOD4EdMI/Q3J28axvuZvVzRExAg0eg21nEIbqPxEDfz62E1tQG+03Glj8o8Y2/07&#10;E9kRaAh2u5KeqZK/YPmsLWA34oZUhkHVKZDvnWTpHMgeR7eC50qskpwZRZcoRwMygTbXIMkE48iL&#10;bO9oaI72Xp6pGYcQdduRIfOhypyh5g/OTYOap+vP9cD0fDk3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pv2AU2gAAAAsBAAAPAAAAAAAAAAEAIAAAACIAAABkcnMvZG93bnJldi54bWxQSwECFAAU&#10;AAAACACHTuJAdlX2Pe8BAADkAwAADgAAAAAAAAABACAAAAApAQAAZHJzL2Uyb0RvYy54bWxQSwUG&#10;AAAAAAYABgBZAQAAigUAAAAA&#10;">
                <v:fill on="f" focussize="0,0"/>
                <v:stroke weight="6pt" color="#FF0000" linestyle="thickThin" joinstyle="round"/>
                <v:imagedata o:title=""/>
                <o:lock v:ext="edit" aspectratio="f"/>
              </v:line>
            </w:pict>
          </mc:Fallback>
        </mc:AlternateContent>
      </w:r>
      <w:r>
        <w:rPr>
          <w:rFonts w:hint="eastAsia" w:ascii="方正小标宋简体" w:hAnsi="方正小标宋简体" w:eastAsia="方正小标宋简体" w:cs="方正小标宋简体"/>
          <w:color w:val="FF0000"/>
          <w:spacing w:val="-57"/>
          <w:sz w:val="72"/>
          <w:szCs w:val="72"/>
          <w:lang w:val="en-US" w:eastAsia="zh-CN"/>
        </w:rPr>
        <w:t>福州市生态环境局</w:t>
      </w:r>
    </w:p>
    <w:p w14:paraId="66A95ED2">
      <w:pPr>
        <w:keepNext w:val="0"/>
        <w:keepLines w:val="0"/>
        <w:pageBreakBefore w:val="0"/>
        <w:widowControl w:val="0"/>
        <w:kinsoku/>
        <w:wordWrap/>
        <w:overflowPunct/>
        <w:topLinePunct w:val="0"/>
        <w:autoSpaceDE/>
        <w:autoSpaceDN/>
        <w:bidi w:val="0"/>
        <w:adjustRightInd/>
        <w:snapToGrid/>
        <w:spacing w:line="440" w:lineRule="exact"/>
        <w:ind w:right="246" w:rightChars="117" w:firstLine="5120" w:firstLineChars="1600"/>
        <w:textAlignment w:val="auto"/>
        <w:rPr>
          <w:rFonts w:hint="eastAsia" w:ascii="仿宋" w:hAnsi="仿宋" w:eastAsia="仿宋" w:cs="仿宋"/>
          <w:sz w:val="24"/>
          <w:szCs w:val="24"/>
          <w:lang w:val="zh-CN"/>
        </w:rPr>
      </w:pPr>
      <w:r>
        <w:rPr>
          <w:rFonts w:hint="eastAsia" w:ascii="仿宋" w:hAnsi="仿宋" w:eastAsia="仿宋" w:cs="仿宋"/>
          <w:sz w:val="32"/>
          <w:szCs w:val="32"/>
        </w:rPr>
        <w:t>榕</w:t>
      </w:r>
      <w:r>
        <w:rPr>
          <w:rFonts w:hint="eastAsia" w:ascii="仿宋" w:hAnsi="仿宋" w:eastAsia="仿宋" w:cs="仿宋"/>
          <w:sz w:val="32"/>
          <w:szCs w:val="32"/>
          <w:lang w:eastAsia="zh-CN"/>
        </w:rPr>
        <w:t>鼓</w:t>
      </w:r>
      <w:r>
        <w:rPr>
          <w:rFonts w:hint="eastAsia" w:ascii="仿宋" w:hAnsi="仿宋" w:eastAsia="仿宋" w:cs="仿宋"/>
          <w:sz w:val="32"/>
          <w:szCs w:val="32"/>
        </w:rPr>
        <w:t>环评〔202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001</w:t>
      </w:r>
      <w:r>
        <w:rPr>
          <w:rFonts w:hint="eastAsia" w:ascii="仿宋" w:hAnsi="仿宋" w:eastAsia="仿宋" w:cs="仿宋"/>
          <w:sz w:val="32"/>
          <w:szCs w:val="32"/>
        </w:rPr>
        <w:t>号</w:t>
      </w:r>
    </w:p>
    <w:p w14:paraId="09479E5D">
      <w:pPr>
        <w:pStyle w:val="12"/>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sz w:val="44"/>
          <w:szCs w:val="44"/>
          <w:lang w:eastAsia="zh-CN"/>
        </w:rPr>
      </w:pPr>
    </w:p>
    <w:p w14:paraId="0B0097B4">
      <w:pPr>
        <w:pStyle w:val="12"/>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关于福州市可持续发展城市研究院有限公司</w:t>
      </w:r>
    </w:p>
    <w:p w14:paraId="292F86B1">
      <w:pPr>
        <w:pStyle w:val="12"/>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福州市可持续发展城市研究院有限公司实验室建设项目环境影响报告</w:t>
      </w:r>
      <w:r>
        <w:rPr>
          <w:rFonts w:hint="eastAsia" w:ascii="方正小标宋简体" w:hAnsi="方正小标宋简体" w:eastAsia="方正小标宋简体" w:cs="方正小标宋简体"/>
          <w:b w:val="0"/>
          <w:bCs/>
          <w:sz w:val="44"/>
          <w:szCs w:val="44"/>
          <w:lang w:eastAsia="zh-CN"/>
        </w:rPr>
        <w:t>表</w:t>
      </w:r>
      <w:r>
        <w:rPr>
          <w:rFonts w:hint="eastAsia" w:ascii="方正小标宋简体" w:hAnsi="方正小标宋简体" w:eastAsia="方正小标宋简体" w:cs="方正小标宋简体"/>
          <w:b w:val="0"/>
          <w:bCs/>
          <w:sz w:val="44"/>
          <w:szCs w:val="44"/>
        </w:rPr>
        <w:t>的审批意见</w:t>
      </w:r>
    </w:p>
    <w:p w14:paraId="42370D51">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rPr>
      </w:pPr>
    </w:p>
    <w:p w14:paraId="187373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福州市可持续发展城市研究院有限公司:</w:t>
      </w:r>
    </w:p>
    <w:p w14:paraId="335AD64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你公司报送的《福州市可持续发展城市研究院有限公司实验室建设项目》(以下简称《报告</w:t>
      </w:r>
      <w:r>
        <w:rPr>
          <w:rFonts w:hint="eastAsia" w:ascii="仿宋" w:hAnsi="仿宋" w:eastAsia="仿宋" w:cs="仿宋"/>
          <w:sz w:val="32"/>
          <w:szCs w:val="32"/>
          <w:lang w:eastAsia="zh-CN"/>
        </w:rPr>
        <w:t>表</w:t>
      </w:r>
      <w:r>
        <w:rPr>
          <w:rFonts w:hint="eastAsia" w:ascii="仿宋" w:hAnsi="仿宋" w:eastAsia="仿宋" w:cs="仿宋"/>
          <w:sz w:val="32"/>
          <w:szCs w:val="32"/>
        </w:rPr>
        <w:t>》)收悉。根据《</w:t>
      </w:r>
      <w:r>
        <w:rPr>
          <w:rFonts w:hint="eastAsia" w:ascii="仿宋" w:hAnsi="仿宋" w:eastAsia="仿宋" w:cs="仿宋"/>
          <w:sz w:val="32"/>
          <w:szCs w:val="32"/>
          <w:lang w:eastAsia="zh-CN"/>
        </w:rPr>
        <w:t>中华人民共和国</w:t>
      </w:r>
      <w:r>
        <w:rPr>
          <w:rFonts w:hint="eastAsia" w:ascii="仿宋" w:hAnsi="仿宋" w:eastAsia="仿宋" w:cs="仿宋"/>
          <w:sz w:val="32"/>
          <w:szCs w:val="32"/>
        </w:rPr>
        <w:t>环境影响评价法》第22条等规定，经技术审查，现提出审批意见如下:</w:t>
      </w:r>
      <w:bookmarkStart w:id="0" w:name="_GoBack"/>
      <w:bookmarkEnd w:id="0"/>
    </w:p>
    <w:p w14:paraId="2570254B">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拟建项目位于福州市鼓楼区安泰街道加洋巷 85 号中寰花园 A1#楼 5 层</w:t>
      </w:r>
      <w:r>
        <w:rPr>
          <w:rFonts w:hint="eastAsia" w:ascii="仿宋" w:hAnsi="仿宋" w:eastAsia="仿宋" w:cs="仿宋"/>
          <w:sz w:val="32"/>
          <w:szCs w:val="32"/>
          <w:lang w:eastAsia="zh-CN"/>
        </w:rPr>
        <w:t>,主要从事海水、沉积物环境监测、海洋生态调查及其他咨询服务。</w:t>
      </w:r>
    </w:p>
    <w:p w14:paraId="49B21B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根据《报告</w:t>
      </w:r>
      <w:r>
        <w:rPr>
          <w:rFonts w:hint="eastAsia" w:ascii="仿宋" w:hAnsi="仿宋" w:eastAsia="仿宋" w:cs="仿宋"/>
          <w:sz w:val="32"/>
          <w:szCs w:val="32"/>
          <w:lang w:eastAsia="zh-CN"/>
        </w:rPr>
        <w:t>表</w:t>
      </w:r>
      <w:r>
        <w:rPr>
          <w:rFonts w:hint="eastAsia" w:ascii="仿宋" w:hAnsi="仿宋" w:eastAsia="仿宋" w:cs="仿宋"/>
          <w:sz w:val="32"/>
          <w:szCs w:val="32"/>
        </w:rPr>
        <w:t>》评价结论，该项目符合国家产业政策，符合福州市“三线一单”生态</w:t>
      </w:r>
      <w:r>
        <w:rPr>
          <w:rFonts w:hint="eastAsia" w:ascii="仿宋" w:hAnsi="仿宋" w:eastAsia="仿宋" w:cs="仿宋"/>
          <w:sz w:val="32"/>
          <w:szCs w:val="32"/>
          <w:lang w:val="en-US" w:eastAsia="zh-CN"/>
        </w:rPr>
        <w:t>环境</w:t>
      </w:r>
      <w:r>
        <w:rPr>
          <w:rFonts w:hint="eastAsia" w:ascii="仿宋" w:hAnsi="仿宋" w:eastAsia="仿宋" w:cs="仿宋"/>
          <w:sz w:val="32"/>
          <w:szCs w:val="32"/>
        </w:rPr>
        <w:t>分区管控要求，符合《福州市国土空间总体规划（2021-2035年）》。在严格执行环保“三同时”制度，认真落实《报告书》提出的各项污染防治和</w:t>
      </w:r>
      <w:r>
        <w:rPr>
          <w:rFonts w:hint="eastAsia" w:ascii="仿宋" w:hAnsi="仿宋" w:eastAsia="仿宋" w:cs="仿宋"/>
          <w:sz w:val="32"/>
          <w:szCs w:val="32"/>
          <w:lang w:val="en-US" w:eastAsia="zh-CN"/>
        </w:rPr>
        <w:t>环境</w:t>
      </w:r>
      <w:r>
        <w:rPr>
          <w:rFonts w:hint="eastAsia" w:ascii="仿宋" w:hAnsi="仿宋" w:eastAsia="仿宋" w:cs="仿宋"/>
          <w:sz w:val="32"/>
          <w:szCs w:val="32"/>
        </w:rPr>
        <w:t>风险防范措施，加强环境管理，确保区域环境质量稳定的前提下，从环境保护角度分析</w:t>
      </w:r>
      <w:r>
        <w:rPr>
          <w:rFonts w:hint="eastAsia" w:ascii="仿宋" w:hAnsi="仿宋" w:eastAsia="仿宋" w:cs="仿宋"/>
          <w:sz w:val="32"/>
          <w:szCs w:val="32"/>
          <w:lang w:eastAsia="zh-CN"/>
        </w:rPr>
        <w:t>，</w:t>
      </w:r>
      <w:r>
        <w:rPr>
          <w:rFonts w:hint="eastAsia" w:ascii="仿宋" w:hAnsi="仿宋" w:eastAsia="仿宋" w:cs="仿宋"/>
          <w:sz w:val="32"/>
          <w:szCs w:val="32"/>
        </w:rPr>
        <w:t>项目建设可行。同意按照《报告</w:t>
      </w:r>
      <w:r>
        <w:rPr>
          <w:rFonts w:hint="eastAsia" w:ascii="仿宋" w:hAnsi="仿宋" w:eastAsia="仿宋" w:cs="仿宋"/>
          <w:sz w:val="32"/>
          <w:szCs w:val="32"/>
          <w:lang w:eastAsia="zh-CN"/>
        </w:rPr>
        <w:t>表</w:t>
      </w:r>
      <w:r>
        <w:rPr>
          <w:rFonts w:hint="eastAsia" w:ascii="仿宋" w:hAnsi="仿宋" w:eastAsia="仿宋" w:cs="仿宋"/>
          <w:sz w:val="32"/>
          <w:szCs w:val="32"/>
        </w:rPr>
        <w:t>》所列建设项目的地点、性质、规模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原料来源</w:t>
      </w:r>
      <w:r>
        <w:rPr>
          <w:rFonts w:hint="eastAsia" w:ascii="仿宋" w:hAnsi="仿宋" w:eastAsia="仿宋" w:cs="仿宋"/>
          <w:sz w:val="32"/>
          <w:szCs w:val="32"/>
        </w:rPr>
        <w:t>和环境保护对策措施进行项目建设。</w:t>
      </w:r>
    </w:p>
    <w:p w14:paraId="1E5E0B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你</w:t>
      </w:r>
      <w:r>
        <w:rPr>
          <w:rFonts w:hint="eastAsia" w:ascii="仿宋" w:hAnsi="仿宋" w:eastAsia="仿宋" w:cs="仿宋"/>
          <w:sz w:val="32"/>
          <w:szCs w:val="32"/>
          <w:lang w:val="en-US" w:eastAsia="zh-CN"/>
        </w:rPr>
        <w:t>公</w:t>
      </w:r>
      <w:r>
        <w:rPr>
          <w:rFonts w:hint="eastAsia" w:ascii="仿宋" w:hAnsi="仿宋" w:eastAsia="仿宋" w:cs="仿宋"/>
          <w:sz w:val="32"/>
          <w:szCs w:val="32"/>
        </w:rPr>
        <w:t>司应认真</w:t>
      </w:r>
      <w:r>
        <w:rPr>
          <w:rFonts w:hint="eastAsia" w:ascii="仿宋" w:hAnsi="仿宋" w:eastAsia="仿宋" w:cs="仿宋"/>
          <w:sz w:val="32"/>
          <w:szCs w:val="32"/>
          <w:lang w:val="en-US" w:eastAsia="zh-CN"/>
        </w:rPr>
        <w:t>全面</w:t>
      </w:r>
      <w:r>
        <w:rPr>
          <w:rFonts w:hint="eastAsia" w:ascii="仿宋" w:hAnsi="仿宋" w:eastAsia="仿宋" w:cs="仿宋"/>
          <w:sz w:val="32"/>
          <w:szCs w:val="32"/>
        </w:rPr>
        <w:t>落实《报告</w:t>
      </w:r>
      <w:r>
        <w:rPr>
          <w:rFonts w:hint="eastAsia" w:ascii="仿宋" w:hAnsi="仿宋" w:eastAsia="仿宋" w:cs="仿宋"/>
          <w:sz w:val="32"/>
          <w:szCs w:val="32"/>
          <w:lang w:eastAsia="zh-CN"/>
        </w:rPr>
        <w:t>表</w:t>
      </w:r>
      <w:r>
        <w:rPr>
          <w:rFonts w:hint="eastAsia" w:ascii="仿宋" w:hAnsi="仿宋" w:eastAsia="仿宋" w:cs="仿宋"/>
          <w:sz w:val="32"/>
          <w:szCs w:val="32"/>
        </w:rPr>
        <w:t>》提出的各项污染防治和</w:t>
      </w:r>
      <w:r>
        <w:rPr>
          <w:rFonts w:hint="eastAsia" w:ascii="仿宋" w:hAnsi="仿宋" w:eastAsia="仿宋" w:cs="仿宋"/>
          <w:sz w:val="32"/>
          <w:szCs w:val="32"/>
          <w:lang w:val="en-US" w:eastAsia="zh-CN"/>
        </w:rPr>
        <w:t>环境</w:t>
      </w:r>
      <w:r>
        <w:rPr>
          <w:rFonts w:hint="eastAsia" w:ascii="仿宋" w:hAnsi="仿宋" w:eastAsia="仿宋" w:cs="仿宋"/>
          <w:sz w:val="32"/>
          <w:szCs w:val="32"/>
        </w:rPr>
        <w:t>风险防范措施，确保污染物达标排放和总量控制要求。项目在工程设计、施工和投入生产过程中应重点做好以下</w:t>
      </w:r>
      <w:r>
        <w:rPr>
          <w:rFonts w:hint="eastAsia" w:ascii="仿宋" w:hAnsi="仿宋" w:eastAsia="仿宋" w:cs="仿宋"/>
          <w:kern w:val="2"/>
          <w:sz w:val="32"/>
          <w:szCs w:val="32"/>
          <w:lang w:val="en-US" w:eastAsia="zh-CN" w:bidi="ar-SA"/>
        </w:rPr>
        <w:t>生态环境保护措施</w:t>
      </w:r>
      <w:r>
        <w:rPr>
          <w:rFonts w:hint="eastAsia" w:ascii="仿宋" w:hAnsi="仿宋" w:eastAsia="仿宋" w:cs="仿宋"/>
          <w:sz w:val="32"/>
          <w:szCs w:val="32"/>
          <w:lang w:eastAsia="zh-CN"/>
        </w:rPr>
        <w:t>：</w:t>
      </w:r>
    </w:p>
    <w:p w14:paraId="5902D5C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outlineLvl w:val="1"/>
        <w:rPr>
          <w:rFonts w:hint="default" w:ascii="仿宋" w:hAnsi="仿宋" w:eastAsia="仿宋" w:cs="仿宋"/>
          <w:kern w:val="2"/>
          <w:sz w:val="32"/>
          <w:szCs w:val="32"/>
          <w:lang w:eastAsia="zh-CN" w:bidi="ar-SA"/>
        </w:rPr>
      </w:pPr>
      <w:r>
        <w:rPr>
          <w:rFonts w:hint="eastAsia" w:ascii="仿宋" w:hAnsi="仿宋" w:eastAsia="仿宋" w:cs="仿宋"/>
          <w:kern w:val="2"/>
          <w:sz w:val="32"/>
          <w:szCs w:val="32"/>
          <w:lang w:val="en-US" w:eastAsia="zh-CN" w:bidi="ar-SA"/>
        </w:rPr>
        <w:t>1.水污染防治</w:t>
      </w:r>
      <w:r>
        <w:rPr>
          <w:rFonts w:hint="default" w:ascii="仿宋" w:hAnsi="仿宋" w:eastAsia="仿宋" w:cs="仿宋"/>
          <w:kern w:val="2"/>
          <w:sz w:val="32"/>
          <w:szCs w:val="32"/>
          <w:lang w:eastAsia="zh-CN" w:bidi="ar-SA"/>
        </w:rPr>
        <w:t>。</w:t>
      </w:r>
      <w:r>
        <w:rPr>
          <w:rFonts w:hint="eastAsia" w:ascii="仿宋" w:hAnsi="仿宋" w:eastAsia="仿宋" w:cs="仿宋"/>
          <w:kern w:val="2"/>
          <w:sz w:val="32"/>
          <w:szCs w:val="32"/>
          <w:lang w:val="en-US" w:eastAsia="zh-CN" w:bidi="ar-SA"/>
        </w:rPr>
        <w:t>实验</w:t>
      </w:r>
      <w:r>
        <w:rPr>
          <w:rFonts w:hint="default" w:ascii="仿宋" w:hAnsi="仿宋" w:eastAsia="仿宋" w:cs="仿宋"/>
          <w:kern w:val="2"/>
          <w:sz w:val="32"/>
          <w:szCs w:val="32"/>
          <w:lang w:eastAsia="zh-CN" w:bidi="ar-SA"/>
        </w:rPr>
        <w:t>废水经自建1t/d污水处理设施处理</w:t>
      </w:r>
      <w:r>
        <w:rPr>
          <w:rFonts w:hint="eastAsia" w:ascii="仿宋" w:hAnsi="仿宋" w:eastAsia="仿宋" w:cs="仿宋"/>
          <w:kern w:val="2"/>
          <w:sz w:val="32"/>
          <w:szCs w:val="32"/>
          <w:lang w:val="en-US" w:eastAsia="zh-CN" w:bidi="ar-SA"/>
        </w:rPr>
        <w:t>后于</w:t>
      </w:r>
      <w:r>
        <w:rPr>
          <w:rFonts w:hint="default" w:ascii="仿宋" w:hAnsi="仿宋" w:eastAsia="仿宋" w:cs="仿宋"/>
          <w:kern w:val="2"/>
          <w:sz w:val="32"/>
          <w:szCs w:val="32"/>
          <w:lang w:eastAsia="zh-CN" w:bidi="ar-SA"/>
        </w:rPr>
        <w:t>生活污水经化粪池处理</w:t>
      </w:r>
      <w:r>
        <w:rPr>
          <w:rFonts w:hint="eastAsia" w:ascii="仿宋" w:hAnsi="仿宋" w:eastAsia="仿宋" w:cs="仿宋"/>
          <w:kern w:val="2"/>
          <w:sz w:val="32"/>
          <w:szCs w:val="32"/>
          <w:lang w:eastAsia="zh-CN" w:bidi="ar-SA"/>
        </w:rPr>
        <w:t>，</w:t>
      </w:r>
      <w:r>
        <w:rPr>
          <w:rFonts w:hint="default" w:ascii="仿宋" w:hAnsi="仿宋" w:eastAsia="仿宋" w:cs="仿宋"/>
          <w:kern w:val="2"/>
          <w:sz w:val="32"/>
          <w:szCs w:val="32"/>
          <w:lang w:eastAsia="zh-CN" w:bidi="ar-SA"/>
        </w:rPr>
        <w:t>排入福州市</w:t>
      </w:r>
      <w:r>
        <w:rPr>
          <w:rFonts w:hint="eastAsia" w:ascii="仿宋" w:hAnsi="仿宋" w:eastAsia="仿宋" w:cs="仿宋"/>
          <w:kern w:val="2"/>
          <w:sz w:val="32"/>
          <w:szCs w:val="32"/>
          <w:lang w:val="en-US" w:eastAsia="zh-CN" w:bidi="ar-SA"/>
        </w:rPr>
        <w:t>洋里</w:t>
      </w:r>
      <w:r>
        <w:rPr>
          <w:rFonts w:hint="default" w:ascii="仿宋" w:hAnsi="仿宋" w:eastAsia="仿宋" w:cs="仿宋"/>
          <w:kern w:val="2"/>
          <w:sz w:val="32"/>
          <w:szCs w:val="32"/>
          <w:lang w:eastAsia="zh-CN" w:bidi="ar-SA"/>
        </w:rPr>
        <w:t>污水处理厂。</w:t>
      </w:r>
    </w:p>
    <w:p w14:paraId="416BF5B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outlineLvl w:val="1"/>
        <w:rPr>
          <w:rFonts w:hint="default" w:ascii="仿宋" w:hAnsi="仿宋" w:eastAsia="仿宋" w:cs="仿宋"/>
          <w:color w:val="FF0000"/>
          <w:sz w:val="32"/>
          <w:szCs w:val="32"/>
          <w:lang w:val="en-US" w:eastAsia="zh-CN"/>
        </w:rPr>
      </w:pPr>
      <w:r>
        <w:rPr>
          <w:rFonts w:hint="eastAsia" w:ascii="仿宋" w:hAnsi="仿宋" w:eastAsia="仿宋" w:cs="仿宋"/>
          <w:bCs/>
          <w:color w:val="auto"/>
          <w:kern w:val="1"/>
          <w:sz w:val="32"/>
          <w:szCs w:val="32"/>
          <w:lang w:val="en-US" w:eastAsia="zh-CN" w:bidi="ar-SA"/>
        </w:rPr>
        <w:t>2.大气污染</w:t>
      </w:r>
      <w:r>
        <w:rPr>
          <w:rFonts w:hint="eastAsia" w:ascii="仿宋" w:hAnsi="仿宋" w:eastAsia="仿宋" w:cs="仿宋"/>
          <w:sz w:val="32"/>
          <w:szCs w:val="32"/>
          <w:lang w:val="en-US" w:eastAsia="zh-CN"/>
        </w:rPr>
        <w:t>防治</w:t>
      </w:r>
      <w:r>
        <w:rPr>
          <w:rFonts w:hint="default" w:ascii="仿宋" w:hAnsi="仿宋" w:eastAsia="仿宋" w:cs="仿宋"/>
          <w:sz w:val="32"/>
          <w:szCs w:val="32"/>
          <w:lang w:eastAsia="zh-CN"/>
        </w:rPr>
        <w:t>。挥发性酸无机前处理、有机物前处理、配制环节均在通风橱中进行，检验过程中检测仪器产生的少量废气通过原子罩进行收集处理，</w:t>
      </w:r>
      <w:r>
        <w:rPr>
          <w:rFonts w:hint="default" w:ascii="仿宋" w:hAnsi="仿宋" w:eastAsia="仿宋" w:cs="仿宋"/>
          <w:color w:val="auto"/>
          <w:sz w:val="32"/>
          <w:szCs w:val="32"/>
          <w:lang w:eastAsia="zh-CN"/>
        </w:rPr>
        <w:t>无机酸性废气经收集后通过“碱液喷淋塔（TA001）”装置处理</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lang w:eastAsia="zh-CN"/>
        </w:rPr>
        <w:t>有机废气经收集后通过 “两级活性炭吸附（TA002）”装置处理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引至20米高空排放。</w:t>
      </w:r>
    </w:p>
    <w:p w14:paraId="4F22BAF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rPr>
          <w:rFonts w:hint="eastAsia" w:ascii="仿宋" w:hAnsi="仿宋" w:eastAsia="仿宋" w:cs="仿宋"/>
          <w:b w:val="0"/>
          <w:color w:val="000000"/>
          <w:spacing w:val="0"/>
          <w:w w:val="100"/>
          <w:kern w:val="0"/>
          <w:sz w:val="32"/>
          <w:szCs w:val="32"/>
          <w:u w:val="none" w:color="000000"/>
          <w:lang w:val="zh-CN" w:eastAsia="zh-CN" w:bidi="ar-SA"/>
        </w:rPr>
      </w:pPr>
      <w:r>
        <w:rPr>
          <w:rFonts w:hint="eastAsia" w:ascii="仿宋" w:hAnsi="仿宋" w:eastAsia="仿宋" w:cs="仿宋"/>
          <w:b w:val="0"/>
          <w:color w:val="000000"/>
          <w:spacing w:val="0"/>
          <w:w w:val="100"/>
          <w:kern w:val="0"/>
          <w:sz w:val="32"/>
          <w:szCs w:val="32"/>
          <w:u w:val="none" w:color="000000"/>
          <w:lang w:val="en-US" w:eastAsia="zh-CN" w:bidi="ar-SA"/>
        </w:rPr>
        <w:t>3.</w:t>
      </w:r>
      <w:r>
        <w:rPr>
          <w:rFonts w:hint="eastAsia" w:ascii="仿宋" w:hAnsi="仿宋" w:eastAsia="仿宋" w:cs="仿宋"/>
          <w:sz w:val="32"/>
          <w:szCs w:val="32"/>
        </w:rPr>
        <w:t>噪声污染防治</w:t>
      </w:r>
      <w:r>
        <w:rPr>
          <w:rFonts w:hint="default" w:ascii="仿宋" w:hAnsi="仿宋" w:eastAsia="仿宋" w:cs="仿宋"/>
          <w:sz w:val="32"/>
          <w:szCs w:val="32"/>
        </w:rPr>
        <w:t>。</w:t>
      </w:r>
      <w:r>
        <w:rPr>
          <w:rFonts w:hint="eastAsia" w:ascii="仿宋" w:hAnsi="仿宋" w:eastAsia="仿宋" w:cs="仿宋"/>
          <w:sz w:val="32"/>
          <w:szCs w:val="32"/>
        </w:rPr>
        <w:t>尽可能选用低噪声设备；对噪声超标设备采用降噪措施</w:t>
      </w:r>
      <w:r>
        <w:rPr>
          <w:rFonts w:hint="eastAsia" w:ascii="仿宋" w:hAnsi="仿宋" w:eastAsia="仿宋" w:cs="仿宋"/>
          <w:sz w:val="32"/>
          <w:szCs w:val="32"/>
          <w:lang w:eastAsia="zh-CN"/>
        </w:rPr>
        <w:t>，加强对设备的管理和维护</w:t>
      </w:r>
      <w:r>
        <w:rPr>
          <w:rFonts w:hint="eastAsia" w:ascii="仿宋" w:hAnsi="仿宋" w:eastAsia="仿宋" w:cs="仿宋"/>
          <w:sz w:val="32"/>
          <w:szCs w:val="32"/>
        </w:rPr>
        <w:t>。</w:t>
      </w:r>
    </w:p>
    <w:p w14:paraId="31BD8DC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固体废物污染防治</w:t>
      </w:r>
      <w:r>
        <w:rPr>
          <w:rFonts w:hint="default" w:ascii="仿宋" w:hAnsi="仿宋" w:eastAsia="仿宋" w:cs="仿宋"/>
          <w:sz w:val="32"/>
          <w:szCs w:val="32"/>
        </w:rPr>
        <w:t>。实验废液</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包括清洗废水</w:t>
      </w:r>
      <w:r>
        <w:rPr>
          <w:rFonts w:hint="eastAsia" w:ascii="仿宋" w:hAnsi="仿宋" w:eastAsia="仿宋" w:cs="仿宋"/>
          <w:sz w:val="32"/>
          <w:szCs w:val="32"/>
          <w:lang w:eastAsia="zh-CN"/>
        </w:rPr>
        <w:t>）、沉积物废样品、化学品包装物及沾有试剂的废弃耗材、过期、失效试剂、的废活性炭、</w:t>
      </w:r>
      <w:r>
        <w:rPr>
          <w:rFonts w:hint="default" w:ascii="仿宋" w:hAnsi="仿宋" w:eastAsia="仿宋" w:cs="仿宋"/>
          <w:sz w:val="32"/>
          <w:szCs w:val="32"/>
        </w:rPr>
        <w:t>废紫外灯管</w:t>
      </w:r>
      <w:r>
        <w:rPr>
          <w:rFonts w:hint="eastAsia" w:ascii="仿宋" w:hAnsi="仿宋" w:eastAsia="仿宋" w:cs="仿宋"/>
          <w:sz w:val="32"/>
          <w:szCs w:val="32"/>
          <w:lang w:eastAsia="zh-CN"/>
        </w:rPr>
        <w:t>、</w:t>
      </w:r>
      <w:r>
        <w:rPr>
          <w:rFonts w:hint="default" w:ascii="仿宋" w:hAnsi="仿宋" w:eastAsia="仿宋" w:cs="仿宋"/>
          <w:sz w:val="32"/>
          <w:szCs w:val="32"/>
        </w:rPr>
        <w:t>污泥危险废物暂存于危废贮存库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委托</w:t>
      </w:r>
      <w:r>
        <w:rPr>
          <w:rFonts w:hint="default" w:ascii="仿宋" w:hAnsi="仿宋" w:eastAsia="仿宋" w:cs="仿宋"/>
          <w:sz w:val="32"/>
          <w:szCs w:val="32"/>
        </w:rPr>
        <w:t>有危废处置资质单位进行处置</w:t>
      </w:r>
      <w:r>
        <w:rPr>
          <w:rFonts w:hint="eastAsia" w:ascii="仿宋" w:hAnsi="仿宋" w:eastAsia="仿宋" w:cs="仿宋"/>
          <w:sz w:val="32"/>
          <w:szCs w:val="32"/>
          <w:lang w:eastAsia="zh-CN"/>
        </w:rPr>
        <w:t>；废包装物外售综合利用，报废仪器及配件、纯水机废滤芯定期由仪器销售商回收；</w:t>
      </w:r>
      <w:r>
        <w:rPr>
          <w:rFonts w:hint="eastAsia" w:ascii="仿宋" w:hAnsi="仿宋" w:eastAsia="仿宋" w:cs="仿宋"/>
          <w:sz w:val="32"/>
          <w:szCs w:val="32"/>
          <w:lang w:val="en-US" w:eastAsia="zh-CN"/>
        </w:rPr>
        <w:t>生活垃圾委托环卫部门统一清运处理。</w:t>
      </w:r>
    </w:p>
    <w:p w14:paraId="5E2C287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5.加强施工期环境管理，应采取有效的污染防治措施，减轻</w:t>
      </w:r>
    </w:p>
    <w:p w14:paraId="22C44A87">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 w:hAnsi="仿宋" w:eastAsia="仿宋" w:cs="仿宋"/>
          <w:sz w:val="32"/>
          <w:szCs w:val="32"/>
        </w:rPr>
      </w:pPr>
      <w:r>
        <w:rPr>
          <w:rFonts w:hint="eastAsia" w:ascii="仿宋" w:hAnsi="仿宋" w:eastAsia="仿宋" w:cs="仿宋"/>
          <w:sz w:val="32"/>
          <w:szCs w:val="32"/>
        </w:rPr>
        <w:t>施工噪声、粉尘、污水等对周边环境的影响。</w:t>
      </w:r>
    </w:p>
    <w:p w14:paraId="570F42C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环境风险防范。</w:t>
      </w:r>
      <w:r>
        <w:rPr>
          <w:rFonts w:hint="eastAsia" w:ascii="仿宋" w:hAnsi="仿宋" w:eastAsia="仿宋" w:cs="仿宋"/>
          <w:sz w:val="32"/>
          <w:szCs w:val="32"/>
          <w:lang w:eastAsia="zh-CN"/>
        </w:rPr>
        <w:t>项目</w:t>
      </w:r>
      <w:r>
        <w:rPr>
          <w:rFonts w:hint="eastAsia" w:ascii="仿宋" w:hAnsi="仿宋" w:eastAsia="仿宋" w:cs="仿宋"/>
          <w:sz w:val="32"/>
          <w:szCs w:val="32"/>
        </w:rPr>
        <w:t>应建立严格的环保管理制度，</w:t>
      </w:r>
      <w:r>
        <w:rPr>
          <w:rFonts w:hint="eastAsia" w:ascii="仿宋" w:hAnsi="仿宋" w:eastAsia="仿宋" w:cs="仿宋"/>
          <w:sz w:val="32"/>
          <w:szCs w:val="32"/>
          <w:lang w:val="en-US" w:eastAsia="zh-CN"/>
        </w:rPr>
        <w:t>严格</w:t>
      </w:r>
      <w:r>
        <w:rPr>
          <w:rFonts w:hint="eastAsia" w:ascii="仿宋" w:hAnsi="仿宋" w:eastAsia="仿宋" w:cs="仿宋"/>
          <w:sz w:val="32"/>
          <w:szCs w:val="32"/>
        </w:rPr>
        <w:t>按照《报告</w:t>
      </w:r>
      <w:r>
        <w:rPr>
          <w:rFonts w:hint="eastAsia" w:ascii="仿宋" w:hAnsi="仿宋" w:eastAsia="仿宋" w:cs="仿宋"/>
          <w:sz w:val="32"/>
          <w:szCs w:val="32"/>
          <w:lang w:eastAsia="zh-CN"/>
        </w:rPr>
        <w:t>表</w:t>
      </w:r>
      <w:r>
        <w:rPr>
          <w:rFonts w:hint="eastAsia" w:ascii="仿宋" w:hAnsi="仿宋" w:eastAsia="仿宋" w:cs="仿宋"/>
          <w:sz w:val="32"/>
          <w:szCs w:val="32"/>
        </w:rPr>
        <w:t>》要求落实各项</w:t>
      </w:r>
      <w:r>
        <w:rPr>
          <w:rFonts w:hint="eastAsia" w:ascii="仿宋" w:hAnsi="仿宋" w:eastAsia="仿宋" w:cs="仿宋"/>
          <w:sz w:val="32"/>
          <w:szCs w:val="32"/>
          <w:lang w:val="en-US" w:eastAsia="zh-CN"/>
        </w:rPr>
        <w:t>环境</w:t>
      </w:r>
      <w:r>
        <w:rPr>
          <w:rFonts w:hint="eastAsia" w:ascii="仿宋" w:hAnsi="仿宋" w:eastAsia="仿宋" w:cs="仿宋"/>
          <w:sz w:val="32"/>
          <w:szCs w:val="32"/>
        </w:rPr>
        <w:t>风险</w:t>
      </w:r>
      <w:r>
        <w:rPr>
          <w:rFonts w:hint="eastAsia" w:ascii="仿宋" w:hAnsi="仿宋" w:eastAsia="仿宋" w:cs="仿宋"/>
          <w:sz w:val="32"/>
          <w:szCs w:val="32"/>
          <w:lang w:val="en-US" w:eastAsia="zh-CN"/>
        </w:rPr>
        <w:t>防范</w:t>
      </w:r>
      <w:r>
        <w:rPr>
          <w:rFonts w:hint="eastAsia" w:ascii="仿宋" w:hAnsi="仿宋" w:eastAsia="仿宋" w:cs="仿宋"/>
          <w:sz w:val="32"/>
          <w:szCs w:val="32"/>
        </w:rPr>
        <w:t>措施，加强环保设施运行管理与维护。加大风险监测和监控力度，落实《报告</w:t>
      </w:r>
      <w:r>
        <w:rPr>
          <w:rFonts w:hint="eastAsia" w:ascii="仿宋" w:hAnsi="仿宋" w:eastAsia="仿宋" w:cs="仿宋"/>
          <w:sz w:val="32"/>
          <w:szCs w:val="32"/>
          <w:lang w:eastAsia="zh-CN"/>
        </w:rPr>
        <w:t>表</w:t>
      </w:r>
      <w:r>
        <w:rPr>
          <w:rFonts w:hint="eastAsia" w:ascii="仿宋" w:hAnsi="仿宋" w:eastAsia="仿宋" w:cs="仿宋"/>
          <w:sz w:val="32"/>
          <w:szCs w:val="32"/>
        </w:rPr>
        <w:t>》中施工期、运营期的环境保护监测和管理计划，做好大气、水质</w:t>
      </w:r>
      <w:r>
        <w:rPr>
          <w:rFonts w:hint="eastAsia" w:ascii="仿宋" w:hAnsi="仿宋" w:eastAsia="仿宋" w:cs="仿宋"/>
          <w:sz w:val="32"/>
          <w:szCs w:val="32"/>
          <w:lang w:eastAsia="zh-CN"/>
        </w:rPr>
        <w:t>、</w:t>
      </w:r>
      <w:r>
        <w:rPr>
          <w:rFonts w:hint="default" w:ascii="仿宋" w:hAnsi="仿宋" w:eastAsia="仿宋" w:cs="仿宋"/>
          <w:sz w:val="32"/>
          <w:szCs w:val="32"/>
          <w:lang w:eastAsia="zh-CN"/>
        </w:rPr>
        <w:t>噪声</w:t>
      </w:r>
      <w:r>
        <w:rPr>
          <w:rFonts w:hint="eastAsia" w:ascii="仿宋" w:hAnsi="仿宋" w:eastAsia="仿宋" w:cs="仿宋"/>
          <w:sz w:val="32"/>
          <w:szCs w:val="32"/>
        </w:rPr>
        <w:t>等监测工作，发现问题及时整改和报告。</w:t>
      </w:r>
    </w:p>
    <w:p w14:paraId="3DC3592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eastAsia" w:ascii="仿宋" w:hAnsi="仿宋" w:eastAsia="仿宋" w:cs="仿宋"/>
          <w:kern w:val="32"/>
          <w:sz w:val="32"/>
          <w:szCs w:val="32"/>
          <w:lang w:val="en-US" w:eastAsia="zh-CN"/>
        </w:rPr>
      </w:pPr>
      <w:r>
        <w:rPr>
          <w:rFonts w:hint="eastAsia" w:ascii="仿宋" w:hAnsi="仿宋" w:eastAsia="仿宋" w:cs="仿宋"/>
          <w:kern w:val="32"/>
          <w:sz w:val="32"/>
          <w:szCs w:val="32"/>
          <w:lang w:val="en-US" w:eastAsia="zh-CN"/>
        </w:rPr>
        <w:t>三、污染物排放标准（标准更新按新标准执行）及主要污染物允许排放总量：</w:t>
      </w:r>
    </w:p>
    <w:p w14:paraId="2573D7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bCs/>
          <w:color w:val="auto"/>
          <w:kern w:val="1"/>
          <w:sz w:val="32"/>
          <w:szCs w:val="32"/>
          <w:lang w:val="en-US" w:eastAsia="zh-CN" w:bidi="ar-SA"/>
        </w:rPr>
      </w:pPr>
      <w:r>
        <w:rPr>
          <w:rFonts w:hint="eastAsia" w:ascii="仿宋" w:hAnsi="仿宋" w:eastAsia="仿宋" w:cs="仿宋"/>
          <w:bCs/>
          <w:color w:val="auto"/>
          <w:kern w:val="1"/>
          <w:sz w:val="32"/>
          <w:szCs w:val="32"/>
          <w:lang w:val="en-US" w:eastAsia="zh-CN" w:bidi="ar-SA"/>
        </w:rPr>
        <w:t>（一）污染物排放标准</w:t>
      </w:r>
    </w:p>
    <w:p w14:paraId="07566ED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bCs/>
          <w:color w:val="auto"/>
          <w:kern w:val="1"/>
          <w:sz w:val="32"/>
          <w:szCs w:val="32"/>
          <w:lang w:val="en-US" w:eastAsia="zh-CN" w:bidi="ar-SA"/>
        </w:rPr>
      </w:pPr>
      <w:r>
        <w:rPr>
          <w:rFonts w:hint="eastAsia" w:ascii="仿宋" w:hAnsi="仿宋" w:eastAsia="仿宋" w:cs="仿宋"/>
          <w:bCs/>
          <w:color w:val="auto"/>
          <w:kern w:val="1"/>
          <w:sz w:val="32"/>
          <w:szCs w:val="32"/>
          <w:lang w:val="en-US" w:eastAsia="zh-CN" w:bidi="ar-SA"/>
        </w:rPr>
        <w:t>1.废水</w:t>
      </w:r>
      <w:r>
        <w:rPr>
          <w:rFonts w:hint="default" w:ascii="仿宋" w:hAnsi="仿宋" w:eastAsia="仿宋" w:cs="仿宋"/>
          <w:bCs/>
          <w:color w:val="auto"/>
          <w:kern w:val="1"/>
          <w:sz w:val="32"/>
          <w:szCs w:val="32"/>
          <w:lang w:eastAsia="zh-CN" w:bidi="ar-SA"/>
        </w:rPr>
        <w:t>。</w:t>
      </w:r>
      <w:r>
        <w:rPr>
          <w:rFonts w:hint="eastAsia" w:ascii="仿宋" w:hAnsi="仿宋" w:eastAsia="仿宋" w:cs="仿宋"/>
          <w:bCs/>
          <w:color w:val="auto"/>
          <w:kern w:val="1"/>
          <w:sz w:val="32"/>
          <w:szCs w:val="32"/>
          <w:lang w:val="en-US" w:eastAsia="zh-CN" w:bidi="ar-SA"/>
        </w:rPr>
        <w:t>污水排放执行《污水综合排放标准》（GB 8978-1996）表4中三级标准要求，其中氨氮排放执行《污水排入城镇下水道水质标准》（GB/T31962-2015）中B标准。</w:t>
      </w:r>
    </w:p>
    <w:p w14:paraId="29AE515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default" w:ascii="仿宋" w:hAnsi="仿宋" w:eastAsia="仿宋" w:cs="仿宋"/>
          <w:bCs/>
          <w:color w:val="auto"/>
          <w:kern w:val="1"/>
          <w:sz w:val="32"/>
          <w:szCs w:val="32"/>
          <w:lang w:eastAsia="zh-CN" w:bidi="ar-SA"/>
        </w:rPr>
      </w:pPr>
      <w:r>
        <w:rPr>
          <w:rFonts w:hint="eastAsia" w:ascii="仿宋" w:hAnsi="仿宋" w:eastAsia="仿宋" w:cs="仿宋"/>
          <w:bCs/>
          <w:color w:val="auto"/>
          <w:kern w:val="1"/>
          <w:sz w:val="32"/>
          <w:szCs w:val="32"/>
          <w:lang w:val="en-US" w:eastAsia="zh-CN" w:bidi="ar-SA"/>
        </w:rPr>
        <w:t>2.废气</w:t>
      </w:r>
      <w:r>
        <w:rPr>
          <w:rFonts w:hint="default" w:ascii="仿宋" w:hAnsi="仿宋" w:eastAsia="仿宋" w:cs="仿宋"/>
          <w:bCs/>
          <w:color w:val="auto"/>
          <w:kern w:val="1"/>
          <w:sz w:val="32"/>
          <w:szCs w:val="32"/>
          <w:lang w:eastAsia="zh-CN" w:bidi="ar-SA"/>
        </w:rPr>
        <w:t>。实验室废气排放执行《大气污染物综合排放标准》（GB 16297-1996）中表 2 的二级标准限值。</w:t>
      </w:r>
    </w:p>
    <w:p w14:paraId="54597F5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rPr>
          <w:rFonts w:hint="eastAsia"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color w:val="000000"/>
          <w:spacing w:val="0"/>
          <w:w w:val="100"/>
          <w:kern w:val="32"/>
          <w:sz w:val="32"/>
          <w:szCs w:val="32"/>
          <w:u w:val="none" w:color="000000"/>
          <w:lang w:val="en-US" w:eastAsia="zh-CN" w:bidi="ar-SA"/>
        </w:rPr>
        <w:t>3.固体废物。</w:t>
      </w:r>
      <w:r>
        <w:rPr>
          <w:rFonts w:hint="eastAsia" w:ascii="仿宋" w:hAnsi="仿宋" w:eastAsia="仿宋" w:cs="仿宋"/>
          <w:b w:val="0"/>
          <w:color w:val="000000"/>
          <w:spacing w:val="0"/>
          <w:w w:val="100"/>
          <w:kern w:val="0"/>
          <w:sz w:val="32"/>
          <w:szCs w:val="32"/>
          <w:u w:val="none" w:color="000000"/>
          <w:lang w:val="en-US" w:eastAsia="zh-CN" w:bidi="ar-SA"/>
        </w:rPr>
        <w:t>一般工业固体废物贮存执行《一般工业固体废物贮存和填埋污染控制标准》（GB18599-2020）和《中华人民共和国固体废物污染环境防治法》（2020年）</w:t>
      </w:r>
      <w:r>
        <w:rPr>
          <w:rFonts w:hint="eastAsia" w:ascii="仿宋" w:hAnsi="仿宋" w:eastAsia="仿宋" w:cs="仿宋"/>
          <w:color w:val="000000"/>
          <w:spacing w:val="0"/>
          <w:w w:val="100"/>
          <w:kern w:val="32"/>
          <w:sz w:val="32"/>
          <w:szCs w:val="32"/>
          <w:u w:val="none" w:color="000000"/>
          <w:lang w:val="en-US" w:eastAsia="zh-CN" w:bidi="ar-SA"/>
        </w:rPr>
        <w:t>；危险废物贮存执行《危险废物贮存污染控制标准》（GB18597-2023）中的相关规定；危险废物管理计划的台账制定执行《危险废物管理计划和管理台账制定技术导则》（HJ1259-2022）和《危险废物识别标志设置技术规范》（HJ1276-2022）。</w:t>
      </w:r>
    </w:p>
    <w:p w14:paraId="2FD39F9D">
      <w:pPr>
        <w:pStyle w:val="7"/>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baseline"/>
        <w:rPr>
          <w:rFonts w:hint="eastAsia" w:ascii="仿宋" w:hAnsi="仿宋" w:eastAsia="仿宋" w:cs="仿宋"/>
          <w:color w:val="000000"/>
          <w:spacing w:val="0"/>
          <w:w w:val="100"/>
          <w:kern w:val="32"/>
          <w:sz w:val="32"/>
          <w:szCs w:val="32"/>
          <w:u w:val="none" w:color="000000"/>
          <w:lang w:val="en-US" w:eastAsia="zh-CN" w:bidi="ar-SA"/>
        </w:rPr>
      </w:pPr>
      <w:r>
        <w:rPr>
          <w:rFonts w:hint="eastAsia" w:ascii="仿宋" w:hAnsi="仿宋" w:eastAsia="仿宋" w:cs="仿宋"/>
          <w:color w:val="000000"/>
          <w:spacing w:val="0"/>
          <w:w w:val="100"/>
          <w:kern w:val="32"/>
          <w:sz w:val="32"/>
          <w:szCs w:val="32"/>
          <w:u w:val="none" w:color="000000"/>
          <w:lang w:val="en-US" w:eastAsia="zh-CN" w:bidi="ar-SA"/>
        </w:rPr>
        <w:t>4.噪声。噪声排放可满足《工业企业厂界环境噪声排放标准》(GB12348-2008）中2类标准。</w:t>
      </w:r>
    </w:p>
    <w:p w14:paraId="70D60FB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（二）主要污染物允许排放总量</w:t>
      </w:r>
    </w:p>
    <w:p w14:paraId="7227D4E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本项目主要污染物排放总量控制要求：非甲烷总烃≤0.004756t/a，COD≤0.035t/a，氨氮≤0.0039t/a。</w:t>
      </w:r>
    </w:p>
    <w:p w14:paraId="004FD56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项目建成后，全厂主要污染物排放总量控制要求：本项目主要污染物排放总量控制要求：非甲烷总烃≤0.004756t/a，COD≤0.035t/a，氨氮≤0.0039t/a。</w:t>
      </w:r>
    </w:p>
    <w:p w14:paraId="641B7FA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今后生态环境部门将根据国家政策和实际情况对污染物排放总量进行调整核定，你公司应无条件服从。</w:t>
      </w:r>
    </w:p>
    <w:p w14:paraId="5D611D07">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四、《报告</w:t>
      </w:r>
      <w:r>
        <w:rPr>
          <w:rFonts w:hint="eastAsia" w:ascii="仿宋" w:hAnsi="仿宋" w:eastAsia="仿宋" w:cs="仿宋"/>
          <w:color w:val="auto"/>
          <w:sz w:val="32"/>
          <w:szCs w:val="32"/>
          <w:lang w:eastAsia="zh-CN"/>
        </w:rPr>
        <w:t>表</w:t>
      </w:r>
      <w:r>
        <w:rPr>
          <w:rFonts w:hint="eastAsia" w:ascii="仿宋" w:hAnsi="仿宋" w:eastAsia="仿宋" w:cs="仿宋"/>
          <w:color w:val="auto"/>
          <w:sz w:val="32"/>
          <w:szCs w:val="32"/>
        </w:rPr>
        <w:t>》审批后，如项目的性质、规模、地点、生产工艺或环保措施发生重大变动的，应当依法重新报批项目变更的环境影响报告</w:t>
      </w:r>
      <w:r>
        <w:rPr>
          <w:rFonts w:hint="eastAsia" w:ascii="仿宋" w:hAnsi="仿宋" w:eastAsia="仿宋" w:cs="仿宋"/>
          <w:color w:val="auto"/>
          <w:sz w:val="32"/>
          <w:szCs w:val="32"/>
          <w:lang w:eastAsia="zh-CN"/>
        </w:rPr>
        <w:t>表（书）</w:t>
      </w:r>
      <w:r>
        <w:rPr>
          <w:rFonts w:hint="eastAsia" w:ascii="仿宋" w:hAnsi="仿宋" w:eastAsia="仿宋" w:cs="仿宋"/>
          <w:color w:val="auto"/>
          <w:sz w:val="32"/>
          <w:szCs w:val="32"/>
        </w:rPr>
        <w:t>。</w:t>
      </w:r>
    </w:p>
    <w:p w14:paraId="3958764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rPr>
        <w:t>五、项目建设应</w:t>
      </w:r>
      <w:r>
        <w:rPr>
          <w:rFonts w:hint="eastAsia" w:ascii="仿宋" w:hAnsi="仿宋" w:eastAsia="仿宋" w:cs="仿宋"/>
          <w:color w:val="auto"/>
          <w:sz w:val="32"/>
          <w:szCs w:val="32"/>
          <w:lang w:val="zh-CN"/>
        </w:rPr>
        <w:t>严格执行环保“三同时”制度。</w:t>
      </w:r>
      <w:r>
        <w:rPr>
          <w:rFonts w:hint="eastAsia" w:ascii="仿宋" w:hAnsi="仿宋" w:eastAsia="仿宋" w:cs="仿宋"/>
          <w:color w:val="auto"/>
          <w:sz w:val="32"/>
          <w:szCs w:val="32"/>
        </w:rPr>
        <w:t>在施工招标文件、施工合同和工程监理招标文件中明确环保条款和责任，并委托有资质的单位开展环境监理工作。</w:t>
      </w:r>
      <w:r>
        <w:rPr>
          <w:rFonts w:hint="eastAsia" w:ascii="仿宋" w:hAnsi="仿宋" w:eastAsia="仿宋" w:cs="仿宋"/>
          <w:color w:val="auto"/>
          <w:sz w:val="32"/>
          <w:szCs w:val="32"/>
          <w:lang w:val="zh-CN"/>
        </w:rPr>
        <w:t>项目</w:t>
      </w:r>
      <w:r>
        <w:rPr>
          <w:rFonts w:hint="eastAsia" w:ascii="仿宋" w:hAnsi="仿宋" w:eastAsia="仿宋" w:cs="仿宋"/>
          <w:color w:val="auto"/>
          <w:sz w:val="32"/>
          <w:szCs w:val="32"/>
        </w:rPr>
        <w:t>竣工</w:t>
      </w:r>
      <w:r>
        <w:rPr>
          <w:rFonts w:hint="eastAsia" w:ascii="仿宋" w:hAnsi="仿宋" w:eastAsia="仿宋" w:cs="仿宋"/>
          <w:color w:val="auto"/>
          <w:sz w:val="32"/>
          <w:szCs w:val="32"/>
          <w:lang w:val="zh-CN"/>
        </w:rPr>
        <w:t>后，应按</w:t>
      </w:r>
      <w:r>
        <w:rPr>
          <w:rFonts w:hint="eastAsia" w:ascii="仿宋" w:hAnsi="仿宋" w:eastAsia="仿宋" w:cs="仿宋"/>
          <w:color w:val="auto"/>
          <w:sz w:val="32"/>
          <w:szCs w:val="32"/>
        </w:rPr>
        <w:t>照</w:t>
      </w:r>
      <w:r>
        <w:rPr>
          <w:rFonts w:hint="eastAsia" w:ascii="仿宋" w:hAnsi="仿宋" w:eastAsia="仿宋" w:cs="仿宋"/>
          <w:color w:val="auto"/>
          <w:sz w:val="32"/>
          <w:szCs w:val="32"/>
          <w:lang w:val="zh-CN"/>
        </w:rPr>
        <w:t>规定的程序</w:t>
      </w:r>
      <w:r>
        <w:rPr>
          <w:rFonts w:hint="eastAsia" w:ascii="仿宋" w:hAnsi="仿宋" w:eastAsia="仿宋" w:cs="仿宋"/>
          <w:color w:val="auto"/>
          <w:sz w:val="32"/>
          <w:szCs w:val="32"/>
        </w:rPr>
        <w:t>和标准</w:t>
      </w:r>
      <w:r>
        <w:rPr>
          <w:rFonts w:hint="eastAsia" w:ascii="仿宋" w:hAnsi="仿宋" w:eastAsia="仿宋" w:cs="仿宋"/>
          <w:color w:val="auto"/>
          <w:sz w:val="32"/>
          <w:szCs w:val="32"/>
          <w:lang w:val="zh-CN"/>
        </w:rPr>
        <w:t>，</w:t>
      </w:r>
      <w:r>
        <w:rPr>
          <w:rFonts w:hint="eastAsia" w:ascii="仿宋" w:hAnsi="仿宋" w:eastAsia="仿宋" w:cs="仿宋"/>
          <w:color w:val="auto"/>
          <w:sz w:val="32"/>
          <w:szCs w:val="32"/>
        </w:rPr>
        <w:t>组织</w:t>
      </w:r>
      <w:r>
        <w:rPr>
          <w:rFonts w:hint="eastAsia" w:ascii="仿宋" w:hAnsi="仿宋" w:eastAsia="仿宋" w:cs="仿宋"/>
          <w:color w:val="auto"/>
          <w:sz w:val="32"/>
          <w:szCs w:val="32"/>
          <w:lang w:val="zh-CN"/>
        </w:rPr>
        <w:t>开展</w:t>
      </w:r>
      <w:r>
        <w:rPr>
          <w:rFonts w:hint="eastAsia" w:ascii="仿宋" w:hAnsi="仿宋" w:eastAsia="仿宋" w:cs="仿宋"/>
          <w:color w:val="auto"/>
          <w:sz w:val="32"/>
          <w:szCs w:val="32"/>
        </w:rPr>
        <w:t>竣工</w:t>
      </w:r>
      <w:r>
        <w:rPr>
          <w:rFonts w:hint="eastAsia" w:ascii="仿宋" w:hAnsi="仿宋" w:eastAsia="仿宋" w:cs="仿宋"/>
          <w:color w:val="auto"/>
          <w:sz w:val="32"/>
          <w:szCs w:val="32"/>
          <w:lang w:val="zh-CN"/>
        </w:rPr>
        <w:t>环</w:t>
      </w:r>
      <w:r>
        <w:rPr>
          <w:rFonts w:hint="eastAsia" w:ascii="仿宋" w:hAnsi="仿宋" w:eastAsia="仿宋" w:cs="仿宋"/>
          <w:color w:val="auto"/>
          <w:sz w:val="32"/>
          <w:szCs w:val="32"/>
          <w:highlight w:val="none"/>
          <w:lang w:val="zh-CN"/>
        </w:rPr>
        <w:t>境</w:t>
      </w:r>
      <w:r>
        <w:rPr>
          <w:rFonts w:hint="eastAsia" w:ascii="仿宋" w:hAnsi="仿宋" w:eastAsia="仿宋" w:cs="仿宋"/>
          <w:color w:val="auto"/>
          <w:sz w:val="32"/>
          <w:szCs w:val="32"/>
        </w:rPr>
        <w:t>保护</w:t>
      </w:r>
      <w:r>
        <w:rPr>
          <w:rFonts w:hint="eastAsia" w:ascii="仿宋" w:hAnsi="仿宋" w:eastAsia="仿宋" w:cs="仿宋"/>
          <w:color w:val="auto"/>
          <w:sz w:val="32"/>
          <w:szCs w:val="32"/>
          <w:lang w:val="zh-CN"/>
        </w:rPr>
        <w:t>验收。项目配套的各项环境保护设施未建成或未经竣工验收合格，项目不得投入生产。</w:t>
      </w:r>
    </w:p>
    <w:p w14:paraId="1CE1A9A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rPr>
          <w:rFonts w:hint="eastAsia" w:ascii="仿宋" w:hAnsi="仿宋" w:eastAsia="仿宋" w:cs="仿宋"/>
          <w:color w:val="auto"/>
          <w:spacing w:val="0"/>
          <w:sz w:val="32"/>
          <w:szCs w:val="32"/>
          <w:lang w:val="en-US" w:eastAsia="zh-CN"/>
        </w:rPr>
      </w:pPr>
      <w:r>
        <w:rPr>
          <w:rFonts w:hint="eastAsia" w:ascii="仿宋" w:hAnsi="仿宋" w:eastAsia="仿宋" w:cs="仿宋"/>
          <w:color w:val="auto"/>
          <w:sz w:val="32"/>
          <w:szCs w:val="32"/>
        </w:rPr>
        <w:t>六、项目投产前，你公司应向生态环境部门申请调剂VOCs总量指标</w:t>
      </w:r>
      <w:r>
        <w:rPr>
          <w:rFonts w:hint="eastAsia" w:ascii="仿宋" w:hAnsi="仿宋" w:eastAsia="仿宋" w:cs="仿宋"/>
          <w:color w:val="auto"/>
          <w:sz w:val="32"/>
          <w:szCs w:val="32"/>
          <w:lang w:eastAsia="zh-CN"/>
        </w:rPr>
        <w:t>。</w:t>
      </w:r>
    </w:p>
    <w:p w14:paraId="34010F6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eastAsia" w:ascii="仿宋" w:hAnsi="仿宋" w:eastAsia="仿宋" w:cs="仿宋"/>
          <w:color w:val="auto"/>
          <w:sz w:val="32"/>
          <w:szCs w:val="32"/>
          <w:lang w:eastAsia="zh-CN"/>
        </w:rPr>
      </w:pPr>
      <w:r>
        <w:rPr>
          <w:rFonts w:hint="eastAsia" w:ascii="仿宋" w:hAnsi="仿宋" w:eastAsia="仿宋" w:cs="仿宋"/>
          <w:color w:val="auto"/>
          <w:spacing w:val="0"/>
          <w:sz w:val="32"/>
          <w:szCs w:val="32"/>
          <w:lang w:val="en-US" w:eastAsia="zh-CN"/>
        </w:rPr>
        <w:t>七</w:t>
      </w:r>
      <w:r>
        <w:rPr>
          <w:rFonts w:hint="eastAsia" w:ascii="仿宋" w:hAnsi="仿宋" w:eastAsia="仿宋" w:cs="仿宋"/>
          <w:color w:val="auto"/>
          <w:spacing w:val="0"/>
          <w:sz w:val="32"/>
          <w:szCs w:val="32"/>
          <w:lang w:val="zh-CN" w:eastAsia="zh-CN"/>
        </w:rPr>
        <w:t>、我局委托福州市鼓楼</w:t>
      </w:r>
      <w:r>
        <w:rPr>
          <w:rFonts w:hint="eastAsia" w:ascii="仿宋" w:hAnsi="仿宋" w:eastAsia="仿宋" w:cs="仿宋"/>
          <w:color w:val="auto"/>
          <w:spacing w:val="0"/>
          <w:sz w:val="32"/>
          <w:szCs w:val="32"/>
          <w:lang w:val="en-US" w:eastAsia="zh-CN"/>
        </w:rPr>
        <w:t>生态</w:t>
      </w:r>
      <w:r>
        <w:rPr>
          <w:rFonts w:hint="eastAsia" w:ascii="仿宋" w:hAnsi="仿宋" w:eastAsia="仿宋" w:cs="仿宋"/>
          <w:color w:val="auto"/>
          <w:spacing w:val="0"/>
          <w:sz w:val="32"/>
          <w:szCs w:val="32"/>
          <w:lang w:val="zh-CN" w:eastAsia="zh-CN"/>
        </w:rPr>
        <w:t>环境</w:t>
      </w:r>
      <w:r>
        <w:rPr>
          <w:rFonts w:hint="eastAsia" w:ascii="仿宋" w:hAnsi="仿宋" w:eastAsia="仿宋" w:cs="仿宋"/>
          <w:color w:val="auto"/>
          <w:spacing w:val="0"/>
          <w:sz w:val="32"/>
          <w:szCs w:val="32"/>
          <w:lang w:val="en-US" w:eastAsia="zh-CN"/>
        </w:rPr>
        <w:t>保护</w:t>
      </w:r>
      <w:r>
        <w:rPr>
          <w:rFonts w:hint="eastAsia" w:ascii="仿宋" w:hAnsi="仿宋" w:eastAsia="仿宋" w:cs="仿宋"/>
          <w:color w:val="auto"/>
          <w:spacing w:val="0"/>
          <w:sz w:val="32"/>
          <w:szCs w:val="32"/>
          <w:lang w:val="zh-CN" w:eastAsia="zh-CN"/>
        </w:rPr>
        <w:t>综合执法大队开展该项目环保“三同时”</w:t>
      </w:r>
      <w:r>
        <w:rPr>
          <w:rFonts w:hint="eastAsia" w:ascii="仿宋" w:hAnsi="仿宋" w:eastAsia="仿宋" w:cs="仿宋"/>
          <w:color w:val="auto"/>
          <w:sz w:val="32"/>
          <w:szCs w:val="32"/>
          <w:lang w:val="zh-CN" w:eastAsia="zh-CN"/>
        </w:rPr>
        <w:t>监督检查</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日常环保监督管理工作</w:t>
      </w:r>
      <w:r>
        <w:rPr>
          <w:rFonts w:hint="eastAsia" w:ascii="仿宋" w:hAnsi="仿宋" w:eastAsia="仿宋" w:cs="仿宋"/>
          <w:color w:val="auto"/>
          <w:sz w:val="32"/>
          <w:szCs w:val="32"/>
          <w:lang w:eastAsia="zh-CN"/>
        </w:rPr>
        <w:t>。</w:t>
      </w:r>
    </w:p>
    <w:p w14:paraId="5B4C252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eastAsia" w:ascii="仿宋" w:hAnsi="仿宋" w:eastAsia="仿宋" w:cs="仿宋"/>
          <w:color w:val="auto"/>
          <w:sz w:val="32"/>
          <w:szCs w:val="32"/>
          <w:lang w:val="en-US" w:eastAsia="zh-CN"/>
        </w:rPr>
      </w:pPr>
    </w:p>
    <w:p w14:paraId="65034A0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5760" w:firstLineChars="1800"/>
        <w:jc w:val="both"/>
        <w:textAlignment w:val="baseline"/>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福州市生态环境局</w:t>
      </w:r>
    </w:p>
    <w:p w14:paraId="78B2137D">
      <w:pPr>
        <w:keepNext w:val="0"/>
        <w:keepLines w:val="0"/>
        <w:pageBreakBefore w:val="0"/>
        <w:kinsoku/>
        <w:wordWrap/>
        <w:overflowPunct/>
        <w:topLinePunct w:val="0"/>
        <w:autoSpaceDE/>
        <w:autoSpaceDN/>
        <w:bidi w:val="0"/>
        <w:adjustRightInd/>
        <w:snapToGrid/>
        <w:spacing w:line="560" w:lineRule="exact"/>
        <w:ind w:right="0" w:rightChars="0" w:firstLine="5760" w:firstLineChars="1800"/>
        <w:jc w:val="both"/>
        <w:textAlignment w:val="baseline"/>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p>
    <w:p w14:paraId="7B0AA833">
      <w:pPr>
        <w:keepNext w:val="0"/>
        <w:keepLines w:val="0"/>
        <w:pageBreakBefore w:val="0"/>
        <w:kinsoku/>
        <w:wordWrap w:val="0"/>
        <w:topLinePunct w:val="0"/>
        <w:bidi w:val="0"/>
        <w:adjustRightInd/>
        <w:snapToGrid/>
        <w:spacing w:line="440" w:lineRule="exact"/>
        <w:ind w:right="0" w:rightChars="0"/>
        <w:jc w:val="right"/>
        <w:textAlignment w:val="baseline"/>
        <w:rPr>
          <w:rFonts w:hint="default" w:eastAsia="仿宋"/>
          <w:lang w:val="en-US" w:eastAsia="zh-CN"/>
        </w:rPr>
      </w:pPr>
      <w:r>
        <w:rPr>
          <w:rFonts w:hint="eastAsia" w:ascii="仿宋" w:hAnsi="仿宋" w:eastAsia="仿宋" w:cs="仿宋"/>
          <w:color w:val="auto"/>
          <w:sz w:val="32"/>
          <w:szCs w:val="32"/>
          <w:lang w:val="en-US" w:eastAsia="zh-CN"/>
        </w:rPr>
        <w:t xml:space="preserve">   </w:t>
      </w:r>
    </w:p>
    <w:p w14:paraId="149B8A82">
      <w:pPr>
        <w:pStyle w:val="5"/>
        <w:pageBreakBefore w:val="0"/>
        <w:kinsoku/>
        <w:topLinePunct w:val="0"/>
        <w:bidi w:val="0"/>
        <w:spacing w:line="440" w:lineRule="exact"/>
        <w:rPr>
          <w:rFonts w:hint="eastAsia" w:ascii="仿宋" w:hAnsi="仿宋" w:eastAsia="仿宋" w:cs="仿宋"/>
          <w:color w:val="auto"/>
          <w:sz w:val="32"/>
          <w:szCs w:val="32"/>
          <w:lang w:val="en-US" w:eastAsia="zh-CN"/>
        </w:rPr>
      </w:pPr>
    </w:p>
    <w:p w14:paraId="32A6A91D">
      <w:pPr>
        <w:pageBreakBefore w:val="0"/>
        <w:kinsoku/>
        <w:topLinePunct w:val="0"/>
        <w:bidi w:val="0"/>
        <w:spacing w:line="440" w:lineRule="exact"/>
        <w:rPr>
          <w:rFonts w:hint="eastAsia"/>
          <w:lang w:val="en-US" w:eastAsia="zh-CN"/>
        </w:rPr>
      </w:pPr>
    </w:p>
    <w:p w14:paraId="49B1737D">
      <w:pPr>
        <w:pStyle w:val="3"/>
        <w:pageBreakBefore w:val="0"/>
        <w:numPr>
          <w:ilvl w:val="0"/>
          <w:numId w:val="0"/>
        </w:numPr>
        <w:kinsoku/>
        <w:topLinePunct w:val="0"/>
        <w:bidi w:val="0"/>
        <w:spacing w:line="440" w:lineRule="exact"/>
        <w:ind w:leftChars="0"/>
        <w:jc w:val="both"/>
        <w:rPr>
          <w:rFonts w:hint="eastAsia"/>
          <w:lang w:val="en-US" w:eastAsia="zh-CN"/>
        </w:rPr>
      </w:pPr>
    </w:p>
    <w:p w14:paraId="0F638565">
      <w:pPr>
        <w:pageBreakBefore w:val="0"/>
        <w:kinsoku/>
        <w:topLinePunct w:val="0"/>
        <w:bidi w:val="0"/>
        <w:spacing w:line="440" w:lineRule="exact"/>
        <w:rPr>
          <w:rFonts w:hint="eastAsia"/>
          <w:lang w:val="en-US" w:eastAsia="zh-CN"/>
        </w:rPr>
      </w:pPr>
    </w:p>
    <w:p w14:paraId="03D2EA1C">
      <w:pPr>
        <w:pageBreakBefore w:val="0"/>
        <w:kinsoku/>
        <w:topLinePunct w:val="0"/>
        <w:bidi w:val="0"/>
        <w:spacing w:line="440" w:lineRule="exact"/>
        <w:rPr>
          <w:rFonts w:hint="eastAsia"/>
          <w:lang w:val="en-US" w:eastAsia="zh-CN"/>
        </w:rPr>
      </w:pPr>
    </w:p>
    <w:p w14:paraId="4809C98D">
      <w:pPr>
        <w:pStyle w:val="5"/>
        <w:pageBreakBefore w:val="0"/>
        <w:kinsoku/>
        <w:topLinePunct w:val="0"/>
        <w:bidi w:val="0"/>
        <w:spacing w:line="440" w:lineRule="exact"/>
        <w:rPr>
          <w:rFonts w:hint="eastAsia"/>
          <w:lang w:val="en-US" w:eastAsia="zh-CN"/>
        </w:rPr>
      </w:pPr>
    </w:p>
    <w:p w14:paraId="19EB32A1">
      <w:pPr>
        <w:pStyle w:val="4"/>
        <w:pageBreakBefore w:val="0"/>
        <w:kinsoku/>
        <w:topLinePunct w:val="0"/>
        <w:bidi w:val="0"/>
        <w:spacing w:line="440" w:lineRule="exact"/>
        <w:rPr>
          <w:rFonts w:hint="eastAsia"/>
          <w:lang w:val="en-US" w:eastAsia="zh-CN"/>
        </w:rPr>
      </w:pPr>
    </w:p>
    <w:p w14:paraId="09CC3C09">
      <w:pPr>
        <w:pStyle w:val="8"/>
        <w:pageBreakBefore w:val="0"/>
        <w:kinsoku/>
        <w:topLinePunct w:val="0"/>
        <w:bidi w:val="0"/>
        <w:spacing w:line="440" w:lineRule="exact"/>
        <w:ind w:left="0" w:leftChars="0" w:firstLine="0" w:firstLineChars="0"/>
        <w:rPr>
          <w:rFonts w:hint="default"/>
          <w:lang w:val="en-US" w:eastAsia="zh-CN"/>
        </w:rPr>
      </w:pP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4A1418"/>
    <w:multiLevelType w:val="multilevel"/>
    <w:tmpl w:val="784A1418"/>
    <w:lvl w:ilvl="0" w:tentative="0">
      <w:start w:val="1"/>
      <w:numFmt w:val="chineseCounting"/>
      <w:pStyle w:val="3"/>
      <w:suff w:val="space"/>
      <w:lvlText w:val="%1、"/>
      <w:lvlJc w:val="left"/>
      <w:pPr>
        <w:tabs>
          <w:tab w:val="left" w:pos="420"/>
        </w:tabs>
        <w:ind w:left="5045" w:hanging="425"/>
      </w:pPr>
      <w:rPr>
        <w:rFonts w:hint="eastAsia" w:ascii="宋体" w:hAnsi="宋体" w:eastAsia="宋体" w:cs="Arial"/>
      </w:rPr>
    </w:lvl>
    <w:lvl w:ilvl="1" w:tentative="0">
      <w:start w:val="1"/>
      <w:numFmt w:val="decimal"/>
      <w:isLgl/>
      <w:suff w:val="space"/>
      <w:lvlText w:val="%1.%2"/>
      <w:lvlJc w:val="left"/>
      <w:pPr>
        <w:tabs>
          <w:tab w:val="left" w:pos="0"/>
        </w:tabs>
        <w:ind w:left="4620" w:firstLine="0"/>
      </w:pPr>
      <w:rPr>
        <w:rFonts w:hint="eastAsia" w:ascii="Times New Roman" w:hAnsi="Times New Roman" w:eastAsia="宋体" w:cs="Arial"/>
      </w:rPr>
    </w:lvl>
    <w:lvl w:ilvl="2" w:tentative="0">
      <w:start w:val="1"/>
      <w:numFmt w:val="decimal"/>
      <w:isLgl/>
      <w:suff w:val="space"/>
      <w:lvlText w:val="%1.%2.%3"/>
      <w:lvlJc w:val="left"/>
      <w:pPr>
        <w:tabs>
          <w:tab w:val="left" w:pos="142"/>
        </w:tabs>
        <w:ind w:left="4762" w:firstLine="0"/>
      </w:pPr>
      <w:rPr>
        <w:rFonts w:hint="eastAsia" w:ascii="Times New Roman" w:hAnsi="Times New Roman" w:eastAsia="宋体" w:cs="Arial"/>
      </w:rPr>
    </w:lvl>
    <w:lvl w:ilvl="3" w:tentative="0">
      <w:start w:val="1"/>
      <w:numFmt w:val="decimal"/>
      <w:isLgl/>
      <w:lvlText w:val="%1.%2.%3.%4"/>
      <w:lvlJc w:val="left"/>
      <w:pPr>
        <w:tabs>
          <w:tab w:val="left" w:pos="0"/>
        </w:tabs>
        <w:ind w:left="4620" w:firstLine="0"/>
      </w:pPr>
      <w:rPr>
        <w:rFonts w:hint="eastAsia" w:ascii="Times New Roman" w:hAnsi="Times New Roman" w:eastAsia="宋体" w:cs="Times New Roman"/>
        <w:sz w:val="24"/>
        <w:szCs w:val="24"/>
      </w:rPr>
    </w:lvl>
    <w:lvl w:ilvl="4" w:tentative="0">
      <w:start w:val="1"/>
      <w:numFmt w:val="decimal"/>
      <w:isLgl/>
      <w:lvlText w:val="%1.%2.%3.%4.%5."/>
      <w:lvlJc w:val="left"/>
      <w:pPr>
        <w:ind w:left="5611" w:hanging="991"/>
      </w:pPr>
      <w:rPr>
        <w:rFonts w:hint="eastAsia"/>
      </w:rPr>
    </w:lvl>
    <w:lvl w:ilvl="5" w:tentative="0">
      <w:start w:val="1"/>
      <w:numFmt w:val="decimal"/>
      <w:isLgl/>
      <w:lvlText w:val="%1.%2.%3.%4.%5.%6."/>
      <w:lvlJc w:val="left"/>
      <w:pPr>
        <w:ind w:left="5754" w:hanging="1134"/>
      </w:pPr>
      <w:rPr>
        <w:rFonts w:hint="eastAsia"/>
      </w:rPr>
    </w:lvl>
    <w:lvl w:ilvl="6" w:tentative="0">
      <w:start w:val="1"/>
      <w:numFmt w:val="decimal"/>
      <w:isLgl/>
      <w:lvlText w:val="%1.%2.%3.%4.%5.%6.%7."/>
      <w:lvlJc w:val="left"/>
      <w:pPr>
        <w:ind w:left="5895" w:hanging="1275"/>
      </w:pPr>
      <w:rPr>
        <w:rFonts w:hint="eastAsia"/>
      </w:rPr>
    </w:lvl>
    <w:lvl w:ilvl="7" w:tentative="0">
      <w:start w:val="1"/>
      <w:numFmt w:val="decimal"/>
      <w:isLgl/>
      <w:lvlText w:val="%1.%2.%3.%4.%5.%6.%7.%8."/>
      <w:lvlJc w:val="left"/>
      <w:pPr>
        <w:ind w:left="6038" w:hanging="1418"/>
      </w:pPr>
      <w:rPr>
        <w:rFonts w:hint="eastAsia"/>
      </w:rPr>
    </w:lvl>
    <w:lvl w:ilvl="8" w:tentative="0">
      <w:start w:val="1"/>
      <w:numFmt w:val="decimal"/>
      <w:isLgl/>
      <w:lvlText w:val="%1.%2.%3.%4.%5.%6.%7.%8.%9."/>
      <w:lvlJc w:val="left"/>
      <w:pPr>
        <w:ind w:left="6178" w:hanging="155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mFmM2U0MGI4MWViMmVjYmI2ZGY3NGEyZGRmZGYifQ=="/>
  </w:docVars>
  <w:rsids>
    <w:rsidRoot w:val="00000000"/>
    <w:rsid w:val="0555600B"/>
    <w:rsid w:val="1ADF413A"/>
    <w:rsid w:val="291366DB"/>
    <w:rsid w:val="29802E1C"/>
    <w:rsid w:val="30911A9C"/>
    <w:rsid w:val="32D95F51"/>
    <w:rsid w:val="33D200ED"/>
    <w:rsid w:val="354862CA"/>
    <w:rsid w:val="35FD5D7D"/>
    <w:rsid w:val="3A9C04D1"/>
    <w:rsid w:val="42D106C6"/>
    <w:rsid w:val="44FA379B"/>
    <w:rsid w:val="48CF0B32"/>
    <w:rsid w:val="4A842B09"/>
    <w:rsid w:val="5F6334D7"/>
    <w:rsid w:val="628A2C96"/>
    <w:rsid w:val="6442797A"/>
    <w:rsid w:val="653B7A95"/>
    <w:rsid w:val="6902124D"/>
    <w:rsid w:val="696F0A0A"/>
    <w:rsid w:val="71B6104F"/>
    <w:rsid w:val="78A727D4"/>
    <w:rsid w:val="793776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line="360" w:lineRule="auto"/>
      <w:jc w:val="center"/>
      <w:outlineLvl w:val="0"/>
    </w:pPr>
    <w:rPr>
      <w:rFonts w:ascii="Times New Roman" w:hAnsi="Times New Roman" w:eastAsia="宋体"/>
      <w:b/>
      <w:bCs/>
      <w:kern w:val="0"/>
      <w:sz w:val="30"/>
      <w:szCs w:val="30"/>
    </w:rPr>
  </w:style>
  <w:style w:type="paragraph" w:styleId="2">
    <w:name w:val="heading 2"/>
    <w:basedOn w:val="1"/>
    <w:next w:val="1"/>
    <w:qFormat/>
    <w:uiPriority w:val="99"/>
    <w:pPr>
      <w:keepNext/>
      <w:keepLines/>
      <w:spacing w:before="260" w:after="260" w:line="416" w:lineRule="auto"/>
      <w:outlineLvl w:val="1"/>
    </w:pPr>
    <w:rPr>
      <w:rFonts w:ascii="Cambria" w:hAnsi="Cambria"/>
      <w:b/>
      <w:bCs/>
      <w:color w:val="auto"/>
      <w:sz w:val="32"/>
      <w:szCs w:val="32"/>
    </w:rPr>
  </w:style>
  <w:style w:type="character" w:default="1" w:styleId="11">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4">
    <w:name w:val="Note Heading"/>
    <w:basedOn w:val="1"/>
    <w:next w:val="1"/>
    <w:qFormat/>
    <w:uiPriority w:val="0"/>
    <w:pPr>
      <w:jc w:val="left"/>
    </w:pPr>
  </w:style>
  <w:style w:type="paragraph" w:styleId="5">
    <w:name w:val="Body Text"/>
    <w:basedOn w:val="1"/>
    <w:next w:val="4"/>
    <w:semiHidden/>
    <w:qFormat/>
    <w:uiPriority w:val="0"/>
    <w:pPr>
      <w:adjustRightInd w:val="0"/>
      <w:snapToGrid w:val="0"/>
      <w:spacing w:line="312" w:lineRule="auto"/>
      <w:jc w:val="left"/>
    </w:pPr>
    <w:rPr>
      <w:rFonts w:eastAsia="楷体_GB2312"/>
      <w:color w:val="000000"/>
      <w:kern w:val="0"/>
      <w:sz w:val="28"/>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semiHidden/>
    <w:qFormat/>
    <w:uiPriority w:val="39"/>
  </w:style>
  <w:style w:type="paragraph" w:styleId="8">
    <w:name w:val="Body Text First Indent"/>
    <w:basedOn w:val="5"/>
    <w:next w:val="1"/>
    <w:qFormat/>
    <w:uiPriority w:val="0"/>
    <w:pPr>
      <w:ind w:firstLine="420" w:firstLineChars="100"/>
    </w:pPr>
    <w:rPr>
      <w:kern w:val="0"/>
      <w:sz w:val="20"/>
      <w:szCs w:val="24"/>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金皇-正文"/>
    <w:basedOn w:val="1"/>
    <w:qFormat/>
    <w:uiPriority w:val="0"/>
    <w:pPr>
      <w:spacing w:line="360" w:lineRule="auto"/>
      <w:ind w:firstLine="200" w:firstLineChars="200"/>
    </w:pPr>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1848</Words>
  <Characters>2037</Characters>
  <Lines>0</Lines>
  <Paragraphs>0</Paragraphs>
  <TotalTime>59</TotalTime>
  <ScaleCrop>false</ScaleCrop>
  <LinksUpToDate>false</LinksUpToDate>
  <CharactersWithSpaces>2050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2022-10-12T09:10:35Z</dcterms:created>
  <dc:creator>xf</dc:creator>
  <cp:lastModifiedBy>Administrator</cp:lastModifiedBy>
  <cp:lastPrinted>2022-10-14T00:22:18Z</cp:lastPrinted>
  <dcterms:modified xsi:type="dcterms:W3CDTF">2025-09-19T05:28:42Z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F983FEB9F8D44117B29EA9278249F573_13</vt:lpwstr>
  </property>
  <property fmtid="{D5CDD505-2E9C-101B-9397-08002B2CF9AE}" pid="4" name="KSOTemplateDocerSaveRecord">
    <vt:lpwstr>eyJoZGlkIjoiNjc3ZjE4Yjc4NmZjN2Y3ZWY3NGY0NGZjMzk1YjYzMmYifQ==</vt:lpwstr>
  </property>
</Properties>
</file>