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wmf" ContentType="image/x-wmf"/>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C99EB2">
      <w:pPr>
        <w:rPr>
          <w:rFonts w:eastAsia="仿宋_GB2312"/>
          <w:sz w:val="36"/>
          <w:szCs w:val="36"/>
        </w:rPr>
      </w:pPr>
    </w:p>
    <w:p w14:paraId="0DC087EE">
      <w:pPr>
        <w:rPr>
          <w:rFonts w:eastAsia="仿宋_GB2312"/>
          <w:sz w:val="36"/>
          <w:szCs w:val="36"/>
        </w:rPr>
      </w:pPr>
    </w:p>
    <w:p w14:paraId="7FE59529">
      <w:pPr>
        <w:rPr>
          <w:rFonts w:eastAsia="仿宋_GB2312"/>
          <w:sz w:val="36"/>
          <w:szCs w:val="36"/>
        </w:rPr>
      </w:pPr>
    </w:p>
    <w:p w14:paraId="370D0A55">
      <w:pPr>
        <w:rPr>
          <w:rFonts w:eastAsia="仿宋_GB2312"/>
          <w:sz w:val="36"/>
          <w:szCs w:val="36"/>
        </w:rPr>
      </w:pPr>
    </w:p>
    <w:p w14:paraId="07AD9A1E">
      <w:pPr>
        <w:rPr>
          <w:rFonts w:eastAsia="仿宋_GB2312"/>
          <w:sz w:val="36"/>
          <w:szCs w:val="36"/>
        </w:rPr>
      </w:pPr>
    </w:p>
    <w:p w14:paraId="0D24CEE1">
      <w:pPr>
        <w:adjustRightInd w:val="0"/>
        <w:snapToGrid w:val="0"/>
        <w:jc w:val="center"/>
        <w:outlineLvl w:val="0"/>
        <w:rPr>
          <w:rFonts w:eastAsia="方正小标宋_GBK"/>
          <w:bCs/>
          <w:sz w:val="72"/>
          <w:szCs w:val="72"/>
        </w:rPr>
      </w:pPr>
      <w:bookmarkStart w:id="0" w:name="_Toc17252"/>
      <w:r>
        <w:rPr>
          <w:rFonts w:eastAsia="方正小标宋_GBK"/>
          <w:bCs/>
          <w:sz w:val="72"/>
          <w:szCs w:val="72"/>
        </w:rPr>
        <w:t>建设项目环境影响报告表</w:t>
      </w:r>
      <w:bookmarkEnd w:id="0"/>
    </w:p>
    <w:p w14:paraId="260CEDE6">
      <w:pPr>
        <w:adjustRightInd w:val="0"/>
        <w:snapToGrid w:val="0"/>
        <w:spacing w:before="192" w:beforeLines="80"/>
        <w:jc w:val="center"/>
        <w:rPr>
          <w:rFonts w:eastAsia="楷体_GB2312"/>
          <w:bCs/>
          <w:sz w:val="48"/>
          <w:szCs w:val="48"/>
        </w:rPr>
      </w:pPr>
      <w:r>
        <w:rPr>
          <w:rFonts w:eastAsia="楷体_GB2312"/>
          <w:bCs/>
          <w:sz w:val="48"/>
          <w:szCs w:val="48"/>
        </w:rPr>
        <w:t>（污染影响类）</w:t>
      </w:r>
    </w:p>
    <w:p w14:paraId="173F5D55">
      <w:pPr>
        <w:rPr>
          <w:rFonts w:hint="eastAsia"/>
        </w:rPr>
      </w:pPr>
    </w:p>
    <w:p w14:paraId="6213C643"/>
    <w:p w14:paraId="722E3751"/>
    <w:p w14:paraId="2793E304">
      <w:pPr>
        <w:jc w:val="center"/>
        <w:rPr>
          <w:rFonts w:eastAsia="仿宋"/>
          <w:sz w:val="52"/>
          <w:szCs w:val="52"/>
        </w:rPr>
      </w:pPr>
    </w:p>
    <w:p w14:paraId="19767616">
      <w:pPr>
        <w:ind w:firstLine="1040"/>
        <w:rPr>
          <w:rFonts w:eastAsia="仿宋"/>
          <w:sz w:val="44"/>
          <w:szCs w:val="44"/>
        </w:rPr>
      </w:pPr>
    </w:p>
    <w:p w14:paraId="46DF7624">
      <w:pPr>
        <w:ind w:firstLine="1040"/>
        <w:rPr>
          <w:rFonts w:eastAsia="仿宋"/>
          <w:sz w:val="44"/>
          <w:szCs w:val="44"/>
        </w:rPr>
      </w:pPr>
    </w:p>
    <w:p w14:paraId="2CFC9DE7">
      <w:pPr>
        <w:ind w:firstLine="1040"/>
        <w:rPr>
          <w:rFonts w:eastAsia="仿宋"/>
          <w:sz w:val="44"/>
          <w:szCs w:val="44"/>
        </w:rPr>
      </w:pPr>
    </w:p>
    <w:p w14:paraId="684B8939">
      <w:pPr>
        <w:ind w:firstLine="1040"/>
        <w:rPr>
          <w:rFonts w:eastAsia="仿宋"/>
          <w:sz w:val="44"/>
          <w:szCs w:val="44"/>
        </w:rPr>
      </w:pPr>
      <w:bookmarkStart w:id="1" w:name="_Hlk57884087"/>
    </w:p>
    <w:p w14:paraId="51851B9D">
      <w:pPr>
        <w:adjustRightInd w:val="0"/>
        <w:snapToGrid w:val="0"/>
        <w:spacing w:line="288" w:lineRule="auto"/>
        <w:ind w:left="0" w:leftChars="0" w:firstLine="0" w:firstLineChars="0"/>
        <w:rPr>
          <w:rFonts w:hint="eastAsia" w:eastAsia="仿宋_GB2312"/>
          <w:sz w:val="36"/>
          <w:szCs w:val="36"/>
          <w:u w:val="single"/>
          <w:lang w:eastAsia="zh-CN"/>
        </w:rPr>
      </w:pPr>
      <w:r>
        <w:rPr>
          <w:rFonts w:eastAsia="仿宋_GB2312"/>
          <w:sz w:val="36"/>
          <w:szCs w:val="36"/>
        </w:rPr>
        <w:t>项目名称：</w:t>
      </w:r>
      <w:r>
        <w:rPr>
          <w:rFonts w:hint="eastAsia" w:eastAsia="仿宋_GB2312"/>
          <w:sz w:val="36"/>
          <w:szCs w:val="36"/>
          <w:u w:val="single"/>
          <w:lang w:eastAsia="zh-CN"/>
        </w:rPr>
        <w:t>福州市鼓楼区欣慷动物医院项目</w:t>
      </w:r>
    </w:p>
    <w:p w14:paraId="2475798D">
      <w:pPr>
        <w:adjustRightInd w:val="0"/>
        <w:snapToGrid w:val="0"/>
        <w:spacing w:line="288" w:lineRule="auto"/>
        <w:ind w:left="0" w:leftChars="0" w:firstLine="0" w:firstLineChars="0"/>
        <w:rPr>
          <w:rFonts w:hint="eastAsia" w:eastAsia="仿宋_GB2312"/>
          <w:sz w:val="36"/>
          <w:szCs w:val="36"/>
          <w:u w:val="single"/>
        </w:rPr>
      </w:pPr>
      <w:r>
        <w:rPr>
          <w:rFonts w:eastAsia="仿宋_GB2312"/>
          <w:sz w:val="36"/>
          <w:szCs w:val="36"/>
        </w:rPr>
        <w:t>建设单位（盖章）：</w:t>
      </w:r>
      <w:r>
        <w:rPr>
          <w:rFonts w:hint="eastAsia" w:eastAsia="仿宋_GB2312"/>
          <w:sz w:val="36"/>
          <w:szCs w:val="36"/>
          <w:u w:val="single"/>
          <w:lang w:eastAsia="zh-CN"/>
        </w:rPr>
        <w:t>福州市鼓楼区欣慷动物医院有限公司</w:t>
      </w:r>
    </w:p>
    <w:p w14:paraId="1C39B0D9">
      <w:pPr>
        <w:adjustRightInd w:val="0"/>
        <w:snapToGrid w:val="0"/>
        <w:spacing w:line="288" w:lineRule="auto"/>
        <w:ind w:left="0" w:leftChars="0" w:firstLine="0" w:firstLineChars="0"/>
        <w:rPr>
          <w:rFonts w:eastAsia="仿宋_GB2312"/>
          <w:sz w:val="36"/>
          <w:szCs w:val="36"/>
          <w:u w:val="single"/>
        </w:rPr>
      </w:pPr>
      <w:r>
        <w:rPr>
          <w:rFonts w:eastAsia="仿宋_GB2312"/>
          <w:sz w:val="36"/>
          <w:szCs w:val="36"/>
        </w:rPr>
        <w:t>编制日期：</w:t>
      </w:r>
      <w:r>
        <w:rPr>
          <w:rFonts w:eastAsia="仿宋_GB2312"/>
          <w:sz w:val="36"/>
          <w:szCs w:val="36"/>
          <w:u w:val="single"/>
        </w:rPr>
        <w:t xml:space="preserve">     20</w:t>
      </w:r>
      <w:r>
        <w:rPr>
          <w:rFonts w:hint="eastAsia" w:eastAsia="仿宋_GB2312"/>
          <w:sz w:val="36"/>
          <w:szCs w:val="36"/>
          <w:u w:val="single"/>
          <w:lang w:val="en-US" w:eastAsia="zh-CN"/>
        </w:rPr>
        <w:t>24</w:t>
      </w:r>
      <w:r>
        <w:rPr>
          <w:rFonts w:eastAsia="仿宋_GB2312"/>
          <w:sz w:val="36"/>
          <w:szCs w:val="36"/>
          <w:u w:val="single"/>
        </w:rPr>
        <w:t>年</w:t>
      </w:r>
      <w:r>
        <w:rPr>
          <w:rFonts w:hint="eastAsia" w:eastAsia="仿宋_GB2312"/>
          <w:sz w:val="36"/>
          <w:szCs w:val="36"/>
          <w:u w:val="single"/>
          <w:lang w:val="en-US" w:eastAsia="zh-CN"/>
        </w:rPr>
        <w:t>11</w:t>
      </w:r>
      <w:r>
        <w:rPr>
          <w:rFonts w:eastAsia="仿宋_GB2312"/>
          <w:sz w:val="36"/>
          <w:szCs w:val="36"/>
          <w:u w:val="single"/>
        </w:rPr>
        <w:t xml:space="preserve">月      </w:t>
      </w:r>
    </w:p>
    <w:p w14:paraId="4610DA55">
      <w:pPr>
        <w:adjustRightInd w:val="0"/>
        <w:snapToGrid w:val="0"/>
        <w:spacing w:line="288" w:lineRule="auto"/>
        <w:ind w:firstLine="1040"/>
        <w:rPr>
          <w:rFonts w:eastAsia="仿宋_GB2312"/>
          <w:sz w:val="36"/>
          <w:szCs w:val="36"/>
          <w:u w:val="single"/>
        </w:rPr>
      </w:pPr>
    </w:p>
    <w:p w14:paraId="0EFAA3F6">
      <w:pPr>
        <w:adjustRightInd w:val="0"/>
        <w:snapToGrid w:val="0"/>
        <w:spacing w:line="288" w:lineRule="auto"/>
        <w:ind w:firstLine="1040"/>
        <w:rPr>
          <w:rFonts w:eastAsia="仿宋_GB2312"/>
          <w:sz w:val="36"/>
          <w:szCs w:val="36"/>
        </w:rPr>
      </w:pPr>
    </w:p>
    <w:p w14:paraId="4ADA7DAD">
      <w:pPr>
        <w:adjustRightInd w:val="0"/>
        <w:snapToGrid w:val="0"/>
        <w:spacing w:line="288" w:lineRule="auto"/>
        <w:ind w:firstLine="1040"/>
        <w:rPr>
          <w:rFonts w:eastAsia="仿宋_GB2312"/>
          <w:sz w:val="36"/>
          <w:szCs w:val="36"/>
        </w:rPr>
      </w:pPr>
    </w:p>
    <w:p w14:paraId="3160E7A6">
      <w:pPr>
        <w:adjustRightInd w:val="0"/>
        <w:snapToGrid w:val="0"/>
        <w:spacing w:line="288" w:lineRule="auto"/>
        <w:ind w:firstLine="1040"/>
        <w:rPr>
          <w:rFonts w:eastAsia="仿宋_GB2312"/>
          <w:sz w:val="36"/>
          <w:szCs w:val="36"/>
        </w:rPr>
      </w:pPr>
    </w:p>
    <w:p w14:paraId="274BAB64">
      <w:pPr>
        <w:adjustRightInd w:val="0"/>
        <w:snapToGrid w:val="0"/>
        <w:spacing w:line="288" w:lineRule="auto"/>
        <w:ind w:firstLine="1040"/>
        <w:rPr>
          <w:rFonts w:eastAsia="仿宋_GB2312"/>
          <w:sz w:val="36"/>
          <w:szCs w:val="36"/>
        </w:rPr>
      </w:pPr>
    </w:p>
    <w:bookmarkEnd w:id="1"/>
    <w:p w14:paraId="7AB188DA">
      <w:pPr>
        <w:adjustRightInd w:val="0"/>
        <w:snapToGrid w:val="0"/>
        <w:spacing w:line="288" w:lineRule="auto"/>
        <w:jc w:val="center"/>
        <w:rPr>
          <w:rFonts w:eastAsia="楷体_GB2312"/>
          <w:sz w:val="36"/>
          <w:szCs w:val="36"/>
        </w:rPr>
      </w:pPr>
      <w:r>
        <w:rPr>
          <w:rFonts w:eastAsia="楷体_GB2312"/>
          <w:sz w:val="36"/>
          <w:szCs w:val="36"/>
        </w:rPr>
        <w:t>中华人民共和国生态环境部制</w:t>
      </w:r>
    </w:p>
    <w:p w14:paraId="5F871282">
      <w:pPr>
        <w:adjustRightInd w:val="0"/>
        <w:snapToGrid w:val="0"/>
        <w:spacing w:line="288" w:lineRule="auto"/>
        <w:ind w:firstLine="1040"/>
        <w:rPr>
          <w:rFonts w:eastAsia="仿宋_GB2312"/>
          <w:sz w:val="36"/>
          <w:szCs w:val="36"/>
        </w:rPr>
        <w:sectPr>
          <w:footerReference r:id="rId3" w:type="default"/>
          <w:footerReference r:id="rId4" w:type="even"/>
          <w:pgSz w:w="11906" w:h="16838"/>
          <w:pgMar w:top="1701" w:right="1531" w:bottom="1701" w:left="1531" w:header="851" w:footer="1077" w:gutter="0"/>
          <w:pgNumType w:start="3"/>
          <w:cols w:space="720" w:num="1"/>
          <w:docGrid w:linePitch="312" w:charSpace="0"/>
        </w:sectPr>
      </w:pPr>
    </w:p>
    <w:p w14:paraId="1597EF89">
      <w:pPr>
        <w:jc w:val="center"/>
        <w:rPr>
          <w:b/>
          <w:bCs/>
          <w:sz w:val="28"/>
          <w:szCs w:val="28"/>
        </w:rPr>
      </w:pPr>
      <w:r>
        <w:rPr>
          <w:rFonts w:ascii="宋体" w:hAnsi="宋体"/>
          <w:b/>
          <w:bCs/>
          <w:sz w:val="28"/>
          <w:szCs w:val="28"/>
        </w:rPr>
        <w:t>目</w:t>
      </w:r>
      <w:r>
        <w:rPr>
          <w:rFonts w:hint="eastAsia" w:ascii="宋体" w:hAnsi="宋体"/>
          <w:b/>
          <w:bCs/>
          <w:sz w:val="28"/>
          <w:szCs w:val="28"/>
        </w:rPr>
        <w:t xml:space="preserve">  </w:t>
      </w:r>
      <w:r>
        <w:rPr>
          <w:rFonts w:ascii="宋体" w:hAnsi="宋体"/>
          <w:b/>
          <w:bCs/>
          <w:sz w:val="28"/>
          <w:szCs w:val="28"/>
        </w:rPr>
        <w:t>录</w:t>
      </w:r>
    </w:p>
    <w:p w14:paraId="645B13F6">
      <w:pPr>
        <w:pStyle w:val="61"/>
        <w:tabs>
          <w:tab w:val="right" w:leader="dot" w:pos="8844"/>
        </w:tabs>
        <w:spacing w:line="360" w:lineRule="auto"/>
        <w:rPr>
          <w:sz w:val="24"/>
          <w:szCs w:val="24"/>
        </w:rPr>
      </w:pPr>
      <w:r>
        <w:rPr>
          <w:sz w:val="24"/>
          <w:szCs w:val="24"/>
        </w:rPr>
        <w:fldChar w:fldCharType="begin"/>
      </w:r>
      <w:r>
        <w:rPr>
          <w:sz w:val="24"/>
          <w:szCs w:val="24"/>
        </w:rPr>
        <w:instrText xml:space="preserve">TOC \o "1-1" \h \u </w:instrText>
      </w:r>
      <w:r>
        <w:rPr>
          <w:sz w:val="24"/>
          <w:szCs w:val="24"/>
        </w:rPr>
        <w:fldChar w:fldCharType="separate"/>
      </w:r>
      <w:r>
        <w:rPr>
          <w:sz w:val="24"/>
          <w:szCs w:val="24"/>
        </w:rPr>
        <w:fldChar w:fldCharType="begin"/>
      </w:r>
      <w:r>
        <w:rPr>
          <w:sz w:val="24"/>
          <w:szCs w:val="24"/>
        </w:rPr>
        <w:instrText xml:space="preserve"> HYPERLINK \l _Toc4285 </w:instrText>
      </w:r>
      <w:r>
        <w:rPr>
          <w:sz w:val="24"/>
          <w:szCs w:val="24"/>
        </w:rPr>
        <w:fldChar w:fldCharType="separate"/>
      </w:r>
      <w:r>
        <w:rPr>
          <w:sz w:val="24"/>
          <w:szCs w:val="24"/>
        </w:rPr>
        <w:t>一、 建设项目基本情况</w:t>
      </w:r>
      <w:r>
        <w:rPr>
          <w:sz w:val="24"/>
          <w:szCs w:val="24"/>
        </w:rPr>
        <w:tab/>
      </w:r>
      <w:r>
        <w:rPr>
          <w:sz w:val="24"/>
          <w:szCs w:val="24"/>
        </w:rPr>
        <w:fldChar w:fldCharType="begin"/>
      </w:r>
      <w:r>
        <w:rPr>
          <w:sz w:val="24"/>
          <w:szCs w:val="24"/>
        </w:rPr>
        <w:instrText xml:space="preserve"> PAGEREF _Toc4285 \h </w:instrText>
      </w:r>
      <w:r>
        <w:rPr>
          <w:sz w:val="24"/>
          <w:szCs w:val="24"/>
        </w:rPr>
        <w:fldChar w:fldCharType="separate"/>
      </w:r>
      <w:r>
        <w:rPr>
          <w:sz w:val="24"/>
          <w:szCs w:val="24"/>
        </w:rPr>
        <w:t>1</w:t>
      </w:r>
      <w:r>
        <w:rPr>
          <w:sz w:val="24"/>
          <w:szCs w:val="24"/>
        </w:rPr>
        <w:fldChar w:fldCharType="end"/>
      </w:r>
      <w:r>
        <w:rPr>
          <w:sz w:val="24"/>
          <w:szCs w:val="24"/>
        </w:rPr>
        <w:fldChar w:fldCharType="end"/>
      </w:r>
    </w:p>
    <w:p w14:paraId="2552F16C">
      <w:pPr>
        <w:pStyle w:val="61"/>
        <w:tabs>
          <w:tab w:val="right" w:leader="dot" w:pos="8844"/>
        </w:tabs>
        <w:spacing w:line="360" w:lineRule="auto"/>
        <w:rPr>
          <w:sz w:val="24"/>
          <w:szCs w:val="24"/>
        </w:rPr>
      </w:pPr>
      <w:r>
        <w:rPr>
          <w:sz w:val="24"/>
          <w:szCs w:val="24"/>
        </w:rPr>
        <w:fldChar w:fldCharType="begin"/>
      </w:r>
      <w:r>
        <w:rPr>
          <w:sz w:val="24"/>
          <w:szCs w:val="24"/>
        </w:rPr>
        <w:instrText xml:space="preserve"> HYPERLINK \l _Toc907 </w:instrText>
      </w:r>
      <w:r>
        <w:rPr>
          <w:sz w:val="24"/>
          <w:szCs w:val="24"/>
        </w:rPr>
        <w:fldChar w:fldCharType="separate"/>
      </w:r>
      <w:r>
        <w:rPr>
          <w:sz w:val="24"/>
          <w:szCs w:val="24"/>
        </w:rPr>
        <w:t>二、 建设项目工程分析</w:t>
      </w:r>
      <w:r>
        <w:rPr>
          <w:sz w:val="24"/>
          <w:szCs w:val="24"/>
        </w:rPr>
        <w:tab/>
      </w:r>
      <w:r>
        <w:rPr>
          <w:sz w:val="24"/>
          <w:szCs w:val="24"/>
        </w:rPr>
        <w:fldChar w:fldCharType="begin"/>
      </w:r>
      <w:r>
        <w:rPr>
          <w:sz w:val="24"/>
          <w:szCs w:val="24"/>
        </w:rPr>
        <w:instrText xml:space="preserve"> PAGEREF _Toc907 \h </w:instrText>
      </w:r>
      <w:r>
        <w:rPr>
          <w:sz w:val="24"/>
          <w:szCs w:val="24"/>
        </w:rPr>
        <w:fldChar w:fldCharType="separate"/>
      </w:r>
      <w:r>
        <w:rPr>
          <w:sz w:val="24"/>
          <w:szCs w:val="24"/>
        </w:rPr>
        <w:t>8</w:t>
      </w:r>
      <w:r>
        <w:rPr>
          <w:sz w:val="24"/>
          <w:szCs w:val="24"/>
        </w:rPr>
        <w:fldChar w:fldCharType="end"/>
      </w:r>
      <w:r>
        <w:rPr>
          <w:sz w:val="24"/>
          <w:szCs w:val="24"/>
        </w:rPr>
        <w:fldChar w:fldCharType="end"/>
      </w:r>
    </w:p>
    <w:p w14:paraId="0A887AA2">
      <w:pPr>
        <w:pStyle w:val="61"/>
        <w:tabs>
          <w:tab w:val="right" w:leader="dot" w:pos="8844"/>
        </w:tabs>
        <w:spacing w:line="360" w:lineRule="auto"/>
        <w:rPr>
          <w:sz w:val="24"/>
          <w:szCs w:val="24"/>
        </w:rPr>
      </w:pPr>
      <w:r>
        <w:rPr>
          <w:sz w:val="24"/>
          <w:szCs w:val="24"/>
        </w:rPr>
        <w:fldChar w:fldCharType="begin"/>
      </w:r>
      <w:r>
        <w:rPr>
          <w:sz w:val="24"/>
          <w:szCs w:val="24"/>
        </w:rPr>
        <w:instrText xml:space="preserve"> HYPERLINK \l _Toc25484 </w:instrText>
      </w:r>
      <w:r>
        <w:rPr>
          <w:sz w:val="24"/>
          <w:szCs w:val="24"/>
        </w:rPr>
        <w:fldChar w:fldCharType="separate"/>
      </w:r>
      <w:r>
        <w:rPr>
          <w:sz w:val="24"/>
          <w:szCs w:val="24"/>
        </w:rPr>
        <w:t>三、 区域环境质量现状、环境保护目标及评价标准</w:t>
      </w:r>
      <w:r>
        <w:rPr>
          <w:sz w:val="24"/>
          <w:szCs w:val="24"/>
        </w:rPr>
        <w:tab/>
      </w:r>
      <w:r>
        <w:rPr>
          <w:sz w:val="24"/>
          <w:szCs w:val="24"/>
        </w:rPr>
        <w:fldChar w:fldCharType="begin"/>
      </w:r>
      <w:r>
        <w:rPr>
          <w:sz w:val="24"/>
          <w:szCs w:val="24"/>
        </w:rPr>
        <w:instrText xml:space="preserve"> PAGEREF _Toc25484 \h </w:instrText>
      </w:r>
      <w:r>
        <w:rPr>
          <w:sz w:val="24"/>
          <w:szCs w:val="24"/>
        </w:rPr>
        <w:fldChar w:fldCharType="separate"/>
      </w:r>
      <w:r>
        <w:rPr>
          <w:sz w:val="24"/>
          <w:szCs w:val="24"/>
        </w:rPr>
        <w:t>16</w:t>
      </w:r>
      <w:r>
        <w:rPr>
          <w:sz w:val="24"/>
          <w:szCs w:val="24"/>
        </w:rPr>
        <w:fldChar w:fldCharType="end"/>
      </w:r>
      <w:r>
        <w:rPr>
          <w:sz w:val="24"/>
          <w:szCs w:val="24"/>
        </w:rPr>
        <w:fldChar w:fldCharType="end"/>
      </w:r>
    </w:p>
    <w:p w14:paraId="3DC9205D">
      <w:pPr>
        <w:pStyle w:val="61"/>
        <w:tabs>
          <w:tab w:val="right" w:leader="dot" w:pos="8844"/>
        </w:tabs>
        <w:spacing w:line="360" w:lineRule="auto"/>
        <w:rPr>
          <w:sz w:val="24"/>
          <w:szCs w:val="24"/>
        </w:rPr>
      </w:pPr>
      <w:r>
        <w:rPr>
          <w:sz w:val="24"/>
          <w:szCs w:val="24"/>
        </w:rPr>
        <w:fldChar w:fldCharType="begin"/>
      </w:r>
      <w:r>
        <w:rPr>
          <w:sz w:val="24"/>
          <w:szCs w:val="24"/>
        </w:rPr>
        <w:instrText xml:space="preserve"> HYPERLINK \l _Toc10491 </w:instrText>
      </w:r>
      <w:r>
        <w:rPr>
          <w:sz w:val="24"/>
          <w:szCs w:val="24"/>
        </w:rPr>
        <w:fldChar w:fldCharType="separate"/>
      </w:r>
      <w:r>
        <w:rPr>
          <w:snapToGrid w:val="0"/>
          <w:sz w:val="24"/>
          <w:szCs w:val="24"/>
        </w:rPr>
        <w:t>四、 主要环境影响和保护措施</w:t>
      </w:r>
      <w:r>
        <w:rPr>
          <w:sz w:val="24"/>
          <w:szCs w:val="24"/>
        </w:rPr>
        <w:tab/>
      </w:r>
      <w:r>
        <w:rPr>
          <w:sz w:val="24"/>
          <w:szCs w:val="24"/>
        </w:rPr>
        <w:fldChar w:fldCharType="begin"/>
      </w:r>
      <w:r>
        <w:rPr>
          <w:sz w:val="24"/>
          <w:szCs w:val="24"/>
        </w:rPr>
        <w:instrText xml:space="preserve"> PAGEREF _Toc10491 \h </w:instrText>
      </w:r>
      <w:r>
        <w:rPr>
          <w:sz w:val="24"/>
          <w:szCs w:val="24"/>
        </w:rPr>
        <w:fldChar w:fldCharType="separate"/>
      </w:r>
      <w:r>
        <w:rPr>
          <w:sz w:val="24"/>
          <w:szCs w:val="24"/>
        </w:rPr>
        <w:t>23</w:t>
      </w:r>
      <w:r>
        <w:rPr>
          <w:sz w:val="24"/>
          <w:szCs w:val="24"/>
        </w:rPr>
        <w:fldChar w:fldCharType="end"/>
      </w:r>
      <w:r>
        <w:rPr>
          <w:sz w:val="24"/>
          <w:szCs w:val="24"/>
        </w:rPr>
        <w:fldChar w:fldCharType="end"/>
      </w:r>
    </w:p>
    <w:p w14:paraId="11B87D9B">
      <w:pPr>
        <w:pStyle w:val="61"/>
        <w:tabs>
          <w:tab w:val="right" w:leader="dot" w:pos="8844"/>
        </w:tabs>
        <w:spacing w:line="360" w:lineRule="auto"/>
        <w:rPr>
          <w:sz w:val="24"/>
          <w:szCs w:val="24"/>
        </w:rPr>
      </w:pPr>
      <w:r>
        <w:rPr>
          <w:sz w:val="24"/>
          <w:szCs w:val="24"/>
        </w:rPr>
        <w:fldChar w:fldCharType="begin"/>
      </w:r>
      <w:r>
        <w:rPr>
          <w:sz w:val="24"/>
          <w:szCs w:val="24"/>
        </w:rPr>
        <w:instrText xml:space="preserve"> HYPERLINK \l _Toc22500 </w:instrText>
      </w:r>
      <w:r>
        <w:rPr>
          <w:sz w:val="24"/>
          <w:szCs w:val="24"/>
        </w:rPr>
        <w:fldChar w:fldCharType="separate"/>
      </w:r>
      <w:r>
        <w:rPr>
          <w:snapToGrid w:val="0"/>
          <w:sz w:val="24"/>
          <w:szCs w:val="24"/>
        </w:rPr>
        <w:t>五、环境保护措施监督检查清单</w:t>
      </w:r>
      <w:r>
        <w:rPr>
          <w:sz w:val="24"/>
          <w:szCs w:val="24"/>
        </w:rPr>
        <w:tab/>
      </w:r>
      <w:r>
        <w:rPr>
          <w:sz w:val="24"/>
          <w:szCs w:val="24"/>
        </w:rPr>
        <w:fldChar w:fldCharType="begin"/>
      </w:r>
      <w:r>
        <w:rPr>
          <w:sz w:val="24"/>
          <w:szCs w:val="24"/>
        </w:rPr>
        <w:instrText xml:space="preserve"> PAGEREF _Toc22500 \h </w:instrText>
      </w:r>
      <w:r>
        <w:rPr>
          <w:sz w:val="24"/>
          <w:szCs w:val="24"/>
        </w:rPr>
        <w:fldChar w:fldCharType="separate"/>
      </w:r>
      <w:r>
        <w:rPr>
          <w:sz w:val="24"/>
          <w:szCs w:val="24"/>
        </w:rPr>
        <w:t>45</w:t>
      </w:r>
      <w:r>
        <w:rPr>
          <w:sz w:val="24"/>
          <w:szCs w:val="24"/>
        </w:rPr>
        <w:fldChar w:fldCharType="end"/>
      </w:r>
      <w:r>
        <w:rPr>
          <w:sz w:val="24"/>
          <w:szCs w:val="24"/>
        </w:rPr>
        <w:fldChar w:fldCharType="end"/>
      </w:r>
    </w:p>
    <w:p w14:paraId="6AE1833F">
      <w:pPr>
        <w:pStyle w:val="61"/>
        <w:tabs>
          <w:tab w:val="right" w:leader="dot" w:pos="8844"/>
        </w:tabs>
        <w:spacing w:line="360" w:lineRule="auto"/>
        <w:rPr>
          <w:sz w:val="24"/>
          <w:szCs w:val="24"/>
        </w:rPr>
      </w:pPr>
      <w:r>
        <w:rPr>
          <w:sz w:val="24"/>
          <w:szCs w:val="24"/>
        </w:rPr>
        <w:fldChar w:fldCharType="begin"/>
      </w:r>
      <w:r>
        <w:rPr>
          <w:sz w:val="24"/>
          <w:szCs w:val="24"/>
        </w:rPr>
        <w:instrText xml:space="preserve"> HYPERLINK \l _Toc15610 </w:instrText>
      </w:r>
      <w:r>
        <w:rPr>
          <w:sz w:val="24"/>
          <w:szCs w:val="24"/>
        </w:rPr>
        <w:fldChar w:fldCharType="separate"/>
      </w:r>
      <w:r>
        <w:rPr>
          <w:snapToGrid w:val="0"/>
          <w:sz w:val="24"/>
          <w:szCs w:val="24"/>
        </w:rPr>
        <w:t>六、结论</w:t>
      </w:r>
      <w:r>
        <w:rPr>
          <w:sz w:val="24"/>
          <w:szCs w:val="24"/>
        </w:rPr>
        <w:tab/>
      </w:r>
      <w:r>
        <w:rPr>
          <w:sz w:val="24"/>
          <w:szCs w:val="24"/>
        </w:rPr>
        <w:fldChar w:fldCharType="begin"/>
      </w:r>
      <w:r>
        <w:rPr>
          <w:sz w:val="24"/>
          <w:szCs w:val="24"/>
        </w:rPr>
        <w:instrText xml:space="preserve"> PAGEREF _Toc15610 \h </w:instrText>
      </w:r>
      <w:r>
        <w:rPr>
          <w:sz w:val="24"/>
          <w:szCs w:val="24"/>
        </w:rPr>
        <w:fldChar w:fldCharType="separate"/>
      </w:r>
      <w:r>
        <w:rPr>
          <w:sz w:val="24"/>
          <w:szCs w:val="24"/>
        </w:rPr>
        <w:t>47</w:t>
      </w:r>
      <w:r>
        <w:rPr>
          <w:sz w:val="24"/>
          <w:szCs w:val="24"/>
        </w:rPr>
        <w:fldChar w:fldCharType="end"/>
      </w:r>
      <w:r>
        <w:rPr>
          <w:sz w:val="24"/>
          <w:szCs w:val="24"/>
        </w:rPr>
        <w:fldChar w:fldCharType="end"/>
      </w:r>
    </w:p>
    <w:p w14:paraId="32AF1D1A">
      <w:pPr>
        <w:pStyle w:val="76"/>
        <w:spacing w:line="240" w:lineRule="auto"/>
        <w:ind w:firstLine="0" w:firstLineChars="0"/>
        <w:rPr>
          <w:rFonts w:cs="Times New Roman"/>
          <w:b/>
          <w:bCs/>
          <w:szCs w:val="24"/>
        </w:rPr>
      </w:pPr>
      <w:r>
        <w:rPr>
          <w:rFonts w:hint="default" w:cs="Times New Roman"/>
          <w:szCs w:val="24"/>
        </w:rPr>
        <w:fldChar w:fldCharType="end"/>
      </w:r>
      <w:r>
        <w:rPr>
          <w:rFonts w:cs="Times New Roman"/>
          <w:b/>
          <w:bCs/>
          <w:szCs w:val="24"/>
        </w:rPr>
        <w:t>附表</w:t>
      </w:r>
    </w:p>
    <w:p w14:paraId="1AC163E6">
      <w:pPr>
        <w:pStyle w:val="76"/>
        <w:spacing w:line="240" w:lineRule="auto"/>
        <w:ind w:firstLine="0" w:firstLineChars="0"/>
      </w:pPr>
      <w:r>
        <w:t>附表1：建设项目污染物排放量汇总表</w:t>
      </w:r>
    </w:p>
    <w:p w14:paraId="386FE24C">
      <w:pPr>
        <w:pStyle w:val="76"/>
        <w:spacing w:line="240" w:lineRule="auto"/>
        <w:ind w:firstLine="0" w:firstLineChars="0"/>
        <w:rPr>
          <w:rFonts w:hint="default"/>
        </w:rPr>
      </w:pPr>
      <w:r>
        <w:t>附表2：废水污染源强核算结果及相关参数一览表</w:t>
      </w:r>
    </w:p>
    <w:p w14:paraId="33EEEA34">
      <w:pPr>
        <w:pStyle w:val="76"/>
        <w:spacing w:line="240" w:lineRule="auto"/>
        <w:ind w:firstLine="0" w:firstLineChars="0"/>
        <w:rPr>
          <w:rFonts w:cs="Times New Roman"/>
          <w:b/>
          <w:bCs/>
          <w:szCs w:val="24"/>
        </w:rPr>
      </w:pPr>
      <w:r>
        <w:rPr>
          <w:rFonts w:cs="Times New Roman"/>
          <w:b/>
          <w:bCs/>
          <w:szCs w:val="24"/>
        </w:rPr>
        <w:t>附图</w:t>
      </w:r>
    </w:p>
    <w:p w14:paraId="651DB76E">
      <w:pPr>
        <w:pStyle w:val="76"/>
        <w:spacing w:line="240" w:lineRule="auto"/>
        <w:ind w:firstLine="0" w:firstLineChars="0"/>
      </w:pPr>
      <w:r>
        <w:t>附图1：项目地理位置图</w:t>
      </w:r>
    </w:p>
    <w:p w14:paraId="1F43E3A6">
      <w:pPr>
        <w:pStyle w:val="76"/>
        <w:spacing w:line="240" w:lineRule="auto"/>
        <w:ind w:firstLine="0" w:firstLineChars="0"/>
      </w:pPr>
      <w:r>
        <w:t>附图2：项目与周边环境敏感目标关系图</w:t>
      </w:r>
    </w:p>
    <w:p w14:paraId="1598C613">
      <w:pPr>
        <w:pStyle w:val="76"/>
        <w:spacing w:line="240" w:lineRule="auto"/>
        <w:ind w:firstLine="0" w:firstLineChars="0"/>
      </w:pPr>
      <w:r>
        <w:t>附图3：水系图</w:t>
      </w:r>
    </w:p>
    <w:p w14:paraId="4727E27A">
      <w:pPr>
        <w:pStyle w:val="76"/>
        <w:spacing w:line="240" w:lineRule="auto"/>
        <w:ind w:firstLine="0" w:firstLineChars="0"/>
      </w:pPr>
      <w:r>
        <w:t>附图4：项目各楼层平面布置图</w:t>
      </w:r>
    </w:p>
    <w:p w14:paraId="351BACEE">
      <w:pPr>
        <w:pStyle w:val="76"/>
        <w:spacing w:line="240" w:lineRule="auto"/>
        <w:ind w:firstLine="0" w:firstLineChars="0"/>
        <w:rPr>
          <w:rFonts w:hint="default"/>
        </w:rPr>
      </w:pPr>
      <w:r>
        <w:t>附图5：福州市总体规划图</w:t>
      </w:r>
    </w:p>
    <w:p w14:paraId="10FC6617">
      <w:pPr>
        <w:pStyle w:val="76"/>
        <w:spacing w:line="240" w:lineRule="auto"/>
        <w:ind w:firstLine="0" w:firstLineChars="0"/>
        <w:rPr>
          <w:rFonts w:hint="default" w:cs="Times New Roman"/>
          <w:b/>
          <w:bCs/>
          <w:szCs w:val="24"/>
        </w:rPr>
      </w:pPr>
      <w:r>
        <w:rPr>
          <w:rFonts w:cs="Times New Roman"/>
          <w:b/>
          <w:bCs/>
          <w:szCs w:val="24"/>
        </w:rPr>
        <w:t>附件</w:t>
      </w:r>
    </w:p>
    <w:p w14:paraId="3EDFF6B3">
      <w:pPr>
        <w:pStyle w:val="76"/>
        <w:spacing w:line="240" w:lineRule="auto"/>
        <w:ind w:firstLine="0" w:firstLineChars="0"/>
      </w:pPr>
      <w:r>
        <w:t>附件1：委托书</w:t>
      </w:r>
    </w:p>
    <w:p w14:paraId="19E6A2F3">
      <w:pPr>
        <w:pStyle w:val="76"/>
        <w:spacing w:line="240" w:lineRule="auto"/>
        <w:ind w:firstLine="0" w:firstLineChars="0"/>
        <w:rPr>
          <w:rFonts w:hint="default"/>
        </w:rPr>
      </w:pPr>
      <w:r>
        <w:t>附件</w:t>
      </w:r>
      <w:r>
        <w:rPr>
          <w:rFonts w:hint="eastAsia"/>
          <w:lang w:val="en-US" w:eastAsia="zh-CN"/>
        </w:rPr>
        <w:t>2</w:t>
      </w:r>
      <w:r>
        <w:t>：营业执照</w:t>
      </w:r>
    </w:p>
    <w:p w14:paraId="36CEE602">
      <w:pPr>
        <w:pStyle w:val="76"/>
        <w:spacing w:line="240" w:lineRule="auto"/>
        <w:ind w:firstLine="0" w:firstLineChars="0"/>
      </w:pPr>
      <w:r>
        <w:t>附件</w:t>
      </w:r>
      <w:r>
        <w:rPr>
          <w:rFonts w:hint="eastAsia"/>
          <w:lang w:val="en-US" w:eastAsia="zh-CN"/>
        </w:rPr>
        <w:t>3</w:t>
      </w:r>
      <w:r>
        <w:t>：</w:t>
      </w:r>
      <w:r>
        <w:rPr>
          <w:rFonts w:hint="eastAsia"/>
        </w:rPr>
        <w:t>动物诊疗许可证</w:t>
      </w:r>
    </w:p>
    <w:p w14:paraId="5418EA0D">
      <w:pPr>
        <w:pStyle w:val="76"/>
        <w:spacing w:line="240" w:lineRule="auto"/>
        <w:ind w:firstLine="0" w:firstLineChars="0"/>
        <w:rPr>
          <w:rFonts w:hint="default"/>
          <w:lang w:val="en-US" w:eastAsia="zh-CN"/>
        </w:rPr>
      </w:pPr>
      <w:r>
        <w:rPr>
          <w:rFonts w:hint="eastAsia"/>
          <w:lang w:val="en-US" w:eastAsia="zh-CN"/>
        </w:rPr>
        <w:t>附件4：租赁合同及房权证</w:t>
      </w:r>
    </w:p>
    <w:p w14:paraId="7825C856">
      <w:pPr>
        <w:pStyle w:val="76"/>
        <w:spacing w:line="240" w:lineRule="auto"/>
        <w:ind w:firstLine="0" w:firstLineChars="0"/>
        <w:rPr>
          <w:rFonts w:hint="default" w:eastAsia="宋体"/>
          <w:lang w:val="en-US" w:eastAsia="zh-CN"/>
        </w:rPr>
      </w:pPr>
      <w:r>
        <w:rPr>
          <w:rFonts w:hint="eastAsia"/>
          <w:lang w:val="en-US" w:eastAsia="zh-CN"/>
        </w:rPr>
        <w:t>附件5：三线一单综合查询报告书</w:t>
      </w:r>
    </w:p>
    <w:p w14:paraId="4EDC7E43">
      <w:pPr>
        <w:pStyle w:val="76"/>
        <w:spacing w:line="240" w:lineRule="auto"/>
        <w:ind w:firstLine="0" w:firstLineChars="0"/>
      </w:pPr>
      <w:r>
        <w:t>附件</w:t>
      </w:r>
      <w:r>
        <w:rPr>
          <w:rFonts w:hint="eastAsia"/>
          <w:lang w:val="en-US" w:eastAsia="zh-CN"/>
        </w:rPr>
        <w:t>6</w:t>
      </w:r>
      <w:r>
        <w:t>：监测报告</w:t>
      </w:r>
    </w:p>
    <w:p w14:paraId="7F1CA942">
      <w:pPr>
        <w:pStyle w:val="76"/>
        <w:spacing w:line="240" w:lineRule="auto"/>
        <w:ind w:firstLine="0" w:firstLineChars="0"/>
      </w:pPr>
      <w:r>
        <w:t>附件</w:t>
      </w:r>
      <w:r>
        <w:rPr>
          <w:rFonts w:hint="eastAsia"/>
          <w:lang w:val="en-US" w:eastAsia="zh-CN"/>
        </w:rPr>
        <w:t>7</w:t>
      </w:r>
      <w:r>
        <w:t>：</w:t>
      </w:r>
      <w:r>
        <w:rPr>
          <w:rFonts w:hint="eastAsia"/>
          <w:lang w:val="en-US" w:eastAsia="zh-CN"/>
        </w:rPr>
        <w:t>补充</w:t>
      </w:r>
      <w:r>
        <w:t>监测报告</w:t>
      </w:r>
    </w:p>
    <w:p w14:paraId="23E53488">
      <w:pPr>
        <w:pStyle w:val="76"/>
        <w:spacing w:line="240" w:lineRule="auto"/>
        <w:ind w:firstLine="0" w:firstLineChars="0"/>
        <w:rPr>
          <w:rFonts w:hint="eastAsia"/>
          <w:lang w:val="en-US" w:eastAsia="zh-CN"/>
        </w:rPr>
      </w:pPr>
      <w:r>
        <w:rPr>
          <w:rFonts w:hint="eastAsia"/>
          <w:lang w:val="en-US" w:eastAsia="zh-CN"/>
        </w:rPr>
        <w:t>附件8：</w:t>
      </w:r>
      <w:r>
        <w:rPr>
          <w:rFonts w:hint="eastAsia"/>
          <w:sz w:val="24"/>
          <w:szCs w:val="28"/>
        </w:rPr>
        <w:t>关于环评文件公开文本删除的涉及国家秘密、商业秘密等内容的删除依据和理由说明</w:t>
      </w:r>
    </w:p>
    <w:p w14:paraId="30D229A9">
      <w:pPr>
        <w:pStyle w:val="76"/>
        <w:spacing w:line="240" w:lineRule="auto"/>
        <w:ind w:firstLine="0" w:firstLineChars="0"/>
        <w:rPr>
          <w:rFonts w:hint="eastAsia"/>
          <w:lang w:val="en-US" w:eastAsia="zh-CN"/>
        </w:rPr>
      </w:pPr>
      <w:r>
        <w:rPr>
          <w:rFonts w:hint="eastAsia"/>
          <w:lang w:val="en-US" w:eastAsia="zh-CN"/>
        </w:rPr>
        <w:t>附件9：</w:t>
      </w:r>
      <w:r>
        <w:rPr>
          <w:rFonts w:hint="eastAsia"/>
          <w:sz w:val="24"/>
          <w:szCs w:val="28"/>
        </w:rPr>
        <w:t>关于公开建设项目环评文件等信息情况的说明</w:t>
      </w:r>
    </w:p>
    <w:p w14:paraId="0D45E129">
      <w:pPr>
        <w:pStyle w:val="76"/>
        <w:spacing w:line="240" w:lineRule="auto"/>
        <w:ind w:firstLine="0" w:firstLineChars="0"/>
        <w:rPr>
          <w:rFonts w:hint="default"/>
          <w:lang w:val="en-US" w:eastAsia="zh-CN"/>
        </w:rPr>
      </w:pPr>
      <w:r>
        <w:rPr>
          <w:rFonts w:hint="eastAsia"/>
          <w:lang w:val="en-US" w:eastAsia="zh-CN"/>
        </w:rPr>
        <w:t>附件10：</w:t>
      </w:r>
      <w:r>
        <w:rPr>
          <w:rFonts w:hint="eastAsia"/>
          <w:sz w:val="24"/>
          <w:szCs w:val="28"/>
        </w:rPr>
        <w:t>申请环评批复报告</w:t>
      </w:r>
    </w:p>
    <w:p w14:paraId="1BB41447">
      <w:pPr>
        <w:pStyle w:val="76"/>
        <w:spacing w:line="240" w:lineRule="auto"/>
        <w:ind w:firstLine="0" w:firstLineChars="0"/>
      </w:pPr>
    </w:p>
    <w:p w14:paraId="20DE573B">
      <w:pPr>
        <w:pStyle w:val="76"/>
        <w:spacing w:line="240" w:lineRule="auto"/>
        <w:ind w:firstLine="0" w:firstLineChars="0"/>
        <w:rPr>
          <w:rFonts w:hint="eastAsia" w:eastAsia="宋体"/>
          <w:lang w:eastAsia="zh-CN"/>
        </w:rPr>
        <w:sectPr>
          <w:pgSz w:w="11906" w:h="16838"/>
          <w:pgMar w:top="1701" w:right="1531" w:bottom="1701" w:left="1531" w:header="851" w:footer="1077" w:gutter="0"/>
          <w:pgNumType w:start="3"/>
          <w:cols w:space="720" w:num="1"/>
          <w:docGrid w:linePitch="312" w:charSpace="0"/>
        </w:sectPr>
      </w:pPr>
      <w:r>
        <w:rPr>
          <w:rFonts w:hint="eastAsia" w:eastAsia="宋体"/>
          <w:lang w:eastAsia="zh-CN"/>
        </w:rPr>
        <w:drawing>
          <wp:inline distT="0" distB="0" distL="114300" distR="114300">
            <wp:extent cx="5613400" cy="7979410"/>
            <wp:effectExtent l="0" t="0" r="6350" b="2540"/>
            <wp:docPr id="21" name="图片 83" descr="78602b765b6fc50e61ad8c51764bc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83" descr="78602b765b6fc50e61ad8c51764bc01"/>
                    <pic:cNvPicPr>
                      <a:picLocks noChangeAspect="1"/>
                    </pic:cNvPicPr>
                  </pic:nvPicPr>
                  <pic:blipFill>
                    <a:blip r:embed="rId10"/>
                    <a:stretch>
                      <a:fillRect/>
                    </a:stretch>
                  </pic:blipFill>
                  <pic:spPr>
                    <a:xfrm>
                      <a:off x="0" y="0"/>
                      <a:ext cx="5613400" cy="7979410"/>
                    </a:xfrm>
                    <a:prstGeom prst="rect">
                      <a:avLst/>
                    </a:prstGeom>
                    <a:noFill/>
                    <a:ln>
                      <a:noFill/>
                    </a:ln>
                  </pic:spPr>
                </pic:pic>
              </a:graphicData>
            </a:graphic>
          </wp:inline>
        </w:drawing>
      </w:r>
    </w:p>
    <w:p w14:paraId="13A33ECF">
      <w:pPr>
        <w:pStyle w:val="4"/>
        <w:keepNext/>
        <w:keepLines w:val="0"/>
        <w:pageBreakBefore w:val="0"/>
        <w:widowControl w:val="0"/>
        <w:numPr>
          <w:ilvl w:val="0"/>
          <w:numId w:val="0"/>
        </w:numPr>
        <w:kinsoku/>
        <w:wordWrap/>
        <w:overflowPunct w:val="0"/>
        <w:topLinePunct w:val="0"/>
        <w:autoSpaceDE/>
        <w:autoSpaceDN/>
        <w:bidi w:val="0"/>
        <w:adjustRightInd/>
        <w:snapToGrid w:val="0"/>
        <w:ind w:left="0" w:leftChars="0" w:firstLine="0" w:firstLineChars="0"/>
        <w:textAlignment w:val="auto"/>
        <w:rPr>
          <w:color w:val="auto"/>
        </w:rPr>
      </w:pPr>
      <w:bookmarkStart w:id="2" w:name="_Toc4285"/>
      <w:r>
        <w:rPr>
          <w:rFonts w:hint="eastAsia" w:ascii="Times New Roman" w:hAnsi="Times New Roman" w:eastAsia="黑体" w:cs="宋体"/>
          <w:b/>
          <w:bCs/>
          <w:color w:val="auto"/>
          <w:kern w:val="44"/>
          <w:sz w:val="30"/>
          <w:szCs w:val="30"/>
          <w:lang w:val="en-US" w:eastAsia="zh-CN" w:bidi="ar-SA"/>
        </w:rPr>
        <w:t>一、</w:t>
      </w:r>
      <w:r>
        <w:rPr>
          <w:color w:val="auto"/>
        </w:rPr>
        <w:t>建设项目基本情况</w:t>
      </w:r>
      <w:bookmarkEnd w:id="2"/>
    </w:p>
    <w:tbl>
      <w:tblPr>
        <w:tblStyle w:val="2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806"/>
        <w:gridCol w:w="488"/>
        <w:gridCol w:w="2345"/>
        <w:gridCol w:w="2231"/>
        <w:gridCol w:w="3228"/>
      </w:tblGrid>
      <w:tr w14:paraId="3CA1FC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294" w:type="dxa"/>
            <w:gridSpan w:val="2"/>
            <w:noWrap w:val="0"/>
            <w:tcMar>
              <w:top w:w="16" w:type="dxa"/>
              <w:left w:w="16" w:type="dxa"/>
              <w:right w:w="16" w:type="dxa"/>
            </w:tcMar>
            <w:vAlign w:val="center"/>
          </w:tcPr>
          <w:p w14:paraId="57EBB9E3">
            <w:pPr>
              <w:adjustRightInd w:val="0"/>
              <w:snapToGrid w:val="0"/>
              <w:jc w:val="center"/>
              <w:rPr>
                <w:szCs w:val="21"/>
              </w:rPr>
            </w:pPr>
            <w:r>
              <w:rPr>
                <w:szCs w:val="21"/>
              </w:rPr>
              <w:t>建设项目名称</w:t>
            </w:r>
          </w:p>
        </w:tc>
        <w:tc>
          <w:tcPr>
            <w:tcW w:w="7804" w:type="dxa"/>
            <w:gridSpan w:val="3"/>
            <w:noWrap w:val="0"/>
            <w:vAlign w:val="center"/>
          </w:tcPr>
          <w:p w14:paraId="6B80470A">
            <w:pPr>
              <w:adjustRightInd w:val="0"/>
              <w:snapToGrid w:val="0"/>
              <w:jc w:val="center"/>
              <w:rPr>
                <w:rFonts w:hint="default" w:eastAsia="宋体"/>
                <w:lang w:val="en-US" w:eastAsia="zh-CN"/>
              </w:rPr>
            </w:pPr>
            <w:r>
              <w:rPr>
                <w:rFonts w:hint="eastAsia"/>
                <w:lang w:eastAsia="zh-CN"/>
              </w:rPr>
              <w:t>福州市鼓楼区欣慷动物医院</w:t>
            </w:r>
            <w:r>
              <w:rPr>
                <w:rFonts w:hint="eastAsia"/>
                <w:lang w:val="en-US" w:eastAsia="zh-CN"/>
              </w:rPr>
              <w:t>项目</w:t>
            </w:r>
          </w:p>
        </w:tc>
      </w:tr>
      <w:tr w14:paraId="284A5D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294" w:type="dxa"/>
            <w:gridSpan w:val="2"/>
            <w:noWrap w:val="0"/>
            <w:tcMar>
              <w:top w:w="16" w:type="dxa"/>
              <w:left w:w="16" w:type="dxa"/>
              <w:right w:w="16" w:type="dxa"/>
            </w:tcMar>
            <w:vAlign w:val="center"/>
          </w:tcPr>
          <w:p w14:paraId="5C72B717">
            <w:pPr>
              <w:adjustRightInd w:val="0"/>
              <w:snapToGrid w:val="0"/>
              <w:jc w:val="center"/>
              <w:rPr>
                <w:szCs w:val="21"/>
              </w:rPr>
            </w:pPr>
            <w:r>
              <w:rPr>
                <w:szCs w:val="21"/>
              </w:rPr>
              <w:t>项目代码</w:t>
            </w:r>
          </w:p>
        </w:tc>
        <w:tc>
          <w:tcPr>
            <w:tcW w:w="7804" w:type="dxa"/>
            <w:gridSpan w:val="3"/>
            <w:noWrap w:val="0"/>
            <w:vAlign w:val="center"/>
          </w:tcPr>
          <w:p w14:paraId="628EDB93">
            <w:pPr>
              <w:adjustRightInd w:val="0"/>
              <w:snapToGrid w:val="0"/>
              <w:jc w:val="center"/>
              <w:rPr>
                <w:rFonts w:hint="eastAsia"/>
                <w:szCs w:val="21"/>
              </w:rPr>
            </w:pPr>
            <w:r>
              <w:rPr>
                <w:rFonts w:hint="eastAsia"/>
                <w:szCs w:val="21"/>
              </w:rPr>
              <w:t>/</w:t>
            </w:r>
          </w:p>
        </w:tc>
      </w:tr>
      <w:tr w14:paraId="023231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294" w:type="dxa"/>
            <w:gridSpan w:val="2"/>
            <w:noWrap w:val="0"/>
            <w:tcMar>
              <w:top w:w="16" w:type="dxa"/>
              <w:left w:w="16" w:type="dxa"/>
              <w:right w:w="16" w:type="dxa"/>
            </w:tcMar>
            <w:vAlign w:val="center"/>
          </w:tcPr>
          <w:p w14:paraId="37B65564">
            <w:pPr>
              <w:adjustRightInd w:val="0"/>
              <w:snapToGrid w:val="0"/>
              <w:jc w:val="center"/>
              <w:rPr>
                <w:szCs w:val="21"/>
              </w:rPr>
            </w:pPr>
            <w:r>
              <w:rPr>
                <w:szCs w:val="21"/>
              </w:rPr>
              <w:t>建设单位联系人</w:t>
            </w:r>
          </w:p>
        </w:tc>
        <w:tc>
          <w:tcPr>
            <w:tcW w:w="2345" w:type="dxa"/>
            <w:noWrap w:val="0"/>
            <w:vAlign w:val="center"/>
          </w:tcPr>
          <w:p w14:paraId="2D9B7BE2">
            <w:pPr>
              <w:adjustRightInd w:val="0"/>
              <w:snapToGrid w:val="0"/>
              <w:jc w:val="center"/>
              <w:rPr>
                <w:rFonts w:hint="default" w:eastAsia="宋体"/>
                <w:szCs w:val="21"/>
                <w:lang w:val="en-US" w:eastAsia="zh-CN"/>
              </w:rPr>
            </w:pPr>
            <w:r>
              <w:rPr>
                <w:rFonts w:hint="default" w:eastAsia="宋体"/>
                <w:szCs w:val="21"/>
                <w:lang w:val="en-US" w:eastAsia="zh-CN"/>
              </w:rPr>
              <w:t>刘锦峰</w:t>
            </w:r>
          </w:p>
        </w:tc>
        <w:tc>
          <w:tcPr>
            <w:tcW w:w="2231" w:type="dxa"/>
            <w:noWrap w:val="0"/>
            <w:vAlign w:val="center"/>
          </w:tcPr>
          <w:p w14:paraId="5C44FE0D">
            <w:pPr>
              <w:adjustRightInd w:val="0"/>
              <w:snapToGrid w:val="0"/>
              <w:jc w:val="center"/>
              <w:rPr>
                <w:szCs w:val="21"/>
              </w:rPr>
            </w:pPr>
            <w:r>
              <w:t>联系方式</w:t>
            </w:r>
          </w:p>
        </w:tc>
        <w:tc>
          <w:tcPr>
            <w:tcW w:w="3228" w:type="dxa"/>
            <w:noWrap w:val="0"/>
            <w:vAlign w:val="center"/>
          </w:tcPr>
          <w:p w14:paraId="7DE8661D">
            <w:pPr>
              <w:adjustRightInd w:val="0"/>
              <w:snapToGrid w:val="0"/>
              <w:jc w:val="center"/>
              <w:rPr>
                <w:rFonts w:hint="default" w:eastAsia="宋体"/>
                <w:szCs w:val="21"/>
                <w:lang w:val="en-US" w:eastAsia="zh-CN"/>
              </w:rPr>
            </w:pPr>
            <w:r>
              <w:rPr>
                <w:rFonts w:hint="default" w:eastAsia="宋体"/>
                <w:szCs w:val="21"/>
                <w:lang w:val="en-US" w:eastAsia="zh-CN"/>
              </w:rPr>
              <w:t>13860693937</w:t>
            </w:r>
          </w:p>
        </w:tc>
      </w:tr>
      <w:tr w14:paraId="31BA1E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294" w:type="dxa"/>
            <w:gridSpan w:val="2"/>
            <w:noWrap w:val="0"/>
            <w:tcMar>
              <w:top w:w="16" w:type="dxa"/>
              <w:left w:w="16" w:type="dxa"/>
              <w:right w:w="16" w:type="dxa"/>
            </w:tcMar>
            <w:vAlign w:val="center"/>
          </w:tcPr>
          <w:p w14:paraId="27EF9227">
            <w:pPr>
              <w:adjustRightInd w:val="0"/>
              <w:snapToGrid w:val="0"/>
              <w:jc w:val="center"/>
              <w:rPr>
                <w:szCs w:val="21"/>
              </w:rPr>
            </w:pPr>
            <w:r>
              <w:rPr>
                <w:szCs w:val="21"/>
              </w:rPr>
              <w:t>建设地点</w:t>
            </w:r>
          </w:p>
        </w:tc>
        <w:tc>
          <w:tcPr>
            <w:tcW w:w="7804" w:type="dxa"/>
            <w:gridSpan w:val="3"/>
            <w:noWrap w:val="0"/>
            <w:vAlign w:val="center"/>
          </w:tcPr>
          <w:p w14:paraId="3FEA70B5">
            <w:pPr>
              <w:adjustRightInd w:val="0"/>
              <w:snapToGrid w:val="0"/>
              <w:jc w:val="left"/>
              <w:rPr>
                <w:rFonts w:hint="default" w:eastAsia="宋体"/>
                <w:szCs w:val="21"/>
                <w:lang w:val="en-US" w:eastAsia="zh-CN"/>
              </w:rPr>
            </w:pPr>
            <w:r>
              <w:rPr>
                <w:u w:val="single"/>
              </w:rPr>
              <w:t xml:space="preserve">  福建  </w:t>
            </w:r>
            <w:r>
              <w:t>省（自治区）</w:t>
            </w:r>
            <w:r>
              <w:rPr>
                <w:u w:val="single"/>
              </w:rPr>
              <w:t xml:space="preserve">  福州  </w:t>
            </w:r>
            <w:r>
              <w:t>市</w:t>
            </w:r>
            <w:r>
              <w:rPr>
                <w:u w:val="single"/>
              </w:rPr>
              <w:t xml:space="preserve">  鼓楼  </w:t>
            </w:r>
            <w:r>
              <w:t>县（区）</w:t>
            </w:r>
            <w:r>
              <w:rPr>
                <w:u w:val="single"/>
              </w:rPr>
              <w:t xml:space="preserve"> </w:t>
            </w:r>
            <w:r>
              <w:rPr>
                <w:rFonts w:hint="eastAsia"/>
                <w:u w:val="single"/>
                <w:lang w:val="en-US" w:eastAsia="zh-CN"/>
              </w:rPr>
              <w:t>鼓西</w:t>
            </w:r>
            <w:r>
              <w:rPr>
                <w:u w:val="single"/>
              </w:rPr>
              <w:t xml:space="preserve"> </w:t>
            </w:r>
            <w:r>
              <w:rPr>
                <w:rFonts w:hint="eastAsia"/>
                <w:u w:val="single"/>
                <w:lang w:val="en-US" w:eastAsia="zh-CN"/>
              </w:rPr>
              <w:t>镇</w:t>
            </w:r>
            <w:r>
              <w:t>（</w:t>
            </w:r>
            <w:r>
              <w:rPr>
                <w:rFonts w:hint="eastAsia"/>
                <w:lang w:val="en-US" w:eastAsia="zh-CN"/>
              </w:rPr>
              <w:t>街道</w:t>
            </w:r>
            <w:r>
              <w:t>）</w:t>
            </w:r>
            <w:r>
              <w:rPr>
                <w:u w:val="single"/>
              </w:rPr>
              <w:t xml:space="preserve">  </w:t>
            </w:r>
            <w:r>
              <w:rPr>
                <w:rFonts w:hint="eastAsia"/>
                <w:u w:val="single"/>
              </w:rPr>
              <w:t>善化新村8#楼东起第六间店面</w:t>
            </w:r>
            <w:r>
              <w:rPr>
                <w:rFonts w:hint="eastAsia"/>
                <w:u w:val="single"/>
                <w:lang w:val="en-US" w:eastAsia="zh-CN"/>
              </w:rPr>
              <w:t xml:space="preserve">  </w:t>
            </w:r>
          </w:p>
        </w:tc>
      </w:tr>
      <w:tr w14:paraId="7CE9F5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294" w:type="dxa"/>
            <w:gridSpan w:val="2"/>
            <w:noWrap w:val="0"/>
            <w:tcMar>
              <w:top w:w="16" w:type="dxa"/>
              <w:left w:w="16" w:type="dxa"/>
              <w:right w:w="16" w:type="dxa"/>
            </w:tcMar>
            <w:vAlign w:val="center"/>
          </w:tcPr>
          <w:p w14:paraId="20BA4127">
            <w:pPr>
              <w:adjustRightInd w:val="0"/>
              <w:snapToGrid w:val="0"/>
              <w:jc w:val="center"/>
              <w:rPr>
                <w:szCs w:val="21"/>
              </w:rPr>
            </w:pPr>
            <w:r>
              <w:rPr>
                <w:szCs w:val="21"/>
              </w:rPr>
              <w:t>地理坐标</w:t>
            </w:r>
          </w:p>
        </w:tc>
        <w:tc>
          <w:tcPr>
            <w:tcW w:w="7804" w:type="dxa"/>
            <w:gridSpan w:val="3"/>
            <w:noWrap w:val="0"/>
            <w:vAlign w:val="center"/>
          </w:tcPr>
          <w:p w14:paraId="577CFAFB">
            <w:pPr>
              <w:jc w:val="center"/>
              <w:rPr>
                <w:szCs w:val="21"/>
              </w:rPr>
            </w:pPr>
            <w:r>
              <w:t>（</w:t>
            </w:r>
            <w:r>
              <w:rPr>
                <w:rFonts w:hint="eastAsia"/>
                <w:lang w:val="en-US" w:eastAsia="zh-CN"/>
              </w:rPr>
              <w:t>E</w:t>
            </w:r>
            <w:r>
              <w:rPr>
                <w:u w:val="single"/>
              </w:rPr>
              <w:t>119</w:t>
            </w:r>
            <w:r>
              <w:t>度</w:t>
            </w:r>
            <w:r>
              <w:rPr>
                <w:u w:val="single"/>
              </w:rPr>
              <w:t>1</w:t>
            </w:r>
            <w:r>
              <w:rPr>
                <w:rFonts w:hint="eastAsia"/>
                <w:u w:val="single"/>
                <w:lang w:val="en-US" w:eastAsia="zh-CN"/>
              </w:rPr>
              <w:t>7</w:t>
            </w:r>
            <w:r>
              <w:t>分</w:t>
            </w:r>
            <w:r>
              <w:rPr>
                <w:rFonts w:hint="eastAsia"/>
                <w:u w:val="single"/>
                <w:lang w:val="en-US" w:eastAsia="zh-CN"/>
              </w:rPr>
              <w:t>9.556</w:t>
            </w:r>
            <w:r>
              <w:t>秒，</w:t>
            </w:r>
            <w:r>
              <w:rPr>
                <w:rFonts w:hint="eastAsia"/>
                <w:lang w:val="en-US" w:eastAsia="zh-CN"/>
              </w:rPr>
              <w:t>N</w:t>
            </w:r>
            <w:r>
              <w:rPr>
                <w:u w:val="single"/>
              </w:rPr>
              <w:t>26</w:t>
            </w:r>
            <w:r>
              <w:t>度</w:t>
            </w:r>
            <w:r>
              <w:rPr>
                <w:rFonts w:hint="eastAsia"/>
                <w:u w:val="single"/>
                <w:lang w:val="en-US" w:eastAsia="zh-CN"/>
              </w:rPr>
              <w:t>5</w:t>
            </w:r>
            <w:r>
              <w:t>分</w:t>
            </w:r>
            <w:r>
              <w:rPr>
                <w:u w:val="single"/>
              </w:rPr>
              <w:t xml:space="preserve"> </w:t>
            </w:r>
            <w:r>
              <w:rPr>
                <w:rFonts w:hint="eastAsia"/>
                <w:u w:val="single"/>
                <w:lang w:val="en-US" w:eastAsia="zh-CN"/>
              </w:rPr>
              <w:t>17.390</w:t>
            </w:r>
            <w:r>
              <w:rPr>
                <w:u w:val="single"/>
              </w:rPr>
              <w:t xml:space="preserve"> </w:t>
            </w:r>
            <w:r>
              <w:t>秒）</w:t>
            </w:r>
          </w:p>
        </w:tc>
      </w:tr>
      <w:tr w14:paraId="335D81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1294" w:type="dxa"/>
            <w:gridSpan w:val="2"/>
            <w:noWrap w:val="0"/>
            <w:tcMar>
              <w:top w:w="16" w:type="dxa"/>
              <w:left w:w="16" w:type="dxa"/>
              <w:right w:w="16" w:type="dxa"/>
            </w:tcMar>
            <w:vAlign w:val="center"/>
          </w:tcPr>
          <w:p w14:paraId="52E35315">
            <w:pPr>
              <w:adjustRightInd w:val="0"/>
              <w:snapToGrid w:val="0"/>
              <w:jc w:val="center"/>
              <w:rPr>
                <w:szCs w:val="21"/>
              </w:rPr>
            </w:pPr>
            <w:r>
              <w:rPr>
                <w:szCs w:val="21"/>
              </w:rPr>
              <w:t>国民经济</w:t>
            </w:r>
          </w:p>
          <w:p w14:paraId="2970AAF6">
            <w:pPr>
              <w:adjustRightInd w:val="0"/>
              <w:snapToGrid w:val="0"/>
              <w:jc w:val="center"/>
              <w:rPr>
                <w:szCs w:val="21"/>
              </w:rPr>
            </w:pPr>
            <w:r>
              <w:rPr>
                <w:szCs w:val="21"/>
              </w:rPr>
              <w:t>行业类别</w:t>
            </w:r>
          </w:p>
        </w:tc>
        <w:tc>
          <w:tcPr>
            <w:tcW w:w="2345" w:type="dxa"/>
            <w:noWrap w:val="0"/>
            <w:vAlign w:val="center"/>
          </w:tcPr>
          <w:p w14:paraId="6683562C">
            <w:pPr>
              <w:adjustRightInd w:val="0"/>
              <w:snapToGrid w:val="0"/>
              <w:jc w:val="center"/>
              <w:rPr>
                <w:szCs w:val="21"/>
              </w:rPr>
            </w:pPr>
            <w:r>
              <w:t>O8222宠物医院服务</w:t>
            </w:r>
          </w:p>
        </w:tc>
        <w:tc>
          <w:tcPr>
            <w:tcW w:w="2231" w:type="dxa"/>
            <w:noWrap w:val="0"/>
            <w:vAlign w:val="center"/>
          </w:tcPr>
          <w:p w14:paraId="07B11773">
            <w:pPr>
              <w:adjustRightInd w:val="0"/>
              <w:snapToGrid w:val="0"/>
              <w:jc w:val="center"/>
            </w:pPr>
            <w:r>
              <w:t>建设项目</w:t>
            </w:r>
          </w:p>
          <w:p w14:paraId="3EDFAE03">
            <w:pPr>
              <w:adjustRightInd w:val="0"/>
              <w:snapToGrid w:val="0"/>
              <w:jc w:val="center"/>
              <w:rPr>
                <w:szCs w:val="21"/>
              </w:rPr>
            </w:pPr>
            <w:r>
              <w:t>行业类别</w:t>
            </w:r>
          </w:p>
        </w:tc>
        <w:tc>
          <w:tcPr>
            <w:tcW w:w="3228" w:type="dxa"/>
            <w:noWrap w:val="0"/>
            <w:vAlign w:val="center"/>
          </w:tcPr>
          <w:p w14:paraId="3BEF0675">
            <w:pPr>
              <w:adjustRightInd w:val="0"/>
              <w:snapToGrid w:val="0"/>
              <w:jc w:val="center"/>
              <w:rPr>
                <w:rFonts w:hint="eastAsia"/>
                <w:szCs w:val="21"/>
              </w:rPr>
            </w:pPr>
            <w:r>
              <w:t>五十、社会事业与服务业123、动物医院</w:t>
            </w:r>
          </w:p>
        </w:tc>
      </w:tr>
      <w:tr w14:paraId="4F8A24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294" w:type="dxa"/>
            <w:gridSpan w:val="2"/>
            <w:noWrap w:val="0"/>
            <w:tcMar>
              <w:top w:w="16" w:type="dxa"/>
              <w:left w:w="16" w:type="dxa"/>
              <w:right w:w="16" w:type="dxa"/>
            </w:tcMar>
            <w:vAlign w:val="center"/>
          </w:tcPr>
          <w:p w14:paraId="4ECC2C68">
            <w:pPr>
              <w:adjustRightInd w:val="0"/>
              <w:snapToGrid w:val="0"/>
              <w:jc w:val="center"/>
              <w:rPr>
                <w:szCs w:val="21"/>
              </w:rPr>
            </w:pPr>
            <w:r>
              <w:rPr>
                <w:szCs w:val="21"/>
              </w:rPr>
              <w:t>建设性质</w:t>
            </w:r>
          </w:p>
        </w:tc>
        <w:tc>
          <w:tcPr>
            <w:tcW w:w="2345" w:type="dxa"/>
            <w:noWrap w:val="0"/>
            <w:vAlign w:val="center"/>
          </w:tcPr>
          <w:p w14:paraId="1AFA3AF5">
            <w:pPr>
              <w:jc w:val="left"/>
            </w:pPr>
            <w:r>
              <w:rPr>
                <w:rFonts w:hint="eastAsia" w:ascii="宋体" w:hAnsi="宋体" w:cs="宋体"/>
                <w:color w:val="auto"/>
                <w:sz w:val="24"/>
                <w:szCs w:val="24"/>
                <w:lang w:eastAsia="zh-CN"/>
              </w:rPr>
              <w:t>☑</w:t>
            </w:r>
            <w:r>
              <w:t>新建（迁建）</w:t>
            </w:r>
          </w:p>
          <w:p w14:paraId="6AB3FBA7">
            <w:pPr>
              <w:jc w:val="left"/>
            </w:pPr>
            <w:r>
              <w:rPr>
                <w:rFonts w:hint="eastAsia" w:ascii="宋体" w:hAnsi="宋体" w:cs="宋体"/>
                <w:color w:val="auto"/>
                <w:sz w:val="24"/>
                <w:szCs w:val="24"/>
                <w:lang w:eastAsia="zh-CN"/>
              </w:rPr>
              <w:t>□</w:t>
            </w:r>
            <w:r>
              <w:t>改建</w:t>
            </w:r>
          </w:p>
          <w:p w14:paraId="160C6425">
            <w:pPr>
              <w:jc w:val="left"/>
            </w:pPr>
            <w:r>
              <w:rPr>
                <w:rFonts w:hint="eastAsia" w:ascii="宋体" w:hAnsi="宋体" w:cs="宋体"/>
                <w:color w:val="auto"/>
                <w:sz w:val="24"/>
                <w:szCs w:val="24"/>
                <w:lang w:eastAsia="zh-CN"/>
              </w:rPr>
              <w:t>□</w:t>
            </w:r>
            <w:r>
              <w:t>扩建</w:t>
            </w:r>
          </w:p>
          <w:p w14:paraId="6F38AD30">
            <w:pPr>
              <w:jc w:val="left"/>
              <w:rPr>
                <w:szCs w:val="21"/>
              </w:rPr>
            </w:pPr>
            <w:r>
              <w:rPr>
                <w:rFonts w:hint="eastAsia" w:ascii="宋体" w:hAnsi="宋体" w:cs="宋体"/>
                <w:color w:val="auto"/>
                <w:sz w:val="24"/>
                <w:szCs w:val="24"/>
                <w:lang w:eastAsia="zh-CN"/>
              </w:rPr>
              <w:t>□</w:t>
            </w:r>
            <w:r>
              <w:t>技术改造</w:t>
            </w:r>
          </w:p>
        </w:tc>
        <w:tc>
          <w:tcPr>
            <w:tcW w:w="2231" w:type="dxa"/>
            <w:noWrap w:val="0"/>
            <w:vAlign w:val="center"/>
          </w:tcPr>
          <w:p w14:paraId="45C6D7D9">
            <w:pPr>
              <w:adjustRightInd w:val="0"/>
              <w:snapToGrid w:val="0"/>
              <w:jc w:val="center"/>
            </w:pPr>
            <w:r>
              <w:t>建设项目</w:t>
            </w:r>
          </w:p>
          <w:p w14:paraId="441211FE">
            <w:pPr>
              <w:adjustRightInd w:val="0"/>
              <w:snapToGrid w:val="0"/>
              <w:jc w:val="center"/>
              <w:rPr>
                <w:szCs w:val="21"/>
              </w:rPr>
            </w:pPr>
            <w:r>
              <w:t>申报情形</w:t>
            </w:r>
          </w:p>
        </w:tc>
        <w:tc>
          <w:tcPr>
            <w:tcW w:w="3228" w:type="dxa"/>
            <w:noWrap w:val="0"/>
            <w:vAlign w:val="center"/>
          </w:tcPr>
          <w:p w14:paraId="1B242725">
            <w:pPr>
              <w:jc w:val="left"/>
            </w:pPr>
            <w:r>
              <w:rPr>
                <w:rFonts w:hint="eastAsia" w:ascii="宋体" w:hAnsi="宋体" w:cs="宋体"/>
                <w:color w:val="auto"/>
                <w:sz w:val="24"/>
                <w:szCs w:val="24"/>
                <w:lang w:eastAsia="zh-CN"/>
              </w:rPr>
              <w:t>☑</w:t>
            </w:r>
            <w:r>
              <w:t xml:space="preserve">首次申报项目             </w:t>
            </w:r>
          </w:p>
          <w:p w14:paraId="1E240F85">
            <w:pPr>
              <w:jc w:val="left"/>
            </w:pPr>
            <w:r>
              <w:rPr>
                <w:rFonts w:hint="eastAsia" w:ascii="宋体" w:hAnsi="宋体" w:cs="宋体"/>
                <w:color w:val="auto"/>
                <w:sz w:val="24"/>
                <w:szCs w:val="24"/>
                <w:lang w:eastAsia="zh-CN"/>
              </w:rPr>
              <w:t>□</w:t>
            </w:r>
            <w:r>
              <w:t>不予批准后再次申报项目</w:t>
            </w:r>
          </w:p>
          <w:p w14:paraId="78583372">
            <w:pPr>
              <w:jc w:val="left"/>
            </w:pPr>
            <w:r>
              <w:rPr>
                <w:rFonts w:hint="eastAsia" w:ascii="宋体" w:hAnsi="宋体" w:cs="宋体"/>
                <w:color w:val="auto"/>
                <w:sz w:val="24"/>
                <w:szCs w:val="24"/>
                <w:lang w:eastAsia="zh-CN"/>
              </w:rPr>
              <w:t>□</w:t>
            </w:r>
            <w:r>
              <w:t xml:space="preserve">超五年重新审核项目     </w:t>
            </w:r>
          </w:p>
          <w:p w14:paraId="19DE5909">
            <w:pPr>
              <w:jc w:val="left"/>
              <w:rPr>
                <w:szCs w:val="21"/>
              </w:rPr>
            </w:pPr>
            <w:r>
              <w:rPr>
                <w:rFonts w:hint="eastAsia" w:ascii="宋体" w:hAnsi="宋体" w:cs="宋体"/>
                <w:color w:val="auto"/>
                <w:sz w:val="24"/>
                <w:szCs w:val="24"/>
                <w:lang w:eastAsia="zh-CN"/>
              </w:rPr>
              <w:t>□</w:t>
            </w:r>
            <w:r>
              <w:t>重大变动重新报批项目</w:t>
            </w:r>
          </w:p>
        </w:tc>
      </w:tr>
      <w:tr w14:paraId="0E3918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294" w:type="dxa"/>
            <w:gridSpan w:val="2"/>
            <w:noWrap w:val="0"/>
            <w:tcMar>
              <w:top w:w="16" w:type="dxa"/>
              <w:left w:w="16" w:type="dxa"/>
              <w:right w:w="16" w:type="dxa"/>
            </w:tcMar>
            <w:vAlign w:val="center"/>
          </w:tcPr>
          <w:p w14:paraId="74A9EC15">
            <w:pPr>
              <w:adjustRightInd w:val="0"/>
              <w:snapToGrid w:val="0"/>
              <w:jc w:val="center"/>
              <w:rPr>
                <w:szCs w:val="21"/>
              </w:rPr>
            </w:pPr>
            <w:r>
              <w:rPr>
                <w:szCs w:val="21"/>
              </w:rPr>
              <w:t>项目审批（核准/备案）部门（选填）</w:t>
            </w:r>
          </w:p>
        </w:tc>
        <w:tc>
          <w:tcPr>
            <w:tcW w:w="2345" w:type="dxa"/>
            <w:noWrap w:val="0"/>
            <w:vAlign w:val="center"/>
          </w:tcPr>
          <w:p w14:paraId="4B21AE57">
            <w:pPr>
              <w:adjustRightInd w:val="0"/>
              <w:snapToGrid w:val="0"/>
              <w:jc w:val="center"/>
              <w:rPr>
                <w:rFonts w:hint="eastAsia"/>
                <w:szCs w:val="21"/>
              </w:rPr>
            </w:pPr>
            <w:r>
              <w:rPr>
                <w:rFonts w:hint="eastAsia"/>
                <w:szCs w:val="21"/>
              </w:rPr>
              <w:t>/</w:t>
            </w:r>
          </w:p>
        </w:tc>
        <w:tc>
          <w:tcPr>
            <w:tcW w:w="2231" w:type="dxa"/>
            <w:noWrap w:val="0"/>
            <w:vAlign w:val="center"/>
          </w:tcPr>
          <w:p w14:paraId="547C5EAA">
            <w:pPr>
              <w:adjustRightInd w:val="0"/>
              <w:snapToGrid w:val="0"/>
              <w:jc w:val="center"/>
            </w:pPr>
            <w:r>
              <w:t>项目审批（核准/</w:t>
            </w:r>
          </w:p>
          <w:p w14:paraId="122D96B7">
            <w:pPr>
              <w:adjustRightInd w:val="0"/>
              <w:snapToGrid w:val="0"/>
              <w:jc w:val="center"/>
              <w:rPr>
                <w:szCs w:val="21"/>
              </w:rPr>
            </w:pPr>
            <w:r>
              <w:t>备案）文号（选填）</w:t>
            </w:r>
          </w:p>
        </w:tc>
        <w:tc>
          <w:tcPr>
            <w:tcW w:w="3228" w:type="dxa"/>
            <w:noWrap w:val="0"/>
            <w:vAlign w:val="center"/>
          </w:tcPr>
          <w:p w14:paraId="7FE75E11">
            <w:pPr>
              <w:adjustRightInd w:val="0"/>
              <w:snapToGrid w:val="0"/>
              <w:jc w:val="center"/>
              <w:rPr>
                <w:szCs w:val="21"/>
              </w:rPr>
            </w:pPr>
            <w:r>
              <w:rPr>
                <w:rFonts w:hint="eastAsia"/>
                <w:szCs w:val="21"/>
              </w:rPr>
              <w:t>/</w:t>
            </w:r>
          </w:p>
        </w:tc>
      </w:tr>
      <w:tr w14:paraId="64DAAC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294" w:type="dxa"/>
            <w:gridSpan w:val="2"/>
            <w:noWrap w:val="0"/>
            <w:tcMar>
              <w:top w:w="16" w:type="dxa"/>
              <w:left w:w="16" w:type="dxa"/>
              <w:right w:w="16" w:type="dxa"/>
            </w:tcMar>
            <w:vAlign w:val="center"/>
          </w:tcPr>
          <w:p w14:paraId="2BA7E01A">
            <w:pPr>
              <w:adjustRightInd w:val="0"/>
              <w:snapToGrid w:val="0"/>
              <w:jc w:val="center"/>
              <w:rPr>
                <w:szCs w:val="21"/>
              </w:rPr>
            </w:pPr>
            <w:r>
              <w:rPr>
                <w:szCs w:val="21"/>
              </w:rPr>
              <w:t>总投资（万元）</w:t>
            </w:r>
          </w:p>
        </w:tc>
        <w:tc>
          <w:tcPr>
            <w:tcW w:w="2345" w:type="dxa"/>
            <w:noWrap w:val="0"/>
            <w:vAlign w:val="center"/>
          </w:tcPr>
          <w:p w14:paraId="67653091">
            <w:pPr>
              <w:adjustRightInd w:val="0"/>
              <w:snapToGrid w:val="0"/>
              <w:jc w:val="center"/>
              <w:rPr>
                <w:rFonts w:hint="default" w:eastAsia="宋体"/>
                <w:szCs w:val="21"/>
                <w:lang w:val="en-US" w:eastAsia="zh-CN"/>
              </w:rPr>
            </w:pPr>
            <w:r>
              <w:rPr>
                <w:rFonts w:hint="eastAsia"/>
                <w:color w:val="auto"/>
                <w:szCs w:val="21"/>
                <w:lang w:val="en-US" w:eastAsia="zh-CN"/>
              </w:rPr>
              <w:t>50万</w:t>
            </w:r>
          </w:p>
        </w:tc>
        <w:tc>
          <w:tcPr>
            <w:tcW w:w="2231" w:type="dxa"/>
            <w:noWrap w:val="0"/>
            <w:tcMar>
              <w:top w:w="16" w:type="dxa"/>
              <w:left w:w="16" w:type="dxa"/>
              <w:right w:w="16" w:type="dxa"/>
            </w:tcMar>
            <w:vAlign w:val="center"/>
          </w:tcPr>
          <w:p w14:paraId="2BDB425D">
            <w:pPr>
              <w:adjustRightInd w:val="0"/>
              <w:snapToGrid w:val="0"/>
              <w:jc w:val="center"/>
              <w:rPr>
                <w:szCs w:val="21"/>
              </w:rPr>
            </w:pPr>
            <w:r>
              <w:t>环保投资（万元）</w:t>
            </w:r>
          </w:p>
        </w:tc>
        <w:tc>
          <w:tcPr>
            <w:tcW w:w="3228" w:type="dxa"/>
            <w:noWrap w:val="0"/>
            <w:vAlign w:val="center"/>
          </w:tcPr>
          <w:p w14:paraId="4272CD6F">
            <w:pPr>
              <w:adjustRightInd w:val="0"/>
              <w:snapToGrid w:val="0"/>
              <w:jc w:val="center"/>
              <w:rPr>
                <w:rFonts w:hint="default" w:eastAsia="宋体"/>
                <w:szCs w:val="21"/>
                <w:lang w:val="en-US" w:eastAsia="zh-CN"/>
              </w:rPr>
            </w:pPr>
            <w:r>
              <w:rPr>
                <w:rFonts w:hint="eastAsia" w:eastAsia="宋体"/>
                <w:szCs w:val="21"/>
                <w:lang w:val="en-US" w:eastAsia="zh-CN"/>
              </w:rPr>
              <w:t>8</w:t>
            </w:r>
          </w:p>
        </w:tc>
      </w:tr>
      <w:tr w14:paraId="698CC2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294" w:type="dxa"/>
            <w:gridSpan w:val="2"/>
            <w:noWrap w:val="0"/>
            <w:tcMar>
              <w:top w:w="16" w:type="dxa"/>
              <w:left w:w="16" w:type="dxa"/>
              <w:right w:w="16" w:type="dxa"/>
            </w:tcMar>
            <w:vAlign w:val="center"/>
          </w:tcPr>
          <w:p w14:paraId="7BD9C5C0">
            <w:pPr>
              <w:adjustRightInd w:val="0"/>
              <w:snapToGrid w:val="0"/>
              <w:jc w:val="center"/>
              <w:rPr>
                <w:szCs w:val="21"/>
              </w:rPr>
            </w:pPr>
            <w:r>
              <w:rPr>
                <w:szCs w:val="21"/>
              </w:rPr>
              <w:t>环保投资占比（%）</w:t>
            </w:r>
          </w:p>
        </w:tc>
        <w:tc>
          <w:tcPr>
            <w:tcW w:w="2345" w:type="dxa"/>
            <w:noWrap w:val="0"/>
            <w:vAlign w:val="center"/>
          </w:tcPr>
          <w:p w14:paraId="39ABF167">
            <w:pPr>
              <w:adjustRightInd w:val="0"/>
              <w:snapToGrid w:val="0"/>
              <w:jc w:val="center"/>
              <w:rPr>
                <w:szCs w:val="21"/>
              </w:rPr>
            </w:pPr>
            <w:r>
              <w:rPr>
                <w:rFonts w:hint="eastAsia"/>
                <w:color w:val="auto"/>
                <w:szCs w:val="21"/>
                <w:lang w:val="en-US" w:eastAsia="zh-CN"/>
              </w:rPr>
              <w:t>16</w:t>
            </w:r>
            <w:r>
              <w:rPr>
                <w:rFonts w:hint="eastAsia"/>
                <w:color w:val="auto"/>
                <w:szCs w:val="21"/>
              </w:rPr>
              <w:t>%</w:t>
            </w:r>
          </w:p>
        </w:tc>
        <w:tc>
          <w:tcPr>
            <w:tcW w:w="2231" w:type="dxa"/>
            <w:noWrap w:val="0"/>
            <w:tcMar>
              <w:top w:w="16" w:type="dxa"/>
              <w:left w:w="16" w:type="dxa"/>
              <w:right w:w="16" w:type="dxa"/>
            </w:tcMar>
            <w:vAlign w:val="center"/>
          </w:tcPr>
          <w:p w14:paraId="6A0239BE">
            <w:pPr>
              <w:adjustRightInd w:val="0"/>
              <w:snapToGrid w:val="0"/>
              <w:jc w:val="center"/>
              <w:rPr>
                <w:rFonts w:hint="eastAsia"/>
                <w:szCs w:val="21"/>
              </w:rPr>
            </w:pPr>
            <w:r>
              <w:t>施工工期</w:t>
            </w:r>
            <w:r>
              <w:rPr>
                <w:rFonts w:hint="eastAsia"/>
              </w:rPr>
              <w:t>（月）</w:t>
            </w:r>
          </w:p>
        </w:tc>
        <w:tc>
          <w:tcPr>
            <w:tcW w:w="3228" w:type="dxa"/>
            <w:noWrap w:val="0"/>
            <w:vAlign w:val="center"/>
          </w:tcPr>
          <w:p w14:paraId="7E6F9502">
            <w:pPr>
              <w:adjustRightInd w:val="0"/>
              <w:snapToGrid w:val="0"/>
              <w:jc w:val="center"/>
              <w:rPr>
                <w:rFonts w:hint="default" w:eastAsia="宋体"/>
                <w:szCs w:val="21"/>
                <w:lang w:val="en-US" w:eastAsia="zh-CN"/>
              </w:rPr>
            </w:pPr>
            <w:r>
              <w:rPr>
                <w:rFonts w:hint="eastAsia" w:eastAsia="宋体"/>
                <w:szCs w:val="21"/>
                <w:lang w:val="en-US" w:eastAsia="zh-CN"/>
              </w:rPr>
              <w:t>1个月</w:t>
            </w:r>
          </w:p>
        </w:tc>
      </w:tr>
      <w:tr w14:paraId="321264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294" w:type="dxa"/>
            <w:gridSpan w:val="2"/>
            <w:noWrap w:val="0"/>
            <w:tcMar>
              <w:top w:w="16" w:type="dxa"/>
              <w:left w:w="16" w:type="dxa"/>
              <w:right w:w="16" w:type="dxa"/>
            </w:tcMar>
            <w:vAlign w:val="center"/>
          </w:tcPr>
          <w:p w14:paraId="766FA60F">
            <w:pPr>
              <w:adjustRightInd w:val="0"/>
              <w:snapToGrid w:val="0"/>
              <w:jc w:val="center"/>
              <w:rPr>
                <w:szCs w:val="21"/>
              </w:rPr>
            </w:pPr>
            <w:r>
              <w:rPr>
                <w:szCs w:val="21"/>
              </w:rPr>
              <w:t>是否开工建设</w:t>
            </w:r>
          </w:p>
        </w:tc>
        <w:tc>
          <w:tcPr>
            <w:tcW w:w="2345" w:type="dxa"/>
            <w:noWrap w:val="0"/>
            <w:vAlign w:val="center"/>
          </w:tcPr>
          <w:p w14:paraId="45A9B51F">
            <w:pPr>
              <w:adjustRightInd w:val="0"/>
              <w:snapToGrid w:val="0"/>
            </w:pPr>
            <w:r>
              <w:rPr>
                <w:rFonts w:hint="eastAsia" w:ascii="宋体" w:hAnsi="宋体" w:cs="宋体"/>
                <w:color w:val="auto"/>
                <w:sz w:val="24"/>
                <w:szCs w:val="24"/>
                <w:lang w:eastAsia="zh-CN"/>
              </w:rPr>
              <w:t>□</w:t>
            </w:r>
            <w:r>
              <w:t>否</w:t>
            </w:r>
          </w:p>
          <w:p w14:paraId="666F2607">
            <w:pPr>
              <w:adjustRightInd w:val="0"/>
              <w:snapToGrid w:val="0"/>
              <w:rPr>
                <w:szCs w:val="21"/>
              </w:rPr>
            </w:pPr>
            <w:r>
              <w:rPr>
                <w:rFonts w:hint="eastAsia" w:ascii="宋体" w:hAnsi="宋体" w:cs="宋体"/>
                <w:color w:val="auto"/>
                <w:sz w:val="24"/>
                <w:szCs w:val="24"/>
                <w:lang w:eastAsia="zh-CN"/>
              </w:rPr>
              <w:t>□</w:t>
            </w:r>
            <w:r>
              <w:t>是：</w:t>
            </w:r>
            <w:r>
              <w:rPr>
                <w:u w:val="single"/>
              </w:rPr>
              <w:t xml:space="preserve">             </w:t>
            </w:r>
          </w:p>
        </w:tc>
        <w:tc>
          <w:tcPr>
            <w:tcW w:w="2231" w:type="dxa"/>
            <w:noWrap w:val="0"/>
            <w:tcMar>
              <w:top w:w="16" w:type="dxa"/>
              <w:left w:w="16" w:type="dxa"/>
              <w:right w:w="16" w:type="dxa"/>
            </w:tcMar>
            <w:vAlign w:val="center"/>
          </w:tcPr>
          <w:p w14:paraId="47FD0AAA">
            <w:pPr>
              <w:adjustRightInd w:val="0"/>
              <w:snapToGrid w:val="0"/>
              <w:jc w:val="center"/>
              <w:rPr>
                <w:spacing w:val="-6"/>
              </w:rPr>
            </w:pPr>
            <w:r>
              <w:rPr>
                <w:spacing w:val="-6"/>
              </w:rPr>
              <w:t>用地（用海）</w:t>
            </w:r>
          </w:p>
          <w:p w14:paraId="7DBED6EE">
            <w:pPr>
              <w:adjustRightInd w:val="0"/>
              <w:snapToGrid w:val="0"/>
              <w:jc w:val="center"/>
              <w:rPr>
                <w:szCs w:val="21"/>
              </w:rPr>
            </w:pPr>
            <w:r>
              <w:rPr>
                <w:spacing w:val="-6"/>
              </w:rPr>
              <w:t>面积（m</w:t>
            </w:r>
            <w:r>
              <w:rPr>
                <w:spacing w:val="-6"/>
                <w:vertAlign w:val="superscript"/>
              </w:rPr>
              <w:t>2</w:t>
            </w:r>
            <w:r>
              <w:rPr>
                <w:spacing w:val="-6"/>
              </w:rPr>
              <w:t>）</w:t>
            </w:r>
          </w:p>
        </w:tc>
        <w:tc>
          <w:tcPr>
            <w:tcW w:w="3228" w:type="dxa"/>
            <w:noWrap w:val="0"/>
            <w:vAlign w:val="center"/>
          </w:tcPr>
          <w:p w14:paraId="57B51E7B">
            <w:pPr>
              <w:adjustRightInd w:val="0"/>
              <w:snapToGrid w:val="0"/>
              <w:jc w:val="center"/>
              <w:rPr>
                <w:szCs w:val="21"/>
              </w:rPr>
            </w:pPr>
            <w:r>
              <w:rPr>
                <w:rFonts w:hint="eastAsia"/>
                <w:color w:val="auto"/>
              </w:rPr>
              <w:t>租赁面积</w:t>
            </w:r>
            <w:r>
              <w:rPr>
                <w:rFonts w:hint="eastAsia"/>
                <w:color w:val="auto"/>
                <w:lang w:val="en-US" w:eastAsia="zh-CN"/>
              </w:rPr>
              <w:t>70.1</w:t>
            </w:r>
            <w:r>
              <w:rPr>
                <w:rFonts w:hint="eastAsia"/>
                <w:color w:val="auto"/>
              </w:rPr>
              <w:t>m</w:t>
            </w:r>
            <w:r>
              <w:rPr>
                <w:rFonts w:hint="eastAsia"/>
                <w:color w:val="auto"/>
                <w:vertAlign w:val="superscript"/>
              </w:rPr>
              <w:t>2</w:t>
            </w:r>
          </w:p>
        </w:tc>
      </w:tr>
      <w:tr w14:paraId="4D5AED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806" w:type="dxa"/>
            <w:noWrap w:val="0"/>
            <w:vAlign w:val="center"/>
          </w:tcPr>
          <w:p w14:paraId="4449568E">
            <w:pPr>
              <w:autoSpaceDE w:val="0"/>
              <w:autoSpaceDN w:val="0"/>
              <w:adjustRightInd w:val="0"/>
              <w:snapToGrid w:val="0"/>
              <w:jc w:val="center"/>
              <w:rPr>
                <w:kern w:val="0"/>
                <w:szCs w:val="21"/>
              </w:rPr>
            </w:pPr>
            <w:r>
              <w:rPr>
                <w:kern w:val="0"/>
                <w:szCs w:val="21"/>
              </w:rPr>
              <w:t>专项评价设置情况</w:t>
            </w:r>
          </w:p>
        </w:tc>
        <w:tc>
          <w:tcPr>
            <w:tcW w:w="8292" w:type="dxa"/>
            <w:gridSpan w:val="4"/>
            <w:noWrap w:val="0"/>
            <w:vAlign w:val="center"/>
          </w:tcPr>
          <w:p w14:paraId="7D429EE3">
            <w:pPr>
              <w:autoSpaceDE w:val="0"/>
              <w:autoSpaceDN w:val="0"/>
              <w:adjustRightInd w:val="0"/>
              <w:snapToGrid w:val="0"/>
              <w:jc w:val="center"/>
            </w:pPr>
          </w:p>
          <w:p w14:paraId="548409E3">
            <w:pPr>
              <w:pStyle w:val="76"/>
              <w:ind w:firstLine="480"/>
              <w:rPr>
                <w:rFonts w:hint="default" w:cs="Times New Roman"/>
              </w:rPr>
            </w:pPr>
            <w:r>
              <w:rPr>
                <w:rFonts w:hint="default" w:cs="Times New Roman"/>
              </w:rPr>
              <w:t>根据《建设项目环境影响报告表编制技术指南》</w:t>
            </w:r>
            <w:r>
              <w:rPr>
                <w:rFonts w:cs="Times New Roman"/>
              </w:rPr>
              <w:t>（</w:t>
            </w:r>
            <w:r>
              <w:rPr>
                <w:rFonts w:hint="default" w:cs="Times New Roman"/>
              </w:rPr>
              <w:t>污染影响类</w:t>
            </w:r>
            <w:r>
              <w:rPr>
                <w:rFonts w:cs="Times New Roman"/>
              </w:rPr>
              <w:t>）（</w:t>
            </w:r>
            <w:r>
              <w:rPr>
                <w:rFonts w:hint="default" w:cs="Times New Roman"/>
              </w:rPr>
              <w:t>试行</w:t>
            </w:r>
            <w:r>
              <w:rPr>
                <w:rFonts w:cs="Times New Roman"/>
              </w:rPr>
              <w:t>）中“表1  专项评价设置原则表”对本项目进行判定：本次新建项目不设置专项评价。</w:t>
            </w:r>
          </w:p>
          <w:p w14:paraId="36CBF454">
            <w:pPr>
              <w:pStyle w:val="76"/>
              <w:ind w:firstLine="480"/>
              <w:rPr>
                <w:rFonts w:cs="Times New Roman"/>
              </w:rPr>
            </w:pPr>
            <w:r>
              <w:rPr>
                <w:rFonts w:hint="default" w:cs="Times New Roman"/>
              </w:rPr>
              <w:t>本项目专项评价设置判定过程见表1</w:t>
            </w:r>
            <w:r>
              <w:rPr>
                <w:rFonts w:cs="Times New Roman"/>
              </w:rPr>
              <w:t>.1-1。</w:t>
            </w:r>
          </w:p>
          <w:p w14:paraId="0FE7FF33">
            <w:pPr>
              <w:pStyle w:val="63"/>
              <w:numPr>
                <w:ilvl w:val="0"/>
                <w:numId w:val="0"/>
              </w:numPr>
              <w:ind w:left="0" w:leftChars="0" w:firstLine="0" w:firstLineChars="0"/>
            </w:pPr>
            <w:r>
              <w:rPr>
                <w:rFonts w:hint="eastAsia" w:ascii="Times New Roman" w:hAnsi="Times New Roman" w:eastAsia="宋体" w:cs="宋体"/>
                <w:b/>
                <w:kern w:val="2"/>
                <w:sz w:val="24"/>
                <w:szCs w:val="24"/>
                <w:lang w:val="en-US" w:eastAsia="zh-CN" w:bidi="ar-SA"/>
              </w:rPr>
              <w:t>表1.1-1</w:t>
            </w:r>
            <w:r>
              <w:t>专项评价设置原则表</w:t>
            </w:r>
          </w:p>
          <w:tbl>
            <w:tblPr>
              <w:tblStyle w:val="25"/>
              <w:tblW w:w="5000"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60"/>
              <w:gridCol w:w="3791"/>
              <w:gridCol w:w="2762"/>
              <w:gridCol w:w="763"/>
            </w:tblGrid>
            <w:tr w14:paraId="628BAA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20" w:type="dxa"/>
                  <w:tcBorders>
                    <w:tl2br w:val="nil"/>
                    <w:tr2bl w:val="nil"/>
                  </w:tcBorders>
                  <w:noWrap w:val="0"/>
                  <w:vAlign w:val="center"/>
                </w:tcPr>
                <w:p w14:paraId="4DFF005F">
                  <w:pPr>
                    <w:widowControl/>
                    <w:adjustRightInd w:val="0"/>
                    <w:snapToGrid w:val="0"/>
                    <w:jc w:val="center"/>
                    <w:rPr>
                      <w:b w:val="0"/>
                      <w:bCs w:val="0"/>
                      <w:color w:val="auto"/>
                      <w:sz w:val="21"/>
                      <w:szCs w:val="18"/>
                    </w:rPr>
                  </w:pPr>
                  <w:r>
                    <w:rPr>
                      <w:b w:val="0"/>
                      <w:bCs w:val="0"/>
                      <w:color w:val="auto"/>
                      <w:sz w:val="21"/>
                      <w:szCs w:val="18"/>
                    </w:rPr>
                    <w:t>专项评价类别</w:t>
                  </w:r>
                </w:p>
              </w:tc>
              <w:tc>
                <w:tcPr>
                  <w:tcW w:w="3588" w:type="dxa"/>
                  <w:tcBorders>
                    <w:tl2br w:val="nil"/>
                    <w:tr2bl w:val="nil"/>
                  </w:tcBorders>
                  <w:noWrap w:val="0"/>
                  <w:vAlign w:val="center"/>
                </w:tcPr>
                <w:p w14:paraId="2E25549F">
                  <w:pPr>
                    <w:widowControl/>
                    <w:adjustRightInd w:val="0"/>
                    <w:snapToGrid w:val="0"/>
                    <w:jc w:val="center"/>
                    <w:rPr>
                      <w:b w:val="0"/>
                      <w:bCs w:val="0"/>
                      <w:color w:val="auto"/>
                      <w:sz w:val="21"/>
                      <w:szCs w:val="18"/>
                    </w:rPr>
                  </w:pPr>
                  <w:r>
                    <w:rPr>
                      <w:b w:val="0"/>
                      <w:bCs w:val="0"/>
                      <w:color w:val="auto"/>
                      <w:sz w:val="21"/>
                      <w:szCs w:val="18"/>
                    </w:rPr>
                    <w:t>设置原则</w:t>
                  </w:r>
                </w:p>
              </w:tc>
              <w:tc>
                <w:tcPr>
                  <w:tcW w:w="2614" w:type="dxa"/>
                  <w:tcBorders>
                    <w:tl2br w:val="nil"/>
                    <w:tr2bl w:val="nil"/>
                  </w:tcBorders>
                  <w:noWrap w:val="0"/>
                  <w:vAlign w:val="center"/>
                </w:tcPr>
                <w:p w14:paraId="5FF5C83C">
                  <w:pPr>
                    <w:widowControl/>
                    <w:adjustRightInd w:val="0"/>
                    <w:snapToGrid w:val="0"/>
                    <w:jc w:val="center"/>
                    <w:rPr>
                      <w:rFonts w:hint="eastAsia" w:eastAsia="宋体"/>
                      <w:b w:val="0"/>
                      <w:bCs w:val="0"/>
                      <w:color w:val="auto"/>
                      <w:sz w:val="21"/>
                      <w:szCs w:val="18"/>
                      <w:lang w:val="en-US" w:eastAsia="zh-CN"/>
                    </w:rPr>
                  </w:pPr>
                  <w:r>
                    <w:rPr>
                      <w:b w:val="0"/>
                      <w:bCs w:val="0"/>
                      <w:color w:val="auto"/>
                      <w:sz w:val="21"/>
                      <w:szCs w:val="18"/>
                    </w:rPr>
                    <w:t>本项目</w:t>
                  </w:r>
                  <w:r>
                    <w:rPr>
                      <w:rFonts w:hint="eastAsia"/>
                      <w:b w:val="0"/>
                      <w:bCs w:val="0"/>
                      <w:color w:val="auto"/>
                      <w:sz w:val="21"/>
                      <w:szCs w:val="18"/>
                      <w:lang w:val="en-US" w:eastAsia="zh-CN"/>
                    </w:rPr>
                    <w:t>情况</w:t>
                  </w:r>
                </w:p>
              </w:tc>
              <w:tc>
                <w:tcPr>
                  <w:tcW w:w="722" w:type="dxa"/>
                  <w:tcBorders>
                    <w:tl2br w:val="nil"/>
                    <w:tr2bl w:val="nil"/>
                  </w:tcBorders>
                  <w:noWrap w:val="0"/>
                  <w:vAlign w:val="center"/>
                </w:tcPr>
                <w:p w14:paraId="70FCF031">
                  <w:pPr>
                    <w:widowControl/>
                    <w:adjustRightInd w:val="0"/>
                    <w:snapToGrid w:val="0"/>
                    <w:jc w:val="center"/>
                    <w:rPr>
                      <w:b w:val="0"/>
                      <w:bCs w:val="0"/>
                      <w:color w:val="auto"/>
                      <w:sz w:val="21"/>
                      <w:szCs w:val="18"/>
                    </w:rPr>
                  </w:pPr>
                  <w:r>
                    <w:rPr>
                      <w:b w:val="0"/>
                      <w:bCs w:val="0"/>
                      <w:color w:val="auto"/>
                      <w:sz w:val="21"/>
                      <w:szCs w:val="18"/>
                    </w:rPr>
                    <w:t>是否设置专项</w:t>
                  </w:r>
                </w:p>
              </w:tc>
            </w:tr>
            <w:tr w14:paraId="1071B4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0" w:type="dxa"/>
                  <w:tcBorders>
                    <w:tl2br w:val="nil"/>
                    <w:tr2bl w:val="nil"/>
                  </w:tcBorders>
                  <w:noWrap w:val="0"/>
                  <w:vAlign w:val="center"/>
                </w:tcPr>
                <w:p w14:paraId="7138A5A1">
                  <w:pPr>
                    <w:widowControl/>
                    <w:adjustRightInd w:val="0"/>
                    <w:snapToGrid w:val="0"/>
                    <w:jc w:val="center"/>
                    <w:rPr>
                      <w:color w:val="auto"/>
                      <w:sz w:val="21"/>
                      <w:szCs w:val="18"/>
                    </w:rPr>
                  </w:pPr>
                  <w:r>
                    <w:rPr>
                      <w:color w:val="auto"/>
                      <w:sz w:val="21"/>
                      <w:szCs w:val="18"/>
                    </w:rPr>
                    <w:t>大气</w:t>
                  </w:r>
                </w:p>
              </w:tc>
              <w:tc>
                <w:tcPr>
                  <w:tcW w:w="3588" w:type="dxa"/>
                  <w:tcBorders>
                    <w:tl2br w:val="nil"/>
                    <w:tr2bl w:val="nil"/>
                  </w:tcBorders>
                  <w:noWrap w:val="0"/>
                  <w:vAlign w:val="center"/>
                </w:tcPr>
                <w:p w14:paraId="409A3CC3">
                  <w:pPr>
                    <w:widowControl/>
                    <w:adjustRightInd w:val="0"/>
                    <w:snapToGrid w:val="0"/>
                    <w:jc w:val="left"/>
                    <w:rPr>
                      <w:color w:val="auto"/>
                      <w:sz w:val="21"/>
                      <w:szCs w:val="18"/>
                    </w:rPr>
                  </w:pPr>
                  <w:r>
                    <w:rPr>
                      <w:color w:val="auto"/>
                      <w:sz w:val="21"/>
                      <w:szCs w:val="18"/>
                    </w:rPr>
                    <w:t>排放废气含有毒有害污染物、二噁英、苯并芘[a]、氰化物、氯气且厂界外500米范围内有环境空气保护目标的建设项目。</w:t>
                  </w:r>
                </w:p>
              </w:tc>
              <w:tc>
                <w:tcPr>
                  <w:tcW w:w="2614" w:type="dxa"/>
                  <w:tcBorders>
                    <w:tl2br w:val="nil"/>
                    <w:tr2bl w:val="nil"/>
                  </w:tcBorders>
                  <w:noWrap w:val="0"/>
                  <w:vAlign w:val="center"/>
                </w:tcPr>
                <w:p w14:paraId="155291C9">
                  <w:pPr>
                    <w:widowControl/>
                    <w:adjustRightInd w:val="0"/>
                    <w:snapToGrid w:val="0"/>
                    <w:jc w:val="left"/>
                    <w:rPr>
                      <w:color w:val="auto"/>
                      <w:sz w:val="21"/>
                      <w:szCs w:val="18"/>
                      <w:highlight w:val="yellow"/>
                    </w:rPr>
                  </w:pPr>
                  <w:r>
                    <w:rPr>
                      <w:color w:val="auto"/>
                      <w:sz w:val="21"/>
                      <w:szCs w:val="18"/>
                    </w:rPr>
                    <w:t>本项目不涉及排放有毒有害污染物、二噁英、苯并芘[a]、氰化物、氯气。</w:t>
                  </w:r>
                </w:p>
              </w:tc>
              <w:tc>
                <w:tcPr>
                  <w:tcW w:w="722" w:type="dxa"/>
                  <w:tcBorders>
                    <w:tl2br w:val="nil"/>
                    <w:tr2bl w:val="nil"/>
                  </w:tcBorders>
                  <w:noWrap w:val="0"/>
                  <w:vAlign w:val="center"/>
                </w:tcPr>
                <w:p w14:paraId="2824BCFB">
                  <w:pPr>
                    <w:widowControl/>
                    <w:adjustRightInd w:val="0"/>
                    <w:snapToGrid w:val="0"/>
                    <w:jc w:val="center"/>
                    <w:rPr>
                      <w:color w:val="auto"/>
                      <w:sz w:val="21"/>
                      <w:szCs w:val="18"/>
                    </w:rPr>
                  </w:pPr>
                  <w:r>
                    <w:rPr>
                      <w:color w:val="auto"/>
                      <w:sz w:val="21"/>
                      <w:szCs w:val="18"/>
                    </w:rPr>
                    <w:t>否</w:t>
                  </w:r>
                </w:p>
              </w:tc>
            </w:tr>
            <w:tr w14:paraId="337527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20" w:type="dxa"/>
                  <w:tcBorders>
                    <w:tl2br w:val="nil"/>
                    <w:tr2bl w:val="nil"/>
                  </w:tcBorders>
                  <w:noWrap w:val="0"/>
                  <w:vAlign w:val="center"/>
                </w:tcPr>
                <w:p w14:paraId="0FBAC96E">
                  <w:pPr>
                    <w:widowControl/>
                    <w:adjustRightInd w:val="0"/>
                    <w:snapToGrid w:val="0"/>
                    <w:jc w:val="center"/>
                    <w:rPr>
                      <w:color w:val="auto"/>
                      <w:sz w:val="21"/>
                      <w:szCs w:val="18"/>
                    </w:rPr>
                  </w:pPr>
                  <w:r>
                    <w:rPr>
                      <w:color w:val="auto"/>
                      <w:sz w:val="21"/>
                      <w:szCs w:val="18"/>
                    </w:rPr>
                    <w:t>地表水</w:t>
                  </w:r>
                </w:p>
              </w:tc>
              <w:tc>
                <w:tcPr>
                  <w:tcW w:w="3588" w:type="dxa"/>
                  <w:tcBorders>
                    <w:tl2br w:val="nil"/>
                    <w:tr2bl w:val="nil"/>
                  </w:tcBorders>
                  <w:noWrap w:val="0"/>
                  <w:vAlign w:val="center"/>
                </w:tcPr>
                <w:p w14:paraId="032EA025">
                  <w:pPr>
                    <w:widowControl/>
                    <w:adjustRightInd w:val="0"/>
                    <w:snapToGrid w:val="0"/>
                    <w:jc w:val="left"/>
                    <w:rPr>
                      <w:color w:val="auto"/>
                      <w:sz w:val="21"/>
                      <w:szCs w:val="18"/>
                    </w:rPr>
                  </w:pPr>
                  <w:r>
                    <w:rPr>
                      <w:color w:val="auto"/>
                      <w:sz w:val="21"/>
                      <w:szCs w:val="18"/>
                    </w:rPr>
                    <w:t>新增</w:t>
                  </w:r>
                  <w:r>
                    <w:rPr>
                      <w:rFonts w:hint="eastAsia"/>
                      <w:color w:val="auto"/>
                      <w:sz w:val="21"/>
                      <w:szCs w:val="18"/>
                    </w:rPr>
                    <w:t>工业</w:t>
                  </w:r>
                  <w:r>
                    <w:rPr>
                      <w:color w:val="auto"/>
                      <w:sz w:val="21"/>
                      <w:szCs w:val="18"/>
                    </w:rPr>
                    <w:t>废水直排建设项目（槽罐车外送污水处理厂的除外）；新增废水直排的污水集中处理厂。</w:t>
                  </w:r>
                </w:p>
              </w:tc>
              <w:tc>
                <w:tcPr>
                  <w:tcW w:w="2614" w:type="dxa"/>
                  <w:tcBorders>
                    <w:tl2br w:val="nil"/>
                    <w:tr2bl w:val="nil"/>
                  </w:tcBorders>
                  <w:noWrap w:val="0"/>
                  <w:vAlign w:val="center"/>
                </w:tcPr>
                <w:p w14:paraId="29D2C6F6">
                  <w:pPr>
                    <w:widowControl/>
                    <w:adjustRightInd w:val="0"/>
                    <w:snapToGrid w:val="0"/>
                    <w:jc w:val="left"/>
                    <w:rPr>
                      <w:color w:val="auto"/>
                      <w:sz w:val="21"/>
                      <w:szCs w:val="18"/>
                    </w:rPr>
                  </w:pPr>
                  <w:r>
                    <w:rPr>
                      <w:color w:val="auto"/>
                      <w:sz w:val="21"/>
                      <w:szCs w:val="18"/>
                    </w:rPr>
                    <w:t>本项目废水不直接排入外环境。</w:t>
                  </w:r>
                </w:p>
              </w:tc>
              <w:tc>
                <w:tcPr>
                  <w:tcW w:w="722" w:type="dxa"/>
                  <w:tcBorders>
                    <w:tl2br w:val="nil"/>
                    <w:tr2bl w:val="nil"/>
                  </w:tcBorders>
                  <w:noWrap w:val="0"/>
                  <w:vAlign w:val="center"/>
                </w:tcPr>
                <w:p w14:paraId="0F092EA2">
                  <w:pPr>
                    <w:widowControl/>
                    <w:adjustRightInd w:val="0"/>
                    <w:snapToGrid w:val="0"/>
                    <w:jc w:val="center"/>
                    <w:rPr>
                      <w:color w:val="auto"/>
                      <w:sz w:val="21"/>
                      <w:szCs w:val="18"/>
                    </w:rPr>
                  </w:pPr>
                  <w:r>
                    <w:rPr>
                      <w:color w:val="auto"/>
                      <w:sz w:val="21"/>
                      <w:szCs w:val="18"/>
                    </w:rPr>
                    <w:t>否</w:t>
                  </w:r>
                </w:p>
              </w:tc>
            </w:tr>
            <w:tr w14:paraId="53EFA6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20" w:type="dxa"/>
                  <w:tcBorders>
                    <w:tl2br w:val="nil"/>
                    <w:tr2bl w:val="nil"/>
                  </w:tcBorders>
                  <w:noWrap w:val="0"/>
                  <w:vAlign w:val="center"/>
                </w:tcPr>
                <w:p w14:paraId="401E949F">
                  <w:pPr>
                    <w:widowControl/>
                    <w:adjustRightInd w:val="0"/>
                    <w:snapToGrid w:val="0"/>
                    <w:jc w:val="center"/>
                    <w:rPr>
                      <w:color w:val="auto"/>
                      <w:sz w:val="21"/>
                      <w:szCs w:val="18"/>
                    </w:rPr>
                  </w:pPr>
                  <w:r>
                    <w:rPr>
                      <w:color w:val="auto"/>
                      <w:sz w:val="21"/>
                      <w:szCs w:val="18"/>
                    </w:rPr>
                    <w:t>环境风险</w:t>
                  </w:r>
                </w:p>
              </w:tc>
              <w:tc>
                <w:tcPr>
                  <w:tcW w:w="3588" w:type="dxa"/>
                  <w:tcBorders>
                    <w:tl2br w:val="nil"/>
                    <w:tr2bl w:val="nil"/>
                  </w:tcBorders>
                  <w:noWrap w:val="0"/>
                  <w:vAlign w:val="center"/>
                </w:tcPr>
                <w:p w14:paraId="18369280">
                  <w:pPr>
                    <w:widowControl/>
                    <w:adjustRightInd w:val="0"/>
                    <w:snapToGrid w:val="0"/>
                    <w:jc w:val="left"/>
                    <w:rPr>
                      <w:color w:val="auto"/>
                      <w:sz w:val="21"/>
                      <w:szCs w:val="18"/>
                    </w:rPr>
                  </w:pPr>
                  <w:r>
                    <w:rPr>
                      <w:color w:val="auto"/>
                      <w:sz w:val="21"/>
                      <w:szCs w:val="18"/>
                    </w:rPr>
                    <w:t>有毒有害和易燃易爆危险物质存储量超过临界量的建设项目。</w:t>
                  </w:r>
                </w:p>
              </w:tc>
              <w:tc>
                <w:tcPr>
                  <w:tcW w:w="2614" w:type="dxa"/>
                  <w:tcBorders>
                    <w:tl2br w:val="nil"/>
                    <w:tr2bl w:val="nil"/>
                  </w:tcBorders>
                  <w:noWrap w:val="0"/>
                  <w:vAlign w:val="center"/>
                </w:tcPr>
                <w:p w14:paraId="01B894A4">
                  <w:pPr>
                    <w:widowControl/>
                    <w:adjustRightInd w:val="0"/>
                    <w:snapToGrid w:val="0"/>
                    <w:jc w:val="left"/>
                    <w:rPr>
                      <w:rFonts w:hint="eastAsia" w:eastAsia="宋体"/>
                      <w:color w:val="auto"/>
                      <w:sz w:val="21"/>
                      <w:szCs w:val="18"/>
                      <w:lang w:val="en-US" w:eastAsia="zh-CN"/>
                    </w:rPr>
                  </w:pPr>
                  <w:r>
                    <w:rPr>
                      <w:color w:val="auto"/>
                      <w:sz w:val="21"/>
                      <w:szCs w:val="18"/>
                    </w:rPr>
                    <w:t>本项目涉及</w:t>
                  </w:r>
                  <w:r>
                    <w:rPr>
                      <w:rFonts w:hint="eastAsia"/>
                      <w:color w:val="auto"/>
                      <w:sz w:val="21"/>
                      <w:szCs w:val="18"/>
                      <w:lang w:val="en-US" w:eastAsia="zh-CN"/>
                    </w:rPr>
                    <w:t>的</w:t>
                  </w:r>
                  <w:r>
                    <w:rPr>
                      <w:color w:val="auto"/>
                      <w:sz w:val="21"/>
                      <w:szCs w:val="18"/>
                    </w:rPr>
                    <w:t>环境风险物质</w:t>
                  </w:r>
                  <w:r>
                    <w:rPr>
                      <w:rFonts w:hint="eastAsia"/>
                      <w:color w:val="auto"/>
                      <w:sz w:val="21"/>
                      <w:szCs w:val="18"/>
                      <w:lang w:val="en-US" w:eastAsia="zh-CN"/>
                    </w:rPr>
                    <w:t>储存量未超过临界量。</w:t>
                  </w:r>
                </w:p>
              </w:tc>
              <w:tc>
                <w:tcPr>
                  <w:tcW w:w="722" w:type="dxa"/>
                  <w:tcBorders>
                    <w:tl2br w:val="nil"/>
                    <w:tr2bl w:val="nil"/>
                  </w:tcBorders>
                  <w:noWrap w:val="0"/>
                  <w:vAlign w:val="center"/>
                </w:tcPr>
                <w:p w14:paraId="66C9A5F2">
                  <w:pPr>
                    <w:widowControl/>
                    <w:adjustRightInd w:val="0"/>
                    <w:snapToGrid w:val="0"/>
                    <w:jc w:val="center"/>
                    <w:rPr>
                      <w:color w:val="auto"/>
                      <w:sz w:val="21"/>
                      <w:szCs w:val="18"/>
                    </w:rPr>
                  </w:pPr>
                  <w:r>
                    <w:rPr>
                      <w:color w:val="auto"/>
                      <w:sz w:val="21"/>
                      <w:szCs w:val="18"/>
                    </w:rPr>
                    <w:t>否</w:t>
                  </w:r>
                </w:p>
              </w:tc>
            </w:tr>
            <w:tr w14:paraId="1D3B4B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20" w:type="dxa"/>
                  <w:tcBorders>
                    <w:tl2br w:val="nil"/>
                    <w:tr2bl w:val="nil"/>
                  </w:tcBorders>
                  <w:noWrap w:val="0"/>
                  <w:vAlign w:val="center"/>
                </w:tcPr>
                <w:p w14:paraId="62EC2EAD">
                  <w:pPr>
                    <w:widowControl/>
                    <w:adjustRightInd w:val="0"/>
                    <w:snapToGrid w:val="0"/>
                    <w:jc w:val="center"/>
                    <w:rPr>
                      <w:color w:val="auto"/>
                      <w:sz w:val="21"/>
                      <w:szCs w:val="18"/>
                    </w:rPr>
                  </w:pPr>
                  <w:r>
                    <w:rPr>
                      <w:color w:val="auto"/>
                      <w:sz w:val="21"/>
                      <w:szCs w:val="18"/>
                    </w:rPr>
                    <w:t>生态</w:t>
                  </w:r>
                </w:p>
              </w:tc>
              <w:tc>
                <w:tcPr>
                  <w:tcW w:w="3588" w:type="dxa"/>
                  <w:tcBorders>
                    <w:tl2br w:val="nil"/>
                    <w:tr2bl w:val="nil"/>
                  </w:tcBorders>
                  <w:noWrap w:val="0"/>
                  <w:vAlign w:val="center"/>
                </w:tcPr>
                <w:p w14:paraId="3E90C39E">
                  <w:pPr>
                    <w:widowControl/>
                    <w:adjustRightInd w:val="0"/>
                    <w:snapToGrid w:val="0"/>
                    <w:jc w:val="left"/>
                    <w:rPr>
                      <w:color w:val="auto"/>
                      <w:sz w:val="21"/>
                      <w:szCs w:val="18"/>
                    </w:rPr>
                  </w:pPr>
                  <w:r>
                    <w:rPr>
                      <w:color w:val="auto"/>
                      <w:sz w:val="21"/>
                      <w:szCs w:val="18"/>
                    </w:rPr>
                    <w:t>取水口下游500米范围内有重要水生生物的自然产卵场、索饵场、越冬场和洄游通道的新增河道取水的污染类建设项目。</w:t>
                  </w:r>
                </w:p>
              </w:tc>
              <w:tc>
                <w:tcPr>
                  <w:tcW w:w="2614" w:type="dxa"/>
                  <w:tcBorders>
                    <w:tl2br w:val="nil"/>
                    <w:tr2bl w:val="nil"/>
                  </w:tcBorders>
                  <w:noWrap w:val="0"/>
                  <w:vAlign w:val="center"/>
                </w:tcPr>
                <w:p w14:paraId="171C9968">
                  <w:pPr>
                    <w:widowControl/>
                    <w:adjustRightInd w:val="0"/>
                    <w:snapToGrid w:val="0"/>
                    <w:jc w:val="left"/>
                    <w:rPr>
                      <w:color w:val="auto"/>
                      <w:sz w:val="21"/>
                      <w:szCs w:val="18"/>
                    </w:rPr>
                  </w:pPr>
                  <w:r>
                    <w:rPr>
                      <w:color w:val="auto"/>
                      <w:sz w:val="21"/>
                      <w:szCs w:val="18"/>
                    </w:rPr>
                    <w:t>本项目用水由市政自来水管网供应。</w:t>
                  </w:r>
                </w:p>
              </w:tc>
              <w:tc>
                <w:tcPr>
                  <w:tcW w:w="722" w:type="dxa"/>
                  <w:tcBorders>
                    <w:tl2br w:val="nil"/>
                    <w:tr2bl w:val="nil"/>
                  </w:tcBorders>
                  <w:noWrap w:val="0"/>
                  <w:vAlign w:val="center"/>
                </w:tcPr>
                <w:p w14:paraId="4F6B3AEE">
                  <w:pPr>
                    <w:widowControl/>
                    <w:adjustRightInd w:val="0"/>
                    <w:snapToGrid w:val="0"/>
                    <w:jc w:val="center"/>
                    <w:rPr>
                      <w:color w:val="auto"/>
                      <w:sz w:val="21"/>
                      <w:szCs w:val="18"/>
                    </w:rPr>
                  </w:pPr>
                  <w:r>
                    <w:rPr>
                      <w:color w:val="auto"/>
                      <w:sz w:val="21"/>
                      <w:szCs w:val="18"/>
                    </w:rPr>
                    <w:t>否</w:t>
                  </w:r>
                </w:p>
              </w:tc>
            </w:tr>
            <w:tr w14:paraId="30849D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20" w:type="dxa"/>
                  <w:tcBorders>
                    <w:tl2br w:val="nil"/>
                    <w:tr2bl w:val="nil"/>
                  </w:tcBorders>
                  <w:noWrap w:val="0"/>
                  <w:vAlign w:val="center"/>
                </w:tcPr>
                <w:p w14:paraId="18AB12AD">
                  <w:pPr>
                    <w:widowControl/>
                    <w:adjustRightInd w:val="0"/>
                    <w:snapToGrid w:val="0"/>
                    <w:jc w:val="center"/>
                    <w:rPr>
                      <w:color w:val="auto"/>
                      <w:sz w:val="21"/>
                      <w:szCs w:val="18"/>
                    </w:rPr>
                  </w:pPr>
                  <w:r>
                    <w:rPr>
                      <w:color w:val="auto"/>
                      <w:sz w:val="21"/>
                      <w:szCs w:val="18"/>
                    </w:rPr>
                    <w:t>海洋</w:t>
                  </w:r>
                </w:p>
              </w:tc>
              <w:tc>
                <w:tcPr>
                  <w:tcW w:w="3588" w:type="dxa"/>
                  <w:tcBorders>
                    <w:tl2br w:val="nil"/>
                    <w:tr2bl w:val="nil"/>
                  </w:tcBorders>
                  <w:noWrap w:val="0"/>
                  <w:vAlign w:val="center"/>
                </w:tcPr>
                <w:p w14:paraId="6588B6E0">
                  <w:pPr>
                    <w:widowControl/>
                    <w:adjustRightInd w:val="0"/>
                    <w:snapToGrid w:val="0"/>
                    <w:jc w:val="left"/>
                    <w:rPr>
                      <w:color w:val="auto"/>
                      <w:sz w:val="21"/>
                      <w:szCs w:val="18"/>
                    </w:rPr>
                  </w:pPr>
                  <w:r>
                    <w:rPr>
                      <w:color w:val="auto"/>
                      <w:sz w:val="21"/>
                      <w:szCs w:val="18"/>
                    </w:rPr>
                    <w:t>直接向海排放污染物的海洋工程建设项目。</w:t>
                  </w:r>
                </w:p>
              </w:tc>
              <w:tc>
                <w:tcPr>
                  <w:tcW w:w="2614" w:type="dxa"/>
                  <w:tcBorders>
                    <w:tl2br w:val="nil"/>
                    <w:tr2bl w:val="nil"/>
                  </w:tcBorders>
                  <w:noWrap w:val="0"/>
                  <w:vAlign w:val="center"/>
                </w:tcPr>
                <w:p w14:paraId="06C6B024">
                  <w:pPr>
                    <w:widowControl/>
                    <w:adjustRightInd w:val="0"/>
                    <w:snapToGrid w:val="0"/>
                    <w:jc w:val="left"/>
                    <w:rPr>
                      <w:rFonts w:hint="default" w:eastAsia="宋体"/>
                      <w:color w:val="auto"/>
                      <w:sz w:val="21"/>
                      <w:szCs w:val="18"/>
                      <w:lang w:val="en-US" w:eastAsia="zh-CN"/>
                    </w:rPr>
                  </w:pPr>
                  <w:r>
                    <w:rPr>
                      <w:color w:val="auto"/>
                      <w:sz w:val="21"/>
                      <w:szCs w:val="18"/>
                    </w:rPr>
                    <w:t>本项目污水纳管排放，不直接排入海洋</w:t>
                  </w:r>
                  <w:r>
                    <w:rPr>
                      <w:rFonts w:hint="eastAsia"/>
                      <w:color w:val="auto"/>
                      <w:sz w:val="21"/>
                      <w:szCs w:val="18"/>
                      <w:lang w:eastAsia="zh-CN"/>
                    </w:rPr>
                    <w:t>，</w:t>
                  </w:r>
                  <w:r>
                    <w:rPr>
                      <w:rFonts w:hint="eastAsia"/>
                      <w:color w:val="auto"/>
                      <w:sz w:val="21"/>
                      <w:szCs w:val="18"/>
                      <w:lang w:val="en-US" w:eastAsia="zh-CN"/>
                    </w:rPr>
                    <w:t>且本项目不属于海洋工程建设项目。</w:t>
                  </w:r>
                </w:p>
              </w:tc>
              <w:tc>
                <w:tcPr>
                  <w:tcW w:w="722" w:type="dxa"/>
                  <w:tcBorders>
                    <w:tl2br w:val="nil"/>
                    <w:tr2bl w:val="nil"/>
                  </w:tcBorders>
                  <w:noWrap w:val="0"/>
                  <w:vAlign w:val="center"/>
                </w:tcPr>
                <w:p w14:paraId="1B0E6A36">
                  <w:pPr>
                    <w:widowControl/>
                    <w:adjustRightInd w:val="0"/>
                    <w:snapToGrid w:val="0"/>
                    <w:jc w:val="center"/>
                    <w:rPr>
                      <w:color w:val="auto"/>
                      <w:sz w:val="21"/>
                      <w:szCs w:val="18"/>
                    </w:rPr>
                  </w:pPr>
                  <w:r>
                    <w:rPr>
                      <w:color w:val="auto"/>
                      <w:sz w:val="21"/>
                      <w:szCs w:val="18"/>
                    </w:rPr>
                    <w:t>否</w:t>
                  </w:r>
                </w:p>
              </w:tc>
            </w:tr>
          </w:tbl>
          <w:p w14:paraId="1620CD3E">
            <w:pPr>
              <w:pStyle w:val="9"/>
              <w:ind w:left="0" w:leftChars="0" w:firstLine="0" w:firstLineChars="0"/>
            </w:pPr>
          </w:p>
        </w:tc>
      </w:tr>
      <w:tr w14:paraId="29B6C7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806" w:type="dxa"/>
            <w:noWrap w:val="0"/>
            <w:vAlign w:val="center"/>
          </w:tcPr>
          <w:p w14:paraId="520D6133">
            <w:pPr>
              <w:autoSpaceDE w:val="0"/>
              <w:autoSpaceDN w:val="0"/>
              <w:adjustRightInd w:val="0"/>
              <w:snapToGrid w:val="0"/>
              <w:jc w:val="center"/>
              <w:rPr>
                <w:kern w:val="0"/>
                <w:szCs w:val="21"/>
              </w:rPr>
            </w:pPr>
            <w:r>
              <w:rPr>
                <w:szCs w:val="21"/>
              </w:rPr>
              <w:t>规划情况</w:t>
            </w:r>
          </w:p>
        </w:tc>
        <w:tc>
          <w:tcPr>
            <w:tcW w:w="8292" w:type="dxa"/>
            <w:gridSpan w:val="4"/>
            <w:noWrap w:val="0"/>
            <w:vAlign w:val="center"/>
          </w:tcPr>
          <w:p w14:paraId="41D9FAEB">
            <w:pPr>
              <w:autoSpaceDE w:val="0"/>
              <w:autoSpaceDN w:val="0"/>
              <w:adjustRightInd w:val="0"/>
              <w:snapToGrid w:val="0"/>
              <w:jc w:val="center"/>
            </w:pPr>
            <w:r>
              <w:rPr>
                <w:kern w:val="0"/>
              </w:rPr>
              <w:t>无</w:t>
            </w:r>
          </w:p>
        </w:tc>
      </w:tr>
      <w:tr w14:paraId="65508F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806" w:type="dxa"/>
            <w:noWrap w:val="0"/>
            <w:vAlign w:val="center"/>
          </w:tcPr>
          <w:p w14:paraId="6F315F42">
            <w:pPr>
              <w:adjustRightInd w:val="0"/>
              <w:snapToGrid w:val="0"/>
              <w:jc w:val="center"/>
              <w:rPr>
                <w:kern w:val="0"/>
                <w:szCs w:val="21"/>
              </w:rPr>
            </w:pPr>
            <w:r>
              <w:rPr>
                <w:szCs w:val="21"/>
              </w:rPr>
              <w:t>规划环境影响评价情况</w:t>
            </w:r>
          </w:p>
        </w:tc>
        <w:tc>
          <w:tcPr>
            <w:tcW w:w="8292" w:type="dxa"/>
            <w:gridSpan w:val="4"/>
            <w:noWrap w:val="0"/>
            <w:vAlign w:val="center"/>
          </w:tcPr>
          <w:p w14:paraId="60934874">
            <w:pPr>
              <w:autoSpaceDE w:val="0"/>
              <w:autoSpaceDN w:val="0"/>
              <w:adjustRightInd w:val="0"/>
              <w:snapToGrid w:val="0"/>
              <w:jc w:val="center"/>
            </w:pPr>
            <w:r>
              <w:rPr>
                <w:kern w:val="0"/>
              </w:rPr>
              <w:t>无</w:t>
            </w:r>
          </w:p>
        </w:tc>
      </w:tr>
      <w:tr w14:paraId="6FB16A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806" w:type="dxa"/>
            <w:noWrap w:val="0"/>
            <w:vAlign w:val="center"/>
          </w:tcPr>
          <w:p w14:paraId="51224954">
            <w:pPr>
              <w:autoSpaceDE w:val="0"/>
              <w:autoSpaceDN w:val="0"/>
              <w:adjustRightInd w:val="0"/>
              <w:snapToGrid w:val="0"/>
              <w:jc w:val="center"/>
              <w:rPr>
                <w:kern w:val="0"/>
                <w:szCs w:val="21"/>
              </w:rPr>
            </w:pPr>
            <w:r>
              <w:rPr>
                <w:kern w:val="0"/>
                <w:szCs w:val="21"/>
              </w:rPr>
              <w:t>规划及规划环境影响评价符合性分析</w:t>
            </w:r>
          </w:p>
        </w:tc>
        <w:tc>
          <w:tcPr>
            <w:tcW w:w="8292" w:type="dxa"/>
            <w:gridSpan w:val="4"/>
            <w:noWrap w:val="0"/>
            <w:vAlign w:val="center"/>
          </w:tcPr>
          <w:p w14:paraId="41C6848A">
            <w:pPr>
              <w:autoSpaceDE w:val="0"/>
              <w:autoSpaceDN w:val="0"/>
              <w:adjustRightInd w:val="0"/>
              <w:snapToGrid w:val="0"/>
              <w:jc w:val="center"/>
            </w:pPr>
            <w:r>
              <w:rPr>
                <w:kern w:val="0"/>
              </w:rPr>
              <w:t>无</w:t>
            </w:r>
          </w:p>
        </w:tc>
      </w:tr>
      <w:tr w14:paraId="2E9888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806" w:type="dxa"/>
            <w:noWrap w:val="0"/>
            <w:vAlign w:val="center"/>
          </w:tcPr>
          <w:p w14:paraId="168B2502">
            <w:pPr>
              <w:autoSpaceDE w:val="0"/>
              <w:autoSpaceDN w:val="0"/>
              <w:adjustRightInd w:val="0"/>
              <w:snapToGrid w:val="0"/>
              <w:jc w:val="center"/>
              <w:rPr>
                <w:kern w:val="0"/>
                <w:szCs w:val="21"/>
              </w:rPr>
            </w:pPr>
            <w:r>
              <w:rPr>
                <w:kern w:val="0"/>
                <w:szCs w:val="21"/>
              </w:rPr>
              <w:t>其他符合性分析</w:t>
            </w:r>
          </w:p>
        </w:tc>
        <w:tc>
          <w:tcPr>
            <w:tcW w:w="8292" w:type="dxa"/>
            <w:gridSpan w:val="4"/>
            <w:noWrap w:val="0"/>
            <w:vAlign w:val="center"/>
          </w:tcPr>
          <w:p w14:paraId="5C5A299D">
            <w:pPr>
              <w:pStyle w:val="5"/>
              <w:keepNext/>
              <w:keepLines/>
              <w:pageBreakBefore w:val="0"/>
              <w:widowControl w:val="0"/>
              <w:numPr>
                <w:ilvl w:val="0"/>
                <w:numId w:val="0"/>
              </w:numPr>
              <w:kinsoku/>
              <w:wordWrap/>
              <w:overflowPunct/>
              <w:topLinePunct w:val="0"/>
              <w:autoSpaceDE/>
              <w:autoSpaceDN/>
              <w:bidi w:val="0"/>
              <w:adjustRightInd/>
              <w:snapToGrid/>
              <w:spacing w:before="0" w:beforeLines="0" w:after="0" w:afterLines="0"/>
              <w:ind w:left="0" w:leftChars="0" w:firstLine="0" w:firstLineChars="0"/>
              <w:textAlignment w:val="auto"/>
            </w:pPr>
            <w:r>
              <w:rPr>
                <w:rFonts w:hint="eastAsia" w:ascii="Times New Roman" w:hAnsi="Times New Roman" w:eastAsia="宋体" w:cs="宋体"/>
                <w:b/>
                <w:bCs/>
                <w:color w:val="000000"/>
                <w:kern w:val="44"/>
                <w:sz w:val="30"/>
                <w:szCs w:val="32"/>
                <w:lang w:val="en-US" w:eastAsia="zh-CN" w:bidi="ar-SA"/>
              </w:rPr>
              <w:t>1.2</w:t>
            </w:r>
            <w:r>
              <w:t>项目选址合理性分析</w:t>
            </w:r>
          </w:p>
          <w:p w14:paraId="619EDA10">
            <w:pPr>
              <w:pStyle w:val="76"/>
              <w:ind w:firstLine="480"/>
              <w:rPr>
                <w:rFonts w:hint="default" w:cs="Times New Roman"/>
              </w:rPr>
            </w:pPr>
            <w:r>
              <w:rPr>
                <w:rFonts w:hint="default" w:cs="Times New Roman"/>
              </w:rPr>
              <w:t>本项目位于福州市鼓楼区鼓西街道善化新村8#楼东起第六间店面，项目</w:t>
            </w:r>
            <w:r>
              <w:rPr>
                <w:rFonts w:cs="Times New Roman"/>
              </w:rPr>
              <w:t>东侧、西侧</w:t>
            </w:r>
            <w:r>
              <w:rPr>
                <w:rFonts w:hint="default" w:cs="Times New Roman"/>
              </w:rPr>
              <w:t>为善化新村其他商铺</w:t>
            </w:r>
            <w:r>
              <w:rPr>
                <w:rFonts w:cs="Times New Roman"/>
              </w:rPr>
              <w:t>，</w:t>
            </w:r>
            <w:r>
              <w:rPr>
                <w:rFonts w:hint="eastAsia" w:cs="Times New Roman"/>
                <w:lang w:val="en-US" w:eastAsia="zh-CN"/>
              </w:rPr>
              <w:t>隔着杨桥东路</w:t>
            </w:r>
            <w:r>
              <w:rPr>
                <w:rFonts w:cs="Times New Roman"/>
              </w:rPr>
              <w:t>南侧为</w:t>
            </w:r>
            <w:r>
              <w:rPr>
                <w:rFonts w:hint="eastAsia" w:cs="Times New Roman"/>
                <w:lang w:val="en-US" w:eastAsia="zh-CN"/>
              </w:rPr>
              <w:t>武夷花园大厦</w:t>
            </w:r>
            <w:r>
              <w:rPr>
                <w:rFonts w:hint="default" w:cs="Times New Roman"/>
              </w:rPr>
              <w:t>，</w:t>
            </w:r>
            <w:r>
              <w:rPr>
                <w:rFonts w:cs="Times New Roman"/>
              </w:rPr>
              <w:t>北</w:t>
            </w:r>
            <w:r>
              <w:rPr>
                <w:rFonts w:hint="default" w:cs="Times New Roman"/>
              </w:rPr>
              <w:t>侧</w:t>
            </w:r>
            <w:r>
              <w:rPr>
                <w:rFonts w:hint="eastAsia" w:cs="Times New Roman"/>
                <w:lang w:val="en-US" w:eastAsia="zh-CN"/>
              </w:rPr>
              <w:t>为善化新村其它楼宇和保定新村小区</w:t>
            </w:r>
            <w:r>
              <w:rPr>
                <w:rFonts w:hint="default" w:cs="Times New Roman"/>
              </w:rPr>
              <w:t>。本项目用地性质为商业用地</w:t>
            </w:r>
            <w:r>
              <w:rPr>
                <w:rFonts w:cs="Times New Roman"/>
              </w:rPr>
              <w:t>（房权证详见附件</w:t>
            </w:r>
            <w:r>
              <w:rPr>
                <w:rFonts w:hint="eastAsia" w:cs="Times New Roman"/>
                <w:lang w:val="en-US" w:eastAsia="zh-CN"/>
              </w:rPr>
              <w:t>4</w:t>
            </w:r>
            <w:r>
              <w:rPr>
                <w:rFonts w:cs="Times New Roman"/>
              </w:rPr>
              <w:t>）</w:t>
            </w:r>
            <w:r>
              <w:rPr>
                <w:rFonts w:hint="default" w:cs="Times New Roman"/>
              </w:rPr>
              <w:t>。</w:t>
            </w:r>
          </w:p>
          <w:p w14:paraId="3E9CB09E">
            <w:pPr>
              <w:pStyle w:val="76"/>
              <w:ind w:firstLine="480"/>
              <w:rPr>
                <w:rFonts w:hint="default" w:cs="Times New Roman"/>
              </w:rPr>
            </w:pPr>
            <w:r>
              <w:rPr>
                <w:rFonts w:hint="default" w:cs="Times New Roman"/>
              </w:rPr>
              <w:t>根据《福州市城市总体规划图》（2009</w:t>
            </w:r>
            <w:r>
              <w:rPr>
                <w:rFonts w:cs="Times New Roman"/>
              </w:rPr>
              <w:t>-</w:t>
            </w:r>
            <w:r>
              <w:rPr>
                <w:rFonts w:hint="default" w:cs="Times New Roman"/>
              </w:rPr>
              <w:t>2020），本项目用地性质为商住用地（见附图</w:t>
            </w:r>
            <w:r>
              <w:rPr>
                <w:rFonts w:cs="Times New Roman"/>
              </w:rPr>
              <w:t>5</w:t>
            </w:r>
            <w:r>
              <w:rPr>
                <w:rFonts w:hint="default" w:cs="Times New Roman"/>
              </w:rPr>
              <w:t>），符合规划，与周边环境相容性较好。</w:t>
            </w:r>
          </w:p>
          <w:p w14:paraId="2653C2F4">
            <w:pPr>
              <w:pStyle w:val="76"/>
              <w:ind w:firstLine="480"/>
              <w:rPr>
                <w:rFonts w:hint="default" w:cs="Times New Roman"/>
              </w:rPr>
            </w:pPr>
            <w:r>
              <w:rPr>
                <w:rFonts w:hint="default" w:cs="Times New Roman"/>
              </w:rPr>
              <w:t>本项目选址符合福州市</w:t>
            </w:r>
            <w:r>
              <w:rPr>
                <w:rFonts w:hint="default"/>
              </w:rPr>
              <w:t>城市</w:t>
            </w:r>
            <w:r>
              <w:rPr>
                <w:rFonts w:hint="default" w:cs="Times New Roman"/>
              </w:rPr>
              <w:t>总体规划的要求，从功能区划、环境相容性和环境适应性等方面分析，项目选址可行。</w:t>
            </w:r>
          </w:p>
          <w:p w14:paraId="5E7D7C79">
            <w:pPr>
              <w:pStyle w:val="5"/>
              <w:keepNext/>
              <w:keepLines/>
              <w:pageBreakBefore w:val="0"/>
              <w:widowControl w:val="0"/>
              <w:numPr>
                <w:ilvl w:val="0"/>
                <w:numId w:val="0"/>
              </w:numPr>
              <w:tabs>
                <w:tab w:val="left" w:pos="420"/>
              </w:tabs>
              <w:kinsoku/>
              <w:wordWrap/>
              <w:overflowPunct/>
              <w:topLinePunct w:val="0"/>
              <w:autoSpaceDE/>
              <w:autoSpaceDN/>
              <w:bidi w:val="0"/>
              <w:adjustRightInd/>
              <w:snapToGrid/>
              <w:spacing w:before="0" w:beforeLines="0" w:after="0" w:afterLines="0"/>
              <w:ind w:left="0" w:leftChars="0" w:firstLine="0" w:firstLineChars="0"/>
              <w:textAlignment w:val="auto"/>
            </w:pPr>
            <w:r>
              <w:rPr>
                <w:rFonts w:hint="eastAsia" w:ascii="Times New Roman" w:hAnsi="Times New Roman" w:eastAsia="宋体" w:cs="宋体"/>
                <w:b/>
                <w:bCs/>
                <w:color w:val="000000"/>
                <w:kern w:val="44"/>
                <w:sz w:val="30"/>
                <w:szCs w:val="32"/>
                <w:lang w:val="en-US" w:eastAsia="zh-CN" w:bidi="ar-SA"/>
              </w:rPr>
              <w:t>1.3</w:t>
            </w:r>
            <w:r>
              <w:t>厂区平面布置合理性分析</w:t>
            </w:r>
          </w:p>
          <w:p w14:paraId="23F785B9">
            <w:pPr>
              <w:pStyle w:val="76"/>
              <w:ind w:firstLine="480"/>
              <w:rPr>
                <w:rFonts w:hint="default" w:cs="Times New Roman"/>
              </w:rPr>
            </w:pPr>
            <w:r>
              <w:rPr>
                <w:rFonts w:hint="default" w:cs="Times New Roman"/>
                <w:szCs w:val="24"/>
              </w:rPr>
              <w:t>本项目位于</w:t>
            </w:r>
            <w:r>
              <w:rPr>
                <w:rFonts w:hint="eastAsia" w:cs="Times New Roman"/>
                <w:szCs w:val="24"/>
                <w:lang w:val="en-US" w:eastAsia="zh-CN"/>
              </w:rPr>
              <w:t>福</w:t>
            </w:r>
            <w:r>
              <w:rPr>
                <w:rFonts w:hint="default" w:cs="Times New Roman"/>
                <w:szCs w:val="24"/>
              </w:rPr>
              <w:t>州市鼓楼区鼓西街道善化新村8#楼东起第六间店面。</w:t>
            </w:r>
            <w:r>
              <w:rPr>
                <w:rFonts w:cs="Times New Roman"/>
                <w:szCs w:val="24"/>
              </w:rPr>
              <w:t>医院主要分为</w:t>
            </w:r>
            <w:r>
              <w:rPr>
                <w:rFonts w:hint="eastAsia" w:cs="Times New Roman"/>
                <w:szCs w:val="24"/>
                <w:lang w:val="en-US" w:eastAsia="zh-CN"/>
              </w:rPr>
              <w:t>二</w:t>
            </w:r>
            <w:r>
              <w:rPr>
                <w:rFonts w:cs="Times New Roman"/>
                <w:szCs w:val="24"/>
              </w:rPr>
              <w:t>层：1楼主要为</w:t>
            </w:r>
            <w:r>
              <w:t>接待处、</w:t>
            </w:r>
            <w:r>
              <w:rPr>
                <w:rFonts w:hint="eastAsia"/>
                <w:lang w:val="en-US" w:eastAsia="zh-CN"/>
              </w:rPr>
              <w:t>犬诊室、猫诊室、化验室、药房、美容室、洗护室、员工休息室、卫生</w:t>
            </w:r>
            <w:r>
              <w:t>间；2楼主要为</w:t>
            </w:r>
            <w:r>
              <w:rPr>
                <w:rFonts w:hint="eastAsia"/>
                <w:lang w:val="en-US" w:eastAsia="zh-CN"/>
              </w:rPr>
              <w:t>影像室、手术室、犬住院部、猫住院部、猫隔离室、输液区</w:t>
            </w:r>
            <w:r>
              <w:t>。</w:t>
            </w:r>
            <w:r>
              <w:rPr>
                <w:rFonts w:hint="default" w:cs="Times New Roman"/>
                <w:szCs w:val="24"/>
              </w:rPr>
              <w:t>具体总平面布置见（附图4），由上述分析可以看出，该项目功能分区明确，总平面布置基本合理</w:t>
            </w:r>
            <w:r>
              <w:rPr>
                <w:rFonts w:hint="default" w:cs="Times New Roman"/>
              </w:rPr>
              <w:t>。</w:t>
            </w:r>
          </w:p>
          <w:p w14:paraId="4CFAD91B">
            <w:pPr>
              <w:pStyle w:val="5"/>
              <w:keepNext/>
              <w:keepLines/>
              <w:pageBreakBefore w:val="0"/>
              <w:widowControl w:val="0"/>
              <w:numPr>
                <w:ilvl w:val="0"/>
                <w:numId w:val="0"/>
              </w:numPr>
              <w:tabs>
                <w:tab w:val="left" w:pos="420"/>
              </w:tabs>
              <w:kinsoku/>
              <w:wordWrap/>
              <w:overflowPunct w:val="0"/>
              <w:topLinePunct w:val="0"/>
              <w:autoSpaceDE/>
              <w:autoSpaceDN/>
              <w:bidi w:val="0"/>
              <w:adjustRightInd/>
              <w:snapToGrid w:val="0"/>
              <w:spacing w:before="0" w:beforeLines="0" w:after="0" w:afterLines="0"/>
              <w:ind w:left="0" w:leftChars="0" w:firstLine="0" w:firstLineChars="0"/>
              <w:textAlignment w:val="auto"/>
              <w:rPr>
                <w:rFonts w:hint="eastAsia"/>
                <w:color w:val="auto"/>
                <w:lang w:val="en-US" w:eastAsia="zh-CN"/>
              </w:rPr>
            </w:pPr>
            <w:r>
              <w:rPr>
                <w:rFonts w:hint="eastAsia" w:ascii="Times New Roman" w:hAnsi="Times New Roman" w:eastAsia="宋体" w:cs="宋体"/>
                <w:b/>
                <w:bCs/>
                <w:color w:val="auto"/>
                <w:kern w:val="44"/>
                <w:sz w:val="30"/>
                <w:szCs w:val="32"/>
                <w:lang w:val="en-US" w:eastAsia="zh-CN" w:bidi="ar-SA"/>
              </w:rPr>
              <w:t>1.4</w:t>
            </w:r>
            <w:r>
              <w:rPr>
                <w:rFonts w:hint="eastAsia"/>
                <w:color w:val="auto"/>
                <w:lang w:val="en-US" w:eastAsia="zh-CN"/>
              </w:rPr>
              <w:t>与《动物诊疗机构管理办法》（2022年）符合性分析</w:t>
            </w:r>
          </w:p>
          <w:p w14:paraId="77EB37F7">
            <w:pPr>
              <w:pStyle w:val="73"/>
              <w:keepNext w:val="0"/>
              <w:keepLines w:val="0"/>
              <w:pageBreakBefore w:val="0"/>
              <w:widowControl/>
              <w:kinsoku/>
              <w:wordWrap/>
              <w:overflowPunct/>
              <w:topLinePunct w:val="0"/>
              <w:autoSpaceDE/>
              <w:autoSpaceDN/>
              <w:bidi w:val="0"/>
              <w:adjustRightInd/>
              <w:snapToGrid/>
              <w:textAlignment w:val="auto"/>
              <w:rPr>
                <w:rFonts w:hint="eastAsia"/>
                <w:color w:val="auto"/>
                <w:lang w:val="en-US" w:eastAsia="zh-CN"/>
              </w:rPr>
            </w:pPr>
            <w:r>
              <w:rPr>
                <w:rFonts w:hint="eastAsia"/>
                <w:color w:val="auto"/>
              </w:rPr>
              <w:t>根据</w:t>
            </w:r>
            <w:r>
              <w:rPr>
                <w:rFonts w:hint="eastAsia"/>
                <w:color w:val="auto"/>
                <w:lang w:eastAsia="zh-CN"/>
              </w:rPr>
              <w:t>《动物诊疗机构管理办法》（农业农村部令2022年第5号）</w:t>
            </w:r>
            <w:r>
              <w:rPr>
                <w:rFonts w:hint="eastAsia"/>
                <w:color w:val="auto"/>
                <w:lang w:val="en-US" w:eastAsia="zh-CN"/>
              </w:rPr>
              <w:t>，摘录其</w:t>
            </w:r>
          </w:p>
          <w:p w14:paraId="6F80C2D2">
            <w:pPr>
              <w:pStyle w:val="73"/>
              <w:keepNext w:val="0"/>
              <w:keepLines w:val="0"/>
              <w:pageBreakBefore w:val="0"/>
              <w:widowControl/>
              <w:kinsoku/>
              <w:wordWrap/>
              <w:overflowPunct/>
              <w:topLinePunct w:val="0"/>
              <w:autoSpaceDE/>
              <w:autoSpaceDN/>
              <w:bidi w:val="0"/>
              <w:adjustRightInd/>
              <w:snapToGrid/>
              <w:ind w:left="0" w:leftChars="0" w:firstLine="0" w:firstLineChars="0"/>
              <w:textAlignment w:val="auto"/>
              <w:rPr>
                <w:color w:val="auto"/>
              </w:rPr>
            </w:pPr>
            <w:r>
              <w:rPr>
                <w:rFonts w:hint="eastAsia"/>
                <w:color w:val="auto"/>
                <w:lang w:val="en-US" w:eastAsia="zh-CN"/>
              </w:rPr>
              <w:t>中与本项目生态环境管理相关的条款并进行符合性分析，</w:t>
            </w:r>
            <w:r>
              <w:rPr>
                <w:rFonts w:hint="eastAsia" w:ascii="Times New Roman" w:hAnsi="Times New Roman" w:cs="Times New Roman"/>
                <w:color w:val="auto"/>
                <w:highlight w:val="none"/>
                <w:lang w:val="en-US" w:eastAsia="zh-CN"/>
              </w:rPr>
              <w:t>详见表1.4-1</w:t>
            </w:r>
            <w:r>
              <w:rPr>
                <w:rFonts w:hint="eastAsia" w:ascii="Times New Roman" w:hAnsi="Times New Roman" w:cs="Times New Roman"/>
                <w:color w:val="auto"/>
                <w:highlight w:val="none"/>
                <w:lang w:eastAsia="zh-CN"/>
              </w:rPr>
              <w:t>。</w:t>
            </w:r>
          </w:p>
          <w:p w14:paraId="7902B0BD">
            <w:pPr>
              <w:pStyle w:val="73"/>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b/>
                <w:color w:val="auto"/>
                <w:lang w:val="en-US" w:eastAsia="zh-CN"/>
              </w:rPr>
            </w:pPr>
            <w:r>
              <w:rPr>
                <w:b/>
                <w:color w:val="auto"/>
              </w:rPr>
              <w:t>表</w:t>
            </w:r>
            <w:r>
              <w:rPr>
                <w:rFonts w:hint="eastAsia"/>
                <w:b/>
                <w:color w:val="auto"/>
                <w:lang w:val="en-US" w:eastAsia="zh-CN"/>
              </w:rPr>
              <w:t>1.4-1</w:t>
            </w:r>
            <w:r>
              <w:rPr>
                <w:b/>
                <w:color w:val="auto"/>
              </w:rPr>
              <w:t xml:space="preserve">  </w:t>
            </w:r>
            <w:r>
              <w:rPr>
                <w:rFonts w:hint="eastAsia"/>
                <w:b/>
                <w:color w:val="auto"/>
                <w:lang w:val="en-US" w:eastAsia="zh-CN"/>
              </w:rPr>
              <w:t>项目与</w:t>
            </w:r>
            <w:r>
              <w:rPr>
                <w:rFonts w:hint="eastAsia" w:ascii="Times New Roman" w:hAnsi="Times New Roman" w:cs="Times New Roman"/>
                <w:b/>
                <w:color w:val="auto"/>
                <w:lang w:val="en-US" w:eastAsia="zh-CN"/>
              </w:rPr>
              <w:t>《动物诊疗机构管理办法》</w:t>
            </w:r>
            <w:r>
              <w:rPr>
                <w:rFonts w:hint="eastAsia" w:cs="Times New Roman"/>
                <w:b/>
                <w:color w:val="auto"/>
                <w:lang w:val="en-US" w:eastAsia="zh-CN"/>
              </w:rPr>
              <w:t>（2022年）</w:t>
            </w:r>
            <w:r>
              <w:rPr>
                <w:rFonts w:hint="eastAsia" w:ascii="Times New Roman" w:hAnsi="Times New Roman" w:cs="Times New Roman"/>
                <w:b/>
                <w:color w:val="auto"/>
                <w:lang w:val="en-US" w:eastAsia="zh-CN"/>
              </w:rPr>
              <w:t>符合性分析</w:t>
            </w:r>
            <w:r>
              <w:rPr>
                <w:rFonts w:hint="default" w:ascii="Times New Roman" w:hAnsi="Times New Roman" w:cs="Times New Roman"/>
                <w:b/>
                <w:color w:val="auto"/>
                <w:lang w:val="en-US" w:eastAsia="zh-CN"/>
              </w:rPr>
              <w:t>表</w:t>
            </w:r>
          </w:p>
          <w:tbl>
            <w:tblPr>
              <w:tblStyle w:val="88"/>
              <w:tblW w:w="8396" w:type="dxa"/>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705"/>
              <w:gridCol w:w="3289"/>
              <w:gridCol w:w="3663"/>
              <w:gridCol w:w="739"/>
            </w:tblGrid>
            <w:tr w14:paraId="0D0E431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77" w:hRule="atLeast"/>
                <w:jc w:val="center"/>
              </w:trPr>
              <w:tc>
                <w:tcPr>
                  <w:tcW w:w="705" w:type="dxa"/>
                  <w:tcBorders>
                    <w:tl2br w:val="nil"/>
                    <w:tr2bl w:val="nil"/>
                  </w:tcBorders>
                  <w:noWrap w:val="0"/>
                  <w:vAlign w:val="center"/>
                </w:tcPr>
                <w:p w14:paraId="19D81D7E">
                  <w:pPr>
                    <w:widowControl/>
                    <w:adjustRightInd w:val="0"/>
                    <w:snapToGrid w:val="0"/>
                    <w:spacing w:line="240" w:lineRule="auto"/>
                    <w:jc w:val="center"/>
                    <w:rPr>
                      <w:rFonts w:hint="eastAsia"/>
                      <w:color w:val="auto"/>
                      <w:sz w:val="21"/>
                      <w:szCs w:val="18"/>
                    </w:rPr>
                  </w:pPr>
                  <w:r>
                    <w:rPr>
                      <w:rFonts w:hint="eastAsia"/>
                      <w:color w:val="auto"/>
                      <w:sz w:val="21"/>
                      <w:szCs w:val="18"/>
                    </w:rPr>
                    <w:t>序号</w:t>
                  </w:r>
                </w:p>
              </w:tc>
              <w:tc>
                <w:tcPr>
                  <w:tcW w:w="3289" w:type="dxa"/>
                  <w:tcBorders>
                    <w:tl2br w:val="nil"/>
                    <w:tr2bl w:val="nil"/>
                  </w:tcBorders>
                  <w:noWrap w:val="0"/>
                  <w:vAlign w:val="center"/>
                </w:tcPr>
                <w:p w14:paraId="334A048C">
                  <w:pPr>
                    <w:widowControl/>
                    <w:adjustRightInd w:val="0"/>
                    <w:snapToGrid w:val="0"/>
                    <w:spacing w:line="240" w:lineRule="auto"/>
                    <w:jc w:val="center"/>
                    <w:rPr>
                      <w:rFonts w:hint="eastAsia"/>
                      <w:color w:val="auto"/>
                      <w:sz w:val="21"/>
                      <w:szCs w:val="18"/>
                    </w:rPr>
                  </w:pPr>
                  <w:r>
                    <w:rPr>
                      <w:rFonts w:hint="eastAsia"/>
                      <w:color w:val="auto"/>
                      <w:sz w:val="21"/>
                      <w:szCs w:val="18"/>
                    </w:rPr>
                    <w:t>内容及要求</w:t>
                  </w:r>
                </w:p>
              </w:tc>
              <w:tc>
                <w:tcPr>
                  <w:tcW w:w="3663" w:type="dxa"/>
                  <w:tcBorders>
                    <w:tl2br w:val="nil"/>
                    <w:tr2bl w:val="nil"/>
                  </w:tcBorders>
                  <w:noWrap w:val="0"/>
                  <w:vAlign w:val="center"/>
                </w:tcPr>
                <w:p w14:paraId="03F72E57">
                  <w:pPr>
                    <w:widowControl/>
                    <w:adjustRightInd w:val="0"/>
                    <w:snapToGrid w:val="0"/>
                    <w:spacing w:line="240" w:lineRule="auto"/>
                    <w:jc w:val="center"/>
                    <w:rPr>
                      <w:rFonts w:hint="eastAsia"/>
                      <w:color w:val="auto"/>
                      <w:sz w:val="21"/>
                      <w:szCs w:val="18"/>
                    </w:rPr>
                  </w:pPr>
                  <w:r>
                    <w:rPr>
                      <w:rFonts w:hint="eastAsia"/>
                      <w:color w:val="auto"/>
                      <w:sz w:val="21"/>
                      <w:szCs w:val="18"/>
                    </w:rPr>
                    <w:t>本项目情况</w:t>
                  </w:r>
                </w:p>
              </w:tc>
              <w:tc>
                <w:tcPr>
                  <w:tcW w:w="739" w:type="dxa"/>
                  <w:tcBorders>
                    <w:tl2br w:val="nil"/>
                    <w:tr2bl w:val="nil"/>
                  </w:tcBorders>
                  <w:noWrap w:val="0"/>
                  <w:vAlign w:val="center"/>
                </w:tcPr>
                <w:p w14:paraId="672085A9">
                  <w:pPr>
                    <w:widowControl/>
                    <w:adjustRightInd w:val="0"/>
                    <w:snapToGrid w:val="0"/>
                    <w:spacing w:line="240" w:lineRule="auto"/>
                    <w:jc w:val="center"/>
                    <w:rPr>
                      <w:rFonts w:hint="eastAsia"/>
                      <w:color w:val="auto"/>
                      <w:sz w:val="21"/>
                      <w:szCs w:val="18"/>
                    </w:rPr>
                  </w:pPr>
                  <w:r>
                    <w:rPr>
                      <w:rFonts w:hint="eastAsia"/>
                      <w:color w:val="auto"/>
                      <w:sz w:val="21"/>
                      <w:szCs w:val="18"/>
                    </w:rPr>
                    <w:t xml:space="preserve">符合性 </w:t>
                  </w:r>
                </w:p>
              </w:tc>
            </w:tr>
            <w:tr w14:paraId="701718A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70" w:hRule="atLeast"/>
                <w:jc w:val="center"/>
              </w:trPr>
              <w:tc>
                <w:tcPr>
                  <w:tcW w:w="705" w:type="dxa"/>
                  <w:tcBorders>
                    <w:tl2br w:val="nil"/>
                    <w:tr2bl w:val="nil"/>
                  </w:tcBorders>
                  <w:noWrap w:val="0"/>
                  <w:vAlign w:val="center"/>
                </w:tcPr>
                <w:p w14:paraId="024531DE">
                  <w:pPr>
                    <w:widowControl/>
                    <w:adjustRightInd w:val="0"/>
                    <w:snapToGrid w:val="0"/>
                    <w:spacing w:line="240" w:lineRule="auto"/>
                    <w:jc w:val="center"/>
                    <w:rPr>
                      <w:rFonts w:hint="eastAsia"/>
                      <w:color w:val="auto"/>
                      <w:sz w:val="21"/>
                      <w:szCs w:val="18"/>
                    </w:rPr>
                  </w:pPr>
                  <w:r>
                    <w:rPr>
                      <w:rFonts w:hint="eastAsia"/>
                      <w:color w:val="auto"/>
                      <w:sz w:val="21"/>
                      <w:szCs w:val="18"/>
                    </w:rPr>
                    <w:t>第六条</w:t>
                  </w:r>
                </w:p>
              </w:tc>
              <w:tc>
                <w:tcPr>
                  <w:tcW w:w="3289" w:type="dxa"/>
                  <w:tcBorders>
                    <w:tl2br w:val="nil"/>
                    <w:tr2bl w:val="nil"/>
                  </w:tcBorders>
                  <w:noWrap w:val="0"/>
                  <w:vAlign w:val="center"/>
                </w:tcPr>
                <w:p w14:paraId="5F0E6E82">
                  <w:pPr>
                    <w:widowControl/>
                    <w:adjustRightInd w:val="0"/>
                    <w:snapToGrid w:val="0"/>
                    <w:spacing w:line="240" w:lineRule="auto"/>
                    <w:jc w:val="left"/>
                    <w:rPr>
                      <w:rFonts w:hint="eastAsia"/>
                      <w:color w:val="auto"/>
                      <w:sz w:val="21"/>
                      <w:szCs w:val="18"/>
                    </w:rPr>
                  </w:pPr>
                  <w:r>
                    <w:rPr>
                      <w:rFonts w:hint="eastAsia"/>
                      <w:color w:val="auto"/>
                      <w:sz w:val="21"/>
                      <w:szCs w:val="18"/>
                    </w:rPr>
                    <w:t>从事动物诊疗活动的机构，应当具备下列条件：</w:t>
                  </w:r>
                </w:p>
              </w:tc>
              <w:tc>
                <w:tcPr>
                  <w:tcW w:w="3663" w:type="dxa"/>
                  <w:tcBorders>
                    <w:tl2br w:val="nil"/>
                    <w:tr2bl w:val="nil"/>
                  </w:tcBorders>
                  <w:noWrap w:val="0"/>
                  <w:vAlign w:val="center"/>
                </w:tcPr>
                <w:p w14:paraId="5EEA274B">
                  <w:pPr>
                    <w:widowControl/>
                    <w:adjustRightInd w:val="0"/>
                    <w:snapToGrid w:val="0"/>
                    <w:spacing w:line="240" w:lineRule="auto"/>
                    <w:jc w:val="center"/>
                    <w:rPr>
                      <w:rFonts w:hint="eastAsia" w:eastAsia="宋体"/>
                      <w:color w:val="auto"/>
                      <w:sz w:val="21"/>
                      <w:szCs w:val="18"/>
                      <w:lang w:val="en-US" w:eastAsia="zh-CN"/>
                    </w:rPr>
                  </w:pPr>
                </w:p>
              </w:tc>
              <w:tc>
                <w:tcPr>
                  <w:tcW w:w="739" w:type="dxa"/>
                  <w:tcBorders>
                    <w:tl2br w:val="nil"/>
                    <w:tr2bl w:val="nil"/>
                  </w:tcBorders>
                  <w:noWrap w:val="0"/>
                  <w:vAlign w:val="center"/>
                </w:tcPr>
                <w:p w14:paraId="5D056504">
                  <w:pPr>
                    <w:widowControl/>
                    <w:adjustRightInd w:val="0"/>
                    <w:snapToGrid w:val="0"/>
                    <w:spacing w:line="240" w:lineRule="auto"/>
                    <w:jc w:val="center"/>
                    <w:rPr>
                      <w:rFonts w:hint="default" w:eastAsia="宋体"/>
                      <w:color w:val="auto"/>
                      <w:sz w:val="21"/>
                      <w:szCs w:val="18"/>
                      <w:lang w:val="en-US" w:eastAsia="zh-CN"/>
                    </w:rPr>
                  </w:pPr>
                </w:p>
              </w:tc>
            </w:tr>
            <w:tr w14:paraId="7ADFDF5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639" w:hRule="atLeast"/>
                <w:jc w:val="center"/>
              </w:trPr>
              <w:tc>
                <w:tcPr>
                  <w:tcW w:w="705" w:type="dxa"/>
                  <w:tcBorders>
                    <w:tl2br w:val="nil"/>
                    <w:tr2bl w:val="nil"/>
                  </w:tcBorders>
                  <w:noWrap w:val="0"/>
                  <w:vAlign w:val="center"/>
                </w:tcPr>
                <w:p w14:paraId="3603D64D">
                  <w:pPr>
                    <w:widowControl/>
                    <w:adjustRightInd w:val="0"/>
                    <w:snapToGrid w:val="0"/>
                    <w:spacing w:line="240" w:lineRule="auto"/>
                    <w:jc w:val="center"/>
                    <w:rPr>
                      <w:rFonts w:hint="eastAsia"/>
                      <w:color w:val="auto"/>
                      <w:sz w:val="21"/>
                      <w:szCs w:val="18"/>
                    </w:rPr>
                  </w:pPr>
                  <w:r>
                    <w:rPr>
                      <w:rFonts w:hint="eastAsia"/>
                      <w:color w:val="auto"/>
                      <w:sz w:val="21"/>
                      <w:szCs w:val="18"/>
                    </w:rPr>
                    <w:t>（一）</w:t>
                  </w:r>
                </w:p>
              </w:tc>
              <w:tc>
                <w:tcPr>
                  <w:tcW w:w="3289" w:type="dxa"/>
                  <w:tcBorders>
                    <w:tl2br w:val="nil"/>
                    <w:tr2bl w:val="nil"/>
                  </w:tcBorders>
                  <w:noWrap w:val="0"/>
                  <w:vAlign w:val="center"/>
                </w:tcPr>
                <w:p w14:paraId="1043711A">
                  <w:pPr>
                    <w:widowControl/>
                    <w:adjustRightInd w:val="0"/>
                    <w:snapToGrid w:val="0"/>
                    <w:spacing w:line="240" w:lineRule="auto"/>
                    <w:jc w:val="left"/>
                    <w:rPr>
                      <w:rFonts w:hint="eastAsia"/>
                      <w:color w:val="auto"/>
                      <w:sz w:val="21"/>
                      <w:szCs w:val="18"/>
                    </w:rPr>
                  </w:pPr>
                  <w:r>
                    <w:rPr>
                      <w:rFonts w:hint="eastAsia"/>
                      <w:color w:val="auto"/>
                      <w:sz w:val="21"/>
                      <w:szCs w:val="18"/>
                    </w:rPr>
                    <w:t>有固定的动物诊疗场所，且动物诊疗场所使用面积符合省、自治区、直辖市人民政府农业农村主管部门的规定；</w:t>
                  </w:r>
                </w:p>
              </w:tc>
              <w:tc>
                <w:tcPr>
                  <w:tcW w:w="3663" w:type="dxa"/>
                  <w:tcBorders>
                    <w:tl2br w:val="nil"/>
                    <w:tr2bl w:val="nil"/>
                  </w:tcBorders>
                  <w:noWrap w:val="0"/>
                  <w:vAlign w:val="center"/>
                </w:tcPr>
                <w:p w14:paraId="69A7BFA1">
                  <w:pPr>
                    <w:widowControl/>
                    <w:adjustRightInd w:val="0"/>
                    <w:snapToGrid w:val="0"/>
                    <w:spacing w:line="240" w:lineRule="auto"/>
                    <w:jc w:val="left"/>
                    <w:rPr>
                      <w:rFonts w:hint="eastAsia"/>
                      <w:color w:val="auto"/>
                      <w:sz w:val="21"/>
                      <w:szCs w:val="18"/>
                    </w:rPr>
                  </w:pPr>
                  <w:r>
                    <w:rPr>
                      <w:rFonts w:hint="eastAsia" w:ascii="Times New Roman" w:hAnsi="Times New Roman" w:cs="Times New Roman"/>
                      <w:color w:val="auto"/>
                      <w:sz w:val="21"/>
                      <w:szCs w:val="18"/>
                    </w:rPr>
                    <w:t>本项目</w:t>
                  </w:r>
                  <w:r>
                    <w:rPr>
                      <w:rFonts w:hint="eastAsia" w:ascii="Times New Roman" w:hAnsi="Times New Roman" w:cs="Times New Roman"/>
                      <w:color w:val="auto"/>
                      <w:sz w:val="21"/>
                      <w:szCs w:val="18"/>
                      <w:lang w:val="en-US" w:eastAsia="zh-CN"/>
                    </w:rPr>
                    <w:t>扩建后合计租赁店面70.1m</w:t>
                  </w:r>
                  <w:r>
                    <w:rPr>
                      <w:rFonts w:hint="eastAsia" w:ascii="Times New Roman" w:hAnsi="Times New Roman" w:cs="Times New Roman"/>
                      <w:color w:val="auto"/>
                      <w:sz w:val="21"/>
                      <w:szCs w:val="18"/>
                      <w:vertAlign w:val="superscript"/>
                      <w:lang w:val="en-US" w:eastAsia="zh-CN"/>
                    </w:rPr>
                    <w:t>2</w:t>
                  </w:r>
                  <w:r>
                    <w:rPr>
                      <w:rFonts w:hint="eastAsia" w:ascii="Times New Roman" w:hAnsi="Times New Roman" w:cs="Times New Roman"/>
                      <w:color w:val="auto"/>
                      <w:sz w:val="21"/>
                      <w:szCs w:val="18"/>
                      <w:lang w:val="en-US" w:eastAsia="zh-CN"/>
                    </w:rPr>
                    <w:t>作为固定的动物</w:t>
                  </w:r>
                  <w:r>
                    <w:rPr>
                      <w:rFonts w:hint="eastAsia" w:ascii="Times New Roman" w:hAnsi="Times New Roman" w:cs="Times New Roman"/>
                      <w:color w:val="auto"/>
                      <w:sz w:val="21"/>
                      <w:szCs w:val="18"/>
                    </w:rPr>
                    <w:t>诊疗场所</w:t>
                  </w:r>
                  <w:r>
                    <w:rPr>
                      <w:rFonts w:hint="eastAsia" w:ascii="Times New Roman" w:hAnsi="Times New Roman" w:cs="Times New Roman"/>
                      <w:color w:val="auto"/>
                      <w:sz w:val="21"/>
                      <w:szCs w:val="18"/>
                      <w:lang w:eastAsia="zh-CN"/>
                    </w:rPr>
                    <w:t>，</w:t>
                  </w:r>
                  <w:r>
                    <w:rPr>
                      <w:rFonts w:hint="eastAsia" w:ascii="Times New Roman" w:hAnsi="Times New Roman" w:cs="Times New Roman"/>
                      <w:color w:val="auto"/>
                      <w:sz w:val="21"/>
                      <w:szCs w:val="18"/>
                      <w:lang w:val="en-US" w:eastAsia="zh-CN"/>
                    </w:rPr>
                    <w:t>其面积符合《福建省农业厅关于规范动物诊疗机构管理工作的意见》（</w:t>
                  </w:r>
                  <w:r>
                    <w:rPr>
                      <w:rFonts w:hint="eastAsia" w:ascii="Times New Roman" w:hAnsi="Times New Roman" w:cs="Times New Roman"/>
                      <w:color w:val="auto"/>
                      <w:sz w:val="21"/>
                      <w:szCs w:val="18"/>
                    </w:rPr>
                    <w:t>闽农医〔</w:t>
                  </w:r>
                  <w:r>
                    <w:rPr>
                      <w:rFonts w:hint="eastAsia" w:ascii="Times New Roman" w:hAnsi="Times New Roman" w:cs="Times New Roman"/>
                      <w:color w:val="auto"/>
                      <w:sz w:val="21"/>
                      <w:szCs w:val="18"/>
                      <w:lang w:val="en-US"/>
                    </w:rPr>
                    <w:t>2010</w:t>
                  </w:r>
                  <w:r>
                    <w:rPr>
                      <w:rFonts w:hint="eastAsia" w:ascii="Times New Roman" w:hAnsi="Times New Roman" w:cs="Times New Roman"/>
                      <w:color w:val="auto"/>
                      <w:sz w:val="21"/>
                      <w:szCs w:val="18"/>
                    </w:rPr>
                    <w:t>〕</w:t>
                  </w:r>
                  <w:r>
                    <w:rPr>
                      <w:rFonts w:hint="eastAsia" w:ascii="Times New Roman" w:hAnsi="Times New Roman" w:cs="Times New Roman"/>
                      <w:color w:val="auto"/>
                      <w:sz w:val="21"/>
                      <w:szCs w:val="18"/>
                      <w:lang w:val="en-US"/>
                    </w:rPr>
                    <w:t>490</w:t>
                  </w:r>
                  <w:r>
                    <w:rPr>
                      <w:rFonts w:hint="eastAsia" w:ascii="Times New Roman" w:hAnsi="Times New Roman" w:cs="Times New Roman"/>
                      <w:color w:val="auto"/>
                      <w:sz w:val="21"/>
                      <w:szCs w:val="18"/>
                    </w:rPr>
                    <w:t>号</w:t>
                  </w:r>
                  <w:r>
                    <w:rPr>
                      <w:rFonts w:hint="eastAsia" w:ascii="Times New Roman" w:hAnsi="Times New Roman" w:cs="Times New Roman"/>
                      <w:color w:val="auto"/>
                      <w:sz w:val="21"/>
                      <w:szCs w:val="18"/>
                      <w:lang w:val="en-US" w:eastAsia="zh-CN"/>
                    </w:rPr>
                    <w:t>）的规定（详见备注）</w:t>
                  </w:r>
                  <w:r>
                    <w:rPr>
                      <w:rFonts w:hint="eastAsia" w:cs="Times New Roman"/>
                      <w:color w:val="auto"/>
                      <w:sz w:val="21"/>
                      <w:szCs w:val="18"/>
                      <w:lang w:val="en-US" w:eastAsia="zh-CN"/>
                    </w:rPr>
                    <w:t>；</w:t>
                  </w:r>
                </w:p>
              </w:tc>
              <w:tc>
                <w:tcPr>
                  <w:tcW w:w="739" w:type="dxa"/>
                  <w:tcBorders>
                    <w:tl2br w:val="nil"/>
                    <w:tr2bl w:val="nil"/>
                  </w:tcBorders>
                  <w:noWrap w:val="0"/>
                  <w:vAlign w:val="center"/>
                </w:tcPr>
                <w:p w14:paraId="6D238794">
                  <w:pPr>
                    <w:widowControl/>
                    <w:adjustRightInd w:val="0"/>
                    <w:snapToGrid w:val="0"/>
                    <w:spacing w:line="240" w:lineRule="auto"/>
                    <w:jc w:val="center"/>
                    <w:rPr>
                      <w:rFonts w:hint="eastAsia"/>
                      <w:color w:val="auto"/>
                      <w:sz w:val="21"/>
                      <w:szCs w:val="18"/>
                    </w:rPr>
                  </w:pPr>
                  <w:r>
                    <w:rPr>
                      <w:rFonts w:hint="eastAsia"/>
                      <w:color w:val="auto"/>
                      <w:sz w:val="21"/>
                      <w:szCs w:val="18"/>
                    </w:rPr>
                    <w:t>符合</w:t>
                  </w:r>
                </w:p>
              </w:tc>
            </w:tr>
            <w:tr w14:paraId="791F307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705" w:hRule="atLeast"/>
                <w:jc w:val="center"/>
              </w:trPr>
              <w:tc>
                <w:tcPr>
                  <w:tcW w:w="705" w:type="dxa"/>
                  <w:tcBorders>
                    <w:tl2br w:val="nil"/>
                    <w:tr2bl w:val="nil"/>
                  </w:tcBorders>
                  <w:noWrap w:val="0"/>
                  <w:vAlign w:val="center"/>
                </w:tcPr>
                <w:p w14:paraId="09E8FFAC">
                  <w:pPr>
                    <w:widowControl/>
                    <w:adjustRightInd w:val="0"/>
                    <w:snapToGrid w:val="0"/>
                    <w:spacing w:line="240" w:lineRule="auto"/>
                    <w:jc w:val="center"/>
                    <w:rPr>
                      <w:rFonts w:hint="eastAsia"/>
                      <w:color w:val="auto"/>
                      <w:sz w:val="21"/>
                      <w:szCs w:val="18"/>
                    </w:rPr>
                  </w:pPr>
                  <w:r>
                    <w:rPr>
                      <w:rFonts w:hint="eastAsia"/>
                      <w:color w:val="auto"/>
                      <w:sz w:val="21"/>
                      <w:szCs w:val="18"/>
                    </w:rPr>
                    <w:t>（二）</w:t>
                  </w:r>
                </w:p>
              </w:tc>
              <w:tc>
                <w:tcPr>
                  <w:tcW w:w="3289" w:type="dxa"/>
                  <w:tcBorders>
                    <w:tl2br w:val="nil"/>
                    <w:tr2bl w:val="nil"/>
                  </w:tcBorders>
                  <w:noWrap w:val="0"/>
                  <w:vAlign w:val="center"/>
                </w:tcPr>
                <w:p w14:paraId="4AAAB55D">
                  <w:pPr>
                    <w:widowControl/>
                    <w:adjustRightInd w:val="0"/>
                    <w:snapToGrid w:val="0"/>
                    <w:spacing w:line="240" w:lineRule="auto"/>
                    <w:jc w:val="left"/>
                    <w:rPr>
                      <w:rFonts w:hint="eastAsia"/>
                      <w:color w:val="auto"/>
                      <w:sz w:val="21"/>
                      <w:szCs w:val="18"/>
                    </w:rPr>
                  </w:pPr>
                  <w:r>
                    <w:rPr>
                      <w:rFonts w:hint="eastAsia"/>
                      <w:color w:val="auto"/>
                      <w:sz w:val="21"/>
                      <w:szCs w:val="18"/>
                    </w:rPr>
                    <w:t>动物诊疗场所选址距离动物饲养场、动物屠宰加工场所、经营动物的集贸市场不少于二百米；</w:t>
                  </w:r>
                </w:p>
              </w:tc>
              <w:tc>
                <w:tcPr>
                  <w:tcW w:w="3663" w:type="dxa"/>
                  <w:tcBorders>
                    <w:tl2br w:val="nil"/>
                    <w:tr2bl w:val="nil"/>
                  </w:tcBorders>
                  <w:noWrap w:val="0"/>
                  <w:vAlign w:val="center"/>
                </w:tcPr>
                <w:p w14:paraId="1C2A6178">
                  <w:pPr>
                    <w:widowControl/>
                    <w:adjustRightInd w:val="0"/>
                    <w:snapToGrid w:val="0"/>
                    <w:spacing w:line="240" w:lineRule="auto"/>
                    <w:jc w:val="left"/>
                    <w:rPr>
                      <w:rFonts w:hint="eastAsia" w:eastAsia="宋体"/>
                      <w:color w:val="auto"/>
                      <w:sz w:val="21"/>
                      <w:szCs w:val="18"/>
                      <w:lang w:eastAsia="zh-CN"/>
                    </w:rPr>
                  </w:pPr>
                  <w:r>
                    <w:rPr>
                      <w:rFonts w:hint="eastAsia"/>
                      <w:color w:val="auto"/>
                      <w:sz w:val="21"/>
                      <w:szCs w:val="18"/>
                    </w:rPr>
                    <w:t>项目周边200m范围内无动物饲养场、动物屠宰加工场所、经营动物的集贸市场</w:t>
                  </w:r>
                  <w:r>
                    <w:rPr>
                      <w:rFonts w:hint="eastAsia"/>
                      <w:color w:val="auto"/>
                      <w:sz w:val="21"/>
                      <w:szCs w:val="18"/>
                      <w:lang w:eastAsia="zh-CN"/>
                    </w:rPr>
                    <w:t>；</w:t>
                  </w:r>
                </w:p>
              </w:tc>
              <w:tc>
                <w:tcPr>
                  <w:tcW w:w="739" w:type="dxa"/>
                  <w:tcBorders>
                    <w:tl2br w:val="nil"/>
                    <w:tr2bl w:val="nil"/>
                  </w:tcBorders>
                  <w:noWrap w:val="0"/>
                  <w:vAlign w:val="center"/>
                </w:tcPr>
                <w:p w14:paraId="1080789F">
                  <w:pPr>
                    <w:widowControl/>
                    <w:adjustRightInd w:val="0"/>
                    <w:snapToGrid w:val="0"/>
                    <w:spacing w:line="240" w:lineRule="auto"/>
                    <w:jc w:val="center"/>
                    <w:rPr>
                      <w:rFonts w:hint="eastAsia"/>
                      <w:color w:val="auto"/>
                      <w:sz w:val="21"/>
                      <w:szCs w:val="18"/>
                    </w:rPr>
                  </w:pPr>
                  <w:r>
                    <w:rPr>
                      <w:rFonts w:hint="eastAsia"/>
                      <w:color w:val="auto"/>
                      <w:sz w:val="21"/>
                      <w:szCs w:val="18"/>
                    </w:rPr>
                    <w:t>符合</w:t>
                  </w:r>
                </w:p>
              </w:tc>
            </w:tr>
            <w:tr w14:paraId="1F40988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705" w:hRule="atLeast"/>
                <w:jc w:val="center"/>
              </w:trPr>
              <w:tc>
                <w:tcPr>
                  <w:tcW w:w="705" w:type="dxa"/>
                  <w:tcBorders>
                    <w:tl2br w:val="nil"/>
                    <w:tr2bl w:val="nil"/>
                  </w:tcBorders>
                  <w:noWrap w:val="0"/>
                  <w:vAlign w:val="center"/>
                </w:tcPr>
                <w:p w14:paraId="1F93DB0E">
                  <w:pPr>
                    <w:widowControl/>
                    <w:adjustRightInd w:val="0"/>
                    <w:snapToGrid w:val="0"/>
                    <w:spacing w:line="240" w:lineRule="auto"/>
                    <w:jc w:val="center"/>
                    <w:rPr>
                      <w:rFonts w:hint="eastAsia"/>
                      <w:color w:val="auto"/>
                      <w:sz w:val="21"/>
                      <w:szCs w:val="18"/>
                    </w:rPr>
                  </w:pPr>
                  <w:r>
                    <w:rPr>
                      <w:rFonts w:hint="eastAsia"/>
                      <w:color w:val="auto"/>
                      <w:sz w:val="21"/>
                      <w:szCs w:val="18"/>
                    </w:rPr>
                    <w:t>（三）</w:t>
                  </w:r>
                </w:p>
              </w:tc>
              <w:tc>
                <w:tcPr>
                  <w:tcW w:w="3289" w:type="dxa"/>
                  <w:tcBorders>
                    <w:tl2br w:val="nil"/>
                    <w:tr2bl w:val="nil"/>
                  </w:tcBorders>
                  <w:noWrap w:val="0"/>
                  <w:vAlign w:val="center"/>
                </w:tcPr>
                <w:p w14:paraId="3C429CBA">
                  <w:pPr>
                    <w:widowControl/>
                    <w:adjustRightInd w:val="0"/>
                    <w:snapToGrid w:val="0"/>
                    <w:spacing w:line="240" w:lineRule="auto"/>
                    <w:jc w:val="left"/>
                    <w:rPr>
                      <w:rFonts w:hint="eastAsia"/>
                      <w:color w:val="auto"/>
                      <w:sz w:val="21"/>
                      <w:szCs w:val="18"/>
                    </w:rPr>
                  </w:pPr>
                  <w:r>
                    <w:rPr>
                      <w:rFonts w:hint="eastAsia"/>
                      <w:color w:val="auto"/>
                      <w:sz w:val="21"/>
                      <w:szCs w:val="18"/>
                    </w:rPr>
                    <w:t>动物诊疗场所设有独立的出入口，出入口不得设在居民住宅楼内或者院内，不得与同一建筑物的其他用户共用通道；</w:t>
                  </w:r>
                </w:p>
              </w:tc>
              <w:tc>
                <w:tcPr>
                  <w:tcW w:w="3663" w:type="dxa"/>
                  <w:tcBorders>
                    <w:tl2br w:val="nil"/>
                    <w:tr2bl w:val="nil"/>
                  </w:tcBorders>
                  <w:noWrap w:val="0"/>
                  <w:vAlign w:val="center"/>
                </w:tcPr>
                <w:p w14:paraId="51FF0FEF">
                  <w:pPr>
                    <w:widowControl/>
                    <w:adjustRightInd w:val="0"/>
                    <w:snapToGrid w:val="0"/>
                    <w:spacing w:line="240" w:lineRule="auto"/>
                    <w:jc w:val="left"/>
                    <w:rPr>
                      <w:rFonts w:hint="eastAsia" w:eastAsia="宋体"/>
                      <w:color w:val="auto"/>
                      <w:sz w:val="21"/>
                      <w:szCs w:val="18"/>
                      <w:lang w:eastAsia="zh-CN"/>
                    </w:rPr>
                  </w:pPr>
                  <w:r>
                    <w:rPr>
                      <w:rFonts w:hint="eastAsia"/>
                      <w:color w:val="auto"/>
                      <w:sz w:val="21"/>
                      <w:szCs w:val="18"/>
                    </w:rPr>
                    <w:t>本项目设有独立的出入口，出入口不在居民住宅楼内或者院内，不与同一建筑物的其他用户共用通道</w:t>
                  </w:r>
                  <w:r>
                    <w:rPr>
                      <w:rFonts w:hint="eastAsia"/>
                      <w:color w:val="auto"/>
                      <w:sz w:val="21"/>
                      <w:szCs w:val="18"/>
                      <w:lang w:eastAsia="zh-CN"/>
                    </w:rPr>
                    <w:t>；</w:t>
                  </w:r>
                </w:p>
              </w:tc>
              <w:tc>
                <w:tcPr>
                  <w:tcW w:w="739" w:type="dxa"/>
                  <w:tcBorders>
                    <w:tl2br w:val="nil"/>
                    <w:tr2bl w:val="nil"/>
                  </w:tcBorders>
                  <w:noWrap w:val="0"/>
                  <w:vAlign w:val="center"/>
                </w:tcPr>
                <w:p w14:paraId="567CDB8E">
                  <w:pPr>
                    <w:widowControl/>
                    <w:adjustRightInd w:val="0"/>
                    <w:snapToGrid w:val="0"/>
                    <w:spacing w:line="240" w:lineRule="auto"/>
                    <w:jc w:val="center"/>
                    <w:rPr>
                      <w:rFonts w:hint="eastAsia"/>
                      <w:color w:val="auto"/>
                      <w:sz w:val="21"/>
                      <w:szCs w:val="18"/>
                    </w:rPr>
                  </w:pPr>
                  <w:r>
                    <w:rPr>
                      <w:rFonts w:hint="eastAsia"/>
                      <w:color w:val="auto"/>
                      <w:sz w:val="21"/>
                      <w:szCs w:val="18"/>
                    </w:rPr>
                    <w:t>符合</w:t>
                  </w:r>
                </w:p>
              </w:tc>
            </w:tr>
            <w:tr w14:paraId="047BCFF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72" w:hRule="atLeast"/>
                <w:jc w:val="center"/>
              </w:trPr>
              <w:tc>
                <w:tcPr>
                  <w:tcW w:w="705" w:type="dxa"/>
                  <w:tcBorders>
                    <w:tl2br w:val="nil"/>
                    <w:tr2bl w:val="nil"/>
                  </w:tcBorders>
                  <w:noWrap w:val="0"/>
                  <w:vAlign w:val="center"/>
                </w:tcPr>
                <w:p w14:paraId="45DFC9DE">
                  <w:pPr>
                    <w:widowControl/>
                    <w:adjustRightInd w:val="0"/>
                    <w:snapToGrid w:val="0"/>
                    <w:spacing w:line="240" w:lineRule="auto"/>
                    <w:jc w:val="center"/>
                    <w:rPr>
                      <w:rFonts w:hint="eastAsia"/>
                      <w:color w:val="auto"/>
                      <w:sz w:val="21"/>
                      <w:szCs w:val="18"/>
                    </w:rPr>
                  </w:pPr>
                  <w:r>
                    <w:rPr>
                      <w:rFonts w:hint="eastAsia"/>
                      <w:color w:val="auto"/>
                      <w:sz w:val="21"/>
                      <w:szCs w:val="18"/>
                    </w:rPr>
                    <w:t>（四）</w:t>
                  </w:r>
                </w:p>
              </w:tc>
              <w:tc>
                <w:tcPr>
                  <w:tcW w:w="3289" w:type="dxa"/>
                  <w:tcBorders>
                    <w:tl2br w:val="nil"/>
                    <w:tr2bl w:val="nil"/>
                  </w:tcBorders>
                  <w:noWrap w:val="0"/>
                  <w:vAlign w:val="center"/>
                </w:tcPr>
                <w:p w14:paraId="342B088B">
                  <w:pPr>
                    <w:widowControl/>
                    <w:adjustRightInd w:val="0"/>
                    <w:snapToGrid w:val="0"/>
                    <w:spacing w:line="240" w:lineRule="auto"/>
                    <w:jc w:val="left"/>
                    <w:rPr>
                      <w:rFonts w:hint="eastAsia"/>
                      <w:color w:val="auto"/>
                      <w:sz w:val="21"/>
                      <w:szCs w:val="18"/>
                    </w:rPr>
                  </w:pPr>
                  <w:r>
                    <w:rPr>
                      <w:rFonts w:hint="eastAsia"/>
                      <w:color w:val="auto"/>
                      <w:sz w:val="21"/>
                      <w:szCs w:val="18"/>
                    </w:rPr>
                    <w:t>具有布局合理的诊疗室、隔离室、药房等功能区；</w:t>
                  </w:r>
                </w:p>
              </w:tc>
              <w:tc>
                <w:tcPr>
                  <w:tcW w:w="3663" w:type="dxa"/>
                  <w:tcBorders>
                    <w:tl2br w:val="nil"/>
                    <w:tr2bl w:val="nil"/>
                  </w:tcBorders>
                  <w:noWrap w:val="0"/>
                  <w:vAlign w:val="center"/>
                </w:tcPr>
                <w:p w14:paraId="7C9AA673">
                  <w:pPr>
                    <w:widowControl/>
                    <w:adjustRightInd w:val="0"/>
                    <w:snapToGrid w:val="0"/>
                    <w:spacing w:line="240" w:lineRule="auto"/>
                    <w:jc w:val="left"/>
                    <w:rPr>
                      <w:rFonts w:hint="eastAsia" w:eastAsia="宋体"/>
                      <w:color w:val="auto"/>
                      <w:sz w:val="21"/>
                      <w:szCs w:val="18"/>
                      <w:lang w:val="en-US" w:eastAsia="zh-CN"/>
                    </w:rPr>
                  </w:pPr>
                  <w:r>
                    <w:rPr>
                      <w:rFonts w:hint="eastAsia"/>
                      <w:color w:val="auto"/>
                      <w:sz w:val="21"/>
                      <w:szCs w:val="18"/>
                    </w:rPr>
                    <w:t>本项目具有布局合理的诊疗室、隔离室、药房等功能区</w:t>
                  </w:r>
                  <w:r>
                    <w:rPr>
                      <w:rFonts w:hint="eastAsia"/>
                      <w:color w:val="auto"/>
                      <w:sz w:val="21"/>
                      <w:szCs w:val="18"/>
                      <w:lang w:eastAsia="zh-CN"/>
                    </w:rPr>
                    <w:t>；</w:t>
                  </w:r>
                </w:p>
              </w:tc>
              <w:tc>
                <w:tcPr>
                  <w:tcW w:w="739" w:type="dxa"/>
                  <w:tcBorders>
                    <w:tl2br w:val="nil"/>
                    <w:tr2bl w:val="nil"/>
                  </w:tcBorders>
                  <w:noWrap w:val="0"/>
                  <w:vAlign w:val="center"/>
                </w:tcPr>
                <w:p w14:paraId="2225E747">
                  <w:pPr>
                    <w:widowControl/>
                    <w:adjustRightInd w:val="0"/>
                    <w:snapToGrid w:val="0"/>
                    <w:spacing w:line="240" w:lineRule="auto"/>
                    <w:jc w:val="center"/>
                    <w:rPr>
                      <w:rFonts w:hint="eastAsia"/>
                      <w:color w:val="auto"/>
                      <w:sz w:val="21"/>
                      <w:szCs w:val="18"/>
                    </w:rPr>
                  </w:pPr>
                  <w:r>
                    <w:rPr>
                      <w:rFonts w:hint="eastAsia"/>
                      <w:color w:val="auto"/>
                      <w:sz w:val="21"/>
                      <w:szCs w:val="18"/>
                    </w:rPr>
                    <w:t>符合</w:t>
                  </w:r>
                </w:p>
              </w:tc>
            </w:tr>
            <w:tr w14:paraId="42BE6B6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72" w:hRule="atLeast"/>
                <w:jc w:val="center"/>
              </w:trPr>
              <w:tc>
                <w:tcPr>
                  <w:tcW w:w="705" w:type="dxa"/>
                  <w:tcBorders>
                    <w:tl2br w:val="nil"/>
                    <w:tr2bl w:val="nil"/>
                  </w:tcBorders>
                  <w:noWrap w:val="0"/>
                  <w:vAlign w:val="center"/>
                </w:tcPr>
                <w:p w14:paraId="2F781CB8">
                  <w:pPr>
                    <w:widowControl/>
                    <w:adjustRightInd w:val="0"/>
                    <w:snapToGrid w:val="0"/>
                    <w:spacing w:line="240" w:lineRule="auto"/>
                    <w:jc w:val="center"/>
                    <w:rPr>
                      <w:rFonts w:hint="eastAsia"/>
                      <w:color w:val="auto"/>
                      <w:sz w:val="21"/>
                      <w:szCs w:val="18"/>
                    </w:rPr>
                  </w:pPr>
                  <w:r>
                    <w:rPr>
                      <w:rFonts w:hint="eastAsia"/>
                      <w:color w:val="auto"/>
                      <w:sz w:val="21"/>
                      <w:szCs w:val="18"/>
                    </w:rPr>
                    <w:t>（五）</w:t>
                  </w:r>
                </w:p>
              </w:tc>
              <w:tc>
                <w:tcPr>
                  <w:tcW w:w="3289" w:type="dxa"/>
                  <w:tcBorders>
                    <w:tl2br w:val="nil"/>
                    <w:tr2bl w:val="nil"/>
                  </w:tcBorders>
                  <w:noWrap w:val="0"/>
                  <w:vAlign w:val="center"/>
                </w:tcPr>
                <w:p w14:paraId="46ADAE72">
                  <w:pPr>
                    <w:widowControl/>
                    <w:adjustRightInd w:val="0"/>
                    <w:snapToGrid w:val="0"/>
                    <w:spacing w:line="240" w:lineRule="auto"/>
                    <w:jc w:val="left"/>
                    <w:rPr>
                      <w:rFonts w:hint="eastAsia"/>
                      <w:color w:val="auto"/>
                      <w:sz w:val="21"/>
                      <w:szCs w:val="18"/>
                    </w:rPr>
                  </w:pPr>
                  <w:r>
                    <w:rPr>
                      <w:rFonts w:hint="eastAsia"/>
                      <w:color w:val="auto"/>
                      <w:sz w:val="21"/>
                      <w:szCs w:val="18"/>
                    </w:rPr>
                    <w:t>具有诊断、消毒、冷藏、常规化验、污水处理等器械设备；</w:t>
                  </w:r>
                </w:p>
              </w:tc>
              <w:tc>
                <w:tcPr>
                  <w:tcW w:w="3663" w:type="dxa"/>
                  <w:tcBorders>
                    <w:tl2br w:val="nil"/>
                    <w:tr2bl w:val="nil"/>
                  </w:tcBorders>
                  <w:noWrap w:val="0"/>
                  <w:vAlign w:val="center"/>
                </w:tcPr>
                <w:p w14:paraId="7AC344B0">
                  <w:pPr>
                    <w:widowControl/>
                    <w:adjustRightInd w:val="0"/>
                    <w:snapToGrid w:val="0"/>
                    <w:spacing w:line="240" w:lineRule="auto"/>
                    <w:jc w:val="left"/>
                    <w:rPr>
                      <w:rFonts w:hint="eastAsia" w:eastAsia="宋体"/>
                      <w:color w:val="auto"/>
                      <w:sz w:val="21"/>
                      <w:szCs w:val="18"/>
                      <w:lang w:val="en-US" w:eastAsia="zh-CN"/>
                    </w:rPr>
                  </w:pPr>
                  <w:r>
                    <w:rPr>
                      <w:rFonts w:hint="eastAsia"/>
                      <w:color w:val="auto"/>
                      <w:sz w:val="21"/>
                      <w:szCs w:val="18"/>
                    </w:rPr>
                    <w:t>本项目具有诊断、消毒、冷藏、常规化验、污水处理等器械设备</w:t>
                  </w:r>
                  <w:r>
                    <w:rPr>
                      <w:rFonts w:hint="eastAsia"/>
                      <w:color w:val="auto"/>
                      <w:sz w:val="21"/>
                      <w:szCs w:val="18"/>
                      <w:lang w:eastAsia="zh-CN"/>
                    </w:rPr>
                    <w:t>；</w:t>
                  </w:r>
                </w:p>
              </w:tc>
              <w:tc>
                <w:tcPr>
                  <w:tcW w:w="739" w:type="dxa"/>
                  <w:tcBorders>
                    <w:tl2br w:val="nil"/>
                    <w:tr2bl w:val="nil"/>
                  </w:tcBorders>
                  <w:noWrap w:val="0"/>
                  <w:vAlign w:val="center"/>
                </w:tcPr>
                <w:p w14:paraId="0ED38715">
                  <w:pPr>
                    <w:widowControl/>
                    <w:adjustRightInd w:val="0"/>
                    <w:snapToGrid w:val="0"/>
                    <w:spacing w:line="240" w:lineRule="auto"/>
                    <w:jc w:val="center"/>
                    <w:rPr>
                      <w:rFonts w:hint="eastAsia"/>
                      <w:color w:val="auto"/>
                      <w:sz w:val="21"/>
                      <w:szCs w:val="18"/>
                    </w:rPr>
                  </w:pPr>
                  <w:r>
                    <w:rPr>
                      <w:rFonts w:hint="eastAsia"/>
                      <w:color w:val="auto"/>
                      <w:sz w:val="21"/>
                      <w:szCs w:val="18"/>
                    </w:rPr>
                    <w:t>符合</w:t>
                  </w:r>
                </w:p>
              </w:tc>
            </w:tr>
            <w:tr w14:paraId="4C7863D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94" w:hRule="atLeast"/>
                <w:jc w:val="center"/>
              </w:trPr>
              <w:tc>
                <w:tcPr>
                  <w:tcW w:w="705" w:type="dxa"/>
                  <w:tcBorders>
                    <w:tl2br w:val="nil"/>
                    <w:tr2bl w:val="nil"/>
                  </w:tcBorders>
                  <w:noWrap w:val="0"/>
                  <w:vAlign w:val="center"/>
                </w:tcPr>
                <w:p w14:paraId="5B1CA764">
                  <w:pPr>
                    <w:widowControl/>
                    <w:adjustRightInd w:val="0"/>
                    <w:snapToGrid w:val="0"/>
                    <w:spacing w:line="240" w:lineRule="auto"/>
                    <w:jc w:val="center"/>
                    <w:rPr>
                      <w:rFonts w:hint="eastAsia"/>
                      <w:color w:val="auto"/>
                      <w:sz w:val="21"/>
                      <w:szCs w:val="18"/>
                    </w:rPr>
                  </w:pPr>
                  <w:r>
                    <w:rPr>
                      <w:rFonts w:hint="eastAsia"/>
                      <w:color w:val="auto"/>
                      <w:sz w:val="21"/>
                      <w:szCs w:val="18"/>
                    </w:rPr>
                    <w:t>（六）</w:t>
                  </w:r>
                </w:p>
              </w:tc>
              <w:tc>
                <w:tcPr>
                  <w:tcW w:w="3289" w:type="dxa"/>
                  <w:tcBorders>
                    <w:tl2br w:val="nil"/>
                    <w:tr2bl w:val="nil"/>
                  </w:tcBorders>
                  <w:noWrap w:val="0"/>
                  <w:vAlign w:val="center"/>
                </w:tcPr>
                <w:p w14:paraId="547EDECB">
                  <w:pPr>
                    <w:widowControl/>
                    <w:adjustRightInd w:val="0"/>
                    <w:snapToGrid w:val="0"/>
                    <w:spacing w:line="240" w:lineRule="auto"/>
                    <w:jc w:val="left"/>
                    <w:rPr>
                      <w:rFonts w:hint="eastAsia"/>
                      <w:color w:val="auto"/>
                      <w:sz w:val="21"/>
                      <w:szCs w:val="18"/>
                    </w:rPr>
                  </w:pPr>
                  <w:r>
                    <w:rPr>
                      <w:rFonts w:hint="eastAsia"/>
                      <w:color w:val="auto"/>
                      <w:sz w:val="21"/>
                      <w:szCs w:val="18"/>
                    </w:rPr>
                    <w:t>具有诊疗废弃物暂存处理设施， 并委托专业处理机构处理；</w:t>
                  </w:r>
                </w:p>
              </w:tc>
              <w:tc>
                <w:tcPr>
                  <w:tcW w:w="3663" w:type="dxa"/>
                  <w:tcBorders>
                    <w:tl2br w:val="nil"/>
                    <w:tr2bl w:val="nil"/>
                  </w:tcBorders>
                  <w:noWrap w:val="0"/>
                  <w:vAlign w:val="center"/>
                </w:tcPr>
                <w:p w14:paraId="5FCC2917">
                  <w:pPr>
                    <w:widowControl/>
                    <w:adjustRightInd w:val="0"/>
                    <w:snapToGrid w:val="0"/>
                    <w:spacing w:line="240" w:lineRule="auto"/>
                    <w:jc w:val="left"/>
                    <w:rPr>
                      <w:rFonts w:hint="eastAsia" w:eastAsia="宋体"/>
                      <w:color w:val="auto"/>
                      <w:sz w:val="21"/>
                      <w:szCs w:val="18"/>
                      <w:lang w:eastAsia="zh-CN"/>
                    </w:rPr>
                  </w:pPr>
                  <w:r>
                    <w:rPr>
                      <w:rFonts w:hint="eastAsia"/>
                      <w:color w:val="auto"/>
                      <w:sz w:val="21"/>
                      <w:szCs w:val="18"/>
                    </w:rPr>
                    <w:t>本项目拟设一间危险废物暂存间用于暂存医疗废物，并委托有资质的单位安全处理处置</w:t>
                  </w:r>
                  <w:r>
                    <w:rPr>
                      <w:rFonts w:hint="eastAsia"/>
                      <w:color w:val="auto"/>
                      <w:sz w:val="21"/>
                      <w:szCs w:val="18"/>
                      <w:lang w:eastAsia="zh-CN"/>
                    </w:rPr>
                    <w:t>；</w:t>
                  </w:r>
                </w:p>
              </w:tc>
              <w:tc>
                <w:tcPr>
                  <w:tcW w:w="739" w:type="dxa"/>
                  <w:tcBorders>
                    <w:tl2br w:val="nil"/>
                    <w:tr2bl w:val="nil"/>
                  </w:tcBorders>
                  <w:noWrap w:val="0"/>
                  <w:vAlign w:val="center"/>
                </w:tcPr>
                <w:p w14:paraId="645B473D">
                  <w:pPr>
                    <w:widowControl/>
                    <w:adjustRightInd w:val="0"/>
                    <w:snapToGrid w:val="0"/>
                    <w:spacing w:line="240" w:lineRule="auto"/>
                    <w:jc w:val="center"/>
                    <w:rPr>
                      <w:rFonts w:hint="eastAsia"/>
                      <w:color w:val="auto"/>
                      <w:sz w:val="21"/>
                      <w:szCs w:val="18"/>
                    </w:rPr>
                  </w:pPr>
                  <w:r>
                    <w:rPr>
                      <w:rFonts w:hint="eastAsia"/>
                      <w:color w:val="auto"/>
                      <w:sz w:val="21"/>
                      <w:szCs w:val="18"/>
                    </w:rPr>
                    <w:t>符合</w:t>
                  </w:r>
                </w:p>
              </w:tc>
            </w:tr>
            <w:tr w14:paraId="00FC038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72" w:hRule="atLeast"/>
                <w:jc w:val="center"/>
              </w:trPr>
              <w:tc>
                <w:tcPr>
                  <w:tcW w:w="705" w:type="dxa"/>
                  <w:tcBorders>
                    <w:tl2br w:val="nil"/>
                    <w:tr2bl w:val="nil"/>
                  </w:tcBorders>
                  <w:noWrap w:val="0"/>
                  <w:vAlign w:val="center"/>
                </w:tcPr>
                <w:p w14:paraId="264FD3FB">
                  <w:pPr>
                    <w:widowControl/>
                    <w:adjustRightInd w:val="0"/>
                    <w:snapToGrid w:val="0"/>
                    <w:spacing w:line="240" w:lineRule="auto"/>
                    <w:jc w:val="center"/>
                    <w:rPr>
                      <w:rFonts w:hint="eastAsia"/>
                      <w:color w:val="auto"/>
                      <w:sz w:val="21"/>
                      <w:szCs w:val="18"/>
                    </w:rPr>
                  </w:pPr>
                  <w:r>
                    <w:rPr>
                      <w:rFonts w:hint="eastAsia"/>
                      <w:color w:val="auto"/>
                      <w:sz w:val="21"/>
                      <w:szCs w:val="18"/>
                    </w:rPr>
                    <w:t>（七）</w:t>
                  </w:r>
                </w:p>
              </w:tc>
              <w:tc>
                <w:tcPr>
                  <w:tcW w:w="3289" w:type="dxa"/>
                  <w:tcBorders>
                    <w:tl2br w:val="nil"/>
                    <w:tr2bl w:val="nil"/>
                  </w:tcBorders>
                  <w:noWrap w:val="0"/>
                  <w:vAlign w:val="center"/>
                </w:tcPr>
                <w:p w14:paraId="1A14AAF6">
                  <w:pPr>
                    <w:widowControl/>
                    <w:adjustRightInd w:val="0"/>
                    <w:snapToGrid w:val="0"/>
                    <w:spacing w:line="240" w:lineRule="auto"/>
                    <w:jc w:val="left"/>
                    <w:rPr>
                      <w:rFonts w:hint="eastAsia"/>
                      <w:color w:val="auto"/>
                      <w:sz w:val="21"/>
                      <w:szCs w:val="18"/>
                    </w:rPr>
                  </w:pPr>
                  <w:r>
                    <w:rPr>
                      <w:rFonts w:hint="eastAsia"/>
                      <w:color w:val="auto"/>
                      <w:sz w:val="21"/>
                      <w:szCs w:val="18"/>
                    </w:rPr>
                    <w:t>具有染疫或者疑似染疫动物的隔离控制措施及设施设备；</w:t>
                  </w:r>
                </w:p>
              </w:tc>
              <w:tc>
                <w:tcPr>
                  <w:tcW w:w="3663" w:type="dxa"/>
                  <w:tcBorders>
                    <w:tl2br w:val="nil"/>
                    <w:tr2bl w:val="nil"/>
                  </w:tcBorders>
                  <w:noWrap w:val="0"/>
                  <w:vAlign w:val="center"/>
                </w:tcPr>
                <w:p w14:paraId="0C9B935F">
                  <w:pPr>
                    <w:widowControl/>
                    <w:adjustRightInd w:val="0"/>
                    <w:snapToGrid w:val="0"/>
                    <w:spacing w:line="240" w:lineRule="auto"/>
                    <w:jc w:val="left"/>
                    <w:rPr>
                      <w:rFonts w:hint="eastAsia" w:eastAsia="宋体"/>
                      <w:color w:val="auto"/>
                      <w:sz w:val="21"/>
                      <w:szCs w:val="18"/>
                      <w:lang w:eastAsia="zh-CN"/>
                    </w:rPr>
                  </w:pPr>
                  <w:r>
                    <w:rPr>
                      <w:rFonts w:hint="eastAsia"/>
                      <w:color w:val="auto"/>
                      <w:sz w:val="21"/>
                      <w:szCs w:val="18"/>
                    </w:rPr>
                    <w:t>本项目设有1间隔离室，配备有染疫或者疑似染疫动物的隔离控制措施及设施设备</w:t>
                  </w:r>
                  <w:r>
                    <w:rPr>
                      <w:rFonts w:hint="eastAsia"/>
                      <w:color w:val="auto"/>
                      <w:sz w:val="21"/>
                      <w:szCs w:val="18"/>
                      <w:lang w:eastAsia="zh-CN"/>
                    </w:rPr>
                    <w:t>；</w:t>
                  </w:r>
                </w:p>
              </w:tc>
              <w:tc>
                <w:tcPr>
                  <w:tcW w:w="739" w:type="dxa"/>
                  <w:tcBorders>
                    <w:tl2br w:val="nil"/>
                    <w:tr2bl w:val="nil"/>
                  </w:tcBorders>
                  <w:noWrap w:val="0"/>
                  <w:vAlign w:val="center"/>
                </w:tcPr>
                <w:p w14:paraId="34D540CD">
                  <w:pPr>
                    <w:widowControl/>
                    <w:adjustRightInd w:val="0"/>
                    <w:snapToGrid w:val="0"/>
                    <w:spacing w:line="240" w:lineRule="auto"/>
                    <w:jc w:val="center"/>
                    <w:rPr>
                      <w:rFonts w:hint="eastAsia"/>
                      <w:color w:val="auto"/>
                      <w:sz w:val="21"/>
                      <w:szCs w:val="18"/>
                    </w:rPr>
                  </w:pPr>
                  <w:r>
                    <w:rPr>
                      <w:rFonts w:hint="eastAsia"/>
                      <w:color w:val="auto"/>
                      <w:sz w:val="21"/>
                      <w:szCs w:val="18"/>
                    </w:rPr>
                    <w:t>符合</w:t>
                  </w:r>
                </w:p>
              </w:tc>
            </w:tr>
            <w:tr w14:paraId="1680D1A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72" w:hRule="atLeast"/>
                <w:jc w:val="center"/>
              </w:trPr>
              <w:tc>
                <w:tcPr>
                  <w:tcW w:w="705" w:type="dxa"/>
                  <w:tcBorders>
                    <w:tl2br w:val="nil"/>
                    <w:tr2bl w:val="nil"/>
                  </w:tcBorders>
                  <w:noWrap w:val="0"/>
                  <w:vAlign w:val="center"/>
                </w:tcPr>
                <w:p w14:paraId="373142B3">
                  <w:pPr>
                    <w:widowControl/>
                    <w:adjustRightInd w:val="0"/>
                    <w:snapToGrid w:val="0"/>
                    <w:spacing w:line="240" w:lineRule="auto"/>
                    <w:jc w:val="center"/>
                    <w:rPr>
                      <w:rFonts w:hint="eastAsia"/>
                      <w:color w:val="auto"/>
                      <w:sz w:val="21"/>
                      <w:szCs w:val="18"/>
                    </w:rPr>
                  </w:pPr>
                  <w:r>
                    <w:rPr>
                      <w:rFonts w:hint="eastAsia"/>
                      <w:color w:val="auto"/>
                      <w:sz w:val="21"/>
                      <w:szCs w:val="18"/>
                    </w:rPr>
                    <w:t>（八）</w:t>
                  </w:r>
                </w:p>
              </w:tc>
              <w:tc>
                <w:tcPr>
                  <w:tcW w:w="3289" w:type="dxa"/>
                  <w:tcBorders>
                    <w:tl2br w:val="nil"/>
                    <w:tr2bl w:val="nil"/>
                  </w:tcBorders>
                  <w:noWrap w:val="0"/>
                  <w:vAlign w:val="center"/>
                </w:tcPr>
                <w:p w14:paraId="41223E96">
                  <w:pPr>
                    <w:widowControl/>
                    <w:adjustRightInd w:val="0"/>
                    <w:snapToGrid w:val="0"/>
                    <w:spacing w:line="240" w:lineRule="auto"/>
                    <w:jc w:val="left"/>
                    <w:rPr>
                      <w:rFonts w:hint="eastAsia"/>
                      <w:color w:val="auto"/>
                      <w:sz w:val="21"/>
                      <w:szCs w:val="18"/>
                    </w:rPr>
                  </w:pPr>
                  <w:r>
                    <w:rPr>
                      <w:rFonts w:hint="eastAsia"/>
                      <w:color w:val="auto"/>
                      <w:sz w:val="21"/>
                      <w:szCs w:val="18"/>
                    </w:rPr>
                    <w:t>具有与动物诊疗活动相适应的执业兽医；</w:t>
                  </w:r>
                </w:p>
              </w:tc>
              <w:tc>
                <w:tcPr>
                  <w:tcW w:w="3663" w:type="dxa"/>
                  <w:tcBorders>
                    <w:tl2br w:val="nil"/>
                    <w:tr2bl w:val="nil"/>
                  </w:tcBorders>
                  <w:noWrap w:val="0"/>
                  <w:vAlign w:val="center"/>
                </w:tcPr>
                <w:p w14:paraId="444BF6DA">
                  <w:pPr>
                    <w:widowControl/>
                    <w:adjustRightInd w:val="0"/>
                    <w:snapToGrid w:val="0"/>
                    <w:spacing w:line="240" w:lineRule="auto"/>
                    <w:jc w:val="left"/>
                    <w:rPr>
                      <w:rFonts w:hint="eastAsia" w:eastAsia="宋体"/>
                      <w:color w:val="auto"/>
                      <w:sz w:val="21"/>
                      <w:szCs w:val="18"/>
                      <w:lang w:eastAsia="zh-CN"/>
                    </w:rPr>
                  </w:pPr>
                  <w:r>
                    <w:rPr>
                      <w:rFonts w:hint="eastAsia"/>
                      <w:color w:val="auto"/>
                      <w:sz w:val="21"/>
                      <w:szCs w:val="18"/>
                    </w:rPr>
                    <w:t>本项目将聘请与动物诊疗活动相适应的执业兽医</w:t>
                  </w:r>
                  <w:r>
                    <w:rPr>
                      <w:rFonts w:hint="eastAsia"/>
                      <w:color w:val="auto"/>
                      <w:sz w:val="21"/>
                      <w:szCs w:val="18"/>
                      <w:lang w:eastAsia="zh-CN"/>
                    </w:rPr>
                    <w:t>；</w:t>
                  </w:r>
                </w:p>
              </w:tc>
              <w:tc>
                <w:tcPr>
                  <w:tcW w:w="739" w:type="dxa"/>
                  <w:tcBorders>
                    <w:tl2br w:val="nil"/>
                    <w:tr2bl w:val="nil"/>
                  </w:tcBorders>
                  <w:noWrap w:val="0"/>
                  <w:vAlign w:val="center"/>
                </w:tcPr>
                <w:p w14:paraId="55474007">
                  <w:pPr>
                    <w:widowControl/>
                    <w:adjustRightInd w:val="0"/>
                    <w:snapToGrid w:val="0"/>
                    <w:spacing w:line="240" w:lineRule="auto"/>
                    <w:jc w:val="center"/>
                    <w:rPr>
                      <w:rFonts w:hint="eastAsia"/>
                      <w:color w:val="auto"/>
                      <w:sz w:val="21"/>
                      <w:szCs w:val="18"/>
                    </w:rPr>
                  </w:pPr>
                  <w:r>
                    <w:rPr>
                      <w:rFonts w:hint="eastAsia"/>
                      <w:color w:val="auto"/>
                      <w:sz w:val="21"/>
                      <w:szCs w:val="18"/>
                    </w:rPr>
                    <w:t>符合</w:t>
                  </w:r>
                </w:p>
              </w:tc>
            </w:tr>
            <w:tr w14:paraId="753F163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38" w:hRule="atLeast"/>
                <w:jc w:val="center"/>
              </w:trPr>
              <w:tc>
                <w:tcPr>
                  <w:tcW w:w="705" w:type="dxa"/>
                  <w:tcBorders>
                    <w:tl2br w:val="nil"/>
                    <w:tr2bl w:val="nil"/>
                  </w:tcBorders>
                  <w:noWrap w:val="0"/>
                  <w:vAlign w:val="center"/>
                </w:tcPr>
                <w:p w14:paraId="5DAB58D4">
                  <w:pPr>
                    <w:widowControl/>
                    <w:adjustRightInd w:val="0"/>
                    <w:snapToGrid w:val="0"/>
                    <w:spacing w:line="240" w:lineRule="auto"/>
                    <w:jc w:val="center"/>
                    <w:rPr>
                      <w:rFonts w:hint="eastAsia"/>
                      <w:color w:val="auto"/>
                      <w:sz w:val="21"/>
                      <w:szCs w:val="18"/>
                    </w:rPr>
                  </w:pPr>
                </w:p>
                <w:p w14:paraId="154CFC50">
                  <w:pPr>
                    <w:widowControl/>
                    <w:adjustRightInd w:val="0"/>
                    <w:snapToGrid w:val="0"/>
                    <w:spacing w:line="240" w:lineRule="auto"/>
                    <w:jc w:val="center"/>
                    <w:rPr>
                      <w:rFonts w:hint="eastAsia"/>
                      <w:color w:val="auto"/>
                      <w:sz w:val="21"/>
                      <w:szCs w:val="18"/>
                    </w:rPr>
                  </w:pPr>
                  <w:r>
                    <w:rPr>
                      <w:rFonts w:hint="eastAsia"/>
                      <w:color w:val="auto"/>
                      <w:sz w:val="21"/>
                      <w:szCs w:val="18"/>
                    </w:rPr>
                    <w:t>（九）</w:t>
                  </w:r>
                </w:p>
              </w:tc>
              <w:tc>
                <w:tcPr>
                  <w:tcW w:w="3289" w:type="dxa"/>
                  <w:tcBorders>
                    <w:tl2br w:val="nil"/>
                    <w:tr2bl w:val="nil"/>
                  </w:tcBorders>
                  <w:noWrap w:val="0"/>
                  <w:vAlign w:val="center"/>
                </w:tcPr>
                <w:p w14:paraId="08D8C239">
                  <w:pPr>
                    <w:widowControl/>
                    <w:adjustRightInd w:val="0"/>
                    <w:snapToGrid w:val="0"/>
                    <w:spacing w:line="240" w:lineRule="auto"/>
                    <w:jc w:val="left"/>
                    <w:rPr>
                      <w:rFonts w:hint="eastAsia"/>
                      <w:color w:val="auto"/>
                      <w:sz w:val="21"/>
                      <w:szCs w:val="18"/>
                    </w:rPr>
                  </w:pPr>
                  <w:r>
                    <w:rPr>
                      <w:rFonts w:hint="eastAsia"/>
                      <w:color w:val="auto"/>
                      <w:sz w:val="21"/>
                      <w:szCs w:val="18"/>
                    </w:rPr>
                    <w:t>具有完善的诊疗服务、疫情报告、卫生安全防护、消毒、隔离、诊疗废弃物暂存、兽医器械、兽医处方、药物和无害化处理等管理制度。</w:t>
                  </w:r>
                </w:p>
              </w:tc>
              <w:tc>
                <w:tcPr>
                  <w:tcW w:w="3663" w:type="dxa"/>
                  <w:tcBorders>
                    <w:tl2br w:val="nil"/>
                    <w:tr2bl w:val="nil"/>
                  </w:tcBorders>
                  <w:noWrap w:val="0"/>
                  <w:vAlign w:val="center"/>
                </w:tcPr>
                <w:p w14:paraId="662DD625">
                  <w:pPr>
                    <w:widowControl/>
                    <w:adjustRightInd w:val="0"/>
                    <w:snapToGrid w:val="0"/>
                    <w:spacing w:line="240" w:lineRule="auto"/>
                    <w:jc w:val="left"/>
                    <w:rPr>
                      <w:rFonts w:hint="eastAsia" w:eastAsia="宋体"/>
                      <w:color w:val="auto"/>
                      <w:sz w:val="21"/>
                      <w:szCs w:val="18"/>
                      <w:lang w:eastAsia="zh-CN"/>
                    </w:rPr>
                  </w:pPr>
                  <w:r>
                    <w:rPr>
                      <w:rFonts w:hint="eastAsia"/>
                      <w:color w:val="auto"/>
                      <w:sz w:val="21"/>
                      <w:szCs w:val="18"/>
                    </w:rPr>
                    <w:t>本项目将设置完善的诊疗服务、疫情报告、卫生安全防护、消毒、隔离、诊疗废弃物暂存、兽医器械、兽医处方、药物和无害化处理等管理制度</w:t>
                  </w:r>
                  <w:r>
                    <w:rPr>
                      <w:rFonts w:hint="eastAsia"/>
                      <w:color w:val="auto"/>
                      <w:sz w:val="21"/>
                      <w:szCs w:val="18"/>
                      <w:lang w:eastAsia="zh-CN"/>
                    </w:rPr>
                    <w:t>；</w:t>
                  </w:r>
                </w:p>
              </w:tc>
              <w:tc>
                <w:tcPr>
                  <w:tcW w:w="739" w:type="dxa"/>
                  <w:tcBorders>
                    <w:tl2br w:val="nil"/>
                    <w:tr2bl w:val="nil"/>
                  </w:tcBorders>
                  <w:noWrap w:val="0"/>
                  <w:vAlign w:val="center"/>
                </w:tcPr>
                <w:p w14:paraId="51EF6A1C">
                  <w:pPr>
                    <w:widowControl/>
                    <w:adjustRightInd w:val="0"/>
                    <w:snapToGrid w:val="0"/>
                    <w:spacing w:line="240" w:lineRule="auto"/>
                    <w:jc w:val="center"/>
                    <w:rPr>
                      <w:rFonts w:hint="eastAsia"/>
                      <w:color w:val="auto"/>
                      <w:sz w:val="21"/>
                      <w:szCs w:val="18"/>
                    </w:rPr>
                  </w:pPr>
                  <w:r>
                    <w:rPr>
                      <w:rFonts w:hint="eastAsia"/>
                      <w:color w:val="auto"/>
                      <w:sz w:val="21"/>
                      <w:szCs w:val="18"/>
                    </w:rPr>
                    <w:t>符合</w:t>
                  </w:r>
                </w:p>
              </w:tc>
            </w:tr>
            <w:tr w14:paraId="555CF5D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72" w:hRule="atLeast"/>
                <w:jc w:val="center"/>
              </w:trPr>
              <w:tc>
                <w:tcPr>
                  <w:tcW w:w="705" w:type="dxa"/>
                  <w:tcBorders>
                    <w:tl2br w:val="nil"/>
                    <w:tr2bl w:val="nil"/>
                  </w:tcBorders>
                  <w:noWrap w:val="0"/>
                  <w:vAlign w:val="center"/>
                </w:tcPr>
                <w:p w14:paraId="05EE3E54">
                  <w:pPr>
                    <w:widowControl/>
                    <w:adjustRightInd w:val="0"/>
                    <w:snapToGrid w:val="0"/>
                    <w:spacing w:line="240" w:lineRule="auto"/>
                    <w:jc w:val="center"/>
                    <w:rPr>
                      <w:rFonts w:hint="eastAsia"/>
                      <w:color w:val="auto"/>
                      <w:sz w:val="21"/>
                      <w:szCs w:val="18"/>
                    </w:rPr>
                  </w:pPr>
                  <w:r>
                    <w:rPr>
                      <w:rFonts w:hint="eastAsia"/>
                      <w:color w:val="auto"/>
                      <w:sz w:val="21"/>
                      <w:szCs w:val="18"/>
                    </w:rPr>
                    <w:t>第八条</w:t>
                  </w:r>
                </w:p>
              </w:tc>
              <w:tc>
                <w:tcPr>
                  <w:tcW w:w="3289" w:type="dxa"/>
                  <w:tcBorders>
                    <w:tl2br w:val="nil"/>
                    <w:tr2bl w:val="nil"/>
                  </w:tcBorders>
                  <w:noWrap w:val="0"/>
                  <w:vAlign w:val="center"/>
                </w:tcPr>
                <w:p w14:paraId="16FBD845">
                  <w:pPr>
                    <w:widowControl/>
                    <w:adjustRightInd w:val="0"/>
                    <w:snapToGrid w:val="0"/>
                    <w:spacing w:line="240" w:lineRule="auto"/>
                    <w:jc w:val="left"/>
                    <w:rPr>
                      <w:rFonts w:hint="eastAsia"/>
                      <w:color w:val="auto"/>
                      <w:sz w:val="21"/>
                      <w:szCs w:val="18"/>
                    </w:rPr>
                  </w:pPr>
                  <w:r>
                    <w:rPr>
                      <w:rFonts w:hint="eastAsia"/>
                      <w:color w:val="auto"/>
                      <w:sz w:val="21"/>
                      <w:szCs w:val="18"/>
                    </w:rPr>
                    <w:t>动物医院除具备本办法第六条规定的条件外，还应当具备下列条件：</w:t>
                  </w:r>
                </w:p>
              </w:tc>
              <w:tc>
                <w:tcPr>
                  <w:tcW w:w="3663" w:type="dxa"/>
                  <w:tcBorders>
                    <w:tl2br w:val="nil"/>
                    <w:tr2bl w:val="nil"/>
                  </w:tcBorders>
                  <w:noWrap w:val="0"/>
                  <w:vAlign w:val="center"/>
                </w:tcPr>
                <w:p w14:paraId="40B99984">
                  <w:pPr>
                    <w:widowControl/>
                    <w:adjustRightInd w:val="0"/>
                    <w:snapToGrid w:val="0"/>
                    <w:spacing w:line="240" w:lineRule="auto"/>
                    <w:jc w:val="left"/>
                    <w:rPr>
                      <w:rFonts w:hint="eastAsia"/>
                      <w:color w:val="auto"/>
                      <w:sz w:val="21"/>
                      <w:szCs w:val="18"/>
                    </w:rPr>
                  </w:pPr>
                </w:p>
              </w:tc>
              <w:tc>
                <w:tcPr>
                  <w:tcW w:w="739" w:type="dxa"/>
                  <w:tcBorders>
                    <w:tl2br w:val="nil"/>
                    <w:tr2bl w:val="nil"/>
                  </w:tcBorders>
                  <w:noWrap w:val="0"/>
                  <w:vAlign w:val="center"/>
                </w:tcPr>
                <w:p w14:paraId="7B390C3E">
                  <w:pPr>
                    <w:widowControl/>
                    <w:adjustRightInd w:val="0"/>
                    <w:snapToGrid w:val="0"/>
                    <w:spacing w:line="240" w:lineRule="auto"/>
                    <w:jc w:val="center"/>
                    <w:rPr>
                      <w:rFonts w:hint="eastAsia"/>
                      <w:color w:val="auto"/>
                      <w:sz w:val="21"/>
                      <w:szCs w:val="18"/>
                    </w:rPr>
                  </w:pPr>
                </w:p>
              </w:tc>
            </w:tr>
            <w:tr w14:paraId="46E316C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7" w:hRule="atLeast"/>
                <w:jc w:val="center"/>
              </w:trPr>
              <w:tc>
                <w:tcPr>
                  <w:tcW w:w="705" w:type="dxa"/>
                  <w:tcBorders>
                    <w:tl2br w:val="nil"/>
                    <w:tr2bl w:val="nil"/>
                  </w:tcBorders>
                  <w:noWrap w:val="0"/>
                  <w:vAlign w:val="center"/>
                </w:tcPr>
                <w:p w14:paraId="167CA5F1">
                  <w:pPr>
                    <w:widowControl/>
                    <w:adjustRightInd w:val="0"/>
                    <w:snapToGrid w:val="0"/>
                    <w:spacing w:line="240" w:lineRule="auto"/>
                    <w:jc w:val="center"/>
                    <w:rPr>
                      <w:rFonts w:hint="eastAsia"/>
                      <w:color w:val="auto"/>
                      <w:sz w:val="21"/>
                      <w:szCs w:val="18"/>
                    </w:rPr>
                  </w:pPr>
                  <w:r>
                    <w:rPr>
                      <w:rFonts w:hint="eastAsia"/>
                      <w:color w:val="auto"/>
                      <w:sz w:val="21"/>
                      <w:szCs w:val="18"/>
                    </w:rPr>
                    <w:t>（一）</w:t>
                  </w:r>
                </w:p>
              </w:tc>
              <w:tc>
                <w:tcPr>
                  <w:tcW w:w="3289" w:type="dxa"/>
                  <w:tcBorders>
                    <w:tl2br w:val="nil"/>
                    <w:tr2bl w:val="nil"/>
                  </w:tcBorders>
                  <w:noWrap w:val="0"/>
                  <w:vAlign w:val="center"/>
                </w:tcPr>
                <w:p w14:paraId="55F89A00">
                  <w:pPr>
                    <w:widowControl/>
                    <w:adjustRightInd w:val="0"/>
                    <w:snapToGrid w:val="0"/>
                    <w:spacing w:line="240" w:lineRule="auto"/>
                    <w:jc w:val="left"/>
                    <w:rPr>
                      <w:rFonts w:hint="eastAsia"/>
                      <w:color w:val="auto"/>
                      <w:sz w:val="21"/>
                      <w:szCs w:val="18"/>
                    </w:rPr>
                  </w:pPr>
                  <w:r>
                    <w:rPr>
                      <w:rFonts w:hint="eastAsia"/>
                      <w:color w:val="auto"/>
                      <w:sz w:val="21"/>
                      <w:szCs w:val="18"/>
                    </w:rPr>
                    <w:t>具有三名以上执业兽医师；</w:t>
                  </w:r>
                </w:p>
              </w:tc>
              <w:tc>
                <w:tcPr>
                  <w:tcW w:w="3663" w:type="dxa"/>
                  <w:tcBorders>
                    <w:tl2br w:val="nil"/>
                    <w:tr2bl w:val="nil"/>
                  </w:tcBorders>
                  <w:noWrap w:val="0"/>
                  <w:vAlign w:val="center"/>
                </w:tcPr>
                <w:p w14:paraId="039A3D23">
                  <w:pPr>
                    <w:widowControl/>
                    <w:adjustRightInd w:val="0"/>
                    <w:snapToGrid w:val="0"/>
                    <w:spacing w:line="240" w:lineRule="auto"/>
                    <w:jc w:val="left"/>
                    <w:rPr>
                      <w:rFonts w:hint="eastAsia"/>
                      <w:color w:val="auto"/>
                      <w:sz w:val="21"/>
                      <w:szCs w:val="18"/>
                    </w:rPr>
                  </w:pPr>
                  <w:r>
                    <w:rPr>
                      <w:rFonts w:hint="eastAsia"/>
                      <w:color w:val="auto"/>
                      <w:sz w:val="21"/>
                      <w:szCs w:val="18"/>
                    </w:rPr>
                    <w:t>本项目拟聘请三名执业兽医师</w:t>
                  </w:r>
                </w:p>
              </w:tc>
              <w:tc>
                <w:tcPr>
                  <w:tcW w:w="739" w:type="dxa"/>
                  <w:tcBorders>
                    <w:tl2br w:val="nil"/>
                    <w:tr2bl w:val="nil"/>
                  </w:tcBorders>
                  <w:noWrap w:val="0"/>
                  <w:vAlign w:val="center"/>
                </w:tcPr>
                <w:p w14:paraId="4CE1D73D">
                  <w:pPr>
                    <w:widowControl/>
                    <w:adjustRightInd w:val="0"/>
                    <w:snapToGrid w:val="0"/>
                    <w:spacing w:line="240" w:lineRule="auto"/>
                    <w:jc w:val="center"/>
                    <w:rPr>
                      <w:rFonts w:hint="eastAsia"/>
                      <w:color w:val="auto"/>
                      <w:sz w:val="21"/>
                      <w:szCs w:val="18"/>
                    </w:rPr>
                  </w:pPr>
                  <w:r>
                    <w:rPr>
                      <w:rFonts w:hint="eastAsia"/>
                      <w:color w:val="auto"/>
                      <w:sz w:val="21"/>
                      <w:szCs w:val="18"/>
                    </w:rPr>
                    <w:t>符合</w:t>
                  </w:r>
                </w:p>
              </w:tc>
            </w:tr>
            <w:tr w14:paraId="07363BB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73" w:hRule="atLeast"/>
                <w:jc w:val="center"/>
              </w:trPr>
              <w:tc>
                <w:tcPr>
                  <w:tcW w:w="705" w:type="dxa"/>
                  <w:tcBorders>
                    <w:tl2br w:val="nil"/>
                    <w:tr2bl w:val="nil"/>
                  </w:tcBorders>
                  <w:noWrap w:val="0"/>
                  <w:vAlign w:val="center"/>
                </w:tcPr>
                <w:p w14:paraId="1B1BE653">
                  <w:pPr>
                    <w:widowControl/>
                    <w:adjustRightInd w:val="0"/>
                    <w:snapToGrid w:val="0"/>
                    <w:spacing w:line="240" w:lineRule="auto"/>
                    <w:jc w:val="center"/>
                    <w:rPr>
                      <w:rFonts w:hint="eastAsia"/>
                      <w:color w:val="auto"/>
                      <w:sz w:val="21"/>
                      <w:szCs w:val="18"/>
                    </w:rPr>
                  </w:pPr>
                  <w:r>
                    <w:rPr>
                      <w:rFonts w:hint="eastAsia"/>
                      <w:color w:val="auto"/>
                      <w:sz w:val="21"/>
                      <w:szCs w:val="18"/>
                    </w:rPr>
                    <w:t>（二）</w:t>
                  </w:r>
                </w:p>
              </w:tc>
              <w:tc>
                <w:tcPr>
                  <w:tcW w:w="3289" w:type="dxa"/>
                  <w:tcBorders>
                    <w:tl2br w:val="nil"/>
                    <w:tr2bl w:val="nil"/>
                  </w:tcBorders>
                  <w:noWrap w:val="0"/>
                  <w:vAlign w:val="center"/>
                </w:tcPr>
                <w:p w14:paraId="42000FB0">
                  <w:pPr>
                    <w:widowControl/>
                    <w:adjustRightInd w:val="0"/>
                    <w:snapToGrid w:val="0"/>
                    <w:spacing w:line="240" w:lineRule="auto"/>
                    <w:jc w:val="left"/>
                    <w:rPr>
                      <w:rFonts w:hint="eastAsia"/>
                      <w:color w:val="auto"/>
                      <w:sz w:val="21"/>
                      <w:szCs w:val="18"/>
                    </w:rPr>
                  </w:pPr>
                  <w:r>
                    <w:rPr>
                      <w:rFonts w:hint="eastAsia"/>
                      <w:color w:val="auto"/>
                      <w:sz w:val="21"/>
                      <w:szCs w:val="18"/>
                    </w:rPr>
                    <w:t>具有X光机或者B超等器械设备；</w:t>
                  </w:r>
                </w:p>
              </w:tc>
              <w:tc>
                <w:tcPr>
                  <w:tcW w:w="3663" w:type="dxa"/>
                  <w:tcBorders>
                    <w:tl2br w:val="nil"/>
                    <w:tr2bl w:val="nil"/>
                  </w:tcBorders>
                  <w:noWrap w:val="0"/>
                  <w:vAlign w:val="center"/>
                </w:tcPr>
                <w:p w14:paraId="4BA0EBC4">
                  <w:pPr>
                    <w:widowControl/>
                    <w:adjustRightInd w:val="0"/>
                    <w:snapToGrid w:val="0"/>
                    <w:spacing w:line="240" w:lineRule="auto"/>
                    <w:jc w:val="left"/>
                    <w:rPr>
                      <w:rFonts w:hint="eastAsia" w:eastAsia="宋体"/>
                      <w:color w:val="auto"/>
                      <w:sz w:val="21"/>
                      <w:szCs w:val="18"/>
                      <w:lang w:eastAsia="zh-CN"/>
                    </w:rPr>
                  </w:pPr>
                  <w:r>
                    <w:rPr>
                      <w:rFonts w:hint="eastAsia"/>
                      <w:color w:val="auto"/>
                      <w:sz w:val="21"/>
                      <w:szCs w:val="18"/>
                    </w:rPr>
                    <w:t>本项目</w:t>
                  </w:r>
                  <w:r>
                    <w:rPr>
                      <w:rFonts w:hint="eastAsia"/>
                      <w:color w:val="auto"/>
                      <w:sz w:val="21"/>
                      <w:szCs w:val="18"/>
                      <w:lang w:val="en-US" w:eastAsia="zh-CN"/>
                    </w:rPr>
                    <w:t>具有</w:t>
                  </w:r>
                  <w:r>
                    <w:rPr>
                      <w:rFonts w:hint="eastAsia"/>
                      <w:color w:val="auto"/>
                      <w:sz w:val="21"/>
                      <w:szCs w:val="18"/>
                    </w:rPr>
                    <w:t>1台</w:t>
                  </w:r>
                  <w:r>
                    <w:rPr>
                      <w:rFonts w:hint="eastAsia"/>
                      <w:color w:val="auto"/>
                      <w:sz w:val="21"/>
                      <w:szCs w:val="18"/>
                      <w:lang w:val="en-US" w:eastAsia="zh-CN"/>
                    </w:rPr>
                    <w:t xml:space="preserve">赫杨DR </w:t>
                  </w:r>
                  <w:r>
                    <w:rPr>
                      <w:rFonts w:hint="eastAsia"/>
                      <w:color w:val="auto"/>
                      <w:sz w:val="21"/>
                      <w:szCs w:val="18"/>
                    </w:rPr>
                    <w:t>X光机</w:t>
                  </w:r>
                  <w:r>
                    <w:rPr>
                      <w:rFonts w:hint="eastAsia"/>
                      <w:color w:val="auto"/>
                      <w:sz w:val="21"/>
                      <w:szCs w:val="18"/>
                      <w:lang w:eastAsia="zh-CN"/>
                    </w:rPr>
                    <w:t>；</w:t>
                  </w:r>
                </w:p>
              </w:tc>
              <w:tc>
                <w:tcPr>
                  <w:tcW w:w="739" w:type="dxa"/>
                  <w:tcBorders>
                    <w:tl2br w:val="nil"/>
                    <w:tr2bl w:val="nil"/>
                  </w:tcBorders>
                  <w:noWrap w:val="0"/>
                  <w:vAlign w:val="center"/>
                </w:tcPr>
                <w:p w14:paraId="62715189">
                  <w:pPr>
                    <w:widowControl/>
                    <w:adjustRightInd w:val="0"/>
                    <w:snapToGrid w:val="0"/>
                    <w:spacing w:line="240" w:lineRule="auto"/>
                    <w:jc w:val="center"/>
                    <w:rPr>
                      <w:rFonts w:hint="eastAsia"/>
                      <w:color w:val="auto"/>
                      <w:sz w:val="21"/>
                      <w:szCs w:val="18"/>
                    </w:rPr>
                  </w:pPr>
                  <w:r>
                    <w:rPr>
                      <w:rFonts w:hint="eastAsia"/>
                      <w:color w:val="auto"/>
                      <w:sz w:val="21"/>
                      <w:szCs w:val="18"/>
                    </w:rPr>
                    <w:t>符合</w:t>
                  </w:r>
                </w:p>
              </w:tc>
            </w:tr>
            <w:tr w14:paraId="59AD4F4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849" w:hRule="atLeast"/>
                <w:jc w:val="center"/>
              </w:trPr>
              <w:tc>
                <w:tcPr>
                  <w:tcW w:w="705" w:type="dxa"/>
                  <w:tcBorders>
                    <w:tl2br w:val="nil"/>
                    <w:tr2bl w:val="nil"/>
                  </w:tcBorders>
                  <w:noWrap w:val="0"/>
                  <w:vAlign w:val="center"/>
                </w:tcPr>
                <w:p w14:paraId="32AEE5B7">
                  <w:pPr>
                    <w:widowControl/>
                    <w:adjustRightInd w:val="0"/>
                    <w:snapToGrid w:val="0"/>
                    <w:spacing w:line="240" w:lineRule="auto"/>
                    <w:jc w:val="center"/>
                    <w:rPr>
                      <w:rFonts w:hint="eastAsia"/>
                      <w:color w:val="auto"/>
                      <w:sz w:val="21"/>
                      <w:szCs w:val="18"/>
                    </w:rPr>
                  </w:pPr>
                  <w:r>
                    <w:rPr>
                      <w:rFonts w:hint="eastAsia"/>
                      <w:color w:val="auto"/>
                      <w:sz w:val="21"/>
                      <w:szCs w:val="18"/>
                    </w:rPr>
                    <w:t>（三）</w:t>
                  </w:r>
                </w:p>
              </w:tc>
              <w:tc>
                <w:tcPr>
                  <w:tcW w:w="3289" w:type="dxa"/>
                  <w:tcBorders>
                    <w:tl2br w:val="nil"/>
                    <w:tr2bl w:val="nil"/>
                  </w:tcBorders>
                  <w:noWrap w:val="0"/>
                  <w:vAlign w:val="center"/>
                </w:tcPr>
                <w:p w14:paraId="582ED271">
                  <w:pPr>
                    <w:widowControl/>
                    <w:adjustRightInd w:val="0"/>
                    <w:snapToGrid w:val="0"/>
                    <w:spacing w:line="240" w:lineRule="auto"/>
                    <w:jc w:val="left"/>
                    <w:rPr>
                      <w:rFonts w:hint="eastAsia"/>
                      <w:color w:val="auto"/>
                      <w:sz w:val="21"/>
                      <w:szCs w:val="18"/>
                    </w:rPr>
                  </w:pPr>
                  <w:r>
                    <w:rPr>
                      <w:rFonts w:hint="eastAsia"/>
                      <w:color w:val="auto"/>
                      <w:sz w:val="21"/>
                      <w:szCs w:val="18"/>
                    </w:rPr>
                    <w:t>具有布局合理的手术室和手术设备。</w:t>
                  </w:r>
                </w:p>
              </w:tc>
              <w:tc>
                <w:tcPr>
                  <w:tcW w:w="3663" w:type="dxa"/>
                  <w:tcBorders>
                    <w:tl2br w:val="nil"/>
                    <w:tr2bl w:val="nil"/>
                  </w:tcBorders>
                  <w:noWrap w:val="0"/>
                  <w:vAlign w:val="center"/>
                </w:tcPr>
                <w:p w14:paraId="7C532418">
                  <w:pPr>
                    <w:widowControl/>
                    <w:adjustRightInd w:val="0"/>
                    <w:snapToGrid w:val="0"/>
                    <w:spacing w:line="240" w:lineRule="auto"/>
                    <w:jc w:val="left"/>
                    <w:rPr>
                      <w:rFonts w:hint="eastAsia" w:eastAsia="宋体"/>
                      <w:color w:val="auto"/>
                      <w:sz w:val="21"/>
                      <w:szCs w:val="18"/>
                      <w:lang w:eastAsia="zh-CN"/>
                    </w:rPr>
                  </w:pPr>
                  <w:r>
                    <w:rPr>
                      <w:rFonts w:hint="eastAsia"/>
                      <w:color w:val="auto"/>
                      <w:sz w:val="21"/>
                      <w:szCs w:val="18"/>
                    </w:rPr>
                    <w:t>本项目拟设</w:t>
                  </w:r>
                  <w:r>
                    <w:rPr>
                      <w:rFonts w:hint="eastAsia"/>
                      <w:color w:val="auto"/>
                      <w:sz w:val="21"/>
                      <w:szCs w:val="18"/>
                      <w:lang w:val="en-US" w:eastAsia="zh-CN"/>
                    </w:rPr>
                    <w:t>1</w:t>
                  </w:r>
                  <w:r>
                    <w:rPr>
                      <w:rFonts w:hint="eastAsia"/>
                      <w:color w:val="auto"/>
                      <w:sz w:val="21"/>
                      <w:szCs w:val="18"/>
                    </w:rPr>
                    <w:t>间布局合理的手术室，配备相应的手术设备</w:t>
                  </w:r>
                  <w:r>
                    <w:rPr>
                      <w:rFonts w:hint="eastAsia"/>
                      <w:color w:val="auto"/>
                      <w:sz w:val="21"/>
                      <w:szCs w:val="18"/>
                      <w:lang w:eastAsia="zh-CN"/>
                    </w:rPr>
                    <w:t>。</w:t>
                  </w:r>
                </w:p>
              </w:tc>
              <w:tc>
                <w:tcPr>
                  <w:tcW w:w="739" w:type="dxa"/>
                  <w:tcBorders>
                    <w:tl2br w:val="nil"/>
                    <w:tr2bl w:val="nil"/>
                  </w:tcBorders>
                  <w:noWrap w:val="0"/>
                  <w:vAlign w:val="center"/>
                </w:tcPr>
                <w:p w14:paraId="2D588C41">
                  <w:pPr>
                    <w:widowControl/>
                    <w:adjustRightInd w:val="0"/>
                    <w:snapToGrid w:val="0"/>
                    <w:spacing w:line="240" w:lineRule="auto"/>
                    <w:jc w:val="center"/>
                    <w:rPr>
                      <w:rFonts w:hint="eastAsia"/>
                      <w:color w:val="auto"/>
                      <w:sz w:val="21"/>
                      <w:szCs w:val="18"/>
                    </w:rPr>
                  </w:pPr>
                  <w:r>
                    <w:rPr>
                      <w:rFonts w:hint="eastAsia"/>
                      <w:color w:val="auto"/>
                      <w:sz w:val="21"/>
                      <w:szCs w:val="18"/>
                    </w:rPr>
                    <w:t>符合</w:t>
                  </w:r>
                </w:p>
              </w:tc>
            </w:tr>
            <w:tr w14:paraId="0115503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636" w:hRule="atLeast"/>
                <w:jc w:val="center"/>
              </w:trPr>
              <w:tc>
                <w:tcPr>
                  <w:tcW w:w="705" w:type="dxa"/>
                  <w:tcBorders>
                    <w:tl2br w:val="nil"/>
                    <w:tr2bl w:val="nil"/>
                  </w:tcBorders>
                  <w:noWrap w:val="0"/>
                  <w:vAlign w:val="center"/>
                </w:tcPr>
                <w:p w14:paraId="3DA02B2F">
                  <w:pPr>
                    <w:widowControl/>
                    <w:adjustRightInd w:val="0"/>
                    <w:snapToGrid w:val="0"/>
                    <w:spacing w:line="240" w:lineRule="auto"/>
                    <w:jc w:val="center"/>
                    <w:rPr>
                      <w:rFonts w:hint="eastAsia"/>
                      <w:color w:val="auto"/>
                      <w:sz w:val="21"/>
                      <w:szCs w:val="18"/>
                    </w:rPr>
                  </w:pPr>
                  <w:r>
                    <w:rPr>
                      <w:rFonts w:hint="eastAsia"/>
                      <w:color w:val="auto"/>
                      <w:sz w:val="21"/>
                      <w:szCs w:val="18"/>
                    </w:rPr>
                    <w:t>第二十</w:t>
                  </w:r>
                </w:p>
                <w:p w14:paraId="42F11F7E">
                  <w:pPr>
                    <w:widowControl/>
                    <w:adjustRightInd w:val="0"/>
                    <w:snapToGrid w:val="0"/>
                    <w:spacing w:line="240" w:lineRule="auto"/>
                    <w:jc w:val="center"/>
                    <w:rPr>
                      <w:rFonts w:hint="eastAsia"/>
                      <w:color w:val="auto"/>
                      <w:sz w:val="21"/>
                      <w:szCs w:val="18"/>
                    </w:rPr>
                  </w:pPr>
                  <w:r>
                    <w:rPr>
                      <w:rFonts w:hint="eastAsia"/>
                      <w:color w:val="auto"/>
                      <w:sz w:val="21"/>
                      <w:szCs w:val="18"/>
                    </w:rPr>
                    <w:t>五条</w:t>
                  </w:r>
                </w:p>
              </w:tc>
              <w:tc>
                <w:tcPr>
                  <w:tcW w:w="3289" w:type="dxa"/>
                  <w:tcBorders>
                    <w:tl2br w:val="nil"/>
                    <w:tr2bl w:val="nil"/>
                  </w:tcBorders>
                  <w:noWrap w:val="0"/>
                  <w:vAlign w:val="center"/>
                </w:tcPr>
                <w:p w14:paraId="7C362852">
                  <w:pPr>
                    <w:widowControl/>
                    <w:adjustRightInd w:val="0"/>
                    <w:snapToGrid w:val="0"/>
                    <w:spacing w:line="240" w:lineRule="auto"/>
                    <w:jc w:val="left"/>
                    <w:rPr>
                      <w:rFonts w:hint="eastAsia"/>
                      <w:color w:val="auto"/>
                      <w:sz w:val="21"/>
                      <w:szCs w:val="18"/>
                    </w:rPr>
                  </w:pPr>
                  <w:r>
                    <w:rPr>
                      <w:rFonts w:hint="eastAsia"/>
                      <w:color w:val="auto"/>
                      <w:sz w:val="21"/>
                      <w:szCs w:val="18"/>
                    </w:rPr>
                    <w:t>动物诊疗机构发现动物染疫或者疑似染疫的，应当按照国家规定立即向所在地农业农村主管部门或者动物疫病预防控制机构报告，并迅速采取隔离、消毒等控制措施，防止动物疫情扩散。动物诊疗机构发现动物患有或者疑似患有国家规定应当扑杀的疫病时，不得擅自进行治疗。</w:t>
                  </w:r>
                </w:p>
              </w:tc>
              <w:tc>
                <w:tcPr>
                  <w:tcW w:w="3663" w:type="dxa"/>
                  <w:tcBorders>
                    <w:tl2br w:val="nil"/>
                    <w:tr2bl w:val="nil"/>
                  </w:tcBorders>
                  <w:noWrap w:val="0"/>
                  <w:vAlign w:val="center"/>
                </w:tcPr>
                <w:p w14:paraId="47C71B11">
                  <w:pPr>
                    <w:widowControl/>
                    <w:adjustRightInd w:val="0"/>
                    <w:snapToGrid w:val="0"/>
                    <w:spacing w:line="240" w:lineRule="auto"/>
                    <w:jc w:val="left"/>
                    <w:rPr>
                      <w:rFonts w:hint="eastAsia"/>
                      <w:color w:val="auto"/>
                      <w:sz w:val="21"/>
                      <w:szCs w:val="18"/>
                    </w:rPr>
                  </w:pPr>
                  <w:r>
                    <w:rPr>
                      <w:rFonts w:hint="eastAsia"/>
                      <w:color w:val="auto"/>
                      <w:sz w:val="21"/>
                      <w:szCs w:val="18"/>
                    </w:rPr>
                    <w:t>本项目将严格按照管理办法要求，发现动物染疫或者疑似染疫的，按照国家规定立即向所在地农业农村主管部门或者动物疫病预防控制机构报告，并迅速采取隔离、消毒等控制措施，防止动物疫情扩散。发现动物患有或者疑似患有国家规定应当扑杀的疫病时，杜绝擅自进行治疗。</w:t>
                  </w:r>
                </w:p>
              </w:tc>
              <w:tc>
                <w:tcPr>
                  <w:tcW w:w="739" w:type="dxa"/>
                  <w:tcBorders>
                    <w:tl2br w:val="nil"/>
                    <w:tr2bl w:val="nil"/>
                  </w:tcBorders>
                  <w:noWrap w:val="0"/>
                  <w:vAlign w:val="center"/>
                </w:tcPr>
                <w:p w14:paraId="6E897471">
                  <w:pPr>
                    <w:widowControl/>
                    <w:adjustRightInd w:val="0"/>
                    <w:snapToGrid w:val="0"/>
                    <w:spacing w:line="240" w:lineRule="auto"/>
                    <w:jc w:val="center"/>
                    <w:rPr>
                      <w:rFonts w:hint="eastAsia"/>
                      <w:color w:val="auto"/>
                      <w:sz w:val="21"/>
                      <w:szCs w:val="18"/>
                    </w:rPr>
                  </w:pPr>
                  <w:r>
                    <w:rPr>
                      <w:rFonts w:hint="eastAsia"/>
                      <w:color w:val="auto"/>
                      <w:sz w:val="21"/>
                      <w:szCs w:val="18"/>
                    </w:rPr>
                    <w:t>符合</w:t>
                  </w:r>
                </w:p>
              </w:tc>
            </w:tr>
            <w:tr w14:paraId="43553AF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409" w:hRule="atLeast"/>
                <w:jc w:val="center"/>
              </w:trPr>
              <w:tc>
                <w:tcPr>
                  <w:tcW w:w="705" w:type="dxa"/>
                  <w:tcBorders>
                    <w:tl2br w:val="nil"/>
                    <w:tr2bl w:val="nil"/>
                  </w:tcBorders>
                  <w:noWrap w:val="0"/>
                  <w:vAlign w:val="center"/>
                </w:tcPr>
                <w:p w14:paraId="7720CA27">
                  <w:pPr>
                    <w:widowControl/>
                    <w:adjustRightInd w:val="0"/>
                    <w:snapToGrid w:val="0"/>
                    <w:spacing w:line="240" w:lineRule="auto"/>
                    <w:jc w:val="center"/>
                    <w:rPr>
                      <w:rFonts w:hint="eastAsia"/>
                      <w:color w:val="auto"/>
                      <w:sz w:val="21"/>
                      <w:szCs w:val="18"/>
                    </w:rPr>
                  </w:pPr>
                  <w:r>
                    <w:rPr>
                      <w:rFonts w:hint="eastAsia"/>
                      <w:color w:val="auto"/>
                      <w:sz w:val="21"/>
                      <w:szCs w:val="18"/>
                    </w:rPr>
                    <w:t>第二十</w:t>
                  </w:r>
                </w:p>
                <w:p w14:paraId="03827845">
                  <w:pPr>
                    <w:widowControl/>
                    <w:adjustRightInd w:val="0"/>
                    <w:snapToGrid w:val="0"/>
                    <w:spacing w:line="240" w:lineRule="auto"/>
                    <w:jc w:val="center"/>
                    <w:rPr>
                      <w:rFonts w:hint="eastAsia"/>
                      <w:color w:val="auto"/>
                      <w:sz w:val="21"/>
                      <w:szCs w:val="18"/>
                    </w:rPr>
                  </w:pPr>
                  <w:r>
                    <w:rPr>
                      <w:rFonts w:hint="eastAsia"/>
                      <w:color w:val="auto"/>
                      <w:sz w:val="21"/>
                      <w:szCs w:val="18"/>
                    </w:rPr>
                    <w:t>六条</w:t>
                  </w:r>
                </w:p>
              </w:tc>
              <w:tc>
                <w:tcPr>
                  <w:tcW w:w="3289" w:type="dxa"/>
                  <w:tcBorders>
                    <w:tl2br w:val="nil"/>
                    <w:tr2bl w:val="nil"/>
                  </w:tcBorders>
                  <w:noWrap w:val="0"/>
                  <w:vAlign w:val="center"/>
                </w:tcPr>
                <w:p w14:paraId="6A637264">
                  <w:pPr>
                    <w:widowControl/>
                    <w:adjustRightInd w:val="0"/>
                    <w:snapToGrid w:val="0"/>
                    <w:spacing w:line="240" w:lineRule="auto"/>
                    <w:jc w:val="left"/>
                    <w:rPr>
                      <w:rFonts w:hint="eastAsia"/>
                      <w:color w:val="auto"/>
                      <w:sz w:val="21"/>
                      <w:szCs w:val="18"/>
                    </w:rPr>
                  </w:pPr>
                  <w:r>
                    <w:rPr>
                      <w:rFonts w:hint="eastAsia"/>
                      <w:color w:val="auto"/>
                      <w:sz w:val="21"/>
                      <w:szCs w:val="18"/>
                    </w:rPr>
                    <w:t>动物诊疗机构应当按照国家规定处理染 疫动物及其排泄物、污染物和动物病理组织等。动物诊疗机构应当参照《医疗废物管理条例》的有关规定处理诊疗废弃物，不得随意丢弃诊疗废弃物，排放未经无害化处理的诊疗废水。</w:t>
                  </w:r>
                </w:p>
              </w:tc>
              <w:tc>
                <w:tcPr>
                  <w:tcW w:w="3663" w:type="dxa"/>
                  <w:tcBorders>
                    <w:tl2br w:val="nil"/>
                    <w:tr2bl w:val="nil"/>
                  </w:tcBorders>
                  <w:noWrap w:val="0"/>
                  <w:vAlign w:val="center"/>
                </w:tcPr>
                <w:p w14:paraId="4DE18BF0">
                  <w:pPr>
                    <w:widowControl/>
                    <w:adjustRightInd w:val="0"/>
                    <w:snapToGrid w:val="0"/>
                    <w:spacing w:line="240" w:lineRule="auto"/>
                    <w:jc w:val="left"/>
                    <w:rPr>
                      <w:rFonts w:hint="eastAsia"/>
                      <w:color w:val="auto"/>
                      <w:sz w:val="21"/>
                      <w:szCs w:val="18"/>
                    </w:rPr>
                  </w:pPr>
                  <w:r>
                    <w:rPr>
                      <w:rFonts w:hint="eastAsia"/>
                      <w:color w:val="auto"/>
                      <w:sz w:val="21"/>
                      <w:szCs w:val="18"/>
                    </w:rPr>
                    <w:t>本项目将严格按照国家规定处理染疫动物及其排泄物、污染物和动物病理组织等。将严格按照《医疗废物管理条例》的有关规定处理诊疗废弃物，杜绝随意丢弃诊疗废弃物，排放未经无害化处理的诊疗废水。</w:t>
                  </w:r>
                </w:p>
              </w:tc>
              <w:tc>
                <w:tcPr>
                  <w:tcW w:w="739" w:type="dxa"/>
                  <w:tcBorders>
                    <w:tl2br w:val="nil"/>
                    <w:tr2bl w:val="nil"/>
                  </w:tcBorders>
                  <w:noWrap w:val="0"/>
                  <w:vAlign w:val="center"/>
                </w:tcPr>
                <w:p w14:paraId="6A4062F7">
                  <w:pPr>
                    <w:widowControl/>
                    <w:adjustRightInd w:val="0"/>
                    <w:snapToGrid w:val="0"/>
                    <w:spacing w:line="240" w:lineRule="auto"/>
                    <w:jc w:val="center"/>
                    <w:rPr>
                      <w:rFonts w:hint="eastAsia"/>
                      <w:color w:val="auto"/>
                      <w:sz w:val="21"/>
                      <w:szCs w:val="18"/>
                    </w:rPr>
                  </w:pPr>
                  <w:r>
                    <w:rPr>
                      <w:rFonts w:hint="eastAsia"/>
                      <w:color w:val="auto"/>
                      <w:sz w:val="21"/>
                      <w:szCs w:val="18"/>
                    </w:rPr>
                    <w:t>符合</w:t>
                  </w:r>
                </w:p>
              </w:tc>
            </w:tr>
            <w:tr w14:paraId="26522E5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159" w:hRule="atLeast"/>
                <w:jc w:val="center"/>
              </w:trPr>
              <w:tc>
                <w:tcPr>
                  <w:tcW w:w="8396" w:type="dxa"/>
                  <w:gridSpan w:val="4"/>
                  <w:tcBorders>
                    <w:tl2br w:val="nil"/>
                    <w:tr2bl w:val="nil"/>
                  </w:tcBorders>
                  <w:noWrap w:val="0"/>
                  <w:vAlign w:val="center"/>
                </w:tcPr>
                <w:p w14:paraId="36613A14">
                  <w:pPr>
                    <w:widowControl/>
                    <w:adjustRightInd w:val="0"/>
                    <w:snapToGrid w:val="0"/>
                    <w:spacing w:line="240" w:lineRule="auto"/>
                    <w:jc w:val="left"/>
                    <w:rPr>
                      <w:rFonts w:hint="eastAsia"/>
                      <w:color w:val="auto"/>
                      <w:sz w:val="21"/>
                      <w:szCs w:val="18"/>
                    </w:rPr>
                  </w:pPr>
                  <w:r>
                    <w:rPr>
                      <w:rFonts w:hint="eastAsia" w:ascii="Times New Roman" w:hAnsi="Times New Roman" w:cs="Times New Roman"/>
                      <w:color w:val="auto"/>
                      <w:sz w:val="21"/>
                      <w:szCs w:val="18"/>
                      <w:lang w:val="en-US" w:eastAsia="zh-CN"/>
                    </w:rPr>
                    <w:t>备注：《福建省农业厅关于规范动物诊疗机构管理工作的意见》（闽农医〔2010〕490号）关于《动物诊疗许可证》的核发条件中诊疗场所的规定：“有固定的诊疗场所，且场所使用面积应符合以下要求：动物医院用房使用面积100平方米以上；其他动物诊疗机构所用房使用面积40平方米以上”。</w:t>
                  </w:r>
                </w:p>
              </w:tc>
            </w:tr>
          </w:tbl>
          <w:p w14:paraId="1DD89B66">
            <w:pPr>
              <w:pStyle w:val="76"/>
              <w:ind w:firstLine="480"/>
              <w:rPr>
                <w:rFonts w:hint="default" w:cs="Times New Roman"/>
              </w:rPr>
            </w:pPr>
            <w:r>
              <w:rPr>
                <w:rFonts w:hint="default" w:ascii="Times New Roman" w:hAnsi="Times New Roman" w:eastAsia="宋体" w:cs="Times New Roman"/>
                <w:color w:val="auto"/>
                <w:lang w:val="en-US" w:eastAsia="zh-CN"/>
              </w:rPr>
              <w:t>从上表分析得出，本项目符合《动物诊疗机构管理办法》（农业农村部2022年第5号令）的相关要求。</w:t>
            </w:r>
          </w:p>
          <w:p w14:paraId="1D2B48DF">
            <w:pPr>
              <w:pStyle w:val="5"/>
              <w:keepNext/>
              <w:keepLines/>
              <w:pageBreakBefore w:val="0"/>
              <w:widowControl w:val="0"/>
              <w:numPr>
                <w:ilvl w:val="0"/>
                <w:numId w:val="0"/>
              </w:numPr>
              <w:tabs>
                <w:tab w:val="left" w:pos="420"/>
              </w:tabs>
              <w:kinsoku/>
              <w:wordWrap/>
              <w:overflowPunct/>
              <w:topLinePunct w:val="0"/>
              <w:autoSpaceDE/>
              <w:autoSpaceDN/>
              <w:bidi w:val="0"/>
              <w:adjustRightInd/>
              <w:snapToGrid/>
              <w:spacing w:before="0" w:beforeLines="0" w:after="0" w:afterLines="0"/>
              <w:ind w:left="0" w:leftChars="0" w:firstLine="0" w:firstLineChars="0"/>
              <w:textAlignment w:val="auto"/>
            </w:pPr>
            <w:r>
              <w:rPr>
                <w:rFonts w:hint="eastAsia" w:ascii="Times New Roman" w:hAnsi="Times New Roman" w:eastAsia="宋体" w:cs="宋体"/>
                <w:b/>
                <w:bCs/>
                <w:color w:val="000000"/>
                <w:kern w:val="44"/>
                <w:sz w:val="30"/>
                <w:szCs w:val="32"/>
                <w:lang w:val="en-US" w:eastAsia="zh-CN" w:bidi="ar-SA"/>
              </w:rPr>
              <w:t>1.5</w:t>
            </w:r>
            <w:r>
              <w:t>产业政策符合性分析</w:t>
            </w:r>
          </w:p>
          <w:p w14:paraId="69F4CC0A">
            <w:pPr>
              <w:pStyle w:val="76"/>
              <w:ind w:firstLine="480"/>
              <w:rPr>
                <w:rFonts w:hint="default" w:cs="Times New Roman"/>
              </w:rPr>
            </w:pPr>
            <w:r>
              <w:rPr>
                <w:rFonts w:hint="default" w:cs="Times New Roman"/>
              </w:rPr>
              <w:t>本项目主要从事</w:t>
            </w:r>
            <w:r>
              <w:rPr>
                <w:rFonts w:hint="eastAsia" w:cs="Times New Roman"/>
                <w:szCs w:val="24"/>
                <w:lang w:val="en-US" w:eastAsia="zh-CN" w:bidi="ar"/>
              </w:rPr>
              <w:t>动</w:t>
            </w:r>
            <w:r>
              <w:rPr>
                <w:rFonts w:hint="default" w:cs="Times New Roman"/>
                <w:szCs w:val="24"/>
                <w:lang w:bidi="ar"/>
              </w:rPr>
              <w:t>物诊疗、</w:t>
            </w:r>
            <w:r>
              <w:rPr>
                <w:rFonts w:hint="eastAsia" w:cs="Times New Roman"/>
                <w:szCs w:val="24"/>
                <w:lang w:val="en-US" w:eastAsia="zh-CN" w:bidi="ar"/>
              </w:rPr>
              <w:t>宠物饲养，宠物销售，宠物服务，</w:t>
            </w:r>
            <w:r>
              <w:rPr>
                <w:rFonts w:hint="default" w:cs="Times New Roman"/>
                <w:szCs w:val="24"/>
                <w:lang w:bidi="ar"/>
              </w:rPr>
              <w:t>美容服务和宠物用品销售等服务</w:t>
            </w:r>
            <w:r>
              <w:rPr>
                <w:rFonts w:hint="default" w:cs="Times New Roman"/>
              </w:rPr>
              <w:t>，不属于《产业结构调整指导目录</w:t>
            </w:r>
            <w:r>
              <w:rPr>
                <w:rFonts w:hint="eastAsia" w:cs="Times New Roman"/>
                <w:lang w:eastAsia="zh-CN"/>
              </w:rPr>
              <w:t>（</w:t>
            </w:r>
            <w:r>
              <w:rPr>
                <w:rFonts w:hint="default" w:cs="Times New Roman"/>
              </w:rPr>
              <w:t>20</w:t>
            </w:r>
            <w:r>
              <w:rPr>
                <w:rFonts w:hint="eastAsia" w:cs="Times New Roman"/>
                <w:lang w:val="en-US" w:eastAsia="zh-CN"/>
              </w:rPr>
              <w:t>24</w:t>
            </w:r>
            <w:r>
              <w:rPr>
                <w:rFonts w:hint="default" w:cs="Times New Roman"/>
              </w:rPr>
              <w:t>年本</w:t>
            </w:r>
            <w:r>
              <w:rPr>
                <w:rFonts w:hint="eastAsia" w:cs="Times New Roman"/>
                <w:lang w:eastAsia="zh-CN"/>
              </w:rPr>
              <w:t>）</w:t>
            </w:r>
            <w:r>
              <w:rPr>
                <w:rFonts w:hint="default" w:cs="Times New Roman"/>
              </w:rPr>
              <w:t>》中“限制类”、“淘汰类”，属于第一类鼓励类：三十七、卫生健康</w:t>
            </w:r>
            <w:r>
              <w:rPr>
                <w:rFonts w:cs="Times New Roman"/>
              </w:rPr>
              <w:t xml:space="preserve"> </w:t>
            </w:r>
            <w:r>
              <w:rPr>
                <w:rFonts w:hint="default" w:cs="Times New Roman"/>
              </w:rPr>
              <w:t>中第</w:t>
            </w:r>
            <w:r>
              <w:rPr>
                <w:rFonts w:hint="eastAsia" w:cs="Times New Roman"/>
                <w:lang w:val="en-US" w:eastAsia="zh-CN"/>
              </w:rPr>
              <w:t>1</w:t>
            </w:r>
            <w:r>
              <w:rPr>
                <w:rFonts w:hint="default" w:cs="Times New Roman"/>
              </w:rPr>
              <w:t>项：医疗卫生服务设施建设。检索《限制用地项目目录》（2012年本）和《禁止用地项目目录》（2012年本），本项目不属于以上目录中的项目。</w:t>
            </w:r>
          </w:p>
          <w:p w14:paraId="64C66A18">
            <w:pPr>
              <w:pStyle w:val="76"/>
              <w:ind w:firstLine="480"/>
              <w:rPr>
                <w:rFonts w:hint="default" w:cs="Times New Roman"/>
                <w:color w:val="FF0000"/>
              </w:rPr>
            </w:pPr>
            <w:r>
              <w:rPr>
                <w:rFonts w:hint="default" w:cs="Times New Roman"/>
              </w:rPr>
              <w:t>综上，本项目建设符合国家当前的产业政策要求。</w:t>
            </w:r>
          </w:p>
          <w:p w14:paraId="00D6469F">
            <w:pPr>
              <w:pStyle w:val="5"/>
              <w:keepNext/>
              <w:keepLines/>
              <w:pageBreakBefore w:val="0"/>
              <w:widowControl w:val="0"/>
              <w:numPr>
                <w:ilvl w:val="0"/>
                <w:numId w:val="0"/>
              </w:numPr>
              <w:tabs>
                <w:tab w:val="left" w:pos="420"/>
              </w:tabs>
              <w:kinsoku/>
              <w:wordWrap/>
              <w:overflowPunct/>
              <w:topLinePunct w:val="0"/>
              <w:autoSpaceDE/>
              <w:autoSpaceDN/>
              <w:bidi w:val="0"/>
              <w:adjustRightInd/>
              <w:snapToGrid/>
              <w:spacing w:before="0" w:beforeLines="0" w:after="0" w:afterLines="0"/>
              <w:ind w:left="0" w:leftChars="0" w:firstLine="0" w:firstLineChars="0"/>
              <w:textAlignment w:val="auto"/>
              <w:rPr>
                <w:color w:val="auto"/>
              </w:rPr>
            </w:pPr>
            <w:r>
              <w:rPr>
                <w:rFonts w:hint="eastAsia" w:ascii="Times New Roman" w:hAnsi="Times New Roman" w:eastAsia="宋体" w:cs="宋体"/>
                <w:b/>
                <w:bCs/>
                <w:color w:val="auto"/>
                <w:kern w:val="44"/>
                <w:sz w:val="30"/>
                <w:szCs w:val="32"/>
                <w:lang w:val="en-US" w:eastAsia="zh-CN" w:bidi="ar-SA"/>
              </w:rPr>
              <w:t>1.6</w:t>
            </w:r>
            <w:r>
              <w:rPr>
                <w:color w:val="auto"/>
              </w:rPr>
              <w:t>“三线一单”</w:t>
            </w:r>
            <w:r>
              <w:rPr>
                <w:rFonts w:hint="eastAsia"/>
                <w:color w:val="auto"/>
                <w:lang w:val="en-US" w:eastAsia="zh-CN"/>
              </w:rPr>
              <w:t>生态分区管控的</w:t>
            </w:r>
            <w:r>
              <w:rPr>
                <w:color w:val="auto"/>
              </w:rPr>
              <w:t>符合性分析</w:t>
            </w:r>
          </w:p>
          <w:p w14:paraId="36B7E5E0">
            <w:pPr>
              <w:pStyle w:val="73"/>
              <w:ind w:firstLine="480"/>
              <w:rPr>
                <w:rFonts w:hint="eastAsia"/>
                <w:color w:val="auto"/>
                <w:szCs w:val="24"/>
              </w:rPr>
            </w:pPr>
            <w:bookmarkStart w:id="3" w:name="_Toc19499"/>
            <w:bookmarkStart w:id="4" w:name="_Toc10243"/>
            <w:bookmarkStart w:id="5" w:name="_Toc29919"/>
            <w:bookmarkStart w:id="6" w:name="_Toc1759_WPSOffice_Level3"/>
            <w:bookmarkStart w:id="7" w:name="_Toc9438"/>
            <w:bookmarkStart w:id="8" w:name="_Toc11609"/>
            <w:r>
              <w:rPr>
                <w:rFonts w:cs="Times New Roman"/>
              </w:rPr>
              <w:t>根据《关于以改善环境质量为核心加强环境影响评价管理的通知》（环评〔2016〕150号），“三线一单”即：“生态保护红线、环境质量底线、资源利用上线和生态环境准入清单”，项目建设应强化“三线一单”约束作用。</w:t>
            </w:r>
          </w:p>
          <w:p w14:paraId="20276E33">
            <w:pPr>
              <w:pStyle w:val="73"/>
              <w:ind w:firstLine="480"/>
              <w:rPr>
                <w:color w:val="auto"/>
                <w:szCs w:val="24"/>
              </w:rPr>
            </w:pPr>
            <w:r>
              <w:rPr>
                <w:rFonts w:hint="eastAsia"/>
                <w:color w:val="auto"/>
                <w:szCs w:val="24"/>
              </w:rPr>
              <w:t>（1）</w:t>
            </w:r>
            <w:r>
              <w:rPr>
                <w:color w:val="auto"/>
                <w:szCs w:val="24"/>
                <w:lang w:val="en-GB"/>
              </w:rPr>
              <w:t>生态</w:t>
            </w:r>
            <w:r>
              <w:rPr>
                <w:color w:val="auto"/>
                <w:lang w:val="en-GB"/>
              </w:rPr>
              <w:t>保护</w:t>
            </w:r>
            <w:r>
              <w:rPr>
                <w:color w:val="auto"/>
                <w:szCs w:val="24"/>
                <w:lang w:val="en-GB"/>
              </w:rPr>
              <w:t>红线</w:t>
            </w:r>
            <w:bookmarkEnd w:id="3"/>
            <w:bookmarkEnd w:id="4"/>
            <w:bookmarkEnd w:id="5"/>
            <w:bookmarkEnd w:id="6"/>
            <w:bookmarkEnd w:id="7"/>
            <w:bookmarkEnd w:id="8"/>
          </w:p>
          <w:p w14:paraId="72E25D0B">
            <w:pPr>
              <w:pStyle w:val="73"/>
              <w:ind w:firstLine="480"/>
              <w:rPr>
                <w:color w:val="auto"/>
              </w:rPr>
            </w:pPr>
            <w:r>
              <w:rPr>
                <w:color w:val="auto"/>
              </w:rPr>
              <w:t>本项目位于</w:t>
            </w:r>
            <w:r>
              <w:rPr>
                <w:rFonts w:hint="eastAsia"/>
                <w:color w:val="auto"/>
              </w:rPr>
              <w:t>福州市鼓楼区鼓西街道善化新村8#楼东起第六间店面</w:t>
            </w:r>
            <w:r>
              <w:rPr>
                <w:color w:val="auto"/>
              </w:rPr>
              <w:t>。项目不</w:t>
            </w:r>
            <w:r>
              <w:rPr>
                <w:rFonts w:hint="eastAsia"/>
                <w:color w:val="auto"/>
                <w:lang w:eastAsia="zh-CN"/>
              </w:rPr>
              <w:t>再</w:t>
            </w:r>
            <w:r>
              <w:rPr>
                <w:color w:val="auto"/>
              </w:rPr>
              <w:t>饮用水源、风景名胜区、自然保护区等生态保护区内，满足生态保护红线要求。</w:t>
            </w:r>
          </w:p>
          <w:p w14:paraId="027BB19E">
            <w:pPr>
              <w:pStyle w:val="73"/>
              <w:ind w:firstLine="480"/>
              <w:rPr>
                <w:rFonts w:hint="default" w:eastAsia="宋体"/>
                <w:color w:val="auto"/>
                <w:szCs w:val="24"/>
                <w:lang w:val="en-US" w:eastAsia="zh-CN"/>
              </w:rPr>
            </w:pPr>
            <w:bookmarkStart w:id="9" w:name="_Toc19637"/>
            <w:bookmarkStart w:id="10" w:name="_Toc18099"/>
            <w:bookmarkStart w:id="11" w:name="_Toc31023"/>
            <w:bookmarkStart w:id="12" w:name="_Toc9652_WPSOffice_Level3"/>
            <w:bookmarkStart w:id="13" w:name="_Toc144"/>
            <w:bookmarkStart w:id="14" w:name="_Toc11270"/>
            <w:r>
              <w:rPr>
                <w:rFonts w:hint="eastAsia"/>
                <w:color w:val="auto"/>
                <w:szCs w:val="24"/>
              </w:rPr>
              <w:t>（2）</w:t>
            </w:r>
            <w:r>
              <w:rPr>
                <w:color w:val="auto"/>
                <w:szCs w:val="24"/>
                <w:lang w:val="en-GB"/>
              </w:rPr>
              <w:t>环境质量底线</w:t>
            </w:r>
            <w:bookmarkEnd w:id="9"/>
            <w:bookmarkEnd w:id="10"/>
            <w:bookmarkEnd w:id="11"/>
            <w:bookmarkEnd w:id="12"/>
            <w:bookmarkEnd w:id="13"/>
            <w:bookmarkEnd w:id="14"/>
          </w:p>
          <w:p w14:paraId="21E35CEF">
            <w:pPr>
              <w:pStyle w:val="73"/>
              <w:ind w:firstLine="480"/>
              <w:rPr>
                <w:color w:val="auto"/>
              </w:rPr>
            </w:pPr>
            <w:r>
              <w:rPr>
                <w:color w:val="auto"/>
              </w:rPr>
              <w:t>项目所在区域的环境质量底线为：环境空气质量目标为《环境空气质量标准》（GB3095-2012）二级标准；地表水环境质量为《地表水环境质量标准》(GB3838</w:t>
            </w:r>
            <w:r>
              <w:rPr>
                <w:rFonts w:hint="eastAsia"/>
                <w:color w:val="auto"/>
              </w:rPr>
              <w:t>-</w:t>
            </w:r>
            <w:r>
              <w:rPr>
                <w:color w:val="auto"/>
              </w:rPr>
              <w:t>2002)Ⅴ类标准；项目场界声环境质量目标为《声环境质量标准》（GB3096-2008）</w:t>
            </w:r>
            <w:r>
              <w:rPr>
                <w:rFonts w:hint="eastAsia"/>
                <w:color w:val="auto"/>
                <w:lang w:val="en-US" w:eastAsia="zh-CN"/>
              </w:rPr>
              <w:t>4a</w:t>
            </w:r>
            <w:r>
              <w:rPr>
                <w:color w:val="auto"/>
              </w:rPr>
              <w:t>类标准。</w:t>
            </w:r>
          </w:p>
          <w:p w14:paraId="57C6268C">
            <w:pPr>
              <w:pStyle w:val="73"/>
              <w:ind w:firstLine="480"/>
              <w:rPr>
                <w:color w:val="auto"/>
              </w:rPr>
            </w:pPr>
            <w:r>
              <w:rPr>
                <w:color w:val="auto"/>
              </w:rPr>
              <w:t>相关引用数据表明，项目周边环境空气质量现状符合《环境空气质量标准》（GB3095-2012）二级标准；场界监测点噪声现状值均满足《声环境质量标准》（GB3096-2008）中</w:t>
            </w:r>
            <w:r>
              <w:rPr>
                <w:rFonts w:hint="eastAsia"/>
                <w:color w:val="auto"/>
                <w:lang w:val="en-US" w:eastAsia="zh-CN"/>
              </w:rPr>
              <w:t>4a</w:t>
            </w:r>
            <w:r>
              <w:rPr>
                <w:color w:val="auto"/>
              </w:rPr>
              <w:t>类标准。项目废水达标排放，一般固废分类收集、贮存和处置，噪声隔声减振等，减少了“三废”排放量，减轻对各环境要素的影响。</w:t>
            </w:r>
          </w:p>
          <w:p w14:paraId="7348FD74">
            <w:pPr>
              <w:pStyle w:val="73"/>
              <w:ind w:firstLine="480"/>
              <w:rPr>
                <w:color w:val="auto"/>
                <w:szCs w:val="24"/>
                <w:lang w:val="en-GB"/>
              </w:rPr>
            </w:pPr>
            <w:bookmarkStart w:id="15" w:name="_Toc20043_WPSOffice_Level3"/>
            <w:bookmarkStart w:id="16" w:name="_Toc25754"/>
            <w:bookmarkStart w:id="17" w:name="_Toc9640"/>
            <w:bookmarkStart w:id="18" w:name="_Toc22903"/>
            <w:bookmarkStart w:id="19" w:name="_Toc6532"/>
            <w:bookmarkStart w:id="20" w:name="_Toc11313"/>
            <w:r>
              <w:rPr>
                <w:rFonts w:hint="eastAsia"/>
                <w:color w:val="auto"/>
                <w:szCs w:val="24"/>
              </w:rPr>
              <w:t>（3）</w:t>
            </w:r>
            <w:r>
              <w:rPr>
                <w:color w:val="auto"/>
                <w:szCs w:val="24"/>
                <w:lang w:val="en-GB"/>
              </w:rPr>
              <w:t>资源利用上线</w:t>
            </w:r>
            <w:bookmarkEnd w:id="15"/>
            <w:bookmarkEnd w:id="16"/>
            <w:bookmarkEnd w:id="17"/>
            <w:bookmarkEnd w:id="18"/>
            <w:bookmarkEnd w:id="19"/>
            <w:bookmarkEnd w:id="20"/>
          </w:p>
          <w:p w14:paraId="27C14924">
            <w:pPr>
              <w:pStyle w:val="73"/>
              <w:ind w:firstLine="480"/>
              <w:rPr>
                <w:color w:val="auto"/>
              </w:rPr>
            </w:pPr>
            <w:r>
              <w:rPr>
                <w:color w:val="auto"/>
              </w:rPr>
              <w:t>土地资源：项目经营场所利用现有商业店铺，不新增用地。</w:t>
            </w:r>
          </w:p>
          <w:p w14:paraId="3FCFE9B2">
            <w:pPr>
              <w:pStyle w:val="73"/>
              <w:ind w:firstLine="480"/>
              <w:rPr>
                <w:color w:val="auto"/>
              </w:rPr>
            </w:pPr>
            <w:r>
              <w:rPr>
                <w:color w:val="auto"/>
              </w:rPr>
              <w:t>水资源：本项目用水取自自来水，由区域供水系统提供，项目医疗废水经一体化处理装置预处理后，与宠物美容废水、生活污水一起排入化粪池处理达标后经市政污水管网排入福州市</w:t>
            </w:r>
            <w:r>
              <w:rPr>
                <w:rFonts w:hint="eastAsia"/>
                <w:color w:val="auto"/>
              </w:rPr>
              <w:t>祥坂</w:t>
            </w:r>
            <w:r>
              <w:rPr>
                <w:color w:val="auto"/>
              </w:rPr>
              <w:t>污水处理厂进行深度处理。</w:t>
            </w:r>
          </w:p>
          <w:p w14:paraId="535B2284">
            <w:pPr>
              <w:pStyle w:val="73"/>
              <w:ind w:firstLine="480"/>
              <w:rPr>
                <w:color w:val="auto"/>
              </w:rPr>
            </w:pPr>
            <w:r>
              <w:rPr>
                <w:color w:val="auto"/>
              </w:rPr>
              <w:t>能源：项目设备主要利用电能，电能由市政供应系统供应。</w:t>
            </w:r>
          </w:p>
          <w:p w14:paraId="387B6B24">
            <w:pPr>
              <w:pStyle w:val="73"/>
              <w:ind w:firstLine="480"/>
              <w:rPr>
                <w:color w:val="auto"/>
                <w:szCs w:val="24"/>
              </w:rPr>
            </w:pPr>
            <w:r>
              <w:rPr>
                <w:color w:val="auto"/>
              </w:rPr>
              <w:t>项目运营过程中消耗一定的电源、水资源等资源消耗，项目资源消耗量相对于区域资源利用总量较少，没有突破区域资源利用上线。</w:t>
            </w:r>
            <w:bookmarkStart w:id="21" w:name="_Toc10325"/>
            <w:bookmarkStart w:id="22" w:name="_Toc11146"/>
            <w:bookmarkStart w:id="23" w:name="_Toc1342"/>
            <w:bookmarkStart w:id="24" w:name="_Toc16615"/>
            <w:bookmarkStart w:id="25" w:name="_Toc26847"/>
            <w:bookmarkStart w:id="26" w:name="_Toc12849_WPSOffice_Level3"/>
          </w:p>
          <w:p w14:paraId="5FC70773">
            <w:pPr>
              <w:pStyle w:val="73"/>
              <w:ind w:firstLine="480"/>
              <w:rPr>
                <w:color w:val="auto"/>
                <w:szCs w:val="24"/>
                <w:lang w:val="en-GB"/>
              </w:rPr>
            </w:pPr>
            <w:r>
              <w:rPr>
                <w:rFonts w:hint="eastAsia"/>
                <w:color w:val="auto"/>
                <w:szCs w:val="24"/>
              </w:rPr>
              <w:t>（4）</w:t>
            </w:r>
            <w:bookmarkEnd w:id="21"/>
            <w:bookmarkEnd w:id="22"/>
            <w:bookmarkEnd w:id="23"/>
            <w:bookmarkEnd w:id="24"/>
            <w:bookmarkEnd w:id="25"/>
            <w:bookmarkEnd w:id="26"/>
            <w:r>
              <w:rPr>
                <w:rFonts w:cs="Times New Roman"/>
              </w:rPr>
              <w:t>生态环境准入清单</w:t>
            </w:r>
          </w:p>
          <w:p w14:paraId="31C3CEE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rPr>
            </w:pPr>
            <w:r>
              <w:rPr>
                <w:rFonts w:cs="Times New Roman"/>
                <w:color w:val="auto"/>
              </w:rPr>
              <w:t>通过与福建省生态云平台的生态环境分区管控数据对比，本项目位于</w:t>
            </w:r>
            <w:r>
              <w:rPr>
                <w:rFonts w:hint="eastAsia" w:cs="Times New Roman"/>
                <w:color w:val="auto"/>
                <w:lang w:val="en-US" w:eastAsia="zh-CN"/>
              </w:rPr>
              <w:t>福州市鼓楼区重点管控单元</w:t>
            </w:r>
            <w:r>
              <w:rPr>
                <w:rFonts w:cs="Times New Roman"/>
                <w:color w:val="auto"/>
              </w:rPr>
              <w:t>（管控单元编号</w:t>
            </w:r>
            <w:r>
              <w:rPr>
                <w:rFonts w:hint="eastAsia" w:cs="Times New Roman"/>
                <w:color w:val="auto"/>
                <w:lang w:val="en-US" w:eastAsia="zh-CN"/>
              </w:rPr>
              <w:t>ZH35010220003</w:t>
            </w:r>
            <w:r>
              <w:rPr>
                <w:rFonts w:hint="eastAsia" w:cs="Times New Roman"/>
                <w:color w:val="auto"/>
                <w:lang w:eastAsia="zh-CN"/>
              </w:rPr>
              <w:t>，</w:t>
            </w:r>
            <w:r>
              <w:rPr>
                <w:rFonts w:hint="eastAsia" w:cs="Times New Roman"/>
                <w:color w:val="auto"/>
                <w:lang w:val="en-US" w:eastAsia="zh-CN"/>
              </w:rPr>
              <w:t>见附件5</w:t>
            </w:r>
            <w:r>
              <w:rPr>
                <w:rFonts w:cs="Times New Roman"/>
                <w:color w:val="auto"/>
              </w:rPr>
              <w:t>）。根据</w:t>
            </w:r>
            <w:r>
              <w:rPr>
                <w:rFonts w:hint="eastAsia" w:cs="Times New Roman"/>
                <w:color w:val="auto"/>
                <w:lang w:val="en-US" w:eastAsia="zh-CN"/>
              </w:rPr>
              <w:t>福州市</w:t>
            </w:r>
            <w:r>
              <w:rPr>
                <w:rFonts w:cs="Times New Roman"/>
                <w:color w:val="auto"/>
              </w:rPr>
              <w:t>“三线一单”生态环境分区管控要求，项目符合性分析见表1.4-1。</w:t>
            </w:r>
          </w:p>
          <w:p w14:paraId="6798005A">
            <w:pPr>
              <w:pStyle w:val="63"/>
              <w:numPr>
                <w:ilvl w:val="0"/>
                <w:numId w:val="0"/>
              </w:numPr>
              <w:ind w:left="0" w:leftChars="0" w:firstLine="0" w:firstLineChars="0"/>
            </w:pPr>
            <w:r>
              <w:rPr>
                <w:rFonts w:hint="eastAsia" w:ascii="Times New Roman" w:hAnsi="Times New Roman" w:eastAsia="宋体" w:cs="宋体"/>
                <w:b/>
                <w:kern w:val="2"/>
                <w:sz w:val="24"/>
                <w:szCs w:val="24"/>
                <w:lang w:val="en-US" w:eastAsia="zh-CN" w:bidi="ar-SA"/>
              </w:rPr>
              <w:t>表1.6-1</w:t>
            </w:r>
            <w:r>
              <w:t>与福州市生态环境总体准入要求的符合性分析</w:t>
            </w:r>
          </w:p>
          <w:tbl>
            <w:tblPr>
              <w:tblStyle w:val="25"/>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22"/>
              <w:gridCol w:w="5627"/>
              <w:gridCol w:w="1424"/>
            </w:tblGrid>
            <w:tr w14:paraId="5B7A50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3" w:type="pct"/>
                  <w:noWrap w:val="0"/>
                  <w:vAlign w:val="center"/>
                </w:tcPr>
                <w:p w14:paraId="3F5EBF10">
                  <w:pPr>
                    <w:pStyle w:val="67"/>
                  </w:pPr>
                  <w:r>
                    <w:t>管控类别</w:t>
                  </w:r>
                </w:p>
              </w:tc>
              <w:tc>
                <w:tcPr>
                  <w:tcW w:w="3484" w:type="pct"/>
                  <w:noWrap w:val="0"/>
                  <w:vAlign w:val="center"/>
                </w:tcPr>
                <w:p w14:paraId="390E668A">
                  <w:pPr>
                    <w:pStyle w:val="67"/>
                  </w:pPr>
                  <w:r>
                    <w:t>总体管控要求</w:t>
                  </w:r>
                </w:p>
              </w:tc>
              <w:tc>
                <w:tcPr>
                  <w:tcW w:w="882" w:type="pct"/>
                  <w:noWrap w:val="0"/>
                  <w:vAlign w:val="center"/>
                </w:tcPr>
                <w:p w14:paraId="77BA5F38">
                  <w:pPr>
                    <w:pStyle w:val="67"/>
                  </w:pPr>
                  <w:r>
                    <w:t>项目</w:t>
                  </w:r>
                </w:p>
                <w:p w14:paraId="3C5C05BF">
                  <w:pPr>
                    <w:pStyle w:val="67"/>
                  </w:pPr>
                  <w:r>
                    <w:t>符合性</w:t>
                  </w:r>
                </w:p>
              </w:tc>
            </w:tr>
            <w:tr w14:paraId="2E68D6F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3" w:type="pct"/>
                  <w:noWrap w:val="0"/>
                  <w:vAlign w:val="center"/>
                </w:tcPr>
                <w:p w14:paraId="2C6A0B34">
                  <w:pPr>
                    <w:pStyle w:val="67"/>
                  </w:pPr>
                  <w:r>
                    <w:t>空间布局约束</w:t>
                  </w:r>
                </w:p>
              </w:tc>
              <w:tc>
                <w:tcPr>
                  <w:tcW w:w="3484" w:type="pct"/>
                  <w:noWrap w:val="0"/>
                  <w:vAlign w:val="center"/>
                </w:tcPr>
                <w:p w14:paraId="414C43AB">
                  <w:pPr>
                    <w:pStyle w:val="67"/>
                    <w:jc w:val="left"/>
                  </w:pPr>
                  <w:r>
                    <w:t>1禁止引进纺织业（含印染精加工）、造纸和纸制品业（纸制品制造除外）、化学原料和化学制品制造业（工业气体生产除外）和有色金属冶炼及压延加工业（压延加工除外）；禁止引入含电镀工艺（紧密配套型电镀工艺除外）、冶炼工艺、电解铝的项目；主导产业电气机械和器材制造业禁止类铅酸蓄电池制造。</w:t>
                  </w:r>
                </w:p>
                <w:p w14:paraId="1E31F74A">
                  <w:pPr>
                    <w:pStyle w:val="67"/>
                    <w:jc w:val="left"/>
                  </w:pPr>
                  <w:r>
                    <w:t>2加强京东方、二期工程周边用地规划控制。</w:t>
                  </w:r>
                </w:p>
                <w:p w14:paraId="3EABC149">
                  <w:pPr>
                    <w:pStyle w:val="67"/>
                    <w:jc w:val="left"/>
                  </w:pPr>
                  <w:r>
                    <w:t>3.积极推进区内高耗水的印染、造纸等重污染企业的搬迁工作。</w:t>
                  </w:r>
                </w:p>
                <w:p w14:paraId="4D55CC0F">
                  <w:pPr>
                    <w:pStyle w:val="67"/>
                    <w:jc w:val="left"/>
                  </w:pPr>
                  <w:r>
                    <w:t>4.居住用地周边禁止布局潜在废气扰民的建设项目。</w:t>
                  </w:r>
                </w:p>
                <w:p w14:paraId="0BDCA0CB">
                  <w:pPr>
                    <w:pStyle w:val="67"/>
                    <w:jc w:val="left"/>
                  </w:pPr>
                  <w:r>
                    <w:t>5.新局调节库周边200米范围内禁止工业企业生产过程中使用危化品，禁止新建排放烟粉尘、VOCs废气的工业项目。</w:t>
                  </w:r>
                </w:p>
              </w:tc>
              <w:tc>
                <w:tcPr>
                  <w:tcW w:w="882" w:type="pct"/>
                  <w:noWrap w:val="0"/>
                  <w:vAlign w:val="center"/>
                </w:tcPr>
                <w:p w14:paraId="67BE4116">
                  <w:pPr>
                    <w:pStyle w:val="67"/>
                  </w:pPr>
                  <w:r>
                    <w:t>本项目属于</w:t>
                  </w:r>
                  <w:r>
                    <w:rPr>
                      <w:rFonts w:hint="eastAsia"/>
                    </w:rPr>
                    <w:t>动物诊疗、宠物饲养，宠物销售，宠物服务，美容服务和宠物用品销售等服务</w:t>
                  </w:r>
                  <w:r>
                    <w:t>，</w:t>
                  </w:r>
                  <w:r>
                    <w:rPr>
                      <w:rFonts w:hint="eastAsia"/>
                    </w:rPr>
                    <w:t>不涉及该项禁止内容</w:t>
                  </w:r>
                </w:p>
              </w:tc>
            </w:tr>
            <w:tr w14:paraId="76E7F8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3" w:type="pct"/>
                  <w:noWrap w:val="0"/>
                  <w:vAlign w:val="center"/>
                </w:tcPr>
                <w:p w14:paraId="52D34BCF">
                  <w:pPr>
                    <w:pStyle w:val="67"/>
                  </w:pPr>
                  <w:r>
                    <w:t>污染物排放管控</w:t>
                  </w:r>
                </w:p>
              </w:tc>
              <w:tc>
                <w:tcPr>
                  <w:tcW w:w="3484" w:type="pct"/>
                  <w:noWrap w:val="0"/>
                  <w:vAlign w:val="center"/>
                </w:tcPr>
                <w:p w14:paraId="5BEC7A5B">
                  <w:pPr>
                    <w:pStyle w:val="67"/>
                    <w:jc w:val="left"/>
                  </w:pPr>
                  <w:r>
                    <w:t>1.完善建设污水收集管网，确保园区内所有工业废水、生活污水纳入污水处理厂处理并达标排放。</w:t>
                  </w:r>
                </w:p>
                <w:p w14:paraId="75C210C2">
                  <w:pPr>
                    <w:pStyle w:val="67"/>
                    <w:jc w:val="left"/>
                  </w:pPr>
                  <w:r>
                    <w:t>2.对油墨等有机原辅材料调配和使用等，要采取车间环境负压改造、安装高效集气装置等措施，有机废气收集率达到70%以上。</w:t>
                  </w:r>
                </w:p>
                <w:p w14:paraId="482B126E">
                  <w:pPr>
                    <w:pStyle w:val="67"/>
                    <w:jc w:val="left"/>
                  </w:pPr>
                  <w:r>
                    <w:t>3.包装印刷业烘干车间应安装吸附设备回收有机溶剂，车间有机废气净化效率应达到90%以上。</w:t>
                  </w:r>
                </w:p>
                <w:p w14:paraId="29CB4AC4">
                  <w:pPr>
                    <w:pStyle w:val="67"/>
                    <w:jc w:val="left"/>
                  </w:pPr>
                  <w:r>
                    <w:t>4.涉新增VOCs排放项目，VOCs排放实行区域内倍量替代。</w:t>
                  </w:r>
                </w:p>
              </w:tc>
              <w:tc>
                <w:tcPr>
                  <w:tcW w:w="882" w:type="pct"/>
                  <w:noWrap w:val="0"/>
                  <w:vAlign w:val="center"/>
                </w:tcPr>
                <w:p w14:paraId="02B1BA68">
                  <w:pPr>
                    <w:pStyle w:val="67"/>
                  </w:pPr>
                  <w:r>
                    <w:t>符合，项目</w:t>
                  </w:r>
                  <w:r>
                    <w:rPr>
                      <w:rFonts w:hint="eastAsia"/>
                    </w:rPr>
                    <w:t>废水经处理后排入市政管网</w:t>
                  </w:r>
                </w:p>
              </w:tc>
            </w:tr>
            <w:tr w14:paraId="2F716B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3" w:type="pct"/>
                  <w:noWrap w:val="0"/>
                  <w:vAlign w:val="center"/>
                </w:tcPr>
                <w:p w14:paraId="36DE73EF">
                  <w:pPr>
                    <w:pStyle w:val="67"/>
                  </w:pPr>
                  <w:r>
                    <w:t>环境风险防控</w:t>
                  </w:r>
                </w:p>
              </w:tc>
              <w:tc>
                <w:tcPr>
                  <w:tcW w:w="3484" w:type="pct"/>
                  <w:noWrap w:val="0"/>
                  <w:vAlign w:val="center"/>
                </w:tcPr>
                <w:p w14:paraId="674D2FFE">
                  <w:pPr>
                    <w:pStyle w:val="67"/>
                    <w:jc w:val="left"/>
                  </w:pPr>
                  <w:r>
                    <w:t>1.建立健全环境风险防控体系，制定环境风险应急预案，建设事故应急池，成立应急组织机构，防止在处理安全生产事故过程中产生的可能严重污染水体的消防废水、废液直接排入水体。</w:t>
                  </w:r>
                </w:p>
                <w:p w14:paraId="2395EAB2">
                  <w:pPr>
                    <w:pStyle w:val="67"/>
                    <w:jc w:val="left"/>
                  </w:pPr>
                  <w:r>
                    <w:t>2.应采取有效措施防止园区建设对区域地下水、土壤造成污染。</w:t>
                  </w:r>
                </w:p>
              </w:tc>
              <w:tc>
                <w:tcPr>
                  <w:tcW w:w="882" w:type="pct"/>
                  <w:noWrap w:val="0"/>
                  <w:vAlign w:val="center"/>
                </w:tcPr>
                <w:p w14:paraId="41033A78">
                  <w:pPr>
                    <w:pStyle w:val="67"/>
                  </w:pPr>
                  <w:r>
                    <w:t>本项目风险Q远小于1，环境风险较小</w:t>
                  </w:r>
                </w:p>
              </w:tc>
            </w:tr>
            <w:tr w14:paraId="06923F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3" w:type="pct"/>
                  <w:noWrap w:val="0"/>
                  <w:vAlign w:val="center"/>
                </w:tcPr>
                <w:p w14:paraId="764115F0">
                  <w:pPr>
                    <w:pStyle w:val="67"/>
                  </w:pPr>
                  <w:r>
                    <w:t>资源开发效率要求</w:t>
                  </w:r>
                </w:p>
              </w:tc>
              <w:tc>
                <w:tcPr>
                  <w:tcW w:w="3484" w:type="pct"/>
                  <w:noWrap w:val="0"/>
                  <w:vAlign w:val="center"/>
                </w:tcPr>
                <w:p w14:paraId="4402CCC1">
                  <w:pPr>
                    <w:pStyle w:val="67"/>
                    <w:jc w:val="left"/>
                  </w:pPr>
                  <w:r>
                    <w:t>高污染燃料禁燃区内禁止燃用高污染燃料，禁止新建、扩建燃用高污染燃料的设施。已建的燃用高污染燃料设施，限期改用电、天然气、液化石油气等清洁能源。</w:t>
                  </w:r>
                </w:p>
              </w:tc>
              <w:tc>
                <w:tcPr>
                  <w:tcW w:w="882" w:type="pct"/>
                  <w:noWrap w:val="0"/>
                  <w:vAlign w:val="center"/>
                </w:tcPr>
                <w:p w14:paraId="1049FDFB">
                  <w:pPr>
                    <w:pStyle w:val="67"/>
                  </w:pPr>
                  <w:r>
                    <w:t>符合，本项目使用电能</w:t>
                  </w:r>
                </w:p>
              </w:tc>
            </w:tr>
          </w:tbl>
          <w:p w14:paraId="73AD00A6">
            <w:pPr>
              <w:pStyle w:val="63"/>
              <w:numPr>
                <w:ilvl w:val="0"/>
                <w:numId w:val="0"/>
              </w:numPr>
              <w:ind w:left="0" w:leftChars="0" w:firstLine="0" w:firstLineChars="0"/>
            </w:pPr>
            <w:r>
              <w:rPr>
                <w:rFonts w:hint="eastAsia" w:ascii="Times New Roman" w:hAnsi="Times New Roman" w:eastAsia="宋体" w:cs="宋体"/>
                <w:b/>
                <w:kern w:val="2"/>
                <w:sz w:val="24"/>
                <w:szCs w:val="24"/>
                <w:lang w:val="en-US" w:eastAsia="zh-CN" w:bidi="ar-SA"/>
              </w:rPr>
              <w:t>表1.6-2</w:t>
            </w:r>
            <w:r>
              <w:t>与</w:t>
            </w:r>
            <w:r>
              <w:rPr>
                <w:rFonts w:hint="eastAsia"/>
              </w:rPr>
              <w:t>鼓楼</w:t>
            </w:r>
            <w:r>
              <w:t>区生态环境准入清单符合性分析</w:t>
            </w:r>
          </w:p>
          <w:tbl>
            <w:tblPr>
              <w:tblStyle w:val="25"/>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7" w:type="dxa"/>
                <w:bottom w:w="0" w:type="dxa"/>
                <w:right w:w="57" w:type="dxa"/>
              </w:tblCellMar>
            </w:tblPr>
            <w:tblGrid>
              <w:gridCol w:w="1193"/>
              <w:gridCol w:w="886"/>
              <w:gridCol w:w="563"/>
              <w:gridCol w:w="572"/>
              <w:gridCol w:w="3084"/>
              <w:gridCol w:w="1776"/>
            </w:tblGrid>
            <w:tr w14:paraId="3A2D93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738" w:type="pct"/>
                  <w:noWrap w:val="0"/>
                  <w:tcMar>
                    <w:left w:w="57" w:type="dxa"/>
                    <w:right w:w="57" w:type="dxa"/>
                  </w:tcMar>
                  <w:vAlign w:val="center"/>
                </w:tcPr>
                <w:p w14:paraId="51A62A61">
                  <w:pPr>
                    <w:pStyle w:val="67"/>
                    <w:rPr>
                      <w:color w:val="auto"/>
                    </w:rPr>
                  </w:pPr>
                  <w:r>
                    <w:rPr>
                      <w:rFonts w:hint="eastAsia"/>
                      <w:color w:val="auto"/>
                    </w:rPr>
                    <w:t>环境管控单元编码</w:t>
                  </w:r>
                </w:p>
              </w:tc>
              <w:tc>
                <w:tcPr>
                  <w:tcW w:w="548" w:type="pct"/>
                  <w:noWrap w:val="0"/>
                  <w:tcMar>
                    <w:left w:w="57" w:type="dxa"/>
                    <w:right w:w="57" w:type="dxa"/>
                  </w:tcMar>
                  <w:vAlign w:val="center"/>
                </w:tcPr>
                <w:p w14:paraId="0BEAF902">
                  <w:pPr>
                    <w:pStyle w:val="67"/>
                    <w:rPr>
                      <w:color w:val="auto"/>
                    </w:rPr>
                  </w:pPr>
                  <w:r>
                    <w:rPr>
                      <w:color w:val="auto"/>
                    </w:rPr>
                    <w:t>管控单元</w:t>
                  </w:r>
                </w:p>
              </w:tc>
              <w:tc>
                <w:tcPr>
                  <w:tcW w:w="348" w:type="pct"/>
                  <w:noWrap w:val="0"/>
                  <w:tcMar>
                    <w:left w:w="57" w:type="dxa"/>
                    <w:right w:w="57" w:type="dxa"/>
                  </w:tcMar>
                  <w:vAlign w:val="center"/>
                </w:tcPr>
                <w:p w14:paraId="59C18FBA">
                  <w:pPr>
                    <w:pStyle w:val="67"/>
                    <w:rPr>
                      <w:color w:val="auto"/>
                    </w:rPr>
                  </w:pPr>
                  <w:r>
                    <w:rPr>
                      <w:color w:val="auto"/>
                    </w:rPr>
                    <w:t>类别</w:t>
                  </w:r>
                </w:p>
              </w:tc>
              <w:tc>
                <w:tcPr>
                  <w:tcW w:w="2264" w:type="pct"/>
                  <w:gridSpan w:val="2"/>
                  <w:noWrap w:val="0"/>
                  <w:tcMar>
                    <w:left w:w="57" w:type="dxa"/>
                    <w:right w:w="57" w:type="dxa"/>
                  </w:tcMar>
                  <w:vAlign w:val="center"/>
                </w:tcPr>
                <w:p w14:paraId="6E0869DE">
                  <w:pPr>
                    <w:pStyle w:val="67"/>
                    <w:rPr>
                      <w:color w:val="auto"/>
                    </w:rPr>
                  </w:pPr>
                  <w:r>
                    <w:rPr>
                      <w:color w:val="auto"/>
                    </w:rPr>
                    <w:t>管控要求</w:t>
                  </w:r>
                </w:p>
              </w:tc>
              <w:tc>
                <w:tcPr>
                  <w:tcW w:w="1099" w:type="pct"/>
                  <w:noWrap w:val="0"/>
                  <w:tcMar>
                    <w:left w:w="57" w:type="dxa"/>
                    <w:right w:w="57" w:type="dxa"/>
                  </w:tcMar>
                  <w:vAlign w:val="center"/>
                </w:tcPr>
                <w:p w14:paraId="664AC113">
                  <w:pPr>
                    <w:pStyle w:val="67"/>
                    <w:rPr>
                      <w:color w:val="auto"/>
                    </w:rPr>
                  </w:pPr>
                  <w:r>
                    <w:rPr>
                      <w:color w:val="auto"/>
                    </w:rPr>
                    <w:t>符合性分析</w:t>
                  </w:r>
                </w:p>
              </w:tc>
            </w:tr>
            <w:tr w14:paraId="374F62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738" w:type="pct"/>
                  <w:vMerge w:val="restart"/>
                  <w:noWrap w:val="0"/>
                  <w:tcMar>
                    <w:left w:w="57" w:type="dxa"/>
                    <w:right w:w="57" w:type="dxa"/>
                  </w:tcMar>
                  <w:vAlign w:val="center"/>
                </w:tcPr>
                <w:p w14:paraId="22D79A88">
                  <w:pPr>
                    <w:widowControl/>
                    <w:spacing w:line="240" w:lineRule="exact"/>
                    <w:jc w:val="center"/>
                    <w:textAlignment w:val="center"/>
                    <w:rPr>
                      <w:color w:val="auto"/>
                    </w:rPr>
                  </w:pPr>
                  <w:r>
                    <w:rPr>
                      <w:rFonts w:hint="eastAsia" w:ascii="宋体" w:hAnsi="宋体" w:cs="宋体"/>
                      <w:color w:val="auto"/>
                      <w:kern w:val="0"/>
                      <w:sz w:val="21"/>
                      <w:szCs w:val="21"/>
                    </w:rPr>
                    <w:t>ZH35010220003</w:t>
                  </w:r>
                </w:p>
              </w:tc>
              <w:tc>
                <w:tcPr>
                  <w:tcW w:w="548" w:type="pct"/>
                  <w:vMerge w:val="restart"/>
                  <w:noWrap w:val="0"/>
                  <w:tcMar>
                    <w:left w:w="57" w:type="dxa"/>
                    <w:right w:w="57" w:type="dxa"/>
                  </w:tcMar>
                  <w:vAlign w:val="center"/>
                </w:tcPr>
                <w:p w14:paraId="15B1CF95">
                  <w:pPr>
                    <w:widowControl/>
                    <w:spacing w:line="240" w:lineRule="exact"/>
                    <w:jc w:val="center"/>
                    <w:textAlignment w:val="center"/>
                    <w:rPr>
                      <w:color w:val="auto"/>
                    </w:rPr>
                  </w:pPr>
                  <w:r>
                    <w:rPr>
                      <w:rFonts w:hint="eastAsia" w:ascii="宋体" w:hAnsi="宋体" w:cs="宋体"/>
                      <w:color w:val="auto"/>
                      <w:kern w:val="0"/>
                      <w:sz w:val="21"/>
                      <w:szCs w:val="21"/>
                    </w:rPr>
                    <w:t xml:space="preserve">鼓楼区重点管控单元 1 </w:t>
                  </w:r>
                </w:p>
              </w:tc>
              <w:tc>
                <w:tcPr>
                  <w:tcW w:w="348" w:type="pct"/>
                  <w:vMerge w:val="restart"/>
                  <w:noWrap w:val="0"/>
                  <w:tcMar>
                    <w:left w:w="57" w:type="dxa"/>
                    <w:right w:w="57" w:type="dxa"/>
                  </w:tcMar>
                  <w:vAlign w:val="center"/>
                </w:tcPr>
                <w:p w14:paraId="18626110">
                  <w:pPr>
                    <w:widowControl/>
                    <w:spacing w:line="240" w:lineRule="exact"/>
                    <w:jc w:val="center"/>
                    <w:textAlignment w:val="center"/>
                    <w:rPr>
                      <w:color w:val="auto"/>
                    </w:rPr>
                  </w:pPr>
                  <w:r>
                    <w:rPr>
                      <w:rFonts w:hint="eastAsia" w:ascii="宋体" w:hAnsi="宋体" w:cs="宋体"/>
                      <w:color w:val="auto"/>
                      <w:kern w:val="0"/>
                      <w:sz w:val="21"/>
                      <w:szCs w:val="21"/>
                    </w:rPr>
                    <w:t>重点管控单元</w:t>
                  </w:r>
                </w:p>
              </w:tc>
              <w:tc>
                <w:tcPr>
                  <w:tcW w:w="354" w:type="pct"/>
                  <w:noWrap w:val="0"/>
                  <w:tcMar>
                    <w:left w:w="57" w:type="dxa"/>
                    <w:right w:w="57" w:type="dxa"/>
                  </w:tcMar>
                  <w:vAlign w:val="center"/>
                </w:tcPr>
                <w:p w14:paraId="6C4AD4A3">
                  <w:pPr>
                    <w:pStyle w:val="67"/>
                    <w:rPr>
                      <w:color w:val="auto"/>
                    </w:rPr>
                  </w:pPr>
                  <w:r>
                    <w:rPr>
                      <w:rFonts w:hint="eastAsia"/>
                      <w:color w:val="auto"/>
                    </w:rPr>
                    <w:t>空间布局约束</w:t>
                  </w:r>
                </w:p>
              </w:tc>
              <w:tc>
                <w:tcPr>
                  <w:tcW w:w="1909" w:type="pct"/>
                  <w:noWrap w:val="0"/>
                  <w:tcMar>
                    <w:left w:w="57" w:type="dxa"/>
                    <w:right w:w="57" w:type="dxa"/>
                  </w:tcMar>
                  <w:vAlign w:val="center"/>
                </w:tcPr>
                <w:p w14:paraId="6D8EE963">
                  <w:pPr>
                    <w:pStyle w:val="67"/>
                    <w:jc w:val="left"/>
                    <w:rPr>
                      <w:rFonts w:hint="eastAsia"/>
                      <w:color w:val="auto"/>
                    </w:rPr>
                  </w:pPr>
                  <w:r>
                    <w:rPr>
                      <w:rFonts w:hint="eastAsia"/>
                      <w:color w:val="auto"/>
                    </w:rPr>
                    <w:t>1.严禁在人口聚集区新建涉及化学品和危险废物排放的项目，城市建成区内现有污染较重的企业应有序搬迁改造或依法关闭。</w:t>
                  </w:r>
                </w:p>
                <w:p w14:paraId="3AE2D601">
                  <w:pPr>
                    <w:pStyle w:val="67"/>
                    <w:jc w:val="left"/>
                    <w:rPr>
                      <w:color w:val="auto"/>
                    </w:rPr>
                  </w:pPr>
                  <w:r>
                    <w:rPr>
                      <w:rFonts w:hint="eastAsia"/>
                      <w:color w:val="auto"/>
                    </w:rPr>
                    <w:t>2.严格控制包装印刷、工业涂装、制鞋等高VOCs排放的项目建设，相关新建项目必须进入工业园区。</w:t>
                  </w:r>
                </w:p>
              </w:tc>
              <w:tc>
                <w:tcPr>
                  <w:tcW w:w="1099" w:type="pct"/>
                  <w:noWrap w:val="0"/>
                  <w:tcMar>
                    <w:left w:w="57" w:type="dxa"/>
                    <w:right w:w="57" w:type="dxa"/>
                  </w:tcMar>
                  <w:vAlign w:val="center"/>
                </w:tcPr>
                <w:p w14:paraId="326C9346">
                  <w:pPr>
                    <w:pStyle w:val="67"/>
                    <w:rPr>
                      <w:color w:val="auto"/>
                    </w:rPr>
                  </w:pPr>
                  <w:r>
                    <w:rPr>
                      <w:rFonts w:hint="eastAsia"/>
                      <w:color w:val="auto"/>
                    </w:rPr>
                    <w:t>本项目</w:t>
                  </w:r>
                  <w:r>
                    <w:rPr>
                      <w:color w:val="auto"/>
                    </w:rPr>
                    <w:t>属于</w:t>
                  </w:r>
                  <w:r>
                    <w:rPr>
                      <w:rFonts w:hint="eastAsia"/>
                      <w:color w:val="auto"/>
                    </w:rPr>
                    <w:t>动物诊疗、宠物饲养，宠物销售，宠物服务，美容服务和宠物用品销售等服务，不涉及该项禁止类；符合</w:t>
                  </w:r>
                </w:p>
              </w:tc>
            </w:tr>
            <w:tr w14:paraId="620C1D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738" w:type="pct"/>
                  <w:vMerge w:val="continue"/>
                  <w:noWrap w:val="0"/>
                  <w:tcMar>
                    <w:left w:w="57" w:type="dxa"/>
                    <w:right w:w="57" w:type="dxa"/>
                  </w:tcMar>
                  <w:vAlign w:val="center"/>
                </w:tcPr>
                <w:p w14:paraId="4C32E5F8">
                  <w:pPr>
                    <w:pStyle w:val="67"/>
                    <w:rPr>
                      <w:color w:val="auto"/>
                    </w:rPr>
                  </w:pPr>
                </w:p>
              </w:tc>
              <w:tc>
                <w:tcPr>
                  <w:tcW w:w="548" w:type="pct"/>
                  <w:vMerge w:val="continue"/>
                  <w:noWrap w:val="0"/>
                  <w:tcMar>
                    <w:left w:w="57" w:type="dxa"/>
                    <w:right w:w="57" w:type="dxa"/>
                  </w:tcMar>
                  <w:vAlign w:val="center"/>
                </w:tcPr>
                <w:p w14:paraId="3973994C">
                  <w:pPr>
                    <w:pStyle w:val="67"/>
                    <w:rPr>
                      <w:color w:val="auto"/>
                    </w:rPr>
                  </w:pPr>
                </w:p>
              </w:tc>
              <w:tc>
                <w:tcPr>
                  <w:tcW w:w="348" w:type="pct"/>
                  <w:vMerge w:val="continue"/>
                  <w:noWrap w:val="0"/>
                  <w:tcMar>
                    <w:left w:w="57" w:type="dxa"/>
                    <w:right w:w="57" w:type="dxa"/>
                  </w:tcMar>
                  <w:vAlign w:val="center"/>
                </w:tcPr>
                <w:p w14:paraId="5D22629D">
                  <w:pPr>
                    <w:pStyle w:val="67"/>
                    <w:rPr>
                      <w:color w:val="auto"/>
                    </w:rPr>
                  </w:pPr>
                </w:p>
              </w:tc>
              <w:tc>
                <w:tcPr>
                  <w:tcW w:w="354" w:type="pct"/>
                  <w:noWrap w:val="0"/>
                  <w:tcMar>
                    <w:left w:w="57" w:type="dxa"/>
                    <w:right w:w="57" w:type="dxa"/>
                  </w:tcMar>
                  <w:vAlign w:val="center"/>
                </w:tcPr>
                <w:p w14:paraId="11064096">
                  <w:pPr>
                    <w:pStyle w:val="67"/>
                    <w:rPr>
                      <w:color w:val="auto"/>
                    </w:rPr>
                  </w:pPr>
                  <w:r>
                    <w:rPr>
                      <w:rFonts w:hint="eastAsia"/>
                      <w:color w:val="auto"/>
                    </w:rPr>
                    <w:t>污染物排放管控</w:t>
                  </w:r>
                </w:p>
              </w:tc>
              <w:tc>
                <w:tcPr>
                  <w:tcW w:w="1909" w:type="pct"/>
                  <w:noWrap w:val="0"/>
                  <w:tcMar>
                    <w:left w:w="57" w:type="dxa"/>
                    <w:right w:w="57" w:type="dxa"/>
                  </w:tcMar>
                  <w:vAlign w:val="center"/>
                </w:tcPr>
                <w:p w14:paraId="4760A1C6">
                  <w:pPr>
                    <w:pStyle w:val="67"/>
                    <w:jc w:val="left"/>
                    <w:rPr>
                      <w:color w:val="auto"/>
                    </w:rPr>
                  </w:pPr>
                  <w:r>
                    <w:rPr>
                      <w:rFonts w:hint="eastAsia"/>
                      <w:color w:val="auto"/>
                    </w:rPr>
                    <w:t>城市建成区的大气污染型工业企业的新增大气污染物（二氧化硫、氮氧化物）排放量，按不低于1.5倍调剂。</w:t>
                  </w:r>
                </w:p>
              </w:tc>
              <w:tc>
                <w:tcPr>
                  <w:tcW w:w="1099" w:type="pct"/>
                  <w:noWrap w:val="0"/>
                  <w:tcMar>
                    <w:left w:w="57" w:type="dxa"/>
                    <w:right w:w="57" w:type="dxa"/>
                  </w:tcMar>
                  <w:vAlign w:val="center"/>
                </w:tcPr>
                <w:p w14:paraId="22978ED2">
                  <w:pPr>
                    <w:pStyle w:val="67"/>
                    <w:rPr>
                      <w:color w:val="auto"/>
                    </w:rPr>
                  </w:pPr>
                  <w:r>
                    <w:rPr>
                      <w:rFonts w:hint="eastAsia"/>
                      <w:color w:val="auto"/>
                    </w:rPr>
                    <w:t>本项目</w:t>
                  </w:r>
                  <w:r>
                    <w:rPr>
                      <w:color w:val="auto"/>
                    </w:rPr>
                    <w:t>属于</w:t>
                  </w:r>
                  <w:r>
                    <w:rPr>
                      <w:rFonts w:hint="eastAsia"/>
                      <w:color w:val="auto"/>
                    </w:rPr>
                    <w:t>动物诊疗、宠物饲养，宠物销售，宠物服务，美容服务和宠物用品销售等服务</w:t>
                  </w:r>
                  <w:r>
                    <w:rPr>
                      <w:rFonts w:hint="eastAsia"/>
                      <w:color w:val="auto"/>
                      <w:lang w:bidi="ar"/>
                    </w:rPr>
                    <w:t>，不排放</w:t>
                  </w:r>
                  <w:r>
                    <w:rPr>
                      <w:rFonts w:hint="eastAsia"/>
                      <w:color w:val="auto"/>
                    </w:rPr>
                    <w:t>二氧化硫、氮氧化物；符合</w:t>
                  </w:r>
                </w:p>
              </w:tc>
            </w:tr>
            <w:tr w14:paraId="6B2B0D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738" w:type="pct"/>
                  <w:vMerge w:val="continue"/>
                  <w:tcBorders>
                    <w:bottom w:val="single" w:color="auto" w:sz="12" w:space="0"/>
                  </w:tcBorders>
                  <w:noWrap w:val="0"/>
                  <w:tcMar>
                    <w:left w:w="57" w:type="dxa"/>
                    <w:right w:w="57" w:type="dxa"/>
                  </w:tcMar>
                  <w:vAlign w:val="center"/>
                </w:tcPr>
                <w:p w14:paraId="27983C13">
                  <w:pPr>
                    <w:pStyle w:val="67"/>
                    <w:rPr>
                      <w:color w:val="auto"/>
                    </w:rPr>
                  </w:pPr>
                </w:p>
              </w:tc>
              <w:tc>
                <w:tcPr>
                  <w:tcW w:w="548" w:type="pct"/>
                  <w:vMerge w:val="continue"/>
                  <w:tcBorders>
                    <w:bottom w:val="single" w:color="auto" w:sz="12" w:space="0"/>
                  </w:tcBorders>
                  <w:noWrap w:val="0"/>
                  <w:tcMar>
                    <w:left w:w="57" w:type="dxa"/>
                    <w:right w:w="57" w:type="dxa"/>
                  </w:tcMar>
                  <w:vAlign w:val="center"/>
                </w:tcPr>
                <w:p w14:paraId="31A80023">
                  <w:pPr>
                    <w:pStyle w:val="67"/>
                    <w:rPr>
                      <w:color w:val="auto"/>
                    </w:rPr>
                  </w:pPr>
                </w:p>
              </w:tc>
              <w:tc>
                <w:tcPr>
                  <w:tcW w:w="348" w:type="pct"/>
                  <w:vMerge w:val="continue"/>
                  <w:tcBorders>
                    <w:bottom w:val="single" w:color="auto" w:sz="12" w:space="0"/>
                  </w:tcBorders>
                  <w:noWrap w:val="0"/>
                  <w:tcMar>
                    <w:left w:w="57" w:type="dxa"/>
                    <w:right w:w="57" w:type="dxa"/>
                  </w:tcMar>
                  <w:vAlign w:val="center"/>
                </w:tcPr>
                <w:p w14:paraId="1FA9B039">
                  <w:pPr>
                    <w:pStyle w:val="67"/>
                    <w:rPr>
                      <w:color w:val="auto"/>
                    </w:rPr>
                  </w:pPr>
                </w:p>
              </w:tc>
              <w:tc>
                <w:tcPr>
                  <w:tcW w:w="354" w:type="pct"/>
                  <w:tcBorders>
                    <w:bottom w:val="single" w:color="auto" w:sz="12" w:space="0"/>
                  </w:tcBorders>
                  <w:noWrap w:val="0"/>
                  <w:tcMar>
                    <w:left w:w="57" w:type="dxa"/>
                    <w:right w:w="57" w:type="dxa"/>
                  </w:tcMar>
                  <w:vAlign w:val="center"/>
                </w:tcPr>
                <w:p w14:paraId="46C1A8E4">
                  <w:pPr>
                    <w:pStyle w:val="67"/>
                    <w:rPr>
                      <w:color w:val="auto"/>
                    </w:rPr>
                  </w:pPr>
                  <w:r>
                    <w:rPr>
                      <w:rFonts w:hint="eastAsia"/>
                      <w:color w:val="auto"/>
                    </w:rPr>
                    <w:t>资源开发效率 要求</w:t>
                  </w:r>
                </w:p>
              </w:tc>
              <w:tc>
                <w:tcPr>
                  <w:tcW w:w="1909" w:type="pct"/>
                  <w:tcBorders>
                    <w:bottom w:val="single" w:color="auto" w:sz="12" w:space="0"/>
                  </w:tcBorders>
                  <w:noWrap w:val="0"/>
                  <w:tcMar>
                    <w:left w:w="57" w:type="dxa"/>
                    <w:right w:w="57" w:type="dxa"/>
                  </w:tcMar>
                  <w:vAlign w:val="center"/>
                </w:tcPr>
                <w:p w14:paraId="3E0BF233">
                  <w:pPr>
                    <w:pStyle w:val="67"/>
                    <w:jc w:val="left"/>
                    <w:rPr>
                      <w:color w:val="auto"/>
                    </w:rPr>
                  </w:pPr>
                  <w:r>
                    <w:rPr>
                      <w:rFonts w:hint="eastAsia"/>
                      <w:color w:val="auto"/>
                    </w:rPr>
                    <w:t>高污染燃料禁燃区内禁止燃用高污染燃料，禁止新建、扩建燃用高污染燃料的设施。已建的燃用高污染燃料设施，限期改用电、天然气、液化石油气等清洁能源</w:t>
                  </w:r>
                </w:p>
              </w:tc>
              <w:tc>
                <w:tcPr>
                  <w:tcW w:w="1099" w:type="pct"/>
                  <w:noWrap w:val="0"/>
                  <w:tcMar>
                    <w:left w:w="57" w:type="dxa"/>
                    <w:right w:w="57" w:type="dxa"/>
                  </w:tcMar>
                  <w:vAlign w:val="center"/>
                </w:tcPr>
                <w:p w14:paraId="0B6CB004">
                  <w:pPr>
                    <w:pStyle w:val="67"/>
                    <w:rPr>
                      <w:color w:val="auto"/>
                    </w:rPr>
                  </w:pPr>
                  <w:r>
                    <w:rPr>
                      <w:rFonts w:hint="eastAsia"/>
                      <w:color w:val="auto"/>
                    </w:rPr>
                    <w:t>项目能源为电能；符合</w:t>
                  </w:r>
                </w:p>
              </w:tc>
            </w:tr>
          </w:tbl>
          <w:p w14:paraId="46804EA9">
            <w:pPr>
              <w:pStyle w:val="76"/>
              <w:ind w:firstLine="480"/>
              <w:rPr>
                <w:rFonts w:hint="default" w:cs="Times New Roman"/>
              </w:rPr>
            </w:pPr>
            <w:r>
              <w:rPr>
                <w:rFonts w:hint="default" w:cs="Times New Roman"/>
              </w:rPr>
              <w:t>据上述分析，本项目与福州市“三线一单”生态分区管控中的相关规定是符合的。</w:t>
            </w:r>
          </w:p>
          <w:p w14:paraId="7EC18C8C">
            <w:pPr>
              <w:pStyle w:val="5"/>
              <w:keepNext/>
              <w:keepLines/>
              <w:pageBreakBefore w:val="0"/>
              <w:widowControl w:val="0"/>
              <w:numPr>
                <w:ilvl w:val="0"/>
                <w:numId w:val="0"/>
              </w:numPr>
              <w:kinsoku/>
              <w:wordWrap/>
              <w:overflowPunct/>
              <w:topLinePunct w:val="0"/>
              <w:autoSpaceDE/>
              <w:autoSpaceDN/>
              <w:bidi w:val="0"/>
              <w:adjustRightInd/>
              <w:snapToGrid/>
              <w:spacing w:before="0" w:beforeLines="0" w:after="0" w:afterLines="0"/>
              <w:ind w:left="0" w:leftChars="0" w:firstLine="0" w:firstLineChars="0"/>
              <w:textAlignment w:val="auto"/>
              <w:rPr>
                <w:color w:val="auto"/>
              </w:rPr>
            </w:pPr>
            <w:r>
              <w:rPr>
                <w:rFonts w:hint="eastAsia" w:ascii="Times New Roman" w:hAnsi="Times New Roman" w:eastAsia="宋体" w:cs="宋体"/>
                <w:b/>
                <w:bCs/>
                <w:color w:val="auto"/>
                <w:kern w:val="44"/>
                <w:sz w:val="30"/>
                <w:szCs w:val="32"/>
                <w:lang w:val="en-US" w:eastAsia="zh-CN" w:bidi="ar-SA"/>
              </w:rPr>
              <w:t>1.7</w:t>
            </w:r>
            <w:r>
              <w:rPr>
                <w:color w:val="auto"/>
              </w:rPr>
              <w:t>与《闽江流域（福州段）产业布局规划》符合性分析</w:t>
            </w:r>
          </w:p>
          <w:p w14:paraId="436E25E1">
            <w:pPr>
              <w:autoSpaceDE w:val="0"/>
              <w:autoSpaceDN w:val="0"/>
              <w:adjustRightInd w:val="0"/>
              <w:snapToGrid w:val="0"/>
              <w:spacing w:line="360" w:lineRule="auto"/>
              <w:ind w:firstLine="480" w:firstLineChars="200"/>
              <w:rPr>
                <w:kern w:val="0"/>
                <w:szCs w:val="21"/>
              </w:rPr>
            </w:pPr>
            <w:r>
              <w:rPr>
                <w:rFonts w:hint="eastAsia"/>
                <w:kern w:val="0"/>
                <w:szCs w:val="21"/>
              </w:rPr>
              <w:t>根据《福州市发展和改革委员会关于印发实施《闽江流域（福州段）》产业布局规划的通知》（榕发改工[2021]39号）中附件2闽江流域福州段产业准入负面清单，内容如下：</w:t>
            </w:r>
          </w:p>
          <w:p w14:paraId="4463A101">
            <w:pPr>
              <w:autoSpaceDE w:val="0"/>
              <w:autoSpaceDN w:val="0"/>
              <w:adjustRightInd w:val="0"/>
              <w:snapToGrid w:val="0"/>
              <w:spacing w:line="360" w:lineRule="auto"/>
              <w:ind w:firstLine="480" w:firstLineChars="200"/>
              <w:rPr>
                <w:kern w:val="0"/>
                <w:szCs w:val="21"/>
              </w:rPr>
            </w:pPr>
            <w:r>
              <w:rPr>
                <w:rFonts w:hint="eastAsia"/>
                <w:kern w:val="0"/>
                <w:szCs w:val="21"/>
              </w:rPr>
              <w:t>闽江流域干流、一级支流沿岸一公里范围内：</w:t>
            </w:r>
          </w:p>
          <w:p w14:paraId="08F30BB3">
            <w:pPr>
              <w:autoSpaceDE w:val="0"/>
              <w:autoSpaceDN w:val="0"/>
              <w:adjustRightInd w:val="0"/>
              <w:snapToGrid w:val="0"/>
              <w:spacing w:line="360" w:lineRule="auto"/>
              <w:ind w:firstLine="480" w:firstLineChars="200"/>
              <w:rPr>
                <w:kern w:val="0"/>
                <w:szCs w:val="21"/>
              </w:rPr>
            </w:pPr>
            <w:r>
              <w:rPr>
                <w:rFonts w:hint="eastAsia"/>
                <w:kern w:val="0"/>
                <w:szCs w:val="21"/>
              </w:rPr>
              <w:t>（1）禁止布局印染、印花、造纸、制革、电镀、化工、冶炼、炼油、酿造、化肥、燃料、农药等建设项目；</w:t>
            </w:r>
          </w:p>
          <w:p w14:paraId="1EF7ED15">
            <w:pPr>
              <w:pStyle w:val="76"/>
              <w:ind w:firstLine="480"/>
              <w:rPr>
                <w:rFonts w:hint="default" w:cs="Times New Roman"/>
                <w:color w:val="auto"/>
                <w:szCs w:val="24"/>
              </w:rPr>
            </w:pPr>
            <w:r>
              <w:rPr>
                <w:rFonts w:hint="eastAsia"/>
                <w:kern w:val="0"/>
                <w:szCs w:val="21"/>
              </w:rPr>
              <w:t>（2）禁止布局产生含汞、镉、铬、砷、铅、镍、氰化物、持久性有机污染物、病原微生物、放射性等有毒有害物质的建设项目。</w:t>
            </w:r>
          </w:p>
          <w:p w14:paraId="61EF716F">
            <w:pPr>
              <w:pStyle w:val="76"/>
              <w:ind w:firstLine="480"/>
              <w:rPr>
                <w:rFonts w:hint="default"/>
              </w:rPr>
            </w:pPr>
            <w:r>
              <w:rPr>
                <w:rFonts w:hint="default" w:cs="Times New Roman"/>
                <w:color w:val="auto"/>
                <w:szCs w:val="24"/>
              </w:rPr>
              <w:t>本项目位于福州市鼓楼区鼓西街道善化新村8#楼东起第六间店面</w:t>
            </w:r>
            <w:r>
              <w:rPr>
                <w:rFonts w:hint="default" w:cs="Times New Roman"/>
                <w:color w:val="auto"/>
              </w:rPr>
              <w:t>，根据《国民经济行业分类》（GB/T4754-2017），属于O82其他服务业、8222宠物医院服务，符合规划中加快现代服务业的规划要求。本项目医疗废水含有少量病原微生物，经一体化污水处理设施消毒</w:t>
            </w:r>
            <w:r>
              <w:rPr>
                <w:rFonts w:hint="default" w:cs="Times New Roman"/>
                <w:color w:val="auto"/>
                <w:lang w:eastAsia="zh-CN"/>
              </w:rPr>
              <w:t>预处理达《医疗机构水污染物排放标准》（GB18466-2005）表2“预处理标准”后</w:t>
            </w:r>
            <w:r>
              <w:rPr>
                <w:rFonts w:hint="default" w:cs="Times New Roman"/>
                <w:color w:val="auto"/>
              </w:rPr>
              <w:t>进入化粪池处理后接入市政污水管网</w:t>
            </w:r>
            <w:r>
              <w:rPr>
                <w:rFonts w:hint="eastAsia" w:cs="Times New Roman"/>
                <w:color w:val="auto"/>
                <w:lang w:eastAsia="zh-CN"/>
              </w:rPr>
              <w:t>。</w:t>
            </w:r>
            <w:r>
              <w:rPr>
                <w:rFonts w:hint="default" w:cs="Times New Roman"/>
                <w:color w:val="auto"/>
              </w:rPr>
              <w:t>同时项目不在闽江流域干流、一级支流沿岸一公里范围内，符合闽江流域福州段产业准入规则。</w:t>
            </w:r>
          </w:p>
        </w:tc>
      </w:tr>
    </w:tbl>
    <w:p w14:paraId="3C042BA5">
      <w:pPr>
        <w:spacing w:line="360" w:lineRule="auto"/>
        <w:rPr>
          <w:rFonts w:eastAsia="黑体"/>
          <w:sz w:val="30"/>
        </w:rPr>
        <w:sectPr>
          <w:footerReference r:id="rId5" w:type="default"/>
          <w:pgSz w:w="11906" w:h="16838"/>
          <w:pgMar w:top="1417" w:right="1417" w:bottom="1417" w:left="1417" w:header="851" w:footer="1077" w:gutter="0"/>
          <w:pgNumType w:start="1"/>
          <w:cols w:space="720" w:num="1"/>
          <w:docGrid w:linePitch="312" w:charSpace="0"/>
        </w:sectPr>
      </w:pPr>
    </w:p>
    <w:p w14:paraId="2BD7240A">
      <w:pPr>
        <w:pStyle w:val="4"/>
        <w:keepNext/>
        <w:keepLines w:val="0"/>
        <w:pageBreakBefore w:val="0"/>
        <w:widowControl w:val="0"/>
        <w:numPr>
          <w:ilvl w:val="0"/>
          <w:numId w:val="0"/>
        </w:numPr>
        <w:kinsoku/>
        <w:wordWrap/>
        <w:overflowPunct w:val="0"/>
        <w:topLinePunct w:val="0"/>
        <w:autoSpaceDE/>
        <w:autoSpaceDN/>
        <w:bidi w:val="0"/>
        <w:adjustRightInd/>
        <w:snapToGrid w:val="0"/>
        <w:ind w:left="0" w:leftChars="0" w:firstLine="0" w:firstLineChars="0"/>
        <w:textAlignment w:val="auto"/>
        <w:rPr>
          <w:color w:val="auto"/>
        </w:rPr>
      </w:pPr>
      <w:bookmarkStart w:id="27" w:name="_Toc907"/>
      <w:r>
        <w:rPr>
          <w:rFonts w:hint="eastAsia" w:ascii="Times New Roman" w:hAnsi="Times New Roman" w:eastAsia="黑体" w:cs="宋体"/>
          <w:b/>
          <w:bCs/>
          <w:color w:val="auto"/>
          <w:kern w:val="44"/>
          <w:sz w:val="30"/>
          <w:szCs w:val="30"/>
          <w:lang w:val="en-US" w:eastAsia="zh-CN" w:bidi="ar-SA"/>
        </w:rPr>
        <w:t>二、</w:t>
      </w:r>
      <w:r>
        <w:rPr>
          <w:color w:val="auto"/>
        </w:rPr>
        <w:t>建设项目工程分析</w:t>
      </w:r>
      <w:bookmarkEnd w:id="27"/>
    </w:p>
    <w:tbl>
      <w:tblPr>
        <w:tblStyle w:val="2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647"/>
        <w:gridCol w:w="8641"/>
      </w:tblGrid>
      <w:tr w14:paraId="68C588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427" w:hRule="atLeast"/>
          <w:jc w:val="center"/>
        </w:trPr>
        <w:tc>
          <w:tcPr>
            <w:tcW w:w="976" w:type="dxa"/>
            <w:noWrap w:val="0"/>
            <w:vAlign w:val="center"/>
          </w:tcPr>
          <w:p w14:paraId="7753A415">
            <w:pPr>
              <w:adjustRightInd w:val="0"/>
              <w:snapToGrid w:val="0"/>
              <w:jc w:val="center"/>
              <w:rPr>
                <w:sz w:val="21"/>
                <w:szCs w:val="21"/>
              </w:rPr>
            </w:pPr>
            <w:r>
              <w:rPr>
                <w:sz w:val="21"/>
                <w:szCs w:val="21"/>
              </w:rPr>
              <w:t>建设内容</w:t>
            </w:r>
          </w:p>
        </w:tc>
        <w:tc>
          <w:tcPr>
            <w:tcW w:w="8312" w:type="dxa"/>
            <w:noWrap w:val="0"/>
            <w:vAlign w:val="top"/>
          </w:tcPr>
          <w:p w14:paraId="5AC00A6B">
            <w:pPr>
              <w:pStyle w:val="5"/>
              <w:keepNext/>
              <w:keepLines/>
              <w:pageBreakBefore w:val="0"/>
              <w:widowControl w:val="0"/>
              <w:numPr>
                <w:ilvl w:val="0"/>
                <w:numId w:val="0"/>
              </w:numPr>
              <w:kinsoku/>
              <w:wordWrap/>
              <w:overflowPunct/>
              <w:topLinePunct w:val="0"/>
              <w:autoSpaceDE/>
              <w:autoSpaceDN/>
              <w:bidi w:val="0"/>
              <w:adjustRightInd/>
              <w:snapToGrid/>
              <w:spacing w:before="0" w:beforeLines="0" w:after="0" w:afterLines="0"/>
              <w:ind w:left="0" w:leftChars="0" w:firstLine="0" w:firstLineChars="0"/>
              <w:textAlignment w:val="auto"/>
            </w:pPr>
            <w:r>
              <w:rPr>
                <w:rFonts w:hint="eastAsia" w:ascii="Times New Roman" w:hAnsi="Times New Roman" w:eastAsia="宋体" w:cs="宋体"/>
                <w:b/>
                <w:bCs/>
                <w:color w:val="000000"/>
                <w:kern w:val="44"/>
                <w:sz w:val="30"/>
                <w:szCs w:val="32"/>
                <w:lang w:val="en-US" w:eastAsia="zh-CN" w:bidi="ar-SA"/>
              </w:rPr>
              <w:t>2.1</w:t>
            </w:r>
            <w:r>
              <w:rPr>
                <w:rFonts w:hint="eastAsia"/>
              </w:rPr>
              <w:t>项目由来</w:t>
            </w:r>
          </w:p>
          <w:p w14:paraId="0A8B16C2">
            <w:pPr>
              <w:pStyle w:val="76"/>
              <w:ind w:firstLine="480"/>
              <w:rPr>
                <w:rFonts w:hint="default" w:cs="Times New Roman"/>
                <w:color w:val="auto"/>
              </w:rPr>
            </w:pPr>
            <w:r>
              <w:rPr>
                <w:rFonts w:hint="eastAsia" w:cs="Times New Roman"/>
                <w:lang w:eastAsia="zh-CN"/>
              </w:rPr>
              <w:t>福州市鼓楼区欣慷动物医院有限公司（</w:t>
            </w:r>
            <w:r>
              <w:rPr>
                <w:rFonts w:hint="eastAsia" w:cs="Times New Roman"/>
                <w:lang w:val="en-US" w:eastAsia="zh-CN"/>
              </w:rPr>
              <w:t>营业执照见附件2）</w:t>
            </w:r>
            <w:r>
              <w:rPr>
                <w:rFonts w:hint="default" w:cs="Times New Roman"/>
              </w:rPr>
              <w:t>位于福州市鼓楼区鼓西街道善化新村8#楼东起第六间店面，主要经营动物诊疗、宠物饲养，宠物销售，宠物服务，美容服务和宠物用品销售等服务。</w:t>
            </w:r>
            <w:r>
              <w:rPr>
                <w:rFonts w:hint="eastAsia" w:cs="Times New Roman"/>
                <w:lang w:eastAsia="zh-CN"/>
              </w:rPr>
              <w:t>福州市鼓楼区欣慷动物医院有限公司</w:t>
            </w:r>
            <w:r>
              <w:rPr>
                <w:rFonts w:hint="default" w:cs="Times New Roman"/>
              </w:rPr>
              <w:t>拟投资建设平均宠物接待流量</w:t>
            </w:r>
            <w:r>
              <w:rPr>
                <w:rFonts w:hint="default" w:cs="Times New Roman"/>
                <w:color w:val="auto"/>
              </w:rPr>
              <w:t>为</w:t>
            </w:r>
            <w:r>
              <w:rPr>
                <w:rFonts w:hint="eastAsia" w:cs="Times New Roman"/>
                <w:color w:val="auto"/>
                <w:lang w:val="en-US" w:eastAsia="zh-CN"/>
              </w:rPr>
              <w:t>1</w:t>
            </w:r>
            <w:r>
              <w:rPr>
                <w:rFonts w:cs="Times New Roman"/>
                <w:color w:val="auto"/>
              </w:rPr>
              <w:t>~</w:t>
            </w:r>
            <w:r>
              <w:rPr>
                <w:rFonts w:hint="eastAsia" w:cs="Times New Roman"/>
                <w:color w:val="auto"/>
                <w:lang w:val="en-US" w:eastAsia="zh-CN"/>
              </w:rPr>
              <w:t>2</w:t>
            </w:r>
            <w:r>
              <w:rPr>
                <w:rFonts w:hint="default" w:cs="Times New Roman"/>
                <w:color w:val="auto"/>
              </w:rPr>
              <w:t>只/天的宠物医院项目。项目总投资</w:t>
            </w:r>
            <w:r>
              <w:rPr>
                <w:rFonts w:hint="eastAsia" w:cs="Times New Roman"/>
                <w:color w:val="auto"/>
                <w:lang w:val="en-US" w:eastAsia="zh-CN"/>
              </w:rPr>
              <w:t>5</w:t>
            </w:r>
            <w:r>
              <w:rPr>
                <w:rFonts w:cs="Times New Roman"/>
                <w:color w:val="auto"/>
              </w:rPr>
              <w:t>0</w:t>
            </w:r>
            <w:r>
              <w:rPr>
                <w:rFonts w:hint="default" w:cs="Times New Roman"/>
                <w:color w:val="auto"/>
              </w:rPr>
              <w:t>万元，</w:t>
            </w:r>
            <w:r>
              <w:rPr>
                <w:rFonts w:cs="Times New Roman"/>
                <w:color w:val="auto"/>
              </w:rPr>
              <w:t>主要</w:t>
            </w:r>
            <w:r>
              <w:rPr>
                <w:rFonts w:hint="default" w:cs="Times New Roman"/>
                <w:color w:val="auto"/>
              </w:rPr>
              <w:t>建筑</w:t>
            </w:r>
            <w:r>
              <w:rPr>
                <w:rFonts w:hint="default"/>
                <w:color w:val="auto"/>
              </w:rPr>
              <w:t>面积</w:t>
            </w:r>
            <w:r>
              <w:rPr>
                <w:rFonts w:hint="eastAsia" w:cs="Times New Roman"/>
                <w:color w:val="auto"/>
                <w:lang w:val="en-US" w:eastAsia="zh-CN"/>
              </w:rPr>
              <w:t>70.1</w:t>
            </w:r>
            <w:r>
              <w:rPr>
                <w:rFonts w:hint="default" w:cs="Times New Roman"/>
                <w:color w:val="auto"/>
              </w:rPr>
              <w:t>m</w:t>
            </w:r>
            <w:r>
              <w:rPr>
                <w:rFonts w:hint="default" w:cs="Times New Roman"/>
                <w:color w:val="auto"/>
                <w:vertAlign w:val="superscript"/>
              </w:rPr>
              <w:t>2</w:t>
            </w:r>
            <w:r>
              <w:rPr>
                <w:rFonts w:hint="eastAsia" w:cs="Times New Roman"/>
                <w:color w:val="auto"/>
                <w:vertAlign w:val="baseline"/>
                <w:lang w:eastAsia="zh-CN"/>
              </w:rPr>
              <w:t>，</w:t>
            </w:r>
            <w:r>
              <w:rPr>
                <w:rFonts w:hint="eastAsia" w:cs="Times New Roman"/>
                <w:color w:val="auto"/>
                <w:vertAlign w:val="baseline"/>
                <w:lang w:val="en-US" w:eastAsia="zh-CN"/>
              </w:rPr>
              <w:t>2023年4月取得动物诊疗许可证（见附件3）</w:t>
            </w:r>
            <w:r>
              <w:rPr>
                <w:rFonts w:hint="default" w:cs="Times New Roman"/>
                <w:color w:val="auto"/>
              </w:rPr>
              <w:t>。</w:t>
            </w:r>
          </w:p>
          <w:p w14:paraId="1B3A290E">
            <w:pPr>
              <w:pStyle w:val="76"/>
              <w:ind w:firstLine="480"/>
              <w:rPr>
                <w:rFonts w:hint="eastAsia" w:eastAsia="宋体"/>
                <w:lang w:eastAsia="zh-CN"/>
              </w:rPr>
            </w:pPr>
            <w:r>
              <w:rPr>
                <w:rFonts w:hint="default"/>
              </w:rPr>
              <w:t>根据《建设项目环境保护管理规定》、《建设项目环境影响评价分类管理名录》（2021年1月1日起实施）中“五十、社会事业与服务业，123、动物医院——设有动物颅腔、胸腔或腹腔手术设施的”（详见表</w:t>
            </w:r>
            <w:r>
              <w:t>2</w:t>
            </w:r>
            <w:r>
              <w:rPr>
                <w:rFonts w:hint="default"/>
              </w:rPr>
              <w:t>.1-1）的相关规定，该项目需编制环境影响报告表供环保部门审批。因此，</w:t>
            </w:r>
            <w:r>
              <w:rPr>
                <w:rFonts w:hint="eastAsia"/>
                <w:lang w:eastAsia="zh-CN"/>
              </w:rPr>
              <w:t>福州市鼓楼区欣慷动物医院有限公司</w:t>
            </w:r>
            <w:r>
              <w:rPr>
                <w:rFonts w:hint="default"/>
              </w:rPr>
              <w:t>于</w:t>
            </w:r>
            <w:r>
              <w:rPr>
                <w:rFonts w:hint="default"/>
                <w:color w:val="auto"/>
              </w:rPr>
              <w:t>20</w:t>
            </w:r>
            <w:r>
              <w:rPr>
                <w:rFonts w:hint="eastAsia"/>
                <w:color w:val="auto"/>
                <w:lang w:val="en-US" w:eastAsia="zh-CN"/>
              </w:rPr>
              <w:t>24</w:t>
            </w:r>
            <w:r>
              <w:rPr>
                <w:rFonts w:hint="default"/>
                <w:color w:val="auto"/>
              </w:rPr>
              <w:t>年</w:t>
            </w:r>
            <w:r>
              <w:rPr>
                <w:rFonts w:hint="eastAsia"/>
                <w:color w:val="auto"/>
                <w:lang w:val="en-US" w:eastAsia="zh-CN"/>
              </w:rPr>
              <w:t>5</w:t>
            </w:r>
            <w:r>
              <w:rPr>
                <w:rFonts w:hint="default"/>
                <w:color w:val="auto"/>
              </w:rPr>
              <w:t>月委托</w:t>
            </w:r>
            <w:r>
              <w:rPr>
                <w:rFonts w:hint="default"/>
              </w:rPr>
              <w:t>睿柯环境工程有限公司编制《</w:t>
            </w:r>
            <w:r>
              <w:rPr>
                <w:rFonts w:hint="eastAsia"/>
                <w:lang w:eastAsia="zh-CN"/>
              </w:rPr>
              <w:t>福州市鼓楼区欣慷动物医院</w:t>
            </w:r>
            <w:r>
              <w:rPr>
                <w:rFonts w:hint="default"/>
              </w:rPr>
              <w:t>项目环境影响报告表》（委托书见附件1）。</w:t>
            </w:r>
            <w:r>
              <w:t>本项目设置有</w:t>
            </w:r>
            <w:r>
              <w:rPr>
                <w:rFonts w:cs="Times New Roman"/>
              </w:rPr>
              <w:t>DR</w:t>
            </w:r>
            <w:r>
              <w:rPr>
                <w:rFonts w:hint="default" w:cs="Times New Roman"/>
              </w:rPr>
              <w:t>属于Ⅲ类射线装置，应单独进行环境影响评价并报生态环境主管部门审批，本次评价内容不包含放射性部分</w:t>
            </w:r>
            <w:r>
              <w:rPr>
                <w:rFonts w:hint="eastAsia" w:cs="Times New Roman"/>
                <w:lang w:eastAsia="zh-CN"/>
              </w:rPr>
              <w:t>。</w:t>
            </w:r>
          </w:p>
          <w:p w14:paraId="476704A3">
            <w:pPr>
              <w:pStyle w:val="63"/>
              <w:numPr>
                <w:ilvl w:val="0"/>
                <w:numId w:val="0"/>
              </w:numPr>
              <w:ind w:left="0" w:leftChars="0" w:firstLine="0" w:firstLineChars="0"/>
            </w:pPr>
            <w:r>
              <w:rPr>
                <w:rFonts w:hint="eastAsia" w:ascii="Times New Roman" w:hAnsi="Times New Roman" w:eastAsia="宋体" w:cs="宋体"/>
                <w:b/>
                <w:kern w:val="2"/>
                <w:sz w:val="24"/>
                <w:szCs w:val="24"/>
                <w:lang w:val="en-US" w:eastAsia="zh-CN" w:bidi="ar-SA"/>
              </w:rPr>
              <w:t>表2.1-1</w:t>
            </w:r>
            <w:r>
              <w:rPr>
                <w:rFonts w:hint="eastAsia"/>
              </w:rPr>
              <w:t>建设项目环境影响评价分类管理目录（摘录）</w:t>
            </w:r>
          </w:p>
          <w:tbl>
            <w:tblPr>
              <w:tblStyle w:val="25"/>
              <w:tblW w:w="4998"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2001"/>
              <w:gridCol w:w="2131"/>
              <w:gridCol w:w="905"/>
              <w:gridCol w:w="2435"/>
              <w:gridCol w:w="950"/>
            </w:tblGrid>
            <w:tr w14:paraId="3859C53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188" w:type="pct"/>
                  <w:tcBorders>
                    <w:left w:val="nil"/>
                    <w:bottom w:val="single" w:color="000000" w:sz="4" w:space="0"/>
                    <w:right w:val="single" w:color="000000" w:sz="4" w:space="0"/>
                  </w:tcBorders>
                  <w:noWrap w:val="0"/>
                  <w:vAlign w:val="center"/>
                </w:tcPr>
                <w:p w14:paraId="64465B1D">
                  <w:pPr>
                    <w:pStyle w:val="67"/>
                  </w:pPr>
                  <w:r>
                    <w:t>类管理名录</w:t>
                  </w:r>
                </w:p>
              </w:tc>
              <w:tc>
                <w:tcPr>
                  <w:tcW w:w="1265" w:type="pct"/>
                  <w:tcBorders>
                    <w:left w:val="single" w:color="000000" w:sz="4" w:space="0"/>
                    <w:right w:val="single" w:color="000000" w:sz="6" w:space="0"/>
                    <w:tl2br w:val="single" w:color="000000" w:sz="6" w:space="0"/>
                  </w:tcBorders>
                  <w:noWrap w:val="0"/>
                  <w:vAlign w:val="center"/>
                </w:tcPr>
                <w:p w14:paraId="3F811FC9">
                  <w:pPr>
                    <w:pStyle w:val="67"/>
                  </w:pPr>
                  <w:r>
                    <w:t xml:space="preserve">       环评类别</w:t>
                  </w:r>
                </w:p>
                <w:p w14:paraId="3C68B0E2">
                  <w:pPr>
                    <w:pStyle w:val="67"/>
                    <w:jc w:val="both"/>
                  </w:pPr>
                  <w:r>
                    <w:t xml:space="preserve">项目类别     </w:t>
                  </w:r>
                </w:p>
              </w:tc>
              <w:tc>
                <w:tcPr>
                  <w:tcW w:w="537" w:type="pct"/>
                  <w:tcBorders>
                    <w:left w:val="single" w:color="000000" w:sz="6" w:space="0"/>
                    <w:right w:val="single" w:color="000000" w:sz="6" w:space="0"/>
                  </w:tcBorders>
                  <w:noWrap w:val="0"/>
                  <w:vAlign w:val="center"/>
                </w:tcPr>
                <w:p w14:paraId="4318FD05">
                  <w:pPr>
                    <w:pStyle w:val="67"/>
                  </w:pPr>
                  <w:r>
                    <w:t>报告书</w:t>
                  </w:r>
                </w:p>
              </w:tc>
              <w:tc>
                <w:tcPr>
                  <w:tcW w:w="1445" w:type="pct"/>
                  <w:tcBorders>
                    <w:left w:val="single" w:color="000000" w:sz="6" w:space="0"/>
                    <w:right w:val="single" w:color="000000" w:sz="6" w:space="0"/>
                  </w:tcBorders>
                  <w:noWrap w:val="0"/>
                  <w:vAlign w:val="center"/>
                </w:tcPr>
                <w:p w14:paraId="56BCD552">
                  <w:pPr>
                    <w:pStyle w:val="67"/>
                  </w:pPr>
                  <w:r>
                    <w:t>报告表</w:t>
                  </w:r>
                </w:p>
              </w:tc>
              <w:tc>
                <w:tcPr>
                  <w:tcW w:w="562" w:type="pct"/>
                  <w:tcBorders>
                    <w:left w:val="single" w:color="000000" w:sz="6" w:space="0"/>
                  </w:tcBorders>
                  <w:noWrap w:val="0"/>
                  <w:vAlign w:val="center"/>
                </w:tcPr>
                <w:p w14:paraId="68E2984C">
                  <w:pPr>
                    <w:pStyle w:val="67"/>
                  </w:pPr>
                  <w:r>
                    <w:t>登记表</w:t>
                  </w:r>
                </w:p>
              </w:tc>
            </w:tr>
            <w:tr w14:paraId="3ED0ECC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188" w:type="pct"/>
                  <w:vMerge w:val="restart"/>
                  <w:tcBorders>
                    <w:top w:val="single" w:color="000000" w:sz="4" w:space="0"/>
                    <w:left w:val="nil"/>
                    <w:right w:val="single" w:color="000000" w:sz="4" w:space="0"/>
                  </w:tcBorders>
                  <w:shd w:val="clear" w:color="FFFFFF" w:fill="auto"/>
                  <w:noWrap w:val="0"/>
                  <w:vAlign w:val="center"/>
                </w:tcPr>
                <w:p w14:paraId="1CEF915C">
                  <w:pPr>
                    <w:pStyle w:val="67"/>
                  </w:pPr>
                  <w:r>
                    <w:t>《建设项目环境影响评价分类管理名录》（2021年1月1日起实施）</w:t>
                  </w:r>
                </w:p>
              </w:tc>
              <w:tc>
                <w:tcPr>
                  <w:tcW w:w="3811" w:type="pct"/>
                  <w:gridSpan w:val="4"/>
                  <w:tcBorders>
                    <w:left w:val="single" w:color="000000" w:sz="4" w:space="0"/>
                  </w:tcBorders>
                  <w:shd w:val="clear" w:color="FFFFFF" w:fill="auto"/>
                  <w:noWrap w:val="0"/>
                  <w:vAlign w:val="center"/>
                </w:tcPr>
                <w:p w14:paraId="3E7DD3AF">
                  <w:pPr>
                    <w:pStyle w:val="67"/>
                    <w:jc w:val="left"/>
                  </w:pPr>
                  <w:r>
                    <w:t>五十、社会事业与服务业</w:t>
                  </w:r>
                </w:p>
              </w:tc>
            </w:tr>
            <w:tr w14:paraId="144CC32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629" w:hRule="atLeast"/>
                <w:jc w:val="center"/>
              </w:trPr>
              <w:tc>
                <w:tcPr>
                  <w:tcW w:w="1188" w:type="pct"/>
                  <w:vMerge w:val="continue"/>
                  <w:tcBorders>
                    <w:left w:val="nil"/>
                    <w:right w:val="single" w:color="000000" w:sz="4" w:space="0"/>
                  </w:tcBorders>
                  <w:shd w:val="clear" w:color="FFFFFF" w:fill="auto"/>
                  <w:noWrap w:val="0"/>
                  <w:vAlign w:val="center"/>
                </w:tcPr>
                <w:p w14:paraId="2FE04ED1">
                  <w:pPr>
                    <w:pStyle w:val="67"/>
                  </w:pPr>
                </w:p>
              </w:tc>
              <w:tc>
                <w:tcPr>
                  <w:tcW w:w="1265" w:type="pct"/>
                  <w:tcBorders>
                    <w:left w:val="single" w:color="000000" w:sz="4" w:space="0"/>
                    <w:right w:val="single" w:color="000000" w:sz="6" w:space="0"/>
                  </w:tcBorders>
                  <w:shd w:val="clear" w:color="FFFFFF" w:fill="auto"/>
                  <w:noWrap w:val="0"/>
                  <w:vAlign w:val="center"/>
                </w:tcPr>
                <w:p w14:paraId="109D5B5E">
                  <w:pPr>
                    <w:pStyle w:val="67"/>
                  </w:pPr>
                  <w:r>
                    <w:t>123、动物医院</w:t>
                  </w:r>
                </w:p>
              </w:tc>
              <w:tc>
                <w:tcPr>
                  <w:tcW w:w="537" w:type="pct"/>
                  <w:tcBorders>
                    <w:left w:val="single" w:color="000000" w:sz="6" w:space="0"/>
                    <w:right w:val="single" w:color="000000" w:sz="6" w:space="0"/>
                  </w:tcBorders>
                  <w:shd w:val="clear" w:color="FFFFFF" w:fill="auto"/>
                  <w:noWrap w:val="0"/>
                  <w:vAlign w:val="center"/>
                </w:tcPr>
                <w:p w14:paraId="40A694FE">
                  <w:pPr>
                    <w:pStyle w:val="67"/>
                  </w:pPr>
                  <w:r>
                    <w:t>/</w:t>
                  </w:r>
                </w:p>
              </w:tc>
              <w:tc>
                <w:tcPr>
                  <w:tcW w:w="1445" w:type="pct"/>
                  <w:tcBorders>
                    <w:left w:val="single" w:color="000000" w:sz="6" w:space="0"/>
                    <w:right w:val="single" w:color="000000" w:sz="6" w:space="0"/>
                  </w:tcBorders>
                  <w:shd w:val="clear" w:color="FFFFFF" w:fill="auto"/>
                  <w:noWrap w:val="0"/>
                  <w:vAlign w:val="center"/>
                </w:tcPr>
                <w:p w14:paraId="157AF117">
                  <w:pPr>
                    <w:pStyle w:val="67"/>
                  </w:pPr>
                  <w:r>
                    <w:t>设有动物颅腔、胸腔或腹腔手术设施的</w:t>
                  </w:r>
                </w:p>
              </w:tc>
              <w:tc>
                <w:tcPr>
                  <w:tcW w:w="562" w:type="pct"/>
                  <w:tcBorders>
                    <w:left w:val="single" w:color="000000" w:sz="6" w:space="0"/>
                  </w:tcBorders>
                  <w:shd w:val="clear" w:color="FFFFFF" w:fill="auto"/>
                  <w:noWrap w:val="0"/>
                  <w:vAlign w:val="center"/>
                </w:tcPr>
                <w:p w14:paraId="76F700FC">
                  <w:pPr>
                    <w:pStyle w:val="67"/>
                  </w:pPr>
                  <w:r>
                    <w:t>/</w:t>
                  </w:r>
                </w:p>
              </w:tc>
            </w:tr>
          </w:tbl>
          <w:p w14:paraId="74F607EA">
            <w:pPr>
              <w:pStyle w:val="76"/>
              <w:ind w:firstLine="480"/>
            </w:pPr>
            <w:r>
              <w:t>为了完善项目环评审批手续。建设单位委托</w:t>
            </w:r>
            <w:r>
              <w:rPr>
                <w:rFonts w:hint="eastAsia"/>
              </w:rPr>
              <w:t>睿柯环境工程有限公司</w:t>
            </w:r>
            <w:r>
              <w:t>编制该项目的环境影响报告表。我公司接受委托后，组织有关人员进行现场踏勘，在对项目开展环境现状调查、资料收集等和调研的基础上，按照环境影响评价有关技术导则和要求，编制了本项目环境影响报告表。供建设单位报环保主管部门审批。</w:t>
            </w:r>
          </w:p>
          <w:p w14:paraId="683C94AA">
            <w:pPr>
              <w:pStyle w:val="5"/>
              <w:keepNext/>
              <w:keepLines/>
              <w:pageBreakBefore w:val="0"/>
              <w:widowControl w:val="0"/>
              <w:numPr>
                <w:ilvl w:val="0"/>
                <w:numId w:val="0"/>
              </w:numPr>
              <w:kinsoku/>
              <w:wordWrap/>
              <w:overflowPunct/>
              <w:topLinePunct w:val="0"/>
              <w:autoSpaceDE/>
              <w:autoSpaceDN/>
              <w:bidi w:val="0"/>
              <w:adjustRightInd/>
              <w:snapToGrid/>
              <w:spacing w:before="0" w:beforeLines="0" w:after="0" w:afterLines="0"/>
              <w:ind w:left="0" w:leftChars="0" w:firstLine="0" w:firstLineChars="0"/>
              <w:textAlignment w:val="auto"/>
            </w:pPr>
            <w:r>
              <w:rPr>
                <w:rFonts w:hint="eastAsia" w:ascii="Times New Roman" w:hAnsi="Times New Roman" w:eastAsia="宋体" w:cs="宋体"/>
                <w:b/>
                <w:bCs/>
                <w:color w:val="000000"/>
                <w:kern w:val="44"/>
                <w:sz w:val="30"/>
                <w:szCs w:val="32"/>
                <w:lang w:val="en-US" w:eastAsia="zh-CN" w:bidi="ar-SA"/>
              </w:rPr>
              <w:t>2.2</w:t>
            </w:r>
            <w:r>
              <w:rPr>
                <w:rFonts w:hint="eastAsia"/>
              </w:rPr>
              <w:t>项目概况</w:t>
            </w:r>
          </w:p>
          <w:p w14:paraId="7DC75FBF">
            <w:pPr>
              <w:pStyle w:val="6"/>
              <w:keepNext/>
              <w:keepLines/>
              <w:pageBreakBefore w:val="0"/>
              <w:widowControl w:val="0"/>
              <w:numPr>
                <w:ilvl w:val="0"/>
                <w:numId w:val="0"/>
              </w:numPr>
              <w:tabs>
                <w:tab w:val="left" w:pos="0"/>
              </w:tabs>
              <w:kinsoku/>
              <w:wordWrap/>
              <w:overflowPunct/>
              <w:topLinePunct w:val="0"/>
              <w:autoSpaceDE/>
              <w:autoSpaceDN/>
              <w:bidi w:val="0"/>
              <w:adjustRightInd/>
              <w:snapToGrid/>
              <w:ind w:left="0" w:leftChars="0" w:firstLine="0" w:firstLineChars="0"/>
              <w:textAlignment w:val="auto"/>
            </w:pPr>
            <w:r>
              <w:rPr>
                <w:rFonts w:hint="eastAsia" w:ascii="Times New Roman" w:hAnsi="Times New Roman" w:eastAsia="宋体" w:cs="宋体"/>
                <w:b/>
                <w:bCs/>
                <w:kern w:val="2"/>
                <w:sz w:val="28"/>
                <w:szCs w:val="32"/>
                <w:lang w:val="en-US" w:eastAsia="zh-CN" w:bidi="ar-SA"/>
              </w:rPr>
              <w:t>2.2.1</w:t>
            </w:r>
            <w:r>
              <w:rPr>
                <w:rFonts w:hint="eastAsia"/>
              </w:rPr>
              <w:t>项目基本情况</w:t>
            </w:r>
          </w:p>
          <w:p w14:paraId="44BFAF8E">
            <w:pPr>
              <w:pStyle w:val="76"/>
              <w:ind w:firstLine="480"/>
              <w:rPr>
                <w:rFonts w:hint="default" w:eastAsia="宋体"/>
                <w:lang w:val="en-US" w:eastAsia="zh-CN"/>
              </w:rPr>
            </w:pPr>
            <w:r>
              <w:t>建设项目：</w:t>
            </w:r>
            <w:r>
              <w:rPr>
                <w:rFonts w:hint="eastAsia"/>
                <w:lang w:eastAsia="zh-CN"/>
              </w:rPr>
              <w:t>福州市鼓楼区欣慷动物医院</w:t>
            </w:r>
            <w:r>
              <w:rPr>
                <w:rFonts w:hint="eastAsia"/>
                <w:lang w:val="en-US" w:eastAsia="zh-CN"/>
              </w:rPr>
              <w:t>项目</w:t>
            </w:r>
          </w:p>
          <w:p w14:paraId="0C870A1A">
            <w:pPr>
              <w:pStyle w:val="76"/>
              <w:ind w:firstLine="480"/>
            </w:pPr>
            <w:r>
              <w:t>建设性质：新建</w:t>
            </w:r>
          </w:p>
          <w:p w14:paraId="6C62921E">
            <w:pPr>
              <w:pStyle w:val="76"/>
              <w:ind w:firstLine="480"/>
            </w:pPr>
            <w:r>
              <w:t>建设单位：</w:t>
            </w:r>
            <w:r>
              <w:rPr>
                <w:rFonts w:hint="eastAsia"/>
                <w:lang w:eastAsia="zh-CN"/>
              </w:rPr>
              <w:t>福州市鼓楼区欣慷动物医院有限公司</w:t>
            </w:r>
          </w:p>
          <w:p w14:paraId="10251554">
            <w:pPr>
              <w:pStyle w:val="76"/>
              <w:ind w:firstLine="480"/>
            </w:pPr>
            <w:r>
              <w:t>建设地点：</w:t>
            </w:r>
            <w:r>
              <w:rPr>
                <w:rFonts w:hint="eastAsia"/>
              </w:rPr>
              <w:t>福州市鼓楼区鼓西街道善化新村8#楼东起第六间店面</w:t>
            </w:r>
          </w:p>
          <w:p w14:paraId="444725D2">
            <w:pPr>
              <w:pStyle w:val="76"/>
              <w:ind w:firstLine="480"/>
              <w:rPr>
                <w:rFonts w:hint="default" w:cs="Times New Roman"/>
                <w:color w:val="auto"/>
              </w:rPr>
            </w:pPr>
            <w:r>
              <w:rPr>
                <w:rFonts w:hint="default" w:cs="Times New Roman"/>
              </w:rPr>
              <w:t>建设地点经纬度：E119°</w:t>
            </w:r>
            <w:r>
              <w:rPr>
                <w:rFonts w:hint="eastAsia" w:cs="Times New Roman"/>
                <w:lang w:val="en-US" w:eastAsia="zh-CN"/>
              </w:rPr>
              <w:t>17</w:t>
            </w:r>
            <w:r>
              <w:rPr>
                <w:rFonts w:hint="default" w:cs="Times New Roman"/>
              </w:rPr>
              <w:t>'</w:t>
            </w:r>
            <w:r>
              <w:rPr>
                <w:rFonts w:hint="eastAsia" w:cs="Times New Roman"/>
                <w:lang w:val="en-US" w:eastAsia="zh-CN"/>
              </w:rPr>
              <w:t>9.556</w:t>
            </w:r>
            <w:r>
              <w:rPr>
                <w:rFonts w:hint="default" w:cs="Times New Roman"/>
              </w:rPr>
              <w:t>"</w:t>
            </w:r>
            <w:r>
              <w:rPr>
                <w:rFonts w:hint="eastAsia" w:cs="Times New Roman"/>
                <w:lang w:eastAsia="zh-CN"/>
              </w:rPr>
              <w:t>，</w:t>
            </w:r>
            <w:r>
              <w:rPr>
                <w:rFonts w:hint="default" w:cs="Times New Roman"/>
              </w:rPr>
              <w:t>N 2</w:t>
            </w:r>
            <w:r>
              <w:rPr>
                <w:rFonts w:hint="default" w:cs="Times New Roman"/>
                <w:color w:val="auto"/>
              </w:rPr>
              <w:t>6°</w:t>
            </w:r>
            <w:r>
              <w:rPr>
                <w:rFonts w:hint="eastAsia" w:cs="Times New Roman"/>
                <w:color w:val="auto"/>
                <w:lang w:val="en-US" w:eastAsia="zh-CN"/>
              </w:rPr>
              <w:t>5</w:t>
            </w:r>
            <w:r>
              <w:rPr>
                <w:rFonts w:hint="default" w:cs="Times New Roman"/>
                <w:color w:val="auto"/>
              </w:rPr>
              <w:t>'</w:t>
            </w:r>
            <w:r>
              <w:rPr>
                <w:rFonts w:hint="eastAsia" w:cs="Times New Roman"/>
                <w:color w:val="auto"/>
                <w:lang w:val="en-US" w:eastAsia="zh-CN"/>
              </w:rPr>
              <w:t>17.390</w:t>
            </w:r>
            <w:r>
              <w:rPr>
                <w:rFonts w:hint="default" w:cs="Times New Roman"/>
                <w:color w:val="auto"/>
              </w:rPr>
              <w:t>"</w:t>
            </w:r>
          </w:p>
          <w:p w14:paraId="106C62C0">
            <w:pPr>
              <w:pStyle w:val="76"/>
              <w:ind w:firstLine="480"/>
              <w:rPr>
                <w:rFonts w:hint="default"/>
                <w:color w:val="auto"/>
              </w:rPr>
            </w:pPr>
            <w:r>
              <w:rPr>
                <w:color w:val="auto"/>
              </w:rPr>
              <w:t>经营</w:t>
            </w:r>
            <w:r>
              <w:rPr>
                <w:rFonts w:hint="default"/>
                <w:color w:val="auto"/>
              </w:rPr>
              <w:t>规模：</w:t>
            </w:r>
            <w:r>
              <w:rPr>
                <w:color w:val="auto"/>
              </w:rPr>
              <w:t>主要建筑面积</w:t>
            </w:r>
            <w:r>
              <w:rPr>
                <w:rFonts w:hint="eastAsia"/>
                <w:color w:val="auto"/>
                <w:lang w:val="en-US" w:eastAsia="zh-CN"/>
              </w:rPr>
              <w:t>70.1</w:t>
            </w:r>
            <w:r>
              <w:rPr>
                <w:color w:val="auto"/>
              </w:rPr>
              <w:t>m</w:t>
            </w:r>
            <w:r>
              <w:rPr>
                <w:color w:val="auto"/>
                <w:vertAlign w:val="superscript"/>
              </w:rPr>
              <w:t>2</w:t>
            </w:r>
            <w:r>
              <w:rPr>
                <w:color w:val="auto"/>
              </w:rPr>
              <w:t>，日接待宠物</w:t>
            </w:r>
            <w:r>
              <w:rPr>
                <w:rFonts w:hint="eastAsia"/>
                <w:color w:val="auto"/>
                <w:lang w:val="en-US" w:eastAsia="zh-CN"/>
              </w:rPr>
              <w:t>1</w:t>
            </w:r>
            <w:r>
              <w:rPr>
                <w:color w:val="auto"/>
              </w:rPr>
              <w:t>~</w:t>
            </w:r>
            <w:r>
              <w:rPr>
                <w:rFonts w:hint="eastAsia"/>
                <w:color w:val="auto"/>
                <w:lang w:val="en-US" w:eastAsia="zh-CN"/>
              </w:rPr>
              <w:t>2</w:t>
            </w:r>
            <w:r>
              <w:rPr>
                <w:color w:val="auto"/>
              </w:rPr>
              <w:t>只</w:t>
            </w:r>
          </w:p>
          <w:p w14:paraId="5B589F7F">
            <w:pPr>
              <w:pStyle w:val="76"/>
              <w:ind w:firstLine="480"/>
              <w:rPr>
                <w:rFonts w:hint="default" w:eastAsia="宋体"/>
                <w:color w:val="FF0000"/>
                <w:lang w:val="en-US" w:eastAsia="zh-CN"/>
              </w:rPr>
            </w:pPr>
            <w:r>
              <w:t>项目总投资：</w:t>
            </w:r>
            <w:r>
              <w:rPr>
                <w:rFonts w:hint="eastAsia"/>
                <w:color w:val="auto"/>
                <w:lang w:val="en-US" w:eastAsia="zh-CN"/>
              </w:rPr>
              <w:t>5</w:t>
            </w:r>
            <w:r>
              <w:rPr>
                <w:color w:val="auto"/>
              </w:rPr>
              <w:t>0万元</w:t>
            </w:r>
            <w:r>
              <w:rPr>
                <w:rFonts w:hint="eastAsia"/>
                <w:color w:val="auto"/>
                <w:lang w:eastAsia="zh-CN"/>
              </w:rPr>
              <w:t>，</w:t>
            </w:r>
            <w:r>
              <w:rPr>
                <w:rFonts w:hint="eastAsia"/>
                <w:color w:val="auto"/>
                <w:lang w:val="en-US" w:eastAsia="zh-CN"/>
              </w:rPr>
              <w:t>环保投资8万元，占总投资的16%</w:t>
            </w:r>
          </w:p>
          <w:p w14:paraId="0BD181A4">
            <w:pPr>
              <w:pStyle w:val="76"/>
              <w:ind w:firstLine="480"/>
              <w:rPr>
                <w:color w:val="auto"/>
              </w:rPr>
            </w:pPr>
            <w:r>
              <w:t>劳动定员：全厂定</w:t>
            </w:r>
            <w:r>
              <w:rPr>
                <w:color w:val="auto"/>
              </w:rPr>
              <w:t>员为</w:t>
            </w:r>
            <w:r>
              <w:rPr>
                <w:rFonts w:hint="eastAsia"/>
                <w:color w:val="auto"/>
                <w:lang w:val="en-US" w:eastAsia="zh-CN"/>
              </w:rPr>
              <w:t>5</w:t>
            </w:r>
            <w:r>
              <w:rPr>
                <w:color w:val="auto"/>
              </w:rPr>
              <w:t>人</w:t>
            </w:r>
            <w:r>
              <w:rPr>
                <w:rFonts w:hint="default" w:cs="Times New Roman"/>
                <w:color w:val="auto"/>
              </w:rPr>
              <w:t>，均无住宿</w:t>
            </w:r>
          </w:p>
          <w:p w14:paraId="058AE40C">
            <w:pPr>
              <w:pStyle w:val="76"/>
              <w:ind w:firstLine="480"/>
            </w:pPr>
            <w:r>
              <w:rPr>
                <w:color w:val="auto"/>
              </w:rPr>
              <w:t>工作制度：年工作36</w:t>
            </w:r>
            <w:r>
              <w:rPr>
                <w:rFonts w:hint="eastAsia"/>
                <w:color w:val="auto"/>
                <w:lang w:val="en-US" w:eastAsia="zh-CN"/>
              </w:rPr>
              <w:t>0</w:t>
            </w:r>
            <w:r>
              <w:rPr>
                <w:color w:val="auto"/>
              </w:rPr>
              <w:t>天，每天</w:t>
            </w:r>
            <w:r>
              <w:rPr>
                <w:rFonts w:hint="eastAsia"/>
                <w:color w:val="auto"/>
                <w:lang w:val="en-US" w:eastAsia="zh-CN"/>
              </w:rPr>
              <w:t>8</w:t>
            </w:r>
            <w:r>
              <w:rPr>
                <w:color w:val="auto"/>
              </w:rPr>
              <w:t>小时，</w:t>
            </w:r>
            <w:r>
              <w:rPr>
                <w:rFonts w:hint="eastAsia"/>
                <w:color w:val="auto"/>
                <w:lang w:val="en-US" w:eastAsia="zh-CN"/>
              </w:rPr>
              <w:t>两</w:t>
            </w:r>
            <w:r>
              <w:rPr>
                <w:color w:val="auto"/>
              </w:rPr>
              <w:t>班制</w:t>
            </w:r>
          </w:p>
          <w:p w14:paraId="294BA5FA">
            <w:pPr>
              <w:pStyle w:val="6"/>
              <w:numPr>
                <w:ilvl w:val="0"/>
                <w:numId w:val="0"/>
              </w:numPr>
              <w:tabs>
                <w:tab w:val="left" w:pos="0"/>
              </w:tabs>
              <w:ind w:left="0" w:leftChars="0" w:firstLine="0" w:firstLineChars="0"/>
            </w:pPr>
            <w:r>
              <w:rPr>
                <w:rFonts w:hint="eastAsia" w:ascii="Times New Roman" w:hAnsi="Times New Roman" w:eastAsia="宋体" w:cs="宋体"/>
                <w:b/>
                <w:bCs/>
                <w:kern w:val="2"/>
                <w:sz w:val="28"/>
                <w:szCs w:val="32"/>
                <w:lang w:val="en-US" w:eastAsia="zh-CN" w:bidi="ar-SA"/>
              </w:rPr>
              <w:t>2.2.2</w:t>
            </w:r>
            <w:r>
              <w:rPr>
                <w:rFonts w:hint="eastAsia"/>
              </w:rPr>
              <w:t>项目主要建设内容</w:t>
            </w:r>
          </w:p>
          <w:p w14:paraId="54F301FB">
            <w:pPr>
              <w:pStyle w:val="76"/>
              <w:ind w:firstLine="480"/>
              <w:rPr>
                <w:rFonts w:hint="default"/>
              </w:rPr>
            </w:pPr>
            <w:r>
              <w:t>（1）项目组成</w:t>
            </w:r>
          </w:p>
          <w:p w14:paraId="36561A6A">
            <w:pPr>
              <w:pStyle w:val="76"/>
              <w:ind w:firstLine="480"/>
            </w:pPr>
            <w:r>
              <w:rPr>
                <w:rFonts w:hint="default" w:cs="Times New Roman"/>
              </w:rPr>
              <w:t>本项目租赁</w:t>
            </w:r>
            <w:r>
              <w:rPr>
                <w:rFonts w:hint="eastAsia"/>
              </w:rPr>
              <w:t>福州市鼓楼区鼓西街道善化新村8#楼东起第六间店面</w:t>
            </w:r>
            <w:r>
              <w:rPr>
                <w:rFonts w:hint="default" w:cs="Times New Roman"/>
              </w:rPr>
              <w:t>（附件</w:t>
            </w:r>
            <w:r>
              <w:rPr>
                <w:rFonts w:hint="eastAsia" w:cs="Times New Roman"/>
                <w:lang w:val="en-US" w:eastAsia="zh-CN"/>
              </w:rPr>
              <w:t>4</w:t>
            </w:r>
            <w:r>
              <w:rPr>
                <w:rFonts w:hint="default" w:cs="Times New Roman"/>
              </w:rPr>
              <w:t>），</w:t>
            </w:r>
            <w:r>
              <w:rPr>
                <w:rFonts w:cs="Times New Roman"/>
              </w:rPr>
              <w:t>项目组成详</w:t>
            </w:r>
            <w:r>
              <w:rPr>
                <w:rFonts w:hint="default" w:cs="Times New Roman"/>
              </w:rPr>
              <w:t>表2.2-1</w:t>
            </w:r>
            <w:r>
              <w:rPr>
                <w:rFonts w:cs="Times New Roman"/>
              </w:rPr>
              <w:t>。</w:t>
            </w:r>
          </w:p>
          <w:p w14:paraId="0D1C600E">
            <w:pPr>
              <w:pStyle w:val="63"/>
              <w:numPr>
                <w:ilvl w:val="0"/>
                <w:numId w:val="0"/>
              </w:numPr>
              <w:ind w:left="0" w:leftChars="0" w:firstLine="0" w:firstLineChars="0"/>
              <w:rPr>
                <w:rFonts w:hint="eastAsia"/>
              </w:rPr>
            </w:pPr>
            <w:r>
              <w:rPr>
                <w:rFonts w:hint="eastAsia" w:ascii="Times New Roman" w:hAnsi="Times New Roman" w:eastAsia="宋体" w:cs="宋体"/>
                <w:b/>
                <w:kern w:val="2"/>
                <w:sz w:val="24"/>
                <w:szCs w:val="24"/>
                <w:lang w:val="en-US" w:eastAsia="zh-CN" w:bidi="ar-SA"/>
              </w:rPr>
              <w:t>表2.2-1</w:t>
            </w:r>
            <w:r>
              <w:rPr>
                <w:rFonts w:hint="eastAsia"/>
              </w:rPr>
              <w:t>项目组成一览表</w:t>
            </w:r>
          </w:p>
          <w:tbl>
            <w:tblPr>
              <w:tblStyle w:val="25"/>
              <w:tblW w:w="499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52"/>
              <w:gridCol w:w="969"/>
              <w:gridCol w:w="1343"/>
              <w:gridCol w:w="4959"/>
            </w:tblGrid>
            <w:tr w14:paraId="5B7600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684" w:type="pct"/>
                  <w:noWrap w:val="0"/>
                  <w:vAlign w:val="center"/>
                </w:tcPr>
                <w:p w14:paraId="2AAFE9D4">
                  <w:pPr>
                    <w:pStyle w:val="67"/>
                  </w:pPr>
                  <w:r>
                    <w:t>类别</w:t>
                  </w:r>
                </w:p>
              </w:tc>
              <w:tc>
                <w:tcPr>
                  <w:tcW w:w="4315" w:type="pct"/>
                  <w:gridSpan w:val="3"/>
                  <w:noWrap w:val="0"/>
                  <w:vAlign w:val="center"/>
                </w:tcPr>
                <w:p w14:paraId="5EF2F4AD">
                  <w:pPr>
                    <w:pStyle w:val="67"/>
                  </w:pPr>
                  <w:r>
                    <w:t>主要建设内容</w:t>
                  </w:r>
                </w:p>
              </w:tc>
            </w:tr>
            <w:tr w14:paraId="29F982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4" w:type="pct"/>
                  <w:vMerge w:val="restart"/>
                  <w:noWrap w:val="0"/>
                  <w:vAlign w:val="center"/>
                </w:tcPr>
                <w:p w14:paraId="54B207D5">
                  <w:pPr>
                    <w:pStyle w:val="67"/>
                  </w:pPr>
                  <w:r>
                    <w:t>主体工程</w:t>
                  </w:r>
                </w:p>
              </w:tc>
              <w:tc>
                <w:tcPr>
                  <w:tcW w:w="1372" w:type="pct"/>
                  <w:gridSpan w:val="2"/>
                  <w:noWrap w:val="0"/>
                  <w:vAlign w:val="center"/>
                </w:tcPr>
                <w:p w14:paraId="2E5F97F5">
                  <w:pPr>
                    <w:pStyle w:val="67"/>
                  </w:pPr>
                  <w:r>
                    <w:rPr>
                      <w:rFonts w:hint="eastAsia"/>
                    </w:rPr>
                    <w:t>1层</w:t>
                  </w:r>
                </w:p>
              </w:tc>
              <w:tc>
                <w:tcPr>
                  <w:tcW w:w="2942" w:type="pct"/>
                  <w:noWrap w:val="0"/>
                  <w:vAlign w:val="center"/>
                </w:tcPr>
                <w:p w14:paraId="153F92E2">
                  <w:pPr>
                    <w:pStyle w:val="67"/>
                  </w:pPr>
                  <w:r>
                    <w:rPr>
                      <w:rFonts w:hint="eastAsia"/>
                    </w:rPr>
                    <w:t>接待处、犬诊室、猫诊室、化验室、药房、美容室、洗护室、员工休息室、</w:t>
                  </w:r>
                  <w:r>
                    <w:rPr>
                      <w:rFonts w:hint="eastAsia"/>
                      <w:lang w:val="en-US" w:eastAsia="zh-CN"/>
                    </w:rPr>
                    <w:t>卫生</w:t>
                  </w:r>
                  <w:r>
                    <w:rPr>
                      <w:rFonts w:hint="eastAsia"/>
                    </w:rPr>
                    <w:t>间</w:t>
                  </w:r>
                </w:p>
              </w:tc>
            </w:tr>
            <w:tr w14:paraId="05BD0F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4" w:type="pct"/>
                  <w:vMerge w:val="continue"/>
                  <w:noWrap w:val="0"/>
                  <w:vAlign w:val="center"/>
                </w:tcPr>
                <w:p w14:paraId="17F26BAC">
                  <w:pPr>
                    <w:pStyle w:val="67"/>
                  </w:pPr>
                </w:p>
              </w:tc>
              <w:tc>
                <w:tcPr>
                  <w:tcW w:w="1372" w:type="pct"/>
                  <w:gridSpan w:val="2"/>
                  <w:noWrap w:val="0"/>
                  <w:vAlign w:val="center"/>
                </w:tcPr>
                <w:p w14:paraId="0C36BB54">
                  <w:pPr>
                    <w:pStyle w:val="67"/>
                  </w:pPr>
                  <w:r>
                    <w:rPr>
                      <w:rFonts w:hint="eastAsia"/>
                    </w:rPr>
                    <w:t>2层</w:t>
                  </w:r>
                </w:p>
              </w:tc>
              <w:tc>
                <w:tcPr>
                  <w:tcW w:w="2942" w:type="pct"/>
                  <w:noWrap w:val="0"/>
                  <w:vAlign w:val="center"/>
                </w:tcPr>
                <w:p w14:paraId="43104AD1">
                  <w:pPr>
                    <w:pStyle w:val="67"/>
                  </w:pPr>
                  <w:r>
                    <w:rPr>
                      <w:rFonts w:hint="eastAsia"/>
                    </w:rPr>
                    <w:t>影像室、手术室、犬住院部、猫住院部、猫隔离室、输液区</w:t>
                  </w:r>
                </w:p>
              </w:tc>
            </w:tr>
            <w:tr w14:paraId="5B0751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4" w:type="pct"/>
                  <w:vMerge w:val="restart"/>
                  <w:noWrap w:val="0"/>
                  <w:vAlign w:val="center"/>
                </w:tcPr>
                <w:p w14:paraId="58A2BE0D">
                  <w:pPr>
                    <w:pStyle w:val="67"/>
                    <w:rPr>
                      <w:rFonts w:hint="eastAsia"/>
                    </w:rPr>
                  </w:pPr>
                  <w:r>
                    <w:rPr>
                      <w:rFonts w:hint="eastAsia"/>
                    </w:rPr>
                    <w:t>公用辅助工程</w:t>
                  </w:r>
                </w:p>
              </w:tc>
              <w:tc>
                <w:tcPr>
                  <w:tcW w:w="1372" w:type="pct"/>
                  <w:gridSpan w:val="2"/>
                  <w:noWrap w:val="0"/>
                  <w:vAlign w:val="center"/>
                </w:tcPr>
                <w:p w14:paraId="4DC2642C">
                  <w:pPr>
                    <w:pStyle w:val="66"/>
                    <w:rPr>
                      <w:rFonts w:hint="eastAsia"/>
                    </w:rPr>
                  </w:pPr>
                  <w:r>
                    <w:rPr>
                      <w:rFonts w:hint="eastAsia"/>
                    </w:rPr>
                    <w:t>仓库</w:t>
                  </w:r>
                </w:p>
              </w:tc>
              <w:tc>
                <w:tcPr>
                  <w:tcW w:w="2942" w:type="pct"/>
                  <w:noWrap w:val="0"/>
                  <w:vAlign w:val="center"/>
                </w:tcPr>
                <w:p w14:paraId="2E60C143">
                  <w:pPr>
                    <w:pStyle w:val="67"/>
                  </w:pPr>
                  <w:r>
                    <w:rPr>
                      <w:rFonts w:hint="eastAsia"/>
                    </w:rPr>
                    <w:t>设有仓库1处，位于1层，占地约4m</w:t>
                  </w:r>
                  <w:r>
                    <w:rPr>
                      <w:rFonts w:hint="eastAsia"/>
                      <w:vertAlign w:val="superscript"/>
                    </w:rPr>
                    <w:t>2</w:t>
                  </w:r>
                </w:p>
              </w:tc>
            </w:tr>
            <w:tr w14:paraId="43DFD8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4" w:type="pct"/>
                  <w:vMerge w:val="continue"/>
                  <w:noWrap w:val="0"/>
                  <w:vAlign w:val="center"/>
                </w:tcPr>
                <w:p w14:paraId="32CEC2BA">
                  <w:pPr>
                    <w:pStyle w:val="67"/>
                    <w:rPr>
                      <w:rFonts w:hint="eastAsia"/>
                    </w:rPr>
                  </w:pPr>
                </w:p>
              </w:tc>
              <w:tc>
                <w:tcPr>
                  <w:tcW w:w="1372" w:type="pct"/>
                  <w:gridSpan w:val="2"/>
                  <w:noWrap w:val="0"/>
                  <w:vAlign w:val="center"/>
                </w:tcPr>
                <w:p w14:paraId="06D0EF14">
                  <w:pPr>
                    <w:pStyle w:val="66"/>
                    <w:rPr>
                      <w:rFonts w:hint="eastAsia"/>
                    </w:rPr>
                  </w:pPr>
                  <w:r>
                    <w:t>给水系统</w:t>
                  </w:r>
                </w:p>
              </w:tc>
              <w:tc>
                <w:tcPr>
                  <w:tcW w:w="2942" w:type="pct"/>
                  <w:noWrap w:val="0"/>
                  <w:vAlign w:val="center"/>
                </w:tcPr>
                <w:p w14:paraId="04EC1477">
                  <w:pPr>
                    <w:pStyle w:val="66"/>
                    <w:rPr>
                      <w:rFonts w:hint="eastAsia"/>
                    </w:rPr>
                  </w:pPr>
                  <w:r>
                    <w:t>由市政给水管网供应</w:t>
                  </w:r>
                </w:p>
              </w:tc>
            </w:tr>
            <w:tr w14:paraId="124A11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4" w:type="pct"/>
                  <w:vMerge w:val="continue"/>
                  <w:noWrap w:val="0"/>
                  <w:vAlign w:val="center"/>
                </w:tcPr>
                <w:p w14:paraId="4FA0DDDE">
                  <w:pPr>
                    <w:pStyle w:val="67"/>
                  </w:pPr>
                </w:p>
              </w:tc>
              <w:tc>
                <w:tcPr>
                  <w:tcW w:w="1372" w:type="pct"/>
                  <w:gridSpan w:val="2"/>
                  <w:noWrap w:val="0"/>
                  <w:vAlign w:val="center"/>
                </w:tcPr>
                <w:p w14:paraId="0611D8BF">
                  <w:pPr>
                    <w:pStyle w:val="66"/>
                    <w:rPr>
                      <w:rFonts w:hint="eastAsia"/>
                    </w:rPr>
                  </w:pPr>
                  <w:r>
                    <w:t>供电系统</w:t>
                  </w:r>
                </w:p>
              </w:tc>
              <w:tc>
                <w:tcPr>
                  <w:tcW w:w="2942" w:type="pct"/>
                  <w:noWrap w:val="0"/>
                  <w:vAlign w:val="center"/>
                </w:tcPr>
                <w:p w14:paraId="76B09FAD">
                  <w:pPr>
                    <w:pStyle w:val="66"/>
                    <w:rPr>
                      <w:rFonts w:hint="eastAsia"/>
                    </w:rPr>
                  </w:pPr>
                  <w:r>
                    <w:t>由区域市政电网供电</w:t>
                  </w:r>
                </w:p>
              </w:tc>
            </w:tr>
            <w:tr w14:paraId="5B9D79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4" w:type="pct"/>
                  <w:vMerge w:val="continue"/>
                  <w:noWrap w:val="0"/>
                  <w:vAlign w:val="center"/>
                </w:tcPr>
                <w:p w14:paraId="4E84E580">
                  <w:pPr>
                    <w:pStyle w:val="67"/>
                  </w:pPr>
                </w:p>
              </w:tc>
              <w:tc>
                <w:tcPr>
                  <w:tcW w:w="1372" w:type="pct"/>
                  <w:gridSpan w:val="2"/>
                  <w:noWrap w:val="0"/>
                  <w:vAlign w:val="center"/>
                </w:tcPr>
                <w:p w14:paraId="3F7FB77C">
                  <w:pPr>
                    <w:pStyle w:val="66"/>
                  </w:pPr>
                  <w:r>
                    <w:t>排水系统</w:t>
                  </w:r>
                </w:p>
              </w:tc>
              <w:tc>
                <w:tcPr>
                  <w:tcW w:w="2942" w:type="pct"/>
                  <w:noWrap w:val="0"/>
                  <w:vAlign w:val="center"/>
                </w:tcPr>
                <w:p w14:paraId="457E0BBB">
                  <w:pPr>
                    <w:pStyle w:val="66"/>
                  </w:pPr>
                  <w:r>
                    <w:t>项目排水实行雨、污分流制</w:t>
                  </w:r>
                </w:p>
              </w:tc>
            </w:tr>
            <w:tr w14:paraId="414272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4" w:type="pct"/>
                  <w:vMerge w:val="continue"/>
                  <w:noWrap w:val="0"/>
                  <w:vAlign w:val="center"/>
                </w:tcPr>
                <w:p w14:paraId="25D4BB2C">
                  <w:pPr>
                    <w:pStyle w:val="67"/>
                  </w:pPr>
                </w:p>
              </w:tc>
              <w:tc>
                <w:tcPr>
                  <w:tcW w:w="1372" w:type="pct"/>
                  <w:gridSpan w:val="2"/>
                  <w:noWrap w:val="0"/>
                  <w:vAlign w:val="center"/>
                </w:tcPr>
                <w:p w14:paraId="5C15DD9E">
                  <w:pPr>
                    <w:pStyle w:val="66"/>
                  </w:pPr>
                  <w:r>
                    <w:rPr>
                      <w:rFonts w:hint="eastAsia"/>
                    </w:rPr>
                    <w:t>通风系统</w:t>
                  </w:r>
                </w:p>
              </w:tc>
              <w:tc>
                <w:tcPr>
                  <w:tcW w:w="2942" w:type="pct"/>
                  <w:noWrap w:val="0"/>
                  <w:vAlign w:val="center"/>
                </w:tcPr>
                <w:p w14:paraId="04D28663">
                  <w:pPr>
                    <w:pStyle w:val="66"/>
                  </w:pPr>
                  <w:r>
                    <w:rPr>
                      <w:rFonts w:hint="eastAsia"/>
                      <w:color w:val="auto"/>
                    </w:rPr>
                    <w:t>设置</w:t>
                  </w:r>
                  <w:r>
                    <w:rPr>
                      <w:rFonts w:hint="eastAsia"/>
                      <w:color w:val="auto"/>
                      <w:lang w:val="en-US" w:eastAsia="zh-CN"/>
                    </w:rPr>
                    <w:t>1</w:t>
                  </w:r>
                  <w:r>
                    <w:rPr>
                      <w:rFonts w:hint="eastAsia"/>
                      <w:color w:val="auto"/>
                    </w:rPr>
                    <w:t>套新风系统</w:t>
                  </w:r>
                  <w:r>
                    <w:rPr>
                      <w:rFonts w:hint="eastAsia"/>
                      <w:color w:val="auto"/>
                      <w:lang w:eastAsia="zh-CN"/>
                    </w:rPr>
                    <w:t>（</w:t>
                  </w:r>
                  <w:r>
                    <w:rPr>
                      <w:rFonts w:hint="eastAsia"/>
                      <w:color w:val="auto"/>
                    </w:rPr>
                    <w:t>换气+过滤</w:t>
                  </w:r>
                  <w:r>
                    <w:rPr>
                      <w:rFonts w:hint="eastAsia"/>
                      <w:color w:val="auto"/>
                      <w:lang w:eastAsia="zh-CN"/>
                    </w:rPr>
                    <w:t>）</w:t>
                  </w:r>
                </w:p>
              </w:tc>
            </w:tr>
            <w:tr w14:paraId="3412D1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4" w:type="pct"/>
                  <w:vMerge w:val="restart"/>
                  <w:noWrap w:val="0"/>
                  <w:vAlign w:val="center"/>
                </w:tcPr>
                <w:p w14:paraId="5C9C4ECB">
                  <w:pPr>
                    <w:pStyle w:val="67"/>
                    <w:rPr>
                      <w:rFonts w:hint="eastAsia"/>
                    </w:rPr>
                  </w:pPr>
                  <w:r>
                    <w:t>环保工程</w:t>
                  </w:r>
                </w:p>
              </w:tc>
              <w:tc>
                <w:tcPr>
                  <w:tcW w:w="1372" w:type="pct"/>
                  <w:gridSpan w:val="2"/>
                  <w:noWrap w:val="0"/>
                  <w:vAlign w:val="center"/>
                </w:tcPr>
                <w:p w14:paraId="3C9F97AF">
                  <w:pPr>
                    <w:pStyle w:val="67"/>
                  </w:pPr>
                  <w:r>
                    <w:t>废气</w:t>
                  </w:r>
                </w:p>
              </w:tc>
              <w:tc>
                <w:tcPr>
                  <w:tcW w:w="2942" w:type="pct"/>
                  <w:noWrap w:val="0"/>
                  <w:vAlign w:val="center"/>
                </w:tcPr>
                <w:p w14:paraId="47EDD33B">
                  <w:pPr>
                    <w:pStyle w:val="67"/>
                  </w:pPr>
                  <w:r>
                    <w:rPr>
                      <w:rFonts w:hint="eastAsia"/>
                    </w:rPr>
                    <w:t>加强清洗、设置新风系统、喷洒除臭剂</w:t>
                  </w:r>
                </w:p>
              </w:tc>
            </w:tr>
            <w:tr w14:paraId="0B08AD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4" w:type="pct"/>
                  <w:vMerge w:val="continue"/>
                  <w:noWrap w:val="0"/>
                  <w:vAlign w:val="center"/>
                </w:tcPr>
                <w:p w14:paraId="1B737B24">
                  <w:pPr>
                    <w:pStyle w:val="67"/>
                  </w:pPr>
                </w:p>
              </w:tc>
              <w:tc>
                <w:tcPr>
                  <w:tcW w:w="1372" w:type="pct"/>
                  <w:gridSpan w:val="2"/>
                  <w:noWrap w:val="0"/>
                  <w:vAlign w:val="center"/>
                </w:tcPr>
                <w:p w14:paraId="551EFDDB">
                  <w:pPr>
                    <w:pStyle w:val="67"/>
                  </w:pPr>
                  <w:r>
                    <w:t>废水</w:t>
                  </w:r>
                </w:p>
              </w:tc>
              <w:tc>
                <w:tcPr>
                  <w:tcW w:w="2942" w:type="pct"/>
                  <w:noWrap w:val="0"/>
                  <w:vAlign w:val="center"/>
                </w:tcPr>
                <w:p w14:paraId="5C15B576">
                  <w:pPr>
                    <w:pStyle w:val="67"/>
                    <w:rPr>
                      <w:rFonts w:hint="eastAsia"/>
                    </w:rPr>
                  </w:pPr>
                  <w:r>
                    <w:rPr>
                      <w:rFonts w:hint="eastAsia"/>
                    </w:rPr>
                    <w:t>医疗废水经一体化水处理设施（</w:t>
                  </w:r>
                  <w:r>
                    <w:rPr>
                      <w:rFonts w:hint="eastAsia"/>
                      <w:lang w:val="en-US" w:eastAsia="zh-CN"/>
                    </w:rPr>
                    <w:t>处理能力为50L/d，处理工艺为</w:t>
                  </w:r>
                  <w:r>
                    <w:rPr>
                      <w:rFonts w:hint="eastAsia"/>
                    </w:rPr>
                    <w:t>滤网+二氧化氯消毒）处理后，与宠物美容废水、生活污水一起经过化粪池处理后排入市政管网</w:t>
                  </w:r>
                  <w:r>
                    <w:rPr>
                      <w:rFonts w:hint="eastAsia"/>
                      <w:color w:val="auto"/>
                    </w:rPr>
                    <w:t>纳入祥坂污水处理厂统一</w:t>
                  </w:r>
                  <w:r>
                    <w:rPr>
                      <w:rFonts w:hint="eastAsia"/>
                    </w:rPr>
                    <w:t>处理。</w:t>
                  </w:r>
                </w:p>
              </w:tc>
            </w:tr>
            <w:tr w14:paraId="709935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4" w:type="pct"/>
                  <w:vMerge w:val="continue"/>
                  <w:noWrap w:val="0"/>
                  <w:vAlign w:val="center"/>
                </w:tcPr>
                <w:p w14:paraId="116E1326">
                  <w:pPr>
                    <w:pStyle w:val="67"/>
                  </w:pPr>
                </w:p>
              </w:tc>
              <w:tc>
                <w:tcPr>
                  <w:tcW w:w="1372" w:type="pct"/>
                  <w:gridSpan w:val="2"/>
                  <w:noWrap w:val="0"/>
                  <w:vAlign w:val="center"/>
                </w:tcPr>
                <w:p w14:paraId="7718CF39">
                  <w:pPr>
                    <w:pStyle w:val="67"/>
                  </w:pPr>
                  <w:r>
                    <w:t>噪声</w:t>
                  </w:r>
                </w:p>
              </w:tc>
              <w:tc>
                <w:tcPr>
                  <w:tcW w:w="2942" w:type="pct"/>
                  <w:noWrap w:val="0"/>
                  <w:vAlign w:val="center"/>
                </w:tcPr>
                <w:p w14:paraId="367C4FEF">
                  <w:pPr>
                    <w:pStyle w:val="67"/>
                  </w:pPr>
                  <w:r>
                    <w:rPr>
                      <w:rFonts w:hint="eastAsia"/>
                    </w:rPr>
                    <w:t>墙体隔声</w:t>
                  </w:r>
                </w:p>
              </w:tc>
            </w:tr>
            <w:tr w14:paraId="6E9E60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4" w:type="pct"/>
                  <w:vMerge w:val="continue"/>
                  <w:noWrap w:val="0"/>
                  <w:vAlign w:val="center"/>
                </w:tcPr>
                <w:p w14:paraId="78924F3B">
                  <w:pPr>
                    <w:pStyle w:val="67"/>
                  </w:pPr>
                </w:p>
              </w:tc>
              <w:tc>
                <w:tcPr>
                  <w:tcW w:w="575" w:type="pct"/>
                  <w:vMerge w:val="restart"/>
                  <w:noWrap w:val="0"/>
                  <w:vAlign w:val="center"/>
                </w:tcPr>
                <w:p w14:paraId="243118CB">
                  <w:pPr>
                    <w:pStyle w:val="67"/>
                  </w:pPr>
                  <w:r>
                    <w:t>固体废物</w:t>
                  </w:r>
                </w:p>
              </w:tc>
              <w:tc>
                <w:tcPr>
                  <w:tcW w:w="797" w:type="pct"/>
                  <w:noWrap w:val="0"/>
                  <w:vAlign w:val="center"/>
                </w:tcPr>
                <w:p w14:paraId="0C0FF758">
                  <w:pPr>
                    <w:pStyle w:val="67"/>
                  </w:pPr>
                  <w:r>
                    <w:rPr>
                      <w:szCs w:val="21"/>
                    </w:rPr>
                    <w:t>生活垃圾</w:t>
                  </w:r>
                </w:p>
              </w:tc>
              <w:tc>
                <w:tcPr>
                  <w:tcW w:w="2942" w:type="pct"/>
                  <w:noWrap w:val="0"/>
                  <w:vAlign w:val="center"/>
                </w:tcPr>
                <w:p w14:paraId="45229694">
                  <w:pPr>
                    <w:pStyle w:val="67"/>
                  </w:pPr>
                  <w:r>
                    <w:rPr>
                      <w:szCs w:val="21"/>
                    </w:rPr>
                    <w:t>设生活垃圾临时收集桶</w:t>
                  </w:r>
                </w:p>
              </w:tc>
            </w:tr>
            <w:tr w14:paraId="084E8A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4" w:type="pct"/>
                  <w:vMerge w:val="continue"/>
                  <w:noWrap w:val="0"/>
                  <w:vAlign w:val="center"/>
                </w:tcPr>
                <w:p w14:paraId="67F298B0">
                  <w:pPr>
                    <w:pStyle w:val="67"/>
                  </w:pPr>
                </w:p>
              </w:tc>
              <w:tc>
                <w:tcPr>
                  <w:tcW w:w="575" w:type="pct"/>
                  <w:vMerge w:val="continue"/>
                  <w:noWrap w:val="0"/>
                  <w:vAlign w:val="center"/>
                </w:tcPr>
                <w:p w14:paraId="40125A9B">
                  <w:pPr>
                    <w:pStyle w:val="67"/>
                  </w:pPr>
                </w:p>
              </w:tc>
              <w:tc>
                <w:tcPr>
                  <w:tcW w:w="797" w:type="pct"/>
                  <w:noWrap w:val="0"/>
                  <w:vAlign w:val="center"/>
                </w:tcPr>
                <w:p w14:paraId="485ABCB7">
                  <w:pPr>
                    <w:pStyle w:val="67"/>
                    <w:rPr>
                      <w:color w:val="auto"/>
                      <w:szCs w:val="21"/>
                    </w:rPr>
                  </w:pPr>
                  <w:r>
                    <w:rPr>
                      <w:rFonts w:hint="eastAsia"/>
                      <w:color w:val="auto"/>
                      <w:szCs w:val="21"/>
                    </w:rPr>
                    <w:t>医疗废物</w:t>
                  </w:r>
                </w:p>
              </w:tc>
              <w:tc>
                <w:tcPr>
                  <w:tcW w:w="2942" w:type="pct"/>
                  <w:noWrap w:val="0"/>
                  <w:vAlign w:val="center"/>
                </w:tcPr>
                <w:p w14:paraId="78F42C04">
                  <w:pPr>
                    <w:pStyle w:val="67"/>
                    <w:rPr>
                      <w:rFonts w:hint="eastAsia"/>
                      <w:color w:val="auto"/>
                    </w:rPr>
                  </w:pPr>
                  <w:r>
                    <w:rPr>
                      <w:color w:val="auto"/>
                    </w:rPr>
                    <w:t>设置医疗垃圾收集容器，</w:t>
                  </w:r>
                  <w:r>
                    <w:rPr>
                      <w:rFonts w:hint="eastAsia"/>
                      <w:color w:val="auto"/>
                    </w:rPr>
                    <w:t>于</w:t>
                  </w:r>
                  <w:r>
                    <w:rPr>
                      <w:rFonts w:hint="eastAsia"/>
                      <w:color w:val="auto"/>
                      <w:lang w:val="en-US" w:eastAsia="zh-CN"/>
                    </w:rPr>
                    <w:t>1</w:t>
                  </w:r>
                  <w:r>
                    <w:rPr>
                      <w:rFonts w:hint="eastAsia"/>
                      <w:color w:val="auto"/>
                    </w:rPr>
                    <w:t>层设一处危废暂存间（面积约4m</w:t>
                  </w:r>
                  <w:r>
                    <w:rPr>
                      <w:rFonts w:hint="eastAsia"/>
                      <w:color w:val="auto"/>
                      <w:vertAlign w:val="superscript"/>
                    </w:rPr>
                    <w:t>2</w:t>
                  </w:r>
                  <w:r>
                    <w:rPr>
                      <w:rFonts w:hint="eastAsia"/>
                      <w:color w:val="auto"/>
                    </w:rPr>
                    <w:t>）</w:t>
                  </w:r>
                  <w:r>
                    <w:rPr>
                      <w:rFonts w:hint="eastAsia"/>
                      <w:color w:val="auto"/>
                      <w:lang w:eastAsia="zh-CN"/>
                    </w:rPr>
                    <w:t>，</w:t>
                  </w:r>
                  <w:r>
                    <w:rPr>
                      <w:color w:val="auto"/>
                    </w:rPr>
                    <w:t>统一收集后交由有资质单位处理</w:t>
                  </w:r>
                </w:p>
              </w:tc>
            </w:tr>
            <w:tr w14:paraId="14CC96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4" w:type="pct"/>
                  <w:vMerge w:val="continue"/>
                  <w:noWrap w:val="0"/>
                  <w:vAlign w:val="center"/>
                </w:tcPr>
                <w:p w14:paraId="429E3B2B">
                  <w:pPr>
                    <w:pStyle w:val="67"/>
                  </w:pPr>
                </w:p>
              </w:tc>
              <w:tc>
                <w:tcPr>
                  <w:tcW w:w="575" w:type="pct"/>
                  <w:vMerge w:val="continue"/>
                  <w:noWrap w:val="0"/>
                  <w:vAlign w:val="center"/>
                </w:tcPr>
                <w:p w14:paraId="6C115637">
                  <w:pPr>
                    <w:pStyle w:val="67"/>
                  </w:pPr>
                </w:p>
              </w:tc>
              <w:tc>
                <w:tcPr>
                  <w:tcW w:w="797" w:type="pct"/>
                  <w:noWrap w:val="0"/>
                  <w:vAlign w:val="center"/>
                </w:tcPr>
                <w:p w14:paraId="19B373A9">
                  <w:pPr>
                    <w:pStyle w:val="67"/>
                    <w:rPr>
                      <w:color w:val="auto"/>
                      <w:szCs w:val="21"/>
                    </w:rPr>
                  </w:pPr>
                  <w:r>
                    <w:rPr>
                      <w:rFonts w:hint="eastAsia"/>
                      <w:color w:val="auto"/>
                      <w:szCs w:val="21"/>
                    </w:rPr>
                    <w:t>污水处理污泥</w:t>
                  </w:r>
                </w:p>
              </w:tc>
              <w:tc>
                <w:tcPr>
                  <w:tcW w:w="2942" w:type="pct"/>
                  <w:noWrap w:val="0"/>
                  <w:vAlign w:val="center"/>
                </w:tcPr>
                <w:p w14:paraId="263285FA">
                  <w:pPr>
                    <w:pStyle w:val="67"/>
                    <w:rPr>
                      <w:color w:val="auto"/>
                    </w:rPr>
                  </w:pPr>
                  <w:r>
                    <w:rPr>
                      <w:rFonts w:hint="eastAsia"/>
                      <w:color w:val="auto"/>
                    </w:rPr>
                    <w:t>一体化水处理设施处理医疗废水产生的污泥统一由有资质单位进行定期清理</w:t>
                  </w:r>
                </w:p>
              </w:tc>
            </w:tr>
          </w:tbl>
          <w:p w14:paraId="1A00BB80">
            <w:pPr>
              <w:pStyle w:val="76"/>
              <w:ind w:left="480" w:leftChars="200" w:firstLine="0" w:firstLineChars="0"/>
              <w:rPr>
                <w:rFonts w:hint="default"/>
              </w:rPr>
            </w:pPr>
            <w:r>
              <w:t>（2）项目原辅材料</w:t>
            </w:r>
          </w:p>
          <w:p w14:paraId="02FFEF90">
            <w:pPr>
              <w:pStyle w:val="76"/>
              <w:ind w:firstLine="480"/>
            </w:pPr>
            <w:r>
              <w:t>主辅原料</w:t>
            </w:r>
            <w:r>
              <w:rPr>
                <w:rFonts w:hint="eastAsia"/>
                <w:lang w:val="en-US" w:eastAsia="zh-CN"/>
              </w:rPr>
              <w:t>年使用量</w:t>
            </w:r>
            <w:r>
              <w:t>见表2.2-2。</w:t>
            </w:r>
          </w:p>
          <w:p w14:paraId="35D33AF6">
            <w:pPr>
              <w:pStyle w:val="76"/>
              <w:ind w:firstLine="480"/>
            </w:pPr>
          </w:p>
          <w:p w14:paraId="6DC66EFB">
            <w:pPr>
              <w:pStyle w:val="76"/>
              <w:ind w:firstLine="480"/>
              <w:rPr>
                <w:sz w:val="20"/>
                <w:szCs w:val="16"/>
              </w:rPr>
            </w:pPr>
          </w:p>
          <w:p w14:paraId="048AEE2F">
            <w:pPr>
              <w:pStyle w:val="76"/>
              <w:ind w:firstLine="480"/>
              <w:rPr>
                <w:sz w:val="20"/>
                <w:szCs w:val="16"/>
              </w:rPr>
            </w:pPr>
          </w:p>
          <w:p w14:paraId="0AB4C924">
            <w:pPr>
              <w:pStyle w:val="76"/>
              <w:ind w:firstLine="480"/>
            </w:pPr>
          </w:p>
          <w:p w14:paraId="1C928894">
            <w:pPr>
              <w:pStyle w:val="76"/>
              <w:ind w:firstLine="480"/>
            </w:pPr>
          </w:p>
          <w:p w14:paraId="39ACD356">
            <w:pPr>
              <w:pStyle w:val="63"/>
              <w:numPr>
                <w:ilvl w:val="0"/>
                <w:numId w:val="0"/>
              </w:numPr>
              <w:ind w:left="0" w:leftChars="0" w:firstLine="0" w:firstLineChars="0"/>
            </w:pPr>
            <w:r>
              <w:rPr>
                <w:rFonts w:hint="eastAsia" w:ascii="Times New Roman" w:hAnsi="Times New Roman" w:eastAsia="宋体" w:cs="宋体"/>
                <w:b/>
                <w:kern w:val="2"/>
                <w:sz w:val="24"/>
                <w:szCs w:val="24"/>
                <w:lang w:val="en-US" w:eastAsia="zh-CN" w:bidi="ar-SA"/>
              </w:rPr>
              <w:t>表2.2-2</w:t>
            </w:r>
            <w:r>
              <w:rPr>
                <w:rFonts w:hint="eastAsia"/>
              </w:rPr>
              <w:t>项目原辅材料一览表</w:t>
            </w:r>
          </w:p>
          <w:tbl>
            <w:tblPr>
              <w:tblStyle w:val="25"/>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59"/>
              <w:gridCol w:w="2437"/>
              <w:gridCol w:w="1439"/>
              <w:gridCol w:w="1099"/>
              <w:gridCol w:w="1566"/>
              <w:gridCol w:w="1222"/>
            </w:tblGrid>
            <w:tr w14:paraId="307F83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1" w:type="pct"/>
                  <w:noWrap w:val="0"/>
                  <w:vAlign w:val="center"/>
                </w:tcPr>
                <w:p w14:paraId="0CB4AF87">
                  <w:pPr>
                    <w:pStyle w:val="67"/>
                    <w:jc w:val="center"/>
                    <w:rPr>
                      <w:rFonts w:hint="eastAsia" w:ascii="宋体" w:hAnsi="宋体" w:eastAsia="宋体" w:cs="宋体"/>
                      <w:sz w:val="21"/>
                      <w:szCs w:val="21"/>
                    </w:rPr>
                  </w:pPr>
                  <w:r>
                    <w:rPr>
                      <w:rFonts w:hint="eastAsia" w:ascii="宋体" w:hAnsi="宋体" w:eastAsia="宋体" w:cs="宋体"/>
                      <w:sz w:val="21"/>
                      <w:szCs w:val="21"/>
                    </w:rPr>
                    <w:t>序号</w:t>
                  </w:r>
                </w:p>
              </w:tc>
              <w:tc>
                <w:tcPr>
                  <w:tcW w:w="1446" w:type="pct"/>
                  <w:noWrap w:val="0"/>
                  <w:vAlign w:val="center"/>
                </w:tcPr>
                <w:p w14:paraId="7C706385">
                  <w:pPr>
                    <w:pStyle w:val="67"/>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药剂名称</w:t>
                  </w:r>
                </w:p>
              </w:tc>
              <w:tc>
                <w:tcPr>
                  <w:tcW w:w="854" w:type="pct"/>
                  <w:noWrap w:val="0"/>
                  <w:vAlign w:val="center"/>
                </w:tcPr>
                <w:p w14:paraId="618DD3A1">
                  <w:pPr>
                    <w:pStyle w:val="67"/>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规格</w:t>
                  </w:r>
                </w:p>
              </w:tc>
              <w:tc>
                <w:tcPr>
                  <w:tcW w:w="652" w:type="pct"/>
                  <w:noWrap w:val="0"/>
                  <w:vAlign w:val="center"/>
                </w:tcPr>
                <w:p w14:paraId="1B0A6D26">
                  <w:pPr>
                    <w:pStyle w:val="67"/>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年消耗量</w:t>
                  </w:r>
                </w:p>
              </w:tc>
              <w:tc>
                <w:tcPr>
                  <w:tcW w:w="929" w:type="pct"/>
                  <w:noWrap w:val="0"/>
                  <w:vAlign w:val="center"/>
                </w:tcPr>
                <w:p w14:paraId="318AD0E7">
                  <w:pPr>
                    <w:pStyle w:val="67"/>
                    <w:jc w:val="center"/>
                    <w:rPr>
                      <w:rFonts w:hint="eastAsia" w:ascii="宋体" w:hAnsi="宋体" w:eastAsia="宋体" w:cs="宋体"/>
                      <w:sz w:val="21"/>
                      <w:szCs w:val="21"/>
                    </w:rPr>
                  </w:pPr>
                  <w:r>
                    <w:rPr>
                      <w:rFonts w:hint="eastAsia" w:ascii="宋体" w:hAnsi="宋体" w:eastAsia="宋体" w:cs="宋体"/>
                      <w:sz w:val="21"/>
                      <w:szCs w:val="21"/>
                    </w:rPr>
                    <w:t>用途</w:t>
                  </w:r>
                </w:p>
              </w:tc>
              <w:tc>
                <w:tcPr>
                  <w:tcW w:w="725" w:type="pct"/>
                  <w:noWrap w:val="0"/>
                  <w:vAlign w:val="center"/>
                </w:tcPr>
                <w:p w14:paraId="0EEF8381">
                  <w:pPr>
                    <w:pStyle w:val="67"/>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储存位置</w:t>
                  </w:r>
                </w:p>
              </w:tc>
            </w:tr>
            <w:tr w14:paraId="44E486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1" w:type="pct"/>
                  <w:noWrap w:val="0"/>
                  <w:vAlign w:val="center"/>
                </w:tcPr>
                <w:p w14:paraId="3A720886">
                  <w:pPr>
                    <w:pStyle w:val="67"/>
                    <w:jc w:val="center"/>
                    <w:rPr>
                      <w:rFonts w:hint="eastAsia" w:ascii="宋体" w:hAnsi="宋体" w:eastAsia="宋体" w:cs="宋体"/>
                      <w:sz w:val="21"/>
                      <w:szCs w:val="21"/>
                    </w:rPr>
                  </w:pPr>
                  <w:r>
                    <w:rPr>
                      <w:rFonts w:hint="eastAsia" w:ascii="宋体" w:hAnsi="宋体" w:eastAsia="宋体" w:cs="宋体"/>
                      <w:sz w:val="21"/>
                      <w:szCs w:val="21"/>
                    </w:rPr>
                    <w:t>1</w:t>
                  </w:r>
                </w:p>
              </w:tc>
              <w:tc>
                <w:tcPr>
                  <w:tcW w:w="1446" w:type="pct"/>
                  <w:noWrap w:val="0"/>
                  <w:vAlign w:val="center"/>
                </w:tcPr>
                <w:p w14:paraId="030B9A5D">
                  <w:pPr>
                    <w:pStyle w:val="21"/>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sz w:val="21"/>
                      <w:szCs w:val="21"/>
                    </w:rPr>
                    <w:t>速诺注射液</w:t>
                  </w:r>
                </w:p>
              </w:tc>
              <w:tc>
                <w:tcPr>
                  <w:tcW w:w="854" w:type="pct"/>
                  <w:noWrap w:val="0"/>
                  <w:vAlign w:val="center"/>
                </w:tcPr>
                <w:p w14:paraId="5C66E376">
                  <w:pPr>
                    <w:pStyle w:val="21"/>
                    <w:keepNext w:val="0"/>
                    <w:keepLines w:val="0"/>
                    <w:widowControl/>
                    <w:suppressLineNumbers w:val="0"/>
                    <w:spacing w:before="0" w:beforeAutospacing="0" w:after="0" w:afterAutospacing="0"/>
                    <w:ind w:left="0" w:right="0"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10mL/瓶</w:t>
                  </w:r>
                </w:p>
              </w:tc>
              <w:tc>
                <w:tcPr>
                  <w:tcW w:w="652" w:type="pct"/>
                  <w:noWrap w:val="0"/>
                  <w:vAlign w:val="center"/>
                </w:tcPr>
                <w:p w14:paraId="75F46182">
                  <w:pPr>
                    <w:pStyle w:val="21"/>
                    <w:keepNext w:val="0"/>
                    <w:keepLines w:val="0"/>
                    <w:widowControl/>
                    <w:suppressLineNumbers w:val="0"/>
                    <w:spacing w:before="0" w:beforeAutospacing="0" w:after="0" w:afterAutospacing="0"/>
                    <w:ind w:left="0" w:right="0"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25瓶</w:t>
                  </w:r>
                </w:p>
              </w:tc>
              <w:tc>
                <w:tcPr>
                  <w:tcW w:w="929" w:type="pct"/>
                  <w:noWrap w:val="0"/>
                  <w:vAlign w:val="center"/>
                </w:tcPr>
                <w:p w14:paraId="3B8FE0D9">
                  <w:pPr>
                    <w:pStyle w:val="67"/>
                    <w:jc w:val="center"/>
                    <w:rPr>
                      <w:rFonts w:hint="eastAsia" w:ascii="宋体" w:hAnsi="宋体" w:eastAsia="宋体" w:cs="宋体"/>
                      <w:color w:val="auto"/>
                      <w:sz w:val="21"/>
                      <w:szCs w:val="21"/>
                    </w:rPr>
                  </w:pPr>
                  <w:r>
                    <w:rPr>
                      <w:rFonts w:hint="eastAsia" w:ascii="宋体" w:hAnsi="宋体" w:eastAsia="宋体" w:cs="宋体"/>
                      <w:color w:val="auto"/>
                      <w:sz w:val="21"/>
                      <w:szCs w:val="21"/>
                    </w:rPr>
                    <w:t>诊疗</w:t>
                  </w:r>
                </w:p>
              </w:tc>
              <w:tc>
                <w:tcPr>
                  <w:tcW w:w="725" w:type="pct"/>
                  <w:vMerge w:val="restart"/>
                  <w:noWrap w:val="0"/>
                  <w:vAlign w:val="center"/>
                </w:tcPr>
                <w:p w14:paraId="3DCE6402">
                  <w:pPr>
                    <w:pStyle w:val="67"/>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药房</w:t>
                  </w:r>
                </w:p>
              </w:tc>
            </w:tr>
            <w:tr w14:paraId="4382EF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1" w:type="pct"/>
                  <w:noWrap w:val="0"/>
                  <w:vAlign w:val="center"/>
                </w:tcPr>
                <w:p w14:paraId="3621C835">
                  <w:pPr>
                    <w:pStyle w:val="67"/>
                    <w:jc w:val="center"/>
                    <w:rPr>
                      <w:rFonts w:hint="eastAsia" w:ascii="宋体" w:hAnsi="宋体" w:eastAsia="宋体" w:cs="宋体"/>
                      <w:sz w:val="21"/>
                      <w:szCs w:val="21"/>
                    </w:rPr>
                  </w:pPr>
                  <w:r>
                    <w:rPr>
                      <w:rFonts w:hint="eastAsia" w:ascii="宋体" w:hAnsi="宋体" w:eastAsia="宋体" w:cs="宋体"/>
                      <w:sz w:val="21"/>
                      <w:szCs w:val="21"/>
                    </w:rPr>
                    <w:t>2</w:t>
                  </w:r>
                </w:p>
              </w:tc>
              <w:tc>
                <w:tcPr>
                  <w:tcW w:w="1446" w:type="pct"/>
                  <w:noWrap w:val="0"/>
                  <w:vAlign w:val="center"/>
                </w:tcPr>
                <w:p w14:paraId="0EC4D43C">
                  <w:pPr>
                    <w:pStyle w:val="67"/>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sz w:val="21"/>
                      <w:szCs w:val="21"/>
                    </w:rPr>
                    <w:t>拜有利注射液</w:t>
                  </w:r>
                </w:p>
              </w:tc>
              <w:tc>
                <w:tcPr>
                  <w:tcW w:w="854" w:type="pct"/>
                  <w:noWrap w:val="0"/>
                  <w:vAlign w:val="center"/>
                </w:tcPr>
                <w:p w14:paraId="61B9A0CB">
                  <w:pPr>
                    <w:pStyle w:val="67"/>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100mL/瓶</w:t>
                  </w:r>
                </w:p>
              </w:tc>
              <w:tc>
                <w:tcPr>
                  <w:tcW w:w="652" w:type="pct"/>
                  <w:noWrap w:val="0"/>
                  <w:vAlign w:val="center"/>
                </w:tcPr>
                <w:p w14:paraId="354CBCC2">
                  <w:pPr>
                    <w:pStyle w:val="21"/>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sz w:val="21"/>
                      <w:szCs w:val="21"/>
                    </w:rPr>
                    <w:t>6瓶</w:t>
                  </w:r>
                </w:p>
              </w:tc>
              <w:tc>
                <w:tcPr>
                  <w:tcW w:w="929" w:type="pct"/>
                  <w:noWrap w:val="0"/>
                  <w:vAlign w:val="center"/>
                </w:tcPr>
                <w:p w14:paraId="724595F7">
                  <w:pPr>
                    <w:pStyle w:val="67"/>
                    <w:jc w:val="center"/>
                    <w:rPr>
                      <w:rFonts w:hint="eastAsia" w:ascii="宋体" w:hAnsi="宋体" w:eastAsia="宋体" w:cs="宋体"/>
                      <w:color w:val="auto"/>
                      <w:sz w:val="21"/>
                      <w:szCs w:val="21"/>
                    </w:rPr>
                  </w:pPr>
                  <w:r>
                    <w:rPr>
                      <w:rFonts w:hint="eastAsia" w:ascii="宋体" w:hAnsi="宋体" w:eastAsia="宋体" w:cs="宋体"/>
                      <w:color w:val="auto"/>
                      <w:sz w:val="21"/>
                      <w:szCs w:val="21"/>
                    </w:rPr>
                    <w:t>诊疗</w:t>
                  </w:r>
                </w:p>
              </w:tc>
              <w:tc>
                <w:tcPr>
                  <w:tcW w:w="725" w:type="pct"/>
                  <w:vMerge w:val="continue"/>
                  <w:noWrap w:val="0"/>
                  <w:vAlign w:val="center"/>
                </w:tcPr>
                <w:p w14:paraId="47FFBA15">
                  <w:pPr>
                    <w:pStyle w:val="67"/>
                    <w:jc w:val="center"/>
                    <w:rPr>
                      <w:rFonts w:hint="eastAsia" w:ascii="宋体" w:hAnsi="宋体" w:eastAsia="宋体" w:cs="宋体"/>
                      <w:sz w:val="21"/>
                      <w:szCs w:val="21"/>
                    </w:rPr>
                  </w:pPr>
                </w:p>
              </w:tc>
            </w:tr>
            <w:tr w14:paraId="16900B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1" w:type="pct"/>
                  <w:noWrap w:val="0"/>
                  <w:vAlign w:val="center"/>
                </w:tcPr>
                <w:p w14:paraId="24DDD34C">
                  <w:pPr>
                    <w:pStyle w:val="67"/>
                    <w:jc w:val="center"/>
                    <w:rPr>
                      <w:rFonts w:hint="eastAsia" w:ascii="宋体" w:hAnsi="宋体" w:eastAsia="宋体" w:cs="宋体"/>
                      <w:sz w:val="21"/>
                      <w:szCs w:val="21"/>
                    </w:rPr>
                  </w:pPr>
                  <w:r>
                    <w:rPr>
                      <w:rFonts w:hint="eastAsia" w:ascii="宋体" w:hAnsi="宋体" w:eastAsia="宋体" w:cs="宋体"/>
                      <w:sz w:val="21"/>
                      <w:szCs w:val="21"/>
                    </w:rPr>
                    <w:t>3</w:t>
                  </w:r>
                </w:p>
              </w:tc>
              <w:tc>
                <w:tcPr>
                  <w:tcW w:w="1446" w:type="pct"/>
                  <w:noWrap w:val="0"/>
                  <w:vAlign w:val="center"/>
                </w:tcPr>
                <w:p w14:paraId="6616A344">
                  <w:pPr>
                    <w:pStyle w:val="67"/>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sz w:val="21"/>
                      <w:szCs w:val="21"/>
                    </w:rPr>
                    <w:t>速克</w:t>
                  </w:r>
                </w:p>
              </w:tc>
              <w:tc>
                <w:tcPr>
                  <w:tcW w:w="854" w:type="pct"/>
                  <w:noWrap w:val="0"/>
                  <w:vAlign w:val="center"/>
                </w:tcPr>
                <w:p w14:paraId="11A894BF">
                  <w:pPr>
                    <w:pStyle w:val="67"/>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0.1g/瓶</w:t>
                  </w:r>
                </w:p>
              </w:tc>
              <w:tc>
                <w:tcPr>
                  <w:tcW w:w="652" w:type="pct"/>
                  <w:noWrap w:val="0"/>
                  <w:vAlign w:val="center"/>
                </w:tcPr>
                <w:p w14:paraId="2BFFAA20">
                  <w:pPr>
                    <w:pStyle w:val="21"/>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sz w:val="21"/>
                      <w:szCs w:val="21"/>
                    </w:rPr>
                    <w:t>120瓶</w:t>
                  </w:r>
                </w:p>
              </w:tc>
              <w:tc>
                <w:tcPr>
                  <w:tcW w:w="929" w:type="pct"/>
                  <w:noWrap w:val="0"/>
                  <w:vAlign w:val="center"/>
                </w:tcPr>
                <w:p w14:paraId="723CDFCF">
                  <w:pPr>
                    <w:pStyle w:val="67"/>
                    <w:jc w:val="center"/>
                    <w:rPr>
                      <w:rFonts w:hint="eastAsia" w:ascii="宋体" w:hAnsi="宋体" w:eastAsia="宋体" w:cs="宋体"/>
                      <w:color w:val="auto"/>
                      <w:sz w:val="21"/>
                      <w:szCs w:val="21"/>
                    </w:rPr>
                  </w:pPr>
                  <w:r>
                    <w:rPr>
                      <w:rFonts w:hint="eastAsia" w:ascii="宋体" w:hAnsi="宋体" w:eastAsia="宋体" w:cs="宋体"/>
                      <w:color w:val="auto"/>
                      <w:sz w:val="21"/>
                      <w:szCs w:val="21"/>
                    </w:rPr>
                    <w:t>诊疗</w:t>
                  </w:r>
                </w:p>
              </w:tc>
              <w:tc>
                <w:tcPr>
                  <w:tcW w:w="725" w:type="pct"/>
                  <w:vMerge w:val="continue"/>
                  <w:noWrap w:val="0"/>
                  <w:vAlign w:val="center"/>
                </w:tcPr>
                <w:p w14:paraId="3CD99B56">
                  <w:pPr>
                    <w:pStyle w:val="67"/>
                    <w:jc w:val="center"/>
                    <w:rPr>
                      <w:rFonts w:hint="eastAsia" w:ascii="宋体" w:hAnsi="宋体" w:eastAsia="宋体" w:cs="宋体"/>
                      <w:sz w:val="21"/>
                      <w:szCs w:val="21"/>
                    </w:rPr>
                  </w:pPr>
                </w:p>
              </w:tc>
            </w:tr>
            <w:tr w14:paraId="789F39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1" w:type="pct"/>
                  <w:noWrap w:val="0"/>
                  <w:vAlign w:val="center"/>
                </w:tcPr>
                <w:p w14:paraId="610B53F6">
                  <w:pPr>
                    <w:pStyle w:val="67"/>
                    <w:jc w:val="center"/>
                    <w:rPr>
                      <w:rFonts w:hint="eastAsia" w:ascii="宋体" w:hAnsi="宋体" w:eastAsia="宋体" w:cs="宋体"/>
                      <w:sz w:val="21"/>
                      <w:szCs w:val="21"/>
                    </w:rPr>
                  </w:pPr>
                  <w:r>
                    <w:rPr>
                      <w:rFonts w:hint="eastAsia" w:ascii="宋体" w:hAnsi="宋体" w:eastAsia="宋体" w:cs="宋体"/>
                      <w:sz w:val="21"/>
                      <w:szCs w:val="21"/>
                    </w:rPr>
                    <w:t>4</w:t>
                  </w:r>
                </w:p>
              </w:tc>
              <w:tc>
                <w:tcPr>
                  <w:tcW w:w="1446" w:type="pct"/>
                  <w:noWrap w:val="0"/>
                  <w:vAlign w:val="center"/>
                </w:tcPr>
                <w:p w14:paraId="5FEBE6CF">
                  <w:pPr>
                    <w:pStyle w:val="67"/>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sz w:val="21"/>
                      <w:szCs w:val="21"/>
                    </w:rPr>
                    <w:t>眼舒净</w:t>
                  </w:r>
                </w:p>
              </w:tc>
              <w:tc>
                <w:tcPr>
                  <w:tcW w:w="854" w:type="pct"/>
                  <w:noWrap w:val="0"/>
                  <w:vAlign w:val="center"/>
                </w:tcPr>
                <w:p w14:paraId="67B9BD98">
                  <w:pPr>
                    <w:pStyle w:val="67"/>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8mL/瓶</w:t>
                  </w:r>
                </w:p>
              </w:tc>
              <w:tc>
                <w:tcPr>
                  <w:tcW w:w="652" w:type="pct"/>
                  <w:noWrap w:val="0"/>
                  <w:vAlign w:val="center"/>
                </w:tcPr>
                <w:p w14:paraId="1CF297D8">
                  <w:pPr>
                    <w:pStyle w:val="21"/>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sz w:val="21"/>
                      <w:szCs w:val="21"/>
                    </w:rPr>
                    <w:t>50瓶</w:t>
                  </w:r>
                </w:p>
              </w:tc>
              <w:tc>
                <w:tcPr>
                  <w:tcW w:w="929" w:type="pct"/>
                  <w:noWrap w:val="0"/>
                  <w:vAlign w:val="center"/>
                </w:tcPr>
                <w:p w14:paraId="5D6D4214">
                  <w:pPr>
                    <w:pStyle w:val="67"/>
                    <w:jc w:val="center"/>
                    <w:rPr>
                      <w:rFonts w:hint="eastAsia" w:ascii="宋体" w:hAnsi="宋体" w:eastAsia="宋体" w:cs="宋体"/>
                      <w:color w:val="auto"/>
                      <w:sz w:val="21"/>
                      <w:szCs w:val="21"/>
                    </w:rPr>
                  </w:pPr>
                  <w:r>
                    <w:rPr>
                      <w:rFonts w:hint="eastAsia" w:ascii="宋体" w:hAnsi="宋体" w:eastAsia="宋体" w:cs="宋体"/>
                      <w:color w:val="auto"/>
                      <w:sz w:val="21"/>
                      <w:szCs w:val="21"/>
                    </w:rPr>
                    <w:t>诊疗</w:t>
                  </w:r>
                </w:p>
              </w:tc>
              <w:tc>
                <w:tcPr>
                  <w:tcW w:w="725" w:type="pct"/>
                  <w:vMerge w:val="continue"/>
                  <w:noWrap w:val="0"/>
                  <w:vAlign w:val="center"/>
                </w:tcPr>
                <w:p w14:paraId="34FE54AB">
                  <w:pPr>
                    <w:pStyle w:val="67"/>
                    <w:jc w:val="center"/>
                    <w:rPr>
                      <w:rFonts w:hint="eastAsia" w:ascii="宋体" w:hAnsi="宋体" w:eastAsia="宋体" w:cs="宋体"/>
                      <w:sz w:val="21"/>
                      <w:szCs w:val="21"/>
                    </w:rPr>
                  </w:pPr>
                </w:p>
              </w:tc>
            </w:tr>
            <w:tr w14:paraId="1E28FF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1" w:type="pct"/>
                  <w:noWrap w:val="0"/>
                  <w:vAlign w:val="center"/>
                </w:tcPr>
                <w:p w14:paraId="5F65BA77">
                  <w:pPr>
                    <w:pStyle w:val="67"/>
                    <w:jc w:val="center"/>
                    <w:rPr>
                      <w:rFonts w:hint="eastAsia" w:ascii="宋体" w:hAnsi="宋体" w:eastAsia="宋体" w:cs="宋体"/>
                      <w:sz w:val="21"/>
                      <w:szCs w:val="21"/>
                    </w:rPr>
                  </w:pPr>
                  <w:r>
                    <w:rPr>
                      <w:rFonts w:hint="eastAsia" w:ascii="宋体" w:hAnsi="宋体" w:eastAsia="宋体" w:cs="宋体"/>
                      <w:sz w:val="21"/>
                      <w:szCs w:val="21"/>
                    </w:rPr>
                    <w:t>5</w:t>
                  </w:r>
                </w:p>
              </w:tc>
              <w:tc>
                <w:tcPr>
                  <w:tcW w:w="1446" w:type="pct"/>
                  <w:noWrap w:val="0"/>
                  <w:vAlign w:val="center"/>
                </w:tcPr>
                <w:p w14:paraId="333EFC45">
                  <w:pPr>
                    <w:pStyle w:val="67"/>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sz w:val="21"/>
                      <w:szCs w:val="21"/>
                    </w:rPr>
                    <w:t>科特壮注射液</w:t>
                  </w:r>
                </w:p>
              </w:tc>
              <w:tc>
                <w:tcPr>
                  <w:tcW w:w="854" w:type="pct"/>
                  <w:noWrap w:val="0"/>
                  <w:vAlign w:val="center"/>
                </w:tcPr>
                <w:p w14:paraId="24CFC078">
                  <w:pPr>
                    <w:pStyle w:val="67"/>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100mL/瓶</w:t>
                  </w:r>
                </w:p>
              </w:tc>
              <w:tc>
                <w:tcPr>
                  <w:tcW w:w="652" w:type="pct"/>
                  <w:noWrap w:val="0"/>
                  <w:vAlign w:val="center"/>
                </w:tcPr>
                <w:p w14:paraId="50381716">
                  <w:pPr>
                    <w:pStyle w:val="21"/>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sz w:val="21"/>
                      <w:szCs w:val="21"/>
                    </w:rPr>
                    <w:t>3瓶</w:t>
                  </w:r>
                </w:p>
              </w:tc>
              <w:tc>
                <w:tcPr>
                  <w:tcW w:w="929" w:type="pct"/>
                  <w:noWrap w:val="0"/>
                  <w:vAlign w:val="center"/>
                </w:tcPr>
                <w:p w14:paraId="6E349579">
                  <w:pPr>
                    <w:pStyle w:val="67"/>
                    <w:jc w:val="center"/>
                    <w:rPr>
                      <w:rFonts w:hint="eastAsia" w:ascii="宋体" w:hAnsi="宋体" w:eastAsia="宋体" w:cs="宋体"/>
                      <w:color w:val="auto"/>
                      <w:sz w:val="21"/>
                      <w:szCs w:val="21"/>
                    </w:rPr>
                  </w:pPr>
                  <w:r>
                    <w:rPr>
                      <w:rFonts w:hint="eastAsia" w:ascii="宋体" w:hAnsi="宋体" w:eastAsia="宋体" w:cs="宋体"/>
                      <w:color w:val="auto"/>
                      <w:sz w:val="21"/>
                      <w:szCs w:val="21"/>
                    </w:rPr>
                    <w:t>诊疗</w:t>
                  </w:r>
                </w:p>
              </w:tc>
              <w:tc>
                <w:tcPr>
                  <w:tcW w:w="725" w:type="pct"/>
                  <w:vMerge w:val="continue"/>
                  <w:noWrap w:val="0"/>
                  <w:vAlign w:val="center"/>
                </w:tcPr>
                <w:p w14:paraId="6B6E4E7D">
                  <w:pPr>
                    <w:pStyle w:val="67"/>
                    <w:jc w:val="center"/>
                    <w:rPr>
                      <w:rFonts w:hint="eastAsia" w:ascii="宋体" w:hAnsi="宋体" w:eastAsia="宋体" w:cs="宋体"/>
                      <w:sz w:val="21"/>
                      <w:szCs w:val="21"/>
                    </w:rPr>
                  </w:pPr>
                </w:p>
              </w:tc>
            </w:tr>
            <w:tr w14:paraId="20D93D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1" w:type="pct"/>
                  <w:noWrap w:val="0"/>
                  <w:vAlign w:val="center"/>
                </w:tcPr>
                <w:p w14:paraId="1F9DF8F6">
                  <w:pPr>
                    <w:pStyle w:val="67"/>
                    <w:jc w:val="center"/>
                    <w:rPr>
                      <w:rFonts w:hint="eastAsia" w:ascii="宋体" w:hAnsi="宋体" w:eastAsia="宋体" w:cs="宋体"/>
                      <w:sz w:val="21"/>
                      <w:szCs w:val="21"/>
                    </w:rPr>
                  </w:pPr>
                  <w:r>
                    <w:rPr>
                      <w:rFonts w:hint="eastAsia" w:ascii="宋体" w:hAnsi="宋体" w:eastAsia="宋体" w:cs="宋体"/>
                      <w:sz w:val="21"/>
                      <w:szCs w:val="21"/>
                    </w:rPr>
                    <w:t>6</w:t>
                  </w:r>
                </w:p>
              </w:tc>
              <w:tc>
                <w:tcPr>
                  <w:tcW w:w="1446" w:type="pct"/>
                  <w:noWrap w:val="0"/>
                  <w:vAlign w:val="center"/>
                </w:tcPr>
                <w:p w14:paraId="72D91378">
                  <w:pPr>
                    <w:pStyle w:val="21"/>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sz w:val="21"/>
                      <w:szCs w:val="21"/>
                    </w:rPr>
                    <w:t>汉肤欣</w:t>
                  </w:r>
                </w:p>
              </w:tc>
              <w:tc>
                <w:tcPr>
                  <w:tcW w:w="854" w:type="pct"/>
                  <w:noWrap w:val="0"/>
                  <w:vAlign w:val="center"/>
                </w:tcPr>
                <w:p w14:paraId="47ED2C84">
                  <w:pPr>
                    <w:pStyle w:val="21"/>
                    <w:keepNext w:val="0"/>
                    <w:keepLines w:val="0"/>
                    <w:widowControl/>
                    <w:suppressLineNumbers w:val="0"/>
                    <w:spacing w:before="0" w:beforeAutospacing="0" w:after="0" w:afterAutospacing="0"/>
                    <w:ind w:left="0" w:right="0"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52MI/瓶</w:t>
                  </w:r>
                </w:p>
              </w:tc>
              <w:tc>
                <w:tcPr>
                  <w:tcW w:w="652" w:type="pct"/>
                  <w:noWrap w:val="0"/>
                  <w:vAlign w:val="center"/>
                </w:tcPr>
                <w:p w14:paraId="0D1FF77E">
                  <w:pPr>
                    <w:pStyle w:val="21"/>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sz w:val="21"/>
                      <w:szCs w:val="21"/>
                    </w:rPr>
                    <w:t>8瓶</w:t>
                  </w:r>
                </w:p>
              </w:tc>
              <w:tc>
                <w:tcPr>
                  <w:tcW w:w="929" w:type="pct"/>
                  <w:noWrap w:val="0"/>
                  <w:vAlign w:val="center"/>
                </w:tcPr>
                <w:p w14:paraId="26FA7651">
                  <w:pPr>
                    <w:pStyle w:val="67"/>
                    <w:jc w:val="center"/>
                    <w:rPr>
                      <w:rFonts w:hint="eastAsia" w:ascii="宋体" w:hAnsi="宋体" w:eastAsia="宋体" w:cs="宋体"/>
                      <w:color w:val="auto"/>
                      <w:sz w:val="21"/>
                      <w:szCs w:val="21"/>
                    </w:rPr>
                  </w:pPr>
                  <w:r>
                    <w:rPr>
                      <w:rFonts w:hint="eastAsia" w:ascii="宋体" w:hAnsi="宋体" w:eastAsia="宋体" w:cs="宋体"/>
                      <w:color w:val="auto"/>
                      <w:sz w:val="21"/>
                      <w:szCs w:val="21"/>
                    </w:rPr>
                    <w:t>诊疗</w:t>
                  </w:r>
                </w:p>
              </w:tc>
              <w:tc>
                <w:tcPr>
                  <w:tcW w:w="725" w:type="pct"/>
                  <w:vMerge w:val="continue"/>
                  <w:noWrap w:val="0"/>
                  <w:vAlign w:val="center"/>
                </w:tcPr>
                <w:p w14:paraId="3E200524">
                  <w:pPr>
                    <w:pStyle w:val="67"/>
                    <w:jc w:val="center"/>
                    <w:rPr>
                      <w:rFonts w:hint="eastAsia" w:ascii="宋体" w:hAnsi="宋体" w:eastAsia="宋体" w:cs="宋体"/>
                      <w:sz w:val="21"/>
                      <w:szCs w:val="21"/>
                    </w:rPr>
                  </w:pPr>
                </w:p>
              </w:tc>
            </w:tr>
            <w:tr w14:paraId="14CB64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1" w:type="pct"/>
                  <w:noWrap w:val="0"/>
                  <w:vAlign w:val="center"/>
                </w:tcPr>
                <w:p w14:paraId="17AB0180">
                  <w:pPr>
                    <w:pStyle w:val="67"/>
                    <w:jc w:val="center"/>
                    <w:rPr>
                      <w:rFonts w:hint="eastAsia" w:ascii="宋体" w:hAnsi="宋体" w:eastAsia="宋体" w:cs="宋体"/>
                      <w:sz w:val="21"/>
                      <w:szCs w:val="21"/>
                    </w:rPr>
                  </w:pPr>
                  <w:r>
                    <w:rPr>
                      <w:rFonts w:hint="eastAsia" w:ascii="宋体" w:hAnsi="宋体" w:eastAsia="宋体" w:cs="宋体"/>
                      <w:sz w:val="21"/>
                      <w:szCs w:val="21"/>
                    </w:rPr>
                    <w:t>7</w:t>
                  </w:r>
                </w:p>
              </w:tc>
              <w:tc>
                <w:tcPr>
                  <w:tcW w:w="1446" w:type="pct"/>
                  <w:noWrap w:val="0"/>
                  <w:vAlign w:val="center"/>
                </w:tcPr>
                <w:p w14:paraId="7FF995EB">
                  <w:pPr>
                    <w:pStyle w:val="67"/>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sz w:val="21"/>
                      <w:szCs w:val="21"/>
                    </w:rPr>
                    <w:t>爱波克</w:t>
                  </w:r>
                </w:p>
              </w:tc>
              <w:tc>
                <w:tcPr>
                  <w:tcW w:w="854" w:type="pct"/>
                  <w:noWrap w:val="0"/>
                  <w:vAlign w:val="center"/>
                </w:tcPr>
                <w:p w14:paraId="6910E8F7">
                  <w:pPr>
                    <w:pStyle w:val="67"/>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5.4mg*100片</w:t>
                  </w:r>
                </w:p>
              </w:tc>
              <w:tc>
                <w:tcPr>
                  <w:tcW w:w="652" w:type="pct"/>
                  <w:noWrap w:val="0"/>
                  <w:vAlign w:val="center"/>
                </w:tcPr>
                <w:p w14:paraId="2A733FFD">
                  <w:pPr>
                    <w:pStyle w:val="21"/>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sz w:val="21"/>
                      <w:szCs w:val="21"/>
                    </w:rPr>
                    <w:t>6瓶</w:t>
                  </w:r>
                </w:p>
              </w:tc>
              <w:tc>
                <w:tcPr>
                  <w:tcW w:w="929" w:type="pct"/>
                  <w:noWrap w:val="0"/>
                  <w:vAlign w:val="center"/>
                </w:tcPr>
                <w:p w14:paraId="11E4596A">
                  <w:pPr>
                    <w:pStyle w:val="67"/>
                    <w:jc w:val="center"/>
                    <w:rPr>
                      <w:rFonts w:hint="eastAsia" w:ascii="宋体" w:hAnsi="宋体" w:eastAsia="宋体" w:cs="宋体"/>
                      <w:color w:val="auto"/>
                      <w:sz w:val="21"/>
                      <w:szCs w:val="21"/>
                    </w:rPr>
                  </w:pPr>
                  <w:r>
                    <w:rPr>
                      <w:rFonts w:hint="eastAsia" w:ascii="宋体" w:hAnsi="宋体" w:eastAsia="宋体" w:cs="宋体"/>
                      <w:color w:val="auto"/>
                      <w:sz w:val="21"/>
                      <w:szCs w:val="21"/>
                    </w:rPr>
                    <w:t>诊疗</w:t>
                  </w:r>
                </w:p>
              </w:tc>
              <w:tc>
                <w:tcPr>
                  <w:tcW w:w="725" w:type="pct"/>
                  <w:vMerge w:val="continue"/>
                  <w:noWrap w:val="0"/>
                  <w:vAlign w:val="center"/>
                </w:tcPr>
                <w:p w14:paraId="741F7A50">
                  <w:pPr>
                    <w:pStyle w:val="67"/>
                    <w:jc w:val="center"/>
                    <w:rPr>
                      <w:rFonts w:hint="eastAsia" w:ascii="宋体" w:hAnsi="宋体" w:eastAsia="宋体" w:cs="宋体"/>
                      <w:sz w:val="21"/>
                      <w:szCs w:val="21"/>
                    </w:rPr>
                  </w:pPr>
                </w:p>
              </w:tc>
            </w:tr>
            <w:tr w14:paraId="0C5EA6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1" w:type="pct"/>
                  <w:noWrap w:val="0"/>
                  <w:vAlign w:val="center"/>
                </w:tcPr>
                <w:p w14:paraId="50ED4BBF">
                  <w:pPr>
                    <w:pStyle w:val="67"/>
                    <w:jc w:val="center"/>
                    <w:rPr>
                      <w:rFonts w:hint="eastAsia" w:ascii="宋体" w:hAnsi="宋体" w:eastAsia="宋体" w:cs="宋体"/>
                      <w:sz w:val="21"/>
                      <w:szCs w:val="21"/>
                    </w:rPr>
                  </w:pPr>
                  <w:r>
                    <w:rPr>
                      <w:rFonts w:hint="eastAsia" w:ascii="宋体" w:hAnsi="宋体" w:eastAsia="宋体" w:cs="宋体"/>
                      <w:sz w:val="21"/>
                      <w:szCs w:val="21"/>
                    </w:rPr>
                    <w:t>8</w:t>
                  </w:r>
                </w:p>
              </w:tc>
              <w:tc>
                <w:tcPr>
                  <w:tcW w:w="1446" w:type="pct"/>
                  <w:noWrap w:val="0"/>
                  <w:vAlign w:val="center"/>
                </w:tcPr>
                <w:p w14:paraId="1A37B73D">
                  <w:pPr>
                    <w:pStyle w:val="67"/>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sz w:val="21"/>
                      <w:szCs w:val="21"/>
                    </w:rPr>
                    <w:t>汉宠欣</w:t>
                  </w:r>
                </w:p>
              </w:tc>
              <w:tc>
                <w:tcPr>
                  <w:tcW w:w="854" w:type="pct"/>
                  <w:noWrap w:val="0"/>
                  <w:vAlign w:val="center"/>
                </w:tcPr>
                <w:p w14:paraId="650EB21C">
                  <w:pPr>
                    <w:pStyle w:val="67"/>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100mL/瓶</w:t>
                  </w:r>
                </w:p>
              </w:tc>
              <w:tc>
                <w:tcPr>
                  <w:tcW w:w="652" w:type="pct"/>
                  <w:noWrap w:val="0"/>
                  <w:vAlign w:val="center"/>
                </w:tcPr>
                <w:p w14:paraId="0A4B7FE0">
                  <w:pPr>
                    <w:pStyle w:val="21"/>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sz w:val="21"/>
                      <w:szCs w:val="21"/>
                    </w:rPr>
                    <w:t>30瓶</w:t>
                  </w:r>
                </w:p>
              </w:tc>
              <w:tc>
                <w:tcPr>
                  <w:tcW w:w="929" w:type="pct"/>
                  <w:noWrap w:val="0"/>
                  <w:vAlign w:val="center"/>
                </w:tcPr>
                <w:p w14:paraId="115A4B3B">
                  <w:pPr>
                    <w:pStyle w:val="67"/>
                    <w:jc w:val="center"/>
                    <w:rPr>
                      <w:rFonts w:hint="eastAsia" w:ascii="宋体" w:hAnsi="宋体" w:eastAsia="宋体" w:cs="宋体"/>
                      <w:color w:val="auto"/>
                      <w:sz w:val="21"/>
                      <w:szCs w:val="21"/>
                    </w:rPr>
                  </w:pPr>
                  <w:r>
                    <w:rPr>
                      <w:rFonts w:hint="eastAsia" w:ascii="宋体" w:hAnsi="宋体" w:eastAsia="宋体" w:cs="宋体"/>
                      <w:color w:val="auto"/>
                      <w:sz w:val="21"/>
                      <w:szCs w:val="21"/>
                    </w:rPr>
                    <w:t>诊疗</w:t>
                  </w:r>
                </w:p>
              </w:tc>
              <w:tc>
                <w:tcPr>
                  <w:tcW w:w="725" w:type="pct"/>
                  <w:vMerge w:val="continue"/>
                  <w:noWrap w:val="0"/>
                  <w:vAlign w:val="center"/>
                </w:tcPr>
                <w:p w14:paraId="488EF32E">
                  <w:pPr>
                    <w:pStyle w:val="67"/>
                    <w:jc w:val="center"/>
                    <w:rPr>
                      <w:rFonts w:hint="eastAsia" w:ascii="宋体" w:hAnsi="宋体" w:eastAsia="宋体" w:cs="宋体"/>
                      <w:sz w:val="21"/>
                      <w:szCs w:val="21"/>
                    </w:rPr>
                  </w:pPr>
                </w:p>
              </w:tc>
            </w:tr>
            <w:tr w14:paraId="1C14AF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1" w:type="pct"/>
                  <w:noWrap w:val="0"/>
                  <w:vAlign w:val="center"/>
                </w:tcPr>
                <w:p w14:paraId="7768712C">
                  <w:pPr>
                    <w:pStyle w:val="67"/>
                    <w:jc w:val="center"/>
                    <w:rPr>
                      <w:rFonts w:hint="eastAsia" w:ascii="宋体" w:hAnsi="宋体" w:eastAsia="宋体" w:cs="宋体"/>
                      <w:sz w:val="21"/>
                      <w:szCs w:val="21"/>
                    </w:rPr>
                  </w:pPr>
                  <w:r>
                    <w:rPr>
                      <w:rFonts w:hint="eastAsia" w:ascii="宋体" w:hAnsi="宋体" w:eastAsia="宋体" w:cs="宋体"/>
                      <w:sz w:val="21"/>
                      <w:szCs w:val="21"/>
                    </w:rPr>
                    <w:t>9</w:t>
                  </w:r>
                </w:p>
              </w:tc>
              <w:tc>
                <w:tcPr>
                  <w:tcW w:w="1446" w:type="pct"/>
                  <w:noWrap w:val="0"/>
                  <w:vAlign w:val="center"/>
                </w:tcPr>
                <w:p w14:paraId="72F02ED8">
                  <w:pPr>
                    <w:pStyle w:val="67"/>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sz w:val="21"/>
                      <w:szCs w:val="21"/>
                    </w:rPr>
                    <w:t>泰淘气</w:t>
                  </w:r>
                </w:p>
              </w:tc>
              <w:tc>
                <w:tcPr>
                  <w:tcW w:w="854" w:type="pct"/>
                  <w:noWrap w:val="0"/>
                  <w:vAlign w:val="center"/>
                </w:tcPr>
                <w:p w14:paraId="39711544">
                  <w:pPr>
                    <w:pStyle w:val="67"/>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1g/支</w:t>
                  </w:r>
                </w:p>
              </w:tc>
              <w:tc>
                <w:tcPr>
                  <w:tcW w:w="652" w:type="pct"/>
                  <w:noWrap w:val="0"/>
                  <w:vAlign w:val="center"/>
                </w:tcPr>
                <w:p w14:paraId="4588CC7E">
                  <w:pPr>
                    <w:pStyle w:val="21"/>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sz w:val="21"/>
                      <w:szCs w:val="21"/>
                    </w:rPr>
                    <w:t>5000支</w:t>
                  </w:r>
                </w:p>
              </w:tc>
              <w:tc>
                <w:tcPr>
                  <w:tcW w:w="929" w:type="pct"/>
                  <w:noWrap w:val="0"/>
                  <w:vAlign w:val="center"/>
                </w:tcPr>
                <w:p w14:paraId="50E1DDDB">
                  <w:pPr>
                    <w:pStyle w:val="67"/>
                    <w:jc w:val="center"/>
                    <w:rPr>
                      <w:rFonts w:hint="eastAsia" w:ascii="宋体" w:hAnsi="宋体" w:eastAsia="宋体" w:cs="宋体"/>
                      <w:color w:val="auto"/>
                      <w:sz w:val="21"/>
                      <w:szCs w:val="21"/>
                    </w:rPr>
                  </w:pPr>
                  <w:r>
                    <w:rPr>
                      <w:rFonts w:hint="eastAsia" w:ascii="宋体" w:hAnsi="宋体" w:eastAsia="宋体" w:cs="宋体"/>
                      <w:color w:val="auto"/>
                      <w:sz w:val="21"/>
                      <w:szCs w:val="21"/>
                    </w:rPr>
                    <w:t>手术</w:t>
                  </w:r>
                </w:p>
              </w:tc>
              <w:tc>
                <w:tcPr>
                  <w:tcW w:w="725" w:type="pct"/>
                  <w:vMerge w:val="continue"/>
                  <w:noWrap w:val="0"/>
                  <w:vAlign w:val="center"/>
                </w:tcPr>
                <w:p w14:paraId="11CC7F2A">
                  <w:pPr>
                    <w:pStyle w:val="67"/>
                    <w:jc w:val="center"/>
                    <w:rPr>
                      <w:rFonts w:hint="eastAsia" w:ascii="宋体" w:hAnsi="宋体" w:eastAsia="宋体" w:cs="宋体"/>
                      <w:sz w:val="21"/>
                      <w:szCs w:val="21"/>
                    </w:rPr>
                  </w:pPr>
                </w:p>
              </w:tc>
            </w:tr>
            <w:tr w14:paraId="193AFF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1" w:type="pct"/>
                  <w:noWrap w:val="0"/>
                  <w:vAlign w:val="center"/>
                </w:tcPr>
                <w:p w14:paraId="6138DF39">
                  <w:pPr>
                    <w:pStyle w:val="67"/>
                    <w:jc w:val="center"/>
                    <w:rPr>
                      <w:rFonts w:hint="eastAsia" w:ascii="宋体" w:hAnsi="宋体" w:eastAsia="宋体" w:cs="宋体"/>
                      <w:sz w:val="21"/>
                      <w:szCs w:val="21"/>
                    </w:rPr>
                  </w:pPr>
                  <w:r>
                    <w:rPr>
                      <w:rFonts w:hint="eastAsia" w:ascii="宋体" w:hAnsi="宋体" w:eastAsia="宋体" w:cs="宋体"/>
                      <w:sz w:val="21"/>
                      <w:szCs w:val="21"/>
                    </w:rPr>
                    <w:t>10</w:t>
                  </w:r>
                </w:p>
              </w:tc>
              <w:tc>
                <w:tcPr>
                  <w:tcW w:w="1446" w:type="pct"/>
                  <w:noWrap w:val="0"/>
                  <w:vAlign w:val="center"/>
                </w:tcPr>
                <w:p w14:paraId="722CC752">
                  <w:pPr>
                    <w:pStyle w:val="21"/>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sz w:val="21"/>
                      <w:szCs w:val="21"/>
                    </w:rPr>
                    <w:t>美洛昔康注射液</w:t>
                  </w:r>
                </w:p>
              </w:tc>
              <w:tc>
                <w:tcPr>
                  <w:tcW w:w="854" w:type="pct"/>
                  <w:noWrap w:val="0"/>
                  <w:vAlign w:val="center"/>
                </w:tcPr>
                <w:p w14:paraId="05C7650F">
                  <w:pPr>
                    <w:pStyle w:val="67"/>
                    <w:jc w:val="center"/>
                    <w:rPr>
                      <w:rFonts w:hint="default" w:ascii="Times New Roman" w:hAnsi="Times New Roman" w:eastAsia="宋体" w:cs="Times New Roman"/>
                      <w:sz w:val="21"/>
                      <w:szCs w:val="21"/>
                    </w:rPr>
                  </w:pPr>
                  <w:r>
                    <w:rPr>
                      <w:rFonts w:hint="default" w:ascii="Times New Roman" w:hAnsi="Times New Roman" w:eastAsia="宋体" w:cs="Times New Roman"/>
                      <w:color w:val="auto"/>
                      <w:sz w:val="21"/>
                      <w:szCs w:val="21"/>
                    </w:rPr>
                    <w:t>50</w:t>
                  </w:r>
                  <w:r>
                    <w:rPr>
                      <w:rFonts w:hint="default" w:ascii="Times New Roman" w:hAnsi="Times New Roman" w:cs="Times New Roman"/>
                      <w:color w:val="auto"/>
                      <w:sz w:val="21"/>
                      <w:szCs w:val="21"/>
                      <w:lang w:val="en-US" w:eastAsia="zh-CN"/>
                    </w:rPr>
                    <w:t>mL</w:t>
                  </w:r>
                  <w:r>
                    <w:rPr>
                      <w:rFonts w:hint="default" w:ascii="Times New Roman" w:hAnsi="Times New Roman" w:eastAsia="宋体" w:cs="Times New Roman"/>
                      <w:color w:val="auto"/>
                      <w:sz w:val="21"/>
                      <w:szCs w:val="21"/>
                    </w:rPr>
                    <w:t>/瓶</w:t>
                  </w:r>
                </w:p>
              </w:tc>
              <w:tc>
                <w:tcPr>
                  <w:tcW w:w="652" w:type="pct"/>
                  <w:noWrap w:val="0"/>
                  <w:vAlign w:val="center"/>
                </w:tcPr>
                <w:p w14:paraId="3B9FA834">
                  <w:pPr>
                    <w:pStyle w:val="21"/>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sz w:val="21"/>
                      <w:szCs w:val="21"/>
                    </w:rPr>
                    <w:t>6瓶</w:t>
                  </w:r>
                </w:p>
              </w:tc>
              <w:tc>
                <w:tcPr>
                  <w:tcW w:w="929" w:type="pct"/>
                  <w:noWrap w:val="0"/>
                  <w:vAlign w:val="center"/>
                </w:tcPr>
                <w:p w14:paraId="6E0BB037">
                  <w:pPr>
                    <w:pStyle w:val="67"/>
                    <w:jc w:val="center"/>
                    <w:rPr>
                      <w:rFonts w:hint="eastAsia" w:ascii="宋体" w:hAnsi="宋体" w:eastAsia="宋体" w:cs="宋体"/>
                      <w:color w:val="auto"/>
                      <w:sz w:val="21"/>
                      <w:szCs w:val="21"/>
                    </w:rPr>
                  </w:pPr>
                  <w:r>
                    <w:rPr>
                      <w:rFonts w:hint="eastAsia" w:ascii="宋体" w:hAnsi="宋体" w:eastAsia="宋体" w:cs="宋体"/>
                      <w:color w:val="auto"/>
                      <w:sz w:val="21"/>
                      <w:szCs w:val="21"/>
                    </w:rPr>
                    <w:t>手术</w:t>
                  </w:r>
                </w:p>
              </w:tc>
              <w:tc>
                <w:tcPr>
                  <w:tcW w:w="725" w:type="pct"/>
                  <w:vMerge w:val="continue"/>
                  <w:noWrap w:val="0"/>
                  <w:vAlign w:val="center"/>
                </w:tcPr>
                <w:p w14:paraId="4CFCD878">
                  <w:pPr>
                    <w:pStyle w:val="67"/>
                    <w:jc w:val="center"/>
                    <w:rPr>
                      <w:rFonts w:hint="eastAsia" w:ascii="宋体" w:hAnsi="宋体" w:eastAsia="宋体" w:cs="宋体"/>
                      <w:sz w:val="21"/>
                      <w:szCs w:val="21"/>
                    </w:rPr>
                  </w:pPr>
                </w:p>
              </w:tc>
            </w:tr>
            <w:tr w14:paraId="41A7EC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1" w:type="pct"/>
                  <w:noWrap w:val="0"/>
                  <w:vAlign w:val="center"/>
                </w:tcPr>
                <w:p w14:paraId="7D8CDE59">
                  <w:pPr>
                    <w:pStyle w:val="67"/>
                    <w:jc w:val="center"/>
                    <w:rPr>
                      <w:rFonts w:hint="eastAsia" w:ascii="宋体" w:hAnsi="宋体" w:eastAsia="宋体" w:cs="宋体"/>
                      <w:sz w:val="21"/>
                      <w:szCs w:val="21"/>
                    </w:rPr>
                  </w:pPr>
                  <w:r>
                    <w:rPr>
                      <w:rFonts w:hint="eastAsia" w:ascii="宋体" w:hAnsi="宋体" w:eastAsia="宋体" w:cs="宋体"/>
                      <w:sz w:val="21"/>
                      <w:szCs w:val="21"/>
                    </w:rPr>
                    <w:t>11</w:t>
                  </w:r>
                </w:p>
              </w:tc>
              <w:tc>
                <w:tcPr>
                  <w:tcW w:w="1446" w:type="pct"/>
                  <w:noWrap w:val="0"/>
                  <w:vAlign w:val="center"/>
                </w:tcPr>
                <w:p w14:paraId="10728925">
                  <w:pPr>
                    <w:pStyle w:val="21"/>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sz w:val="21"/>
                      <w:szCs w:val="21"/>
                    </w:rPr>
                    <w:t>康卫宁</w:t>
                  </w:r>
                </w:p>
              </w:tc>
              <w:tc>
                <w:tcPr>
                  <w:tcW w:w="854" w:type="pct"/>
                  <w:noWrap w:val="0"/>
                  <w:vAlign w:val="center"/>
                </w:tcPr>
                <w:p w14:paraId="4BD68C55">
                  <w:pPr>
                    <w:pStyle w:val="67"/>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10mL/瓶</w:t>
                  </w:r>
                </w:p>
              </w:tc>
              <w:tc>
                <w:tcPr>
                  <w:tcW w:w="652" w:type="pct"/>
                  <w:noWrap w:val="0"/>
                  <w:vAlign w:val="center"/>
                </w:tcPr>
                <w:p w14:paraId="01A2D19C">
                  <w:pPr>
                    <w:pStyle w:val="21"/>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sz w:val="21"/>
                      <w:szCs w:val="21"/>
                    </w:rPr>
                    <w:t>3瓶</w:t>
                  </w:r>
                </w:p>
              </w:tc>
              <w:tc>
                <w:tcPr>
                  <w:tcW w:w="929" w:type="pct"/>
                  <w:noWrap w:val="0"/>
                  <w:vAlign w:val="center"/>
                </w:tcPr>
                <w:p w14:paraId="429FD0BE">
                  <w:pPr>
                    <w:pStyle w:val="67"/>
                    <w:jc w:val="center"/>
                    <w:rPr>
                      <w:rFonts w:hint="eastAsia" w:ascii="宋体" w:hAnsi="宋体" w:eastAsia="宋体" w:cs="宋体"/>
                      <w:color w:val="auto"/>
                      <w:sz w:val="21"/>
                      <w:szCs w:val="21"/>
                    </w:rPr>
                  </w:pPr>
                  <w:r>
                    <w:rPr>
                      <w:rFonts w:hint="eastAsia" w:ascii="宋体" w:hAnsi="宋体" w:eastAsia="宋体" w:cs="宋体"/>
                      <w:color w:val="auto"/>
                      <w:sz w:val="21"/>
                      <w:szCs w:val="21"/>
                    </w:rPr>
                    <w:t>杀毒抑菌</w:t>
                  </w:r>
                </w:p>
              </w:tc>
              <w:tc>
                <w:tcPr>
                  <w:tcW w:w="725" w:type="pct"/>
                  <w:vMerge w:val="continue"/>
                  <w:noWrap w:val="0"/>
                  <w:vAlign w:val="center"/>
                </w:tcPr>
                <w:p w14:paraId="2ECCD093">
                  <w:pPr>
                    <w:pStyle w:val="67"/>
                    <w:jc w:val="center"/>
                    <w:rPr>
                      <w:rFonts w:hint="eastAsia" w:ascii="宋体" w:hAnsi="宋体" w:eastAsia="宋体" w:cs="宋体"/>
                      <w:sz w:val="21"/>
                      <w:szCs w:val="21"/>
                    </w:rPr>
                  </w:pPr>
                </w:p>
              </w:tc>
            </w:tr>
            <w:tr w14:paraId="3F2308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1" w:type="pct"/>
                  <w:noWrap w:val="0"/>
                  <w:vAlign w:val="center"/>
                </w:tcPr>
                <w:p w14:paraId="4EB26F5E">
                  <w:pPr>
                    <w:pStyle w:val="67"/>
                    <w:jc w:val="center"/>
                    <w:rPr>
                      <w:rFonts w:hint="eastAsia" w:ascii="宋体" w:hAnsi="宋体" w:eastAsia="宋体" w:cs="宋体"/>
                      <w:sz w:val="21"/>
                      <w:szCs w:val="21"/>
                    </w:rPr>
                  </w:pPr>
                  <w:r>
                    <w:rPr>
                      <w:rFonts w:hint="eastAsia" w:ascii="宋体" w:hAnsi="宋体" w:eastAsia="宋体" w:cs="宋体"/>
                      <w:sz w:val="21"/>
                      <w:szCs w:val="21"/>
                    </w:rPr>
                    <w:t>12</w:t>
                  </w:r>
                </w:p>
              </w:tc>
              <w:tc>
                <w:tcPr>
                  <w:tcW w:w="1446" w:type="pct"/>
                  <w:noWrap w:val="0"/>
                  <w:vAlign w:val="center"/>
                </w:tcPr>
                <w:p w14:paraId="3E36C9E3">
                  <w:pPr>
                    <w:pStyle w:val="21"/>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sz w:val="21"/>
                      <w:szCs w:val="21"/>
                    </w:rPr>
                    <w:t>耳康</w:t>
                  </w:r>
                </w:p>
              </w:tc>
              <w:tc>
                <w:tcPr>
                  <w:tcW w:w="854" w:type="pct"/>
                  <w:noWrap w:val="0"/>
                  <w:vAlign w:val="center"/>
                </w:tcPr>
                <w:p w14:paraId="492C2204">
                  <w:pPr>
                    <w:pStyle w:val="67"/>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25mL/瓶</w:t>
                  </w:r>
                </w:p>
              </w:tc>
              <w:tc>
                <w:tcPr>
                  <w:tcW w:w="652" w:type="pct"/>
                  <w:noWrap w:val="0"/>
                  <w:vAlign w:val="center"/>
                </w:tcPr>
                <w:p w14:paraId="180EE693">
                  <w:pPr>
                    <w:pStyle w:val="21"/>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sz w:val="21"/>
                      <w:szCs w:val="21"/>
                    </w:rPr>
                    <w:t>60瓶</w:t>
                  </w:r>
                </w:p>
              </w:tc>
              <w:tc>
                <w:tcPr>
                  <w:tcW w:w="929" w:type="pct"/>
                  <w:noWrap w:val="0"/>
                  <w:vAlign w:val="center"/>
                </w:tcPr>
                <w:p w14:paraId="2CEBDFC2">
                  <w:pPr>
                    <w:pStyle w:val="67"/>
                    <w:jc w:val="center"/>
                    <w:rPr>
                      <w:rFonts w:hint="eastAsia" w:ascii="宋体" w:hAnsi="宋体" w:eastAsia="宋体" w:cs="宋体"/>
                      <w:color w:val="auto"/>
                      <w:sz w:val="21"/>
                      <w:szCs w:val="21"/>
                    </w:rPr>
                  </w:pPr>
                  <w:r>
                    <w:rPr>
                      <w:rFonts w:hint="eastAsia" w:ascii="宋体" w:hAnsi="宋体" w:eastAsia="宋体" w:cs="宋体"/>
                      <w:color w:val="auto"/>
                      <w:sz w:val="21"/>
                      <w:szCs w:val="21"/>
                    </w:rPr>
                    <w:t>手术、诊疗</w:t>
                  </w:r>
                </w:p>
              </w:tc>
              <w:tc>
                <w:tcPr>
                  <w:tcW w:w="725" w:type="pct"/>
                  <w:vMerge w:val="continue"/>
                  <w:noWrap w:val="0"/>
                  <w:vAlign w:val="center"/>
                </w:tcPr>
                <w:p w14:paraId="600EA40D">
                  <w:pPr>
                    <w:pStyle w:val="67"/>
                    <w:jc w:val="center"/>
                    <w:rPr>
                      <w:rFonts w:hint="eastAsia" w:ascii="宋体" w:hAnsi="宋体" w:eastAsia="宋体" w:cs="宋体"/>
                      <w:sz w:val="21"/>
                      <w:szCs w:val="21"/>
                    </w:rPr>
                  </w:pPr>
                </w:p>
              </w:tc>
            </w:tr>
            <w:tr w14:paraId="6EED22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1" w:type="pct"/>
                  <w:noWrap w:val="0"/>
                  <w:vAlign w:val="center"/>
                </w:tcPr>
                <w:p w14:paraId="110A174D">
                  <w:pPr>
                    <w:pStyle w:val="67"/>
                    <w:jc w:val="center"/>
                    <w:rPr>
                      <w:rFonts w:hint="eastAsia" w:ascii="宋体" w:hAnsi="宋体" w:eastAsia="宋体" w:cs="宋体"/>
                      <w:sz w:val="21"/>
                      <w:szCs w:val="21"/>
                    </w:rPr>
                  </w:pPr>
                  <w:r>
                    <w:rPr>
                      <w:rFonts w:hint="eastAsia" w:ascii="宋体" w:hAnsi="宋体" w:eastAsia="宋体" w:cs="宋体"/>
                      <w:sz w:val="21"/>
                      <w:szCs w:val="21"/>
                    </w:rPr>
                    <w:t>13</w:t>
                  </w:r>
                </w:p>
              </w:tc>
              <w:tc>
                <w:tcPr>
                  <w:tcW w:w="1446" w:type="pct"/>
                  <w:noWrap w:val="0"/>
                  <w:vAlign w:val="center"/>
                </w:tcPr>
                <w:p w14:paraId="4940ED12">
                  <w:pPr>
                    <w:pStyle w:val="67"/>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sz w:val="21"/>
                      <w:szCs w:val="21"/>
                    </w:rPr>
                    <w:t>葡萄糖注射液</w:t>
                  </w:r>
                </w:p>
              </w:tc>
              <w:tc>
                <w:tcPr>
                  <w:tcW w:w="854" w:type="pct"/>
                  <w:noWrap w:val="0"/>
                  <w:vAlign w:val="center"/>
                </w:tcPr>
                <w:p w14:paraId="61174CEE">
                  <w:pPr>
                    <w:pStyle w:val="67"/>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500mL/瓶</w:t>
                  </w:r>
                </w:p>
              </w:tc>
              <w:tc>
                <w:tcPr>
                  <w:tcW w:w="652" w:type="pct"/>
                  <w:noWrap w:val="0"/>
                  <w:vAlign w:val="center"/>
                </w:tcPr>
                <w:p w14:paraId="6B301CAF">
                  <w:pPr>
                    <w:pStyle w:val="21"/>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sz w:val="21"/>
                      <w:szCs w:val="21"/>
                    </w:rPr>
                    <w:t>100瓶</w:t>
                  </w:r>
                </w:p>
              </w:tc>
              <w:tc>
                <w:tcPr>
                  <w:tcW w:w="929" w:type="pct"/>
                  <w:noWrap w:val="0"/>
                  <w:vAlign w:val="center"/>
                </w:tcPr>
                <w:p w14:paraId="1A592071">
                  <w:pPr>
                    <w:pStyle w:val="67"/>
                    <w:jc w:val="center"/>
                    <w:rPr>
                      <w:rFonts w:hint="eastAsia" w:ascii="宋体" w:hAnsi="宋体" w:eastAsia="宋体" w:cs="宋体"/>
                      <w:color w:val="auto"/>
                      <w:sz w:val="21"/>
                      <w:szCs w:val="21"/>
                    </w:rPr>
                  </w:pPr>
                  <w:r>
                    <w:rPr>
                      <w:rFonts w:hint="eastAsia" w:ascii="宋体" w:hAnsi="宋体" w:eastAsia="宋体" w:cs="宋体"/>
                      <w:color w:val="auto"/>
                      <w:sz w:val="21"/>
                      <w:szCs w:val="21"/>
                    </w:rPr>
                    <w:t>手术、诊疗</w:t>
                  </w:r>
                </w:p>
              </w:tc>
              <w:tc>
                <w:tcPr>
                  <w:tcW w:w="725" w:type="pct"/>
                  <w:vMerge w:val="continue"/>
                  <w:noWrap w:val="0"/>
                  <w:vAlign w:val="center"/>
                </w:tcPr>
                <w:p w14:paraId="5305054E">
                  <w:pPr>
                    <w:pStyle w:val="67"/>
                    <w:jc w:val="center"/>
                    <w:rPr>
                      <w:rFonts w:hint="eastAsia" w:ascii="宋体" w:hAnsi="宋体" w:eastAsia="宋体" w:cs="宋体"/>
                      <w:sz w:val="21"/>
                      <w:szCs w:val="21"/>
                    </w:rPr>
                  </w:pPr>
                </w:p>
              </w:tc>
            </w:tr>
            <w:tr w14:paraId="001194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1" w:type="pct"/>
                  <w:noWrap w:val="0"/>
                  <w:vAlign w:val="center"/>
                </w:tcPr>
                <w:p w14:paraId="54E86E8B">
                  <w:pPr>
                    <w:pStyle w:val="67"/>
                    <w:jc w:val="center"/>
                    <w:rPr>
                      <w:rFonts w:hint="eastAsia" w:ascii="宋体" w:hAnsi="宋体" w:eastAsia="宋体" w:cs="宋体"/>
                      <w:sz w:val="21"/>
                      <w:szCs w:val="21"/>
                    </w:rPr>
                  </w:pPr>
                  <w:r>
                    <w:rPr>
                      <w:rFonts w:hint="eastAsia" w:ascii="宋体" w:hAnsi="宋体" w:eastAsia="宋体" w:cs="宋体"/>
                      <w:sz w:val="21"/>
                      <w:szCs w:val="21"/>
                    </w:rPr>
                    <w:t>14</w:t>
                  </w:r>
                </w:p>
              </w:tc>
              <w:tc>
                <w:tcPr>
                  <w:tcW w:w="1446" w:type="pct"/>
                  <w:noWrap w:val="0"/>
                  <w:vAlign w:val="center"/>
                </w:tcPr>
                <w:p w14:paraId="6FDB5BD6">
                  <w:pPr>
                    <w:pStyle w:val="67"/>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rPr>
                    <w:t>酒精</w:t>
                  </w:r>
                </w:p>
              </w:tc>
              <w:tc>
                <w:tcPr>
                  <w:tcW w:w="854" w:type="pct"/>
                  <w:noWrap w:val="0"/>
                  <w:vAlign w:val="center"/>
                </w:tcPr>
                <w:p w14:paraId="6D34CA56">
                  <w:pPr>
                    <w:pStyle w:val="67"/>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500mL/瓶</w:t>
                  </w:r>
                </w:p>
              </w:tc>
              <w:tc>
                <w:tcPr>
                  <w:tcW w:w="652" w:type="pct"/>
                  <w:noWrap w:val="0"/>
                  <w:vAlign w:val="center"/>
                </w:tcPr>
                <w:p w14:paraId="58E7FC0E">
                  <w:pPr>
                    <w:pStyle w:val="21"/>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sz w:val="21"/>
                      <w:szCs w:val="21"/>
                    </w:rPr>
                    <w:t>10瓶</w:t>
                  </w:r>
                </w:p>
              </w:tc>
              <w:tc>
                <w:tcPr>
                  <w:tcW w:w="929" w:type="pct"/>
                  <w:noWrap w:val="0"/>
                  <w:vAlign w:val="center"/>
                </w:tcPr>
                <w:p w14:paraId="4B9C7240">
                  <w:pPr>
                    <w:pStyle w:val="67"/>
                    <w:jc w:val="center"/>
                    <w:rPr>
                      <w:rFonts w:hint="eastAsia" w:ascii="宋体" w:hAnsi="宋体" w:eastAsia="宋体" w:cs="宋体"/>
                      <w:color w:val="auto"/>
                      <w:sz w:val="21"/>
                      <w:szCs w:val="21"/>
                    </w:rPr>
                  </w:pPr>
                  <w:r>
                    <w:rPr>
                      <w:rFonts w:hint="eastAsia" w:ascii="宋体" w:hAnsi="宋体" w:eastAsia="宋体" w:cs="宋体"/>
                      <w:color w:val="auto"/>
                      <w:sz w:val="21"/>
                      <w:szCs w:val="21"/>
                    </w:rPr>
                    <w:t>宠物包扎</w:t>
                  </w:r>
                </w:p>
              </w:tc>
              <w:tc>
                <w:tcPr>
                  <w:tcW w:w="725" w:type="pct"/>
                  <w:vMerge w:val="continue"/>
                  <w:noWrap w:val="0"/>
                  <w:vAlign w:val="center"/>
                </w:tcPr>
                <w:p w14:paraId="146CD6E4">
                  <w:pPr>
                    <w:pStyle w:val="67"/>
                    <w:jc w:val="center"/>
                    <w:rPr>
                      <w:rFonts w:hint="eastAsia" w:ascii="宋体" w:hAnsi="宋体" w:eastAsia="宋体" w:cs="宋体"/>
                      <w:sz w:val="21"/>
                      <w:szCs w:val="21"/>
                    </w:rPr>
                  </w:pPr>
                </w:p>
              </w:tc>
            </w:tr>
            <w:tr w14:paraId="0D0E89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1" w:hRule="atLeast"/>
                <w:jc w:val="center"/>
              </w:trPr>
              <w:tc>
                <w:tcPr>
                  <w:tcW w:w="391" w:type="pct"/>
                  <w:noWrap w:val="0"/>
                  <w:vAlign w:val="center"/>
                </w:tcPr>
                <w:p w14:paraId="113A2BF7">
                  <w:pPr>
                    <w:pStyle w:val="67"/>
                    <w:jc w:val="center"/>
                    <w:rPr>
                      <w:rFonts w:hint="eastAsia" w:ascii="宋体" w:hAnsi="宋体" w:eastAsia="宋体" w:cs="宋体"/>
                      <w:sz w:val="21"/>
                      <w:szCs w:val="21"/>
                    </w:rPr>
                  </w:pPr>
                  <w:r>
                    <w:rPr>
                      <w:rFonts w:hint="eastAsia" w:ascii="宋体" w:hAnsi="宋体" w:eastAsia="宋体" w:cs="宋体"/>
                      <w:sz w:val="21"/>
                      <w:szCs w:val="21"/>
                    </w:rPr>
                    <w:t>15</w:t>
                  </w:r>
                </w:p>
              </w:tc>
              <w:tc>
                <w:tcPr>
                  <w:tcW w:w="1446" w:type="pct"/>
                  <w:noWrap w:val="0"/>
                  <w:vAlign w:val="center"/>
                </w:tcPr>
                <w:p w14:paraId="711BEC6C">
                  <w:pPr>
                    <w:pStyle w:val="21"/>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rPr>
                    <w:t>碘伏</w:t>
                  </w:r>
                </w:p>
              </w:tc>
              <w:tc>
                <w:tcPr>
                  <w:tcW w:w="854" w:type="pct"/>
                  <w:noWrap w:val="0"/>
                  <w:vAlign w:val="center"/>
                </w:tcPr>
                <w:p w14:paraId="33A54B48">
                  <w:pPr>
                    <w:pStyle w:val="67"/>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500mL/瓶</w:t>
                  </w:r>
                </w:p>
              </w:tc>
              <w:tc>
                <w:tcPr>
                  <w:tcW w:w="652" w:type="pct"/>
                  <w:noWrap w:val="0"/>
                  <w:vAlign w:val="center"/>
                </w:tcPr>
                <w:p w14:paraId="6267C75E">
                  <w:pPr>
                    <w:pStyle w:val="21"/>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sz w:val="21"/>
                      <w:szCs w:val="21"/>
                    </w:rPr>
                    <w:t>10瓶</w:t>
                  </w:r>
                </w:p>
              </w:tc>
              <w:tc>
                <w:tcPr>
                  <w:tcW w:w="929" w:type="pct"/>
                  <w:noWrap w:val="0"/>
                  <w:vAlign w:val="center"/>
                </w:tcPr>
                <w:p w14:paraId="33697177">
                  <w:pPr>
                    <w:pStyle w:val="67"/>
                    <w:jc w:val="center"/>
                    <w:rPr>
                      <w:rFonts w:hint="eastAsia" w:ascii="宋体" w:hAnsi="宋体" w:eastAsia="宋体" w:cs="宋体"/>
                      <w:color w:val="auto"/>
                      <w:sz w:val="21"/>
                      <w:szCs w:val="21"/>
                    </w:rPr>
                  </w:pPr>
                  <w:r>
                    <w:rPr>
                      <w:rFonts w:hint="eastAsia" w:ascii="宋体" w:hAnsi="宋体" w:eastAsia="宋体" w:cs="宋体"/>
                      <w:color w:val="auto"/>
                      <w:sz w:val="21"/>
                      <w:szCs w:val="21"/>
                    </w:rPr>
                    <w:t>食品</w:t>
                  </w:r>
                </w:p>
              </w:tc>
              <w:tc>
                <w:tcPr>
                  <w:tcW w:w="725" w:type="pct"/>
                  <w:vMerge w:val="continue"/>
                  <w:noWrap w:val="0"/>
                  <w:vAlign w:val="center"/>
                </w:tcPr>
                <w:p w14:paraId="2FB6D19C">
                  <w:pPr>
                    <w:pStyle w:val="67"/>
                    <w:jc w:val="center"/>
                    <w:rPr>
                      <w:rFonts w:hint="eastAsia" w:ascii="宋体" w:hAnsi="宋体" w:eastAsia="宋体" w:cs="宋体"/>
                      <w:sz w:val="21"/>
                      <w:szCs w:val="21"/>
                    </w:rPr>
                  </w:pPr>
                </w:p>
              </w:tc>
            </w:tr>
            <w:tr w14:paraId="312D88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2" w:hRule="atLeast"/>
                <w:jc w:val="center"/>
              </w:trPr>
              <w:tc>
                <w:tcPr>
                  <w:tcW w:w="391" w:type="pct"/>
                  <w:noWrap w:val="0"/>
                  <w:vAlign w:val="center"/>
                </w:tcPr>
                <w:p w14:paraId="51F75795">
                  <w:pPr>
                    <w:pStyle w:val="67"/>
                    <w:jc w:val="center"/>
                    <w:rPr>
                      <w:rFonts w:hint="eastAsia" w:ascii="宋体" w:hAnsi="宋体" w:eastAsia="宋体" w:cs="宋体"/>
                      <w:sz w:val="21"/>
                      <w:szCs w:val="21"/>
                    </w:rPr>
                  </w:pPr>
                  <w:r>
                    <w:rPr>
                      <w:rFonts w:hint="eastAsia" w:ascii="宋体" w:hAnsi="宋体" w:eastAsia="宋体" w:cs="宋体"/>
                      <w:sz w:val="21"/>
                      <w:szCs w:val="21"/>
                    </w:rPr>
                    <w:t>16</w:t>
                  </w:r>
                </w:p>
              </w:tc>
              <w:tc>
                <w:tcPr>
                  <w:tcW w:w="1446" w:type="pct"/>
                  <w:noWrap w:val="0"/>
                  <w:vAlign w:val="center"/>
                </w:tcPr>
                <w:p w14:paraId="7393C119">
                  <w:pPr>
                    <w:pStyle w:val="21"/>
                    <w:keepNext w:val="0"/>
                    <w:keepLines w:val="0"/>
                    <w:widowControl/>
                    <w:suppressLineNumbers w:val="0"/>
                    <w:spacing w:before="0" w:beforeAutospacing="0" w:after="0" w:afterAutospacing="0"/>
                    <w:ind w:left="0" w:right="0" w:firstLine="0"/>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sz w:val="21"/>
                      <w:szCs w:val="21"/>
                    </w:rPr>
                    <w:t>一次性使用无菌注射器</w:t>
                  </w:r>
                </w:p>
              </w:tc>
              <w:tc>
                <w:tcPr>
                  <w:tcW w:w="854" w:type="pct"/>
                  <w:noWrap w:val="0"/>
                  <w:vAlign w:val="center"/>
                </w:tcPr>
                <w:p w14:paraId="7275C62A">
                  <w:pPr>
                    <w:pStyle w:val="67"/>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100支/盒</w:t>
                  </w:r>
                </w:p>
              </w:tc>
              <w:tc>
                <w:tcPr>
                  <w:tcW w:w="652" w:type="pct"/>
                  <w:noWrap w:val="0"/>
                  <w:vAlign w:val="center"/>
                </w:tcPr>
                <w:p w14:paraId="5B525D13">
                  <w:pPr>
                    <w:pStyle w:val="21"/>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sz w:val="21"/>
                      <w:szCs w:val="21"/>
                    </w:rPr>
                    <w:t>500支</w:t>
                  </w:r>
                </w:p>
              </w:tc>
              <w:tc>
                <w:tcPr>
                  <w:tcW w:w="929" w:type="pct"/>
                  <w:noWrap w:val="0"/>
                  <w:vAlign w:val="center"/>
                </w:tcPr>
                <w:p w14:paraId="1766B629">
                  <w:pPr>
                    <w:pStyle w:val="67"/>
                    <w:jc w:val="center"/>
                    <w:rPr>
                      <w:rFonts w:hint="eastAsia" w:ascii="宋体" w:hAnsi="宋体" w:eastAsia="宋体" w:cs="宋体"/>
                      <w:color w:val="auto"/>
                      <w:sz w:val="21"/>
                      <w:szCs w:val="21"/>
                    </w:rPr>
                  </w:pPr>
                  <w:r>
                    <w:rPr>
                      <w:rFonts w:hint="eastAsia" w:ascii="宋体" w:hAnsi="宋体" w:eastAsia="宋体" w:cs="宋体"/>
                      <w:color w:val="auto"/>
                      <w:sz w:val="21"/>
                      <w:szCs w:val="21"/>
                    </w:rPr>
                    <w:t>废水设施消毒</w:t>
                  </w:r>
                </w:p>
              </w:tc>
              <w:tc>
                <w:tcPr>
                  <w:tcW w:w="725" w:type="pct"/>
                  <w:vMerge w:val="continue"/>
                  <w:noWrap w:val="0"/>
                  <w:vAlign w:val="center"/>
                </w:tcPr>
                <w:p w14:paraId="3467FF30">
                  <w:pPr>
                    <w:pStyle w:val="67"/>
                    <w:jc w:val="center"/>
                    <w:rPr>
                      <w:rFonts w:hint="eastAsia" w:ascii="宋体" w:hAnsi="宋体" w:eastAsia="宋体" w:cs="宋体"/>
                      <w:sz w:val="21"/>
                      <w:szCs w:val="21"/>
                    </w:rPr>
                  </w:pPr>
                </w:p>
              </w:tc>
            </w:tr>
            <w:tr w14:paraId="45E195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60" w:hRule="atLeast"/>
                <w:jc w:val="center"/>
              </w:trPr>
              <w:tc>
                <w:tcPr>
                  <w:tcW w:w="391" w:type="pct"/>
                  <w:noWrap w:val="0"/>
                  <w:vAlign w:val="center"/>
                </w:tcPr>
                <w:p w14:paraId="23CE1636">
                  <w:pPr>
                    <w:pStyle w:val="67"/>
                    <w:jc w:val="center"/>
                    <w:rPr>
                      <w:rFonts w:hint="eastAsia" w:ascii="宋体" w:hAnsi="宋体" w:eastAsia="宋体" w:cs="宋体"/>
                      <w:sz w:val="21"/>
                      <w:szCs w:val="21"/>
                    </w:rPr>
                  </w:pPr>
                  <w:r>
                    <w:rPr>
                      <w:rFonts w:hint="eastAsia" w:ascii="宋体" w:hAnsi="宋体" w:eastAsia="宋体" w:cs="宋体"/>
                      <w:sz w:val="21"/>
                      <w:szCs w:val="21"/>
                    </w:rPr>
                    <w:t>17</w:t>
                  </w:r>
                </w:p>
              </w:tc>
              <w:tc>
                <w:tcPr>
                  <w:tcW w:w="1446" w:type="pct"/>
                  <w:noWrap w:val="0"/>
                  <w:vAlign w:val="center"/>
                </w:tcPr>
                <w:p w14:paraId="6A8E86B5">
                  <w:pPr>
                    <w:pStyle w:val="21"/>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sz w:val="21"/>
                      <w:szCs w:val="21"/>
                    </w:rPr>
                    <w:t>医用脱脂棉球</w:t>
                  </w:r>
                </w:p>
              </w:tc>
              <w:tc>
                <w:tcPr>
                  <w:tcW w:w="854" w:type="pct"/>
                  <w:noWrap w:val="0"/>
                  <w:vAlign w:val="center"/>
                </w:tcPr>
                <w:p w14:paraId="6C5B9290">
                  <w:pPr>
                    <w:pStyle w:val="67"/>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500g/包</w:t>
                  </w:r>
                </w:p>
              </w:tc>
              <w:tc>
                <w:tcPr>
                  <w:tcW w:w="652" w:type="pct"/>
                  <w:noWrap w:val="0"/>
                  <w:vAlign w:val="center"/>
                </w:tcPr>
                <w:p w14:paraId="3C1CED63">
                  <w:pPr>
                    <w:pStyle w:val="21"/>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sz w:val="21"/>
                      <w:szCs w:val="21"/>
                    </w:rPr>
                    <w:t>10包</w:t>
                  </w:r>
                </w:p>
              </w:tc>
              <w:tc>
                <w:tcPr>
                  <w:tcW w:w="929" w:type="pct"/>
                  <w:noWrap w:val="0"/>
                  <w:vAlign w:val="center"/>
                </w:tcPr>
                <w:p w14:paraId="46293CF1">
                  <w:pPr>
                    <w:pStyle w:val="67"/>
                    <w:jc w:val="center"/>
                    <w:rPr>
                      <w:rFonts w:hint="eastAsia" w:ascii="宋体" w:hAnsi="宋体" w:eastAsia="宋体" w:cs="宋体"/>
                      <w:color w:val="auto"/>
                      <w:sz w:val="21"/>
                      <w:szCs w:val="21"/>
                    </w:rPr>
                  </w:pPr>
                  <w:r>
                    <w:rPr>
                      <w:rFonts w:hint="eastAsia" w:ascii="宋体" w:hAnsi="宋体" w:eastAsia="宋体" w:cs="宋体"/>
                      <w:color w:val="auto"/>
                      <w:sz w:val="21"/>
                      <w:szCs w:val="21"/>
                    </w:rPr>
                    <w:t>美容清洗</w:t>
                  </w:r>
                </w:p>
              </w:tc>
              <w:tc>
                <w:tcPr>
                  <w:tcW w:w="725" w:type="pct"/>
                  <w:vMerge w:val="continue"/>
                  <w:noWrap w:val="0"/>
                  <w:vAlign w:val="center"/>
                </w:tcPr>
                <w:p w14:paraId="51E8F9B2">
                  <w:pPr>
                    <w:pStyle w:val="67"/>
                    <w:jc w:val="center"/>
                    <w:rPr>
                      <w:rFonts w:hint="eastAsia" w:ascii="宋体" w:hAnsi="宋体" w:eastAsia="宋体" w:cs="宋体"/>
                      <w:sz w:val="21"/>
                      <w:szCs w:val="21"/>
                    </w:rPr>
                  </w:pPr>
                </w:p>
              </w:tc>
            </w:tr>
            <w:tr w14:paraId="7C8FE2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60" w:hRule="atLeast"/>
                <w:jc w:val="center"/>
              </w:trPr>
              <w:tc>
                <w:tcPr>
                  <w:tcW w:w="391" w:type="pct"/>
                  <w:noWrap w:val="0"/>
                  <w:vAlign w:val="center"/>
                </w:tcPr>
                <w:p w14:paraId="3A24F33A">
                  <w:pPr>
                    <w:pStyle w:val="67"/>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18</w:t>
                  </w:r>
                </w:p>
              </w:tc>
              <w:tc>
                <w:tcPr>
                  <w:tcW w:w="1446" w:type="pct"/>
                  <w:noWrap w:val="0"/>
                  <w:vAlign w:val="center"/>
                </w:tcPr>
                <w:p w14:paraId="35AD2992">
                  <w:pPr>
                    <w:pStyle w:val="21"/>
                    <w:keepNext w:val="0"/>
                    <w:keepLines w:val="0"/>
                    <w:widowControl/>
                    <w:suppressLineNumbers w:val="0"/>
                    <w:spacing w:before="0" w:beforeAutospacing="0" w:after="0" w:afterAutospacing="0"/>
                    <w:ind w:left="0" w:right="0" w:firstLine="0"/>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sz w:val="21"/>
                      <w:szCs w:val="21"/>
                    </w:rPr>
                    <w:t>纱布块</w:t>
                  </w:r>
                </w:p>
              </w:tc>
              <w:tc>
                <w:tcPr>
                  <w:tcW w:w="854" w:type="pct"/>
                  <w:noWrap w:val="0"/>
                  <w:vAlign w:val="center"/>
                </w:tcPr>
                <w:p w14:paraId="24B04FCD">
                  <w:pPr>
                    <w:pStyle w:val="21"/>
                    <w:keepNext w:val="0"/>
                    <w:keepLines w:val="0"/>
                    <w:widowControl/>
                    <w:suppressLineNumbers w:val="0"/>
                    <w:spacing w:before="0" w:beforeAutospacing="0" w:after="0" w:afterAutospacing="0"/>
                    <w:ind w:left="0" w:right="0"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400g/包</w:t>
                  </w:r>
                </w:p>
              </w:tc>
              <w:tc>
                <w:tcPr>
                  <w:tcW w:w="652" w:type="pct"/>
                  <w:noWrap w:val="0"/>
                  <w:vAlign w:val="center"/>
                </w:tcPr>
                <w:p w14:paraId="38CD5502">
                  <w:pPr>
                    <w:pStyle w:val="21"/>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sz w:val="21"/>
                      <w:szCs w:val="21"/>
                    </w:rPr>
                    <w:t>10包</w:t>
                  </w:r>
                </w:p>
              </w:tc>
              <w:tc>
                <w:tcPr>
                  <w:tcW w:w="929" w:type="pct"/>
                  <w:noWrap w:val="0"/>
                  <w:vAlign w:val="center"/>
                </w:tcPr>
                <w:p w14:paraId="3A0962C5">
                  <w:pPr>
                    <w:pStyle w:val="67"/>
                    <w:jc w:val="center"/>
                    <w:rPr>
                      <w:rFonts w:hint="eastAsia" w:ascii="宋体" w:hAnsi="宋体" w:eastAsia="宋体" w:cs="宋体"/>
                      <w:color w:val="auto"/>
                      <w:sz w:val="21"/>
                      <w:szCs w:val="21"/>
                    </w:rPr>
                  </w:pPr>
                  <w:r>
                    <w:rPr>
                      <w:rFonts w:hint="eastAsia" w:ascii="宋体" w:hAnsi="宋体" w:eastAsia="宋体" w:cs="宋体"/>
                      <w:color w:val="auto"/>
                      <w:sz w:val="21"/>
                      <w:szCs w:val="21"/>
                    </w:rPr>
                    <w:t>宠物包扎</w:t>
                  </w:r>
                </w:p>
              </w:tc>
              <w:tc>
                <w:tcPr>
                  <w:tcW w:w="725" w:type="pct"/>
                  <w:vMerge w:val="continue"/>
                  <w:noWrap w:val="0"/>
                  <w:vAlign w:val="center"/>
                </w:tcPr>
                <w:p w14:paraId="466A63B9">
                  <w:pPr>
                    <w:pStyle w:val="67"/>
                    <w:jc w:val="center"/>
                    <w:rPr>
                      <w:rFonts w:hint="eastAsia" w:ascii="宋体" w:hAnsi="宋体" w:eastAsia="宋体" w:cs="宋体"/>
                      <w:sz w:val="21"/>
                      <w:szCs w:val="21"/>
                    </w:rPr>
                  </w:pPr>
                </w:p>
              </w:tc>
            </w:tr>
            <w:tr w14:paraId="225BA7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60" w:hRule="atLeast"/>
                <w:jc w:val="center"/>
              </w:trPr>
              <w:tc>
                <w:tcPr>
                  <w:tcW w:w="391" w:type="pct"/>
                  <w:noWrap w:val="0"/>
                  <w:vAlign w:val="center"/>
                </w:tcPr>
                <w:p w14:paraId="2C208DBE">
                  <w:pPr>
                    <w:pStyle w:val="67"/>
                    <w:jc w:val="center"/>
                    <w:rPr>
                      <w:rFonts w:hint="eastAsia" w:ascii="宋体" w:hAnsi="宋体" w:eastAsia="宋体" w:cs="宋体"/>
                      <w:sz w:val="21"/>
                      <w:szCs w:val="21"/>
                    </w:rPr>
                  </w:pPr>
                  <w:r>
                    <w:rPr>
                      <w:rFonts w:hint="eastAsia" w:ascii="宋体" w:hAnsi="宋体" w:eastAsia="宋体" w:cs="宋体"/>
                      <w:sz w:val="21"/>
                      <w:szCs w:val="21"/>
                      <w:lang w:val="en-US" w:eastAsia="zh-CN"/>
                    </w:rPr>
                    <w:t>19</w:t>
                  </w:r>
                </w:p>
              </w:tc>
              <w:tc>
                <w:tcPr>
                  <w:tcW w:w="1446" w:type="pct"/>
                  <w:noWrap w:val="0"/>
                  <w:vAlign w:val="center"/>
                </w:tcPr>
                <w:p w14:paraId="6318B50E">
                  <w:pPr>
                    <w:pStyle w:val="67"/>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sz w:val="21"/>
                      <w:szCs w:val="21"/>
                    </w:rPr>
                    <w:t>猫、狗粮</w:t>
                  </w:r>
                </w:p>
              </w:tc>
              <w:tc>
                <w:tcPr>
                  <w:tcW w:w="854" w:type="pct"/>
                  <w:noWrap w:val="0"/>
                  <w:vAlign w:val="center"/>
                </w:tcPr>
                <w:p w14:paraId="31CB1A2C">
                  <w:pPr>
                    <w:pStyle w:val="21"/>
                    <w:keepNext w:val="0"/>
                    <w:keepLines w:val="0"/>
                    <w:widowControl/>
                    <w:suppressLineNumbers w:val="0"/>
                    <w:spacing w:before="0" w:beforeAutospacing="0" w:after="0" w:afterAutospacing="0"/>
                    <w:ind w:left="0" w:right="0" w:firstLine="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w:t>
                  </w:r>
                </w:p>
              </w:tc>
              <w:tc>
                <w:tcPr>
                  <w:tcW w:w="652" w:type="pct"/>
                  <w:noWrap w:val="0"/>
                  <w:vAlign w:val="center"/>
                </w:tcPr>
                <w:p w14:paraId="4D3FB887">
                  <w:pPr>
                    <w:pStyle w:val="67"/>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sz w:val="21"/>
                      <w:szCs w:val="21"/>
                    </w:rPr>
                    <w:t>100包</w:t>
                  </w:r>
                </w:p>
              </w:tc>
              <w:tc>
                <w:tcPr>
                  <w:tcW w:w="929" w:type="pct"/>
                  <w:noWrap w:val="0"/>
                  <w:vAlign w:val="center"/>
                </w:tcPr>
                <w:p w14:paraId="31C86164">
                  <w:pPr>
                    <w:pStyle w:val="67"/>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外售</w:t>
                  </w:r>
                </w:p>
              </w:tc>
              <w:tc>
                <w:tcPr>
                  <w:tcW w:w="725" w:type="pct"/>
                  <w:vMerge w:val="continue"/>
                  <w:noWrap w:val="0"/>
                  <w:vAlign w:val="center"/>
                </w:tcPr>
                <w:p w14:paraId="110A49CB">
                  <w:pPr>
                    <w:pStyle w:val="67"/>
                    <w:jc w:val="center"/>
                    <w:rPr>
                      <w:rFonts w:hint="eastAsia" w:ascii="宋体" w:hAnsi="宋体" w:eastAsia="宋体" w:cs="宋体"/>
                      <w:sz w:val="21"/>
                      <w:szCs w:val="21"/>
                    </w:rPr>
                  </w:pPr>
                </w:p>
              </w:tc>
            </w:tr>
          </w:tbl>
          <w:p w14:paraId="352C2439">
            <w:pPr>
              <w:pStyle w:val="76"/>
              <w:ind w:firstLine="480"/>
            </w:pPr>
            <w:r>
              <w:t>（</w:t>
            </w:r>
            <w:r>
              <w:rPr>
                <w:rFonts w:hint="eastAsia"/>
                <w:lang w:val="en-US" w:eastAsia="zh-CN"/>
              </w:rPr>
              <w:t>2</w:t>
            </w:r>
            <w:r>
              <w:t>）主要设备</w:t>
            </w:r>
          </w:p>
          <w:p w14:paraId="2CD5F3BB">
            <w:pPr>
              <w:pStyle w:val="76"/>
              <w:ind w:firstLine="480"/>
            </w:pPr>
            <w:r>
              <w:t>项目主要设备清单详见2.2-</w:t>
            </w:r>
            <w:r>
              <w:rPr>
                <w:rFonts w:hint="eastAsia"/>
                <w:lang w:val="en-US" w:eastAsia="zh-CN"/>
              </w:rPr>
              <w:t>3</w:t>
            </w:r>
            <w:r>
              <w:t>。</w:t>
            </w:r>
          </w:p>
          <w:p w14:paraId="75C45E3E">
            <w:pPr>
              <w:pStyle w:val="63"/>
              <w:numPr>
                <w:ilvl w:val="0"/>
                <w:numId w:val="0"/>
              </w:numPr>
              <w:ind w:left="0" w:leftChars="0" w:firstLine="0" w:firstLineChars="0"/>
              <w:rPr>
                <w:rFonts w:hint="eastAsia"/>
              </w:rPr>
            </w:pPr>
            <w:r>
              <w:rPr>
                <w:rFonts w:hint="eastAsia" w:ascii="Times New Roman" w:hAnsi="Times New Roman" w:eastAsia="宋体" w:cs="宋体"/>
                <w:b/>
                <w:kern w:val="2"/>
                <w:sz w:val="24"/>
                <w:szCs w:val="24"/>
                <w:lang w:val="en-US" w:eastAsia="zh-CN" w:bidi="ar-SA"/>
              </w:rPr>
              <w:t>表2.2-3</w:t>
            </w:r>
            <w:r>
              <w:rPr>
                <w:rFonts w:hint="eastAsia"/>
              </w:rPr>
              <w:t>项目主要设备清单</w:t>
            </w:r>
          </w:p>
          <w:tbl>
            <w:tblPr>
              <w:tblStyle w:val="25"/>
              <w:tblW w:w="4998"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1151"/>
              <w:gridCol w:w="2675"/>
              <w:gridCol w:w="1913"/>
              <w:gridCol w:w="1532"/>
              <w:gridCol w:w="1151"/>
            </w:tblGrid>
            <w:tr w14:paraId="2162720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30" w:hRule="atLeast"/>
                <w:jc w:val="center"/>
              </w:trPr>
              <w:tc>
                <w:tcPr>
                  <w:tcW w:w="683" w:type="pct"/>
                  <w:noWrap w:val="0"/>
                  <w:vAlign w:val="center"/>
                </w:tcPr>
                <w:p w14:paraId="407148B4">
                  <w:pPr>
                    <w:pStyle w:val="67"/>
                    <w:rPr>
                      <w:rFonts w:hint="eastAsia"/>
                    </w:rPr>
                  </w:pPr>
                  <w:r>
                    <w:rPr>
                      <w:rFonts w:hint="eastAsia"/>
                    </w:rPr>
                    <w:t>序号</w:t>
                  </w:r>
                </w:p>
              </w:tc>
              <w:tc>
                <w:tcPr>
                  <w:tcW w:w="1587" w:type="pct"/>
                  <w:noWrap w:val="0"/>
                  <w:vAlign w:val="center"/>
                </w:tcPr>
                <w:p w14:paraId="1B6D1F9E">
                  <w:pPr>
                    <w:pStyle w:val="67"/>
                    <w:rPr>
                      <w:rFonts w:hint="eastAsia"/>
                    </w:rPr>
                  </w:pPr>
                  <w:r>
                    <w:rPr>
                      <w:rFonts w:hint="eastAsia"/>
                    </w:rPr>
                    <w:t>设备名称</w:t>
                  </w:r>
                </w:p>
              </w:tc>
              <w:tc>
                <w:tcPr>
                  <w:tcW w:w="1135" w:type="pct"/>
                  <w:noWrap w:val="0"/>
                  <w:vAlign w:val="center"/>
                </w:tcPr>
                <w:p w14:paraId="4C52907D">
                  <w:pPr>
                    <w:pStyle w:val="67"/>
                    <w:rPr>
                      <w:rFonts w:hint="eastAsia"/>
                    </w:rPr>
                  </w:pPr>
                  <w:r>
                    <w:rPr>
                      <w:rFonts w:hint="eastAsia"/>
                    </w:rPr>
                    <w:t>品牌厂家</w:t>
                  </w:r>
                </w:p>
              </w:tc>
              <w:tc>
                <w:tcPr>
                  <w:tcW w:w="909" w:type="pct"/>
                  <w:tcBorders>
                    <w:right w:val="single" w:color="auto" w:sz="4" w:space="0"/>
                  </w:tcBorders>
                  <w:noWrap w:val="0"/>
                  <w:vAlign w:val="center"/>
                </w:tcPr>
                <w:p w14:paraId="78B50FCC">
                  <w:pPr>
                    <w:pStyle w:val="67"/>
                    <w:rPr>
                      <w:rFonts w:hint="eastAsia" w:eastAsia="宋体"/>
                      <w:lang w:eastAsia="zh-CN"/>
                    </w:rPr>
                  </w:pPr>
                  <w:r>
                    <w:rPr>
                      <w:rFonts w:hint="eastAsia"/>
                      <w:lang w:val="en-US" w:eastAsia="zh-CN"/>
                    </w:rPr>
                    <w:t>位置</w:t>
                  </w:r>
                </w:p>
              </w:tc>
              <w:tc>
                <w:tcPr>
                  <w:tcW w:w="683" w:type="pct"/>
                  <w:tcBorders>
                    <w:left w:val="single" w:color="auto" w:sz="4" w:space="0"/>
                  </w:tcBorders>
                  <w:noWrap w:val="0"/>
                  <w:vAlign w:val="center"/>
                </w:tcPr>
                <w:p w14:paraId="5FCAEBEF">
                  <w:pPr>
                    <w:pStyle w:val="67"/>
                    <w:rPr>
                      <w:rFonts w:hint="eastAsia" w:eastAsia="宋体"/>
                      <w:lang w:eastAsia="zh-CN"/>
                    </w:rPr>
                  </w:pPr>
                  <w:r>
                    <w:rPr>
                      <w:rFonts w:hint="eastAsia"/>
                      <w:lang w:val="en-US" w:eastAsia="zh-CN"/>
                    </w:rPr>
                    <w:t>数量</w:t>
                  </w:r>
                </w:p>
              </w:tc>
            </w:tr>
            <w:tr w14:paraId="61CDDD2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683" w:type="pct"/>
                  <w:noWrap w:val="0"/>
                  <w:vAlign w:val="center"/>
                </w:tcPr>
                <w:p w14:paraId="61EB776A">
                  <w:pPr>
                    <w:pStyle w:val="67"/>
                    <w:rPr>
                      <w:rFonts w:hint="eastAsia"/>
                    </w:rPr>
                  </w:pPr>
                  <w:r>
                    <w:rPr>
                      <w:rFonts w:hint="eastAsia"/>
                    </w:rPr>
                    <w:t>1</w:t>
                  </w:r>
                </w:p>
              </w:tc>
              <w:tc>
                <w:tcPr>
                  <w:tcW w:w="1587" w:type="pct"/>
                  <w:noWrap w:val="0"/>
                  <w:vAlign w:val="center"/>
                </w:tcPr>
                <w:p w14:paraId="44280B2E">
                  <w:pPr>
                    <w:pStyle w:val="67"/>
                    <w:rPr>
                      <w:rFonts w:hint="default" w:eastAsia="宋体"/>
                      <w:lang w:val="en-US" w:eastAsia="zh-CN"/>
                    </w:rPr>
                  </w:pPr>
                  <w:r>
                    <w:rPr>
                      <w:rFonts w:hint="eastAsia"/>
                      <w:lang w:val="en-US" w:eastAsia="zh-CN"/>
                    </w:rPr>
                    <w:t>五分类血球仪</w:t>
                  </w:r>
                </w:p>
              </w:tc>
              <w:tc>
                <w:tcPr>
                  <w:tcW w:w="1135" w:type="pct"/>
                  <w:noWrap w:val="0"/>
                  <w:vAlign w:val="center"/>
                </w:tcPr>
                <w:p w14:paraId="2C730BDF">
                  <w:pPr>
                    <w:pStyle w:val="67"/>
                    <w:rPr>
                      <w:rFonts w:hint="default" w:eastAsia="宋体"/>
                      <w:lang w:val="en-US" w:eastAsia="zh-CN"/>
                    </w:rPr>
                  </w:pPr>
                  <w:r>
                    <w:rPr>
                      <w:rFonts w:hint="eastAsia"/>
                      <w:lang w:val="en-US" w:eastAsia="zh-CN"/>
                    </w:rPr>
                    <w:t>硕腾</w:t>
                  </w:r>
                </w:p>
              </w:tc>
              <w:tc>
                <w:tcPr>
                  <w:tcW w:w="909" w:type="pct"/>
                  <w:tcBorders>
                    <w:right w:val="single" w:color="auto" w:sz="4" w:space="0"/>
                  </w:tcBorders>
                  <w:noWrap w:val="0"/>
                  <w:vAlign w:val="center"/>
                </w:tcPr>
                <w:p w14:paraId="3E69A5AC">
                  <w:pPr>
                    <w:pStyle w:val="67"/>
                    <w:rPr>
                      <w:rFonts w:hint="default" w:eastAsia="宋体"/>
                      <w:lang w:val="en-US" w:eastAsia="zh-CN"/>
                    </w:rPr>
                  </w:pPr>
                  <w:r>
                    <w:rPr>
                      <w:rFonts w:hint="eastAsia"/>
                      <w:lang w:val="en-US" w:eastAsia="zh-CN"/>
                    </w:rPr>
                    <w:t>化验室</w:t>
                  </w:r>
                </w:p>
              </w:tc>
              <w:tc>
                <w:tcPr>
                  <w:tcW w:w="683" w:type="pct"/>
                  <w:tcBorders>
                    <w:left w:val="single" w:color="auto" w:sz="4" w:space="0"/>
                  </w:tcBorders>
                  <w:noWrap w:val="0"/>
                  <w:vAlign w:val="center"/>
                </w:tcPr>
                <w:p w14:paraId="2C229235">
                  <w:pPr>
                    <w:pStyle w:val="67"/>
                    <w:rPr>
                      <w:rFonts w:hint="eastAsia" w:eastAsia="宋体"/>
                      <w:lang w:val="en-US" w:eastAsia="zh-CN"/>
                    </w:rPr>
                  </w:pPr>
                  <w:r>
                    <w:rPr>
                      <w:rFonts w:hint="eastAsia"/>
                      <w:lang w:val="en-US" w:eastAsia="zh-CN"/>
                    </w:rPr>
                    <w:t>1</w:t>
                  </w:r>
                </w:p>
              </w:tc>
            </w:tr>
            <w:tr w14:paraId="7F7B00B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683" w:type="pct"/>
                  <w:noWrap w:val="0"/>
                  <w:vAlign w:val="center"/>
                </w:tcPr>
                <w:p w14:paraId="77A2867C">
                  <w:pPr>
                    <w:pStyle w:val="67"/>
                    <w:rPr>
                      <w:rFonts w:hint="eastAsia"/>
                    </w:rPr>
                  </w:pPr>
                  <w:r>
                    <w:rPr>
                      <w:rFonts w:hint="eastAsia"/>
                    </w:rPr>
                    <w:t>2</w:t>
                  </w:r>
                </w:p>
              </w:tc>
              <w:tc>
                <w:tcPr>
                  <w:tcW w:w="1587" w:type="pct"/>
                  <w:noWrap w:val="0"/>
                  <w:vAlign w:val="center"/>
                </w:tcPr>
                <w:p w14:paraId="5E75A61E">
                  <w:pPr>
                    <w:pStyle w:val="67"/>
                    <w:rPr>
                      <w:rFonts w:hint="default" w:eastAsia="宋体"/>
                      <w:lang w:val="en-US" w:eastAsia="zh-CN"/>
                    </w:rPr>
                  </w:pPr>
                  <w:r>
                    <w:rPr>
                      <w:rFonts w:hint="eastAsia"/>
                      <w:lang w:val="en-US" w:eastAsia="zh-CN"/>
                    </w:rPr>
                    <w:t>爱倍思生化仪</w:t>
                  </w:r>
                </w:p>
              </w:tc>
              <w:tc>
                <w:tcPr>
                  <w:tcW w:w="1135" w:type="pct"/>
                  <w:noWrap w:val="0"/>
                  <w:vAlign w:val="center"/>
                </w:tcPr>
                <w:p w14:paraId="67418EE4">
                  <w:pPr>
                    <w:pStyle w:val="67"/>
                    <w:rPr>
                      <w:rFonts w:hint="default" w:eastAsia="宋体"/>
                      <w:lang w:val="en-US" w:eastAsia="zh-CN"/>
                    </w:rPr>
                  </w:pPr>
                  <w:r>
                    <w:rPr>
                      <w:rFonts w:hint="eastAsia"/>
                      <w:lang w:val="en-US" w:eastAsia="zh-CN"/>
                    </w:rPr>
                    <w:t>硕腾</w:t>
                  </w:r>
                </w:p>
              </w:tc>
              <w:tc>
                <w:tcPr>
                  <w:tcW w:w="909" w:type="pct"/>
                  <w:tcBorders>
                    <w:right w:val="single" w:color="auto" w:sz="4" w:space="0"/>
                  </w:tcBorders>
                  <w:noWrap w:val="0"/>
                  <w:vAlign w:val="center"/>
                </w:tcPr>
                <w:p w14:paraId="38043C3A">
                  <w:pPr>
                    <w:pStyle w:val="67"/>
                    <w:rPr>
                      <w:rFonts w:hint="default" w:eastAsia="宋体"/>
                      <w:lang w:val="en-US" w:eastAsia="zh-CN"/>
                    </w:rPr>
                  </w:pPr>
                  <w:r>
                    <w:rPr>
                      <w:rFonts w:hint="eastAsia"/>
                      <w:lang w:val="en-US" w:eastAsia="zh-CN"/>
                    </w:rPr>
                    <w:t>化验室</w:t>
                  </w:r>
                </w:p>
              </w:tc>
              <w:tc>
                <w:tcPr>
                  <w:tcW w:w="683" w:type="pct"/>
                  <w:tcBorders>
                    <w:left w:val="single" w:color="auto" w:sz="4" w:space="0"/>
                  </w:tcBorders>
                  <w:noWrap w:val="0"/>
                  <w:vAlign w:val="center"/>
                </w:tcPr>
                <w:p w14:paraId="0ED4D8DA">
                  <w:pPr>
                    <w:pStyle w:val="67"/>
                    <w:rPr>
                      <w:rFonts w:hint="eastAsia" w:eastAsia="宋体"/>
                      <w:lang w:val="en-US" w:eastAsia="zh-CN"/>
                    </w:rPr>
                  </w:pPr>
                  <w:r>
                    <w:rPr>
                      <w:rFonts w:hint="eastAsia"/>
                      <w:lang w:val="en-US" w:eastAsia="zh-CN"/>
                    </w:rPr>
                    <w:t>1</w:t>
                  </w:r>
                </w:p>
              </w:tc>
            </w:tr>
            <w:tr w14:paraId="557C23E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683" w:type="pct"/>
                  <w:noWrap w:val="0"/>
                  <w:vAlign w:val="center"/>
                </w:tcPr>
                <w:p w14:paraId="7FC3CAD3">
                  <w:pPr>
                    <w:pStyle w:val="67"/>
                    <w:rPr>
                      <w:rFonts w:hint="eastAsia"/>
                    </w:rPr>
                  </w:pPr>
                  <w:r>
                    <w:rPr>
                      <w:rFonts w:hint="eastAsia"/>
                    </w:rPr>
                    <w:t>3</w:t>
                  </w:r>
                </w:p>
              </w:tc>
              <w:tc>
                <w:tcPr>
                  <w:tcW w:w="1587" w:type="pct"/>
                  <w:noWrap w:val="0"/>
                  <w:vAlign w:val="center"/>
                </w:tcPr>
                <w:p w14:paraId="4704D682">
                  <w:pPr>
                    <w:pStyle w:val="67"/>
                    <w:rPr>
                      <w:rFonts w:hint="default" w:eastAsia="宋体"/>
                      <w:lang w:val="en-US" w:eastAsia="zh-CN"/>
                    </w:rPr>
                  </w:pPr>
                  <w:r>
                    <w:rPr>
                      <w:rFonts w:hint="eastAsia"/>
                      <w:lang w:val="en-US" w:eastAsia="zh-CN"/>
                    </w:rPr>
                    <w:t>彩超</w:t>
                  </w:r>
                </w:p>
              </w:tc>
              <w:tc>
                <w:tcPr>
                  <w:tcW w:w="1135" w:type="pct"/>
                  <w:noWrap w:val="0"/>
                  <w:vAlign w:val="center"/>
                </w:tcPr>
                <w:p w14:paraId="1AFD266A">
                  <w:pPr>
                    <w:pStyle w:val="67"/>
                    <w:rPr>
                      <w:rFonts w:hint="default" w:eastAsia="宋体"/>
                      <w:lang w:val="en-US" w:eastAsia="zh-CN"/>
                    </w:rPr>
                  </w:pPr>
                  <w:r>
                    <w:rPr>
                      <w:rFonts w:hint="eastAsia"/>
                      <w:lang w:val="en-US" w:eastAsia="zh-CN"/>
                    </w:rPr>
                    <w:t>飞依诺</w:t>
                  </w:r>
                </w:p>
              </w:tc>
              <w:tc>
                <w:tcPr>
                  <w:tcW w:w="909" w:type="pct"/>
                  <w:tcBorders>
                    <w:right w:val="single" w:color="auto" w:sz="4" w:space="0"/>
                  </w:tcBorders>
                  <w:noWrap w:val="0"/>
                  <w:vAlign w:val="center"/>
                </w:tcPr>
                <w:p w14:paraId="1E8DA12C">
                  <w:pPr>
                    <w:pStyle w:val="67"/>
                    <w:rPr>
                      <w:rFonts w:hint="default" w:eastAsia="宋体"/>
                      <w:lang w:val="en-US" w:eastAsia="zh-CN"/>
                    </w:rPr>
                  </w:pPr>
                  <w:r>
                    <w:rPr>
                      <w:rFonts w:hint="eastAsia"/>
                      <w:lang w:val="en-US" w:eastAsia="zh-CN"/>
                    </w:rPr>
                    <w:t>诊室</w:t>
                  </w:r>
                </w:p>
              </w:tc>
              <w:tc>
                <w:tcPr>
                  <w:tcW w:w="683" w:type="pct"/>
                  <w:tcBorders>
                    <w:left w:val="single" w:color="auto" w:sz="4" w:space="0"/>
                  </w:tcBorders>
                  <w:noWrap w:val="0"/>
                  <w:vAlign w:val="center"/>
                </w:tcPr>
                <w:p w14:paraId="61C42765">
                  <w:pPr>
                    <w:pStyle w:val="67"/>
                    <w:rPr>
                      <w:rFonts w:hint="eastAsia" w:eastAsia="宋体"/>
                      <w:lang w:val="en-US" w:eastAsia="zh-CN"/>
                    </w:rPr>
                  </w:pPr>
                  <w:r>
                    <w:rPr>
                      <w:rFonts w:hint="eastAsia"/>
                      <w:lang w:val="en-US" w:eastAsia="zh-CN"/>
                    </w:rPr>
                    <w:t>1</w:t>
                  </w:r>
                </w:p>
              </w:tc>
            </w:tr>
            <w:tr w14:paraId="0B9DA72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683" w:type="pct"/>
                  <w:noWrap w:val="0"/>
                  <w:vAlign w:val="center"/>
                </w:tcPr>
                <w:p w14:paraId="063FB288">
                  <w:pPr>
                    <w:pStyle w:val="67"/>
                    <w:rPr>
                      <w:rFonts w:hint="eastAsia"/>
                    </w:rPr>
                  </w:pPr>
                  <w:r>
                    <w:rPr>
                      <w:rFonts w:hint="eastAsia"/>
                    </w:rPr>
                    <w:t>4</w:t>
                  </w:r>
                </w:p>
              </w:tc>
              <w:tc>
                <w:tcPr>
                  <w:tcW w:w="1587" w:type="pct"/>
                  <w:noWrap w:val="0"/>
                  <w:vAlign w:val="center"/>
                </w:tcPr>
                <w:p w14:paraId="253562D5">
                  <w:pPr>
                    <w:pStyle w:val="67"/>
                    <w:rPr>
                      <w:rFonts w:hint="eastAsia" w:eastAsia="宋体"/>
                      <w:lang w:val="en-US" w:eastAsia="zh-CN"/>
                    </w:rPr>
                  </w:pPr>
                  <w:r>
                    <w:rPr>
                      <w:rFonts w:hint="eastAsia"/>
                      <w:lang w:val="en-US" w:eastAsia="zh-CN"/>
                    </w:rPr>
                    <w:t>DR</w:t>
                  </w:r>
                </w:p>
              </w:tc>
              <w:tc>
                <w:tcPr>
                  <w:tcW w:w="1135" w:type="pct"/>
                  <w:noWrap w:val="0"/>
                  <w:vAlign w:val="center"/>
                </w:tcPr>
                <w:p w14:paraId="2C7AAFDC">
                  <w:pPr>
                    <w:pStyle w:val="67"/>
                    <w:rPr>
                      <w:rFonts w:hint="default" w:eastAsia="宋体"/>
                      <w:lang w:val="en-US" w:eastAsia="zh-CN"/>
                    </w:rPr>
                  </w:pPr>
                  <w:r>
                    <w:rPr>
                      <w:rFonts w:hint="eastAsia"/>
                      <w:lang w:val="en-US" w:eastAsia="zh-CN"/>
                    </w:rPr>
                    <w:t>赫杨</w:t>
                  </w:r>
                </w:p>
              </w:tc>
              <w:tc>
                <w:tcPr>
                  <w:tcW w:w="909" w:type="pct"/>
                  <w:tcBorders>
                    <w:right w:val="single" w:color="auto" w:sz="4" w:space="0"/>
                  </w:tcBorders>
                  <w:noWrap w:val="0"/>
                  <w:vAlign w:val="center"/>
                </w:tcPr>
                <w:p w14:paraId="412CF5E9">
                  <w:pPr>
                    <w:pStyle w:val="67"/>
                    <w:rPr>
                      <w:rFonts w:hint="eastAsia" w:eastAsia="宋体"/>
                      <w:lang w:val="en-US" w:eastAsia="zh-CN"/>
                    </w:rPr>
                  </w:pPr>
                  <w:r>
                    <w:rPr>
                      <w:rFonts w:hint="eastAsia"/>
                      <w:lang w:val="en-US" w:eastAsia="zh-CN"/>
                    </w:rPr>
                    <w:t>影像室</w:t>
                  </w:r>
                </w:p>
              </w:tc>
              <w:tc>
                <w:tcPr>
                  <w:tcW w:w="683" w:type="pct"/>
                  <w:tcBorders>
                    <w:left w:val="single" w:color="auto" w:sz="4" w:space="0"/>
                  </w:tcBorders>
                  <w:noWrap w:val="0"/>
                  <w:vAlign w:val="center"/>
                </w:tcPr>
                <w:p w14:paraId="571D8961">
                  <w:pPr>
                    <w:pStyle w:val="67"/>
                    <w:rPr>
                      <w:rFonts w:hint="eastAsia" w:eastAsia="宋体"/>
                      <w:lang w:val="en-US" w:eastAsia="zh-CN"/>
                    </w:rPr>
                  </w:pPr>
                  <w:r>
                    <w:rPr>
                      <w:rFonts w:hint="eastAsia"/>
                      <w:lang w:val="en-US" w:eastAsia="zh-CN"/>
                    </w:rPr>
                    <w:t>1</w:t>
                  </w:r>
                </w:p>
              </w:tc>
            </w:tr>
            <w:tr w14:paraId="13D62BB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683" w:type="pct"/>
                  <w:noWrap w:val="0"/>
                  <w:vAlign w:val="center"/>
                </w:tcPr>
                <w:p w14:paraId="2D3184FF">
                  <w:pPr>
                    <w:pStyle w:val="67"/>
                    <w:rPr>
                      <w:rFonts w:hint="eastAsia"/>
                    </w:rPr>
                  </w:pPr>
                  <w:r>
                    <w:rPr>
                      <w:rFonts w:hint="eastAsia"/>
                    </w:rPr>
                    <w:t>5</w:t>
                  </w:r>
                </w:p>
              </w:tc>
              <w:tc>
                <w:tcPr>
                  <w:tcW w:w="1587" w:type="pct"/>
                  <w:noWrap w:val="0"/>
                  <w:vAlign w:val="center"/>
                </w:tcPr>
                <w:p w14:paraId="604DD19F">
                  <w:pPr>
                    <w:pStyle w:val="67"/>
                    <w:rPr>
                      <w:rFonts w:hint="default" w:eastAsia="宋体"/>
                      <w:lang w:val="en-US" w:eastAsia="zh-CN"/>
                    </w:rPr>
                  </w:pPr>
                  <w:r>
                    <w:rPr>
                      <w:rFonts w:hint="eastAsia"/>
                      <w:lang w:val="en-US" w:eastAsia="zh-CN"/>
                    </w:rPr>
                    <w:t>超声刀</w:t>
                  </w:r>
                </w:p>
              </w:tc>
              <w:tc>
                <w:tcPr>
                  <w:tcW w:w="1135" w:type="pct"/>
                  <w:noWrap w:val="0"/>
                  <w:vAlign w:val="center"/>
                </w:tcPr>
                <w:p w14:paraId="66E63AF3">
                  <w:pPr>
                    <w:pStyle w:val="67"/>
                    <w:rPr>
                      <w:rFonts w:hint="eastAsia" w:eastAsia="宋体"/>
                      <w:lang w:val="en-US" w:eastAsia="zh-CN"/>
                    </w:rPr>
                  </w:pPr>
                  <w:r>
                    <w:rPr>
                      <w:rFonts w:hint="eastAsia"/>
                      <w:lang w:val="en-US" w:eastAsia="zh-CN"/>
                    </w:rPr>
                    <w:t>SECURE</w:t>
                  </w:r>
                </w:p>
              </w:tc>
              <w:tc>
                <w:tcPr>
                  <w:tcW w:w="909" w:type="pct"/>
                  <w:tcBorders>
                    <w:right w:val="single" w:color="auto" w:sz="4" w:space="0"/>
                  </w:tcBorders>
                  <w:noWrap w:val="0"/>
                  <w:vAlign w:val="center"/>
                </w:tcPr>
                <w:p w14:paraId="4CB13BAD">
                  <w:pPr>
                    <w:pStyle w:val="67"/>
                    <w:rPr>
                      <w:rFonts w:hint="default" w:eastAsia="宋体"/>
                      <w:lang w:val="en-US" w:eastAsia="zh-CN"/>
                    </w:rPr>
                  </w:pPr>
                  <w:r>
                    <w:rPr>
                      <w:rFonts w:hint="eastAsia"/>
                      <w:lang w:val="en-US" w:eastAsia="zh-CN"/>
                    </w:rPr>
                    <w:t>手术室</w:t>
                  </w:r>
                </w:p>
              </w:tc>
              <w:tc>
                <w:tcPr>
                  <w:tcW w:w="683" w:type="pct"/>
                  <w:tcBorders>
                    <w:left w:val="single" w:color="auto" w:sz="4" w:space="0"/>
                  </w:tcBorders>
                  <w:noWrap w:val="0"/>
                  <w:vAlign w:val="center"/>
                </w:tcPr>
                <w:p w14:paraId="0E7A27FC">
                  <w:pPr>
                    <w:pStyle w:val="67"/>
                    <w:rPr>
                      <w:rFonts w:hint="eastAsia" w:eastAsia="宋体"/>
                      <w:lang w:val="en-US" w:eastAsia="zh-CN"/>
                    </w:rPr>
                  </w:pPr>
                  <w:r>
                    <w:rPr>
                      <w:rFonts w:hint="eastAsia"/>
                      <w:lang w:val="en-US" w:eastAsia="zh-CN"/>
                    </w:rPr>
                    <w:t>1</w:t>
                  </w:r>
                </w:p>
              </w:tc>
            </w:tr>
            <w:tr w14:paraId="5EFC012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683" w:type="pct"/>
                  <w:noWrap w:val="0"/>
                  <w:vAlign w:val="center"/>
                </w:tcPr>
                <w:p w14:paraId="36FF57BF">
                  <w:pPr>
                    <w:pStyle w:val="67"/>
                    <w:rPr>
                      <w:rFonts w:hint="eastAsia"/>
                    </w:rPr>
                  </w:pPr>
                  <w:r>
                    <w:rPr>
                      <w:rFonts w:hint="eastAsia"/>
                    </w:rPr>
                    <w:t>6</w:t>
                  </w:r>
                </w:p>
              </w:tc>
              <w:tc>
                <w:tcPr>
                  <w:tcW w:w="1587" w:type="pct"/>
                  <w:noWrap w:val="0"/>
                  <w:vAlign w:val="center"/>
                </w:tcPr>
                <w:p w14:paraId="762FF20D">
                  <w:pPr>
                    <w:pStyle w:val="67"/>
                    <w:rPr>
                      <w:rFonts w:hint="default" w:eastAsia="宋体"/>
                      <w:lang w:val="en-US" w:eastAsia="zh-CN"/>
                    </w:rPr>
                  </w:pPr>
                  <w:r>
                    <w:rPr>
                      <w:rFonts w:hint="eastAsia"/>
                      <w:lang w:val="en-US" w:eastAsia="zh-CN"/>
                    </w:rPr>
                    <w:t>显微镜</w:t>
                  </w:r>
                </w:p>
              </w:tc>
              <w:tc>
                <w:tcPr>
                  <w:tcW w:w="1135" w:type="pct"/>
                  <w:noWrap w:val="0"/>
                  <w:vAlign w:val="center"/>
                </w:tcPr>
                <w:p w14:paraId="531FD8FE">
                  <w:pPr>
                    <w:pStyle w:val="67"/>
                    <w:rPr>
                      <w:rFonts w:hint="default" w:eastAsia="宋体"/>
                      <w:lang w:val="en-US" w:eastAsia="zh-CN"/>
                    </w:rPr>
                  </w:pPr>
                  <w:r>
                    <w:rPr>
                      <w:rFonts w:hint="eastAsia"/>
                      <w:lang w:val="en-US" w:eastAsia="zh-CN"/>
                    </w:rPr>
                    <w:t>硕腾</w:t>
                  </w:r>
                </w:p>
              </w:tc>
              <w:tc>
                <w:tcPr>
                  <w:tcW w:w="909" w:type="pct"/>
                  <w:tcBorders>
                    <w:right w:val="single" w:color="auto" w:sz="4" w:space="0"/>
                  </w:tcBorders>
                  <w:noWrap w:val="0"/>
                  <w:vAlign w:val="center"/>
                </w:tcPr>
                <w:p w14:paraId="3702836C">
                  <w:pPr>
                    <w:pStyle w:val="67"/>
                    <w:rPr>
                      <w:rFonts w:hint="default" w:eastAsia="宋体"/>
                      <w:lang w:val="en-US" w:eastAsia="zh-CN"/>
                    </w:rPr>
                  </w:pPr>
                  <w:r>
                    <w:rPr>
                      <w:rFonts w:hint="eastAsia"/>
                      <w:lang w:val="en-US" w:eastAsia="zh-CN"/>
                    </w:rPr>
                    <w:t>化验室</w:t>
                  </w:r>
                </w:p>
              </w:tc>
              <w:tc>
                <w:tcPr>
                  <w:tcW w:w="683" w:type="pct"/>
                  <w:tcBorders>
                    <w:left w:val="single" w:color="auto" w:sz="4" w:space="0"/>
                  </w:tcBorders>
                  <w:noWrap w:val="0"/>
                  <w:vAlign w:val="center"/>
                </w:tcPr>
                <w:p w14:paraId="62697A42">
                  <w:pPr>
                    <w:pStyle w:val="67"/>
                    <w:rPr>
                      <w:rFonts w:hint="eastAsia" w:eastAsia="宋体"/>
                      <w:lang w:val="en-US" w:eastAsia="zh-CN"/>
                    </w:rPr>
                  </w:pPr>
                  <w:r>
                    <w:rPr>
                      <w:rFonts w:hint="eastAsia"/>
                      <w:lang w:val="en-US" w:eastAsia="zh-CN"/>
                    </w:rPr>
                    <w:t>1</w:t>
                  </w:r>
                </w:p>
              </w:tc>
            </w:tr>
            <w:tr w14:paraId="6F5F1A9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683" w:type="pct"/>
                  <w:noWrap w:val="0"/>
                  <w:vAlign w:val="center"/>
                </w:tcPr>
                <w:p w14:paraId="0CBD69B1">
                  <w:pPr>
                    <w:pStyle w:val="67"/>
                    <w:rPr>
                      <w:rFonts w:hint="eastAsia"/>
                    </w:rPr>
                  </w:pPr>
                  <w:r>
                    <w:rPr>
                      <w:rFonts w:hint="eastAsia"/>
                    </w:rPr>
                    <w:t>7</w:t>
                  </w:r>
                </w:p>
              </w:tc>
              <w:tc>
                <w:tcPr>
                  <w:tcW w:w="1587" w:type="pct"/>
                  <w:noWrap w:val="0"/>
                  <w:vAlign w:val="center"/>
                </w:tcPr>
                <w:p w14:paraId="3A12977E">
                  <w:pPr>
                    <w:pStyle w:val="67"/>
                    <w:rPr>
                      <w:rFonts w:hint="default" w:eastAsia="宋体"/>
                      <w:lang w:val="en-US" w:eastAsia="zh-CN"/>
                    </w:rPr>
                  </w:pPr>
                  <w:r>
                    <w:rPr>
                      <w:rFonts w:hint="eastAsia"/>
                      <w:lang w:val="en-US" w:eastAsia="zh-CN"/>
                    </w:rPr>
                    <w:t>基因检测仪</w:t>
                  </w:r>
                </w:p>
              </w:tc>
              <w:tc>
                <w:tcPr>
                  <w:tcW w:w="1135" w:type="pct"/>
                  <w:noWrap w:val="0"/>
                  <w:vAlign w:val="center"/>
                </w:tcPr>
                <w:p w14:paraId="0A69BD94">
                  <w:pPr>
                    <w:pStyle w:val="67"/>
                    <w:rPr>
                      <w:rFonts w:hint="default" w:eastAsia="宋体"/>
                      <w:lang w:val="en-US" w:eastAsia="zh-CN"/>
                    </w:rPr>
                  </w:pPr>
                  <w:r>
                    <w:rPr>
                      <w:rFonts w:hint="eastAsia"/>
                      <w:lang w:val="en-US" w:eastAsia="zh-CN"/>
                    </w:rPr>
                    <w:t>英科新创</w:t>
                  </w:r>
                </w:p>
              </w:tc>
              <w:tc>
                <w:tcPr>
                  <w:tcW w:w="909" w:type="pct"/>
                  <w:tcBorders>
                    <w:right w:val="single" w:color="auto" w:sz="4" w:space="0"/>
                  </w:tcBorders>
                  <w:noWrap w:val="0"/>
                  <w:vAlign w:val="center"/>
                </w:tcPr>
                <w:p w14:paraId="421F6802">
                  <w:pPr>
                    <w:pStyle w:val="67"/>
                    <w:rPr>
                      <w:rFonts w:hint="default" w:eastAsia="宋体"/>
                      <w:lang w:val="en-US" w:eastAsia="zh-CN"/>
                    </w:rPr>
                  </w:pPr>
                  <w:r>
                    <w:rPr>
                      <w:rFonts w:hint="eastAsia"/>
                      <w:lang w:val="en-US" w:eastAsia="zh-CN"/>
                    </w:rPr>
                    <w:t>化验室</w:t>
                  </w:r>
                </w:p>
              </w:tc>
              <w:tc>
                <w:tcPr>
                  <w:tcW w:w="683" w:type="pct"/>
                  <w:tcBorders>
                    <w:left w:val="single" w:color="auto" w:sz="4" w:space="0"/>
                  </w:tcBorders>
                  <w:noWrap w:val="0"/>
                  <w:vAlign w:val="center"/>
                </w:tcPr>
                <w:p w14:paraId="526D33F4">
                  <w:pPr>
                    <w:pStyle w:val="67"/>
                    <w:rPr>
                      <w:rFonts w:hint="eastAsia" w:eastAsia="宋体"/>
                      <w:lang w:val="en-US" w:eastAsia="zh-CN"/>
                    </w:rPr>
                  </w:pPr>
                  <w:r>
                    <w:rPr>
                      <w:rFonts w:hint="eastAsia"/>
                      <w:lang w:val="en-US" w:eastAsia="zh-CN"/>
                    </w:rPr>
                    <w:t>1</w:t>
                  </w:r>
                </w:p>
              </w:tc>
            </w:tr>
            <w:tr w14:paraId="2F6FD56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7" w:hRule="atLeast"/>
                <w:jc w:val="center"/>
              </w:trPr>
              <w:tc>
                <w:tcPr>
                  <w:tcW w:w="683" w:type="pct"/>
                  <w:noWrap w:val="0"/>
                  <w:vAlign w:val="center"/>
                </w:tcPr>
                <w:p w14:paraId="0027E5F7">
                  <w:pPr>
                    <w:pStyle w:val="67"/>
                    <w:rPr>
                      <w:rFonts w:hint="eastAsia"/>
                    </w:rPr>
                  </w:pPr>
                  <w:r>
                    <w:rPr>
                      <w:rFonts w:hint="eastAsia"/>
                    </w:rPr>
                    <w:t>8</w:t>
                  </w:r>
                </w:p>
              </w:tc>
              <w:tc>
                <w:tcPr>
                  <w:tcW w:w="1587" w:type="pct"/>
                  <w:noWrap w:val="0"/>
                  <w:vAlign w:val="center"/>
                </w:tcPr>
                <w:p w14:paraId="1A5997B3">
                  <w:pPr>
                    <w:pStyle w:val="67"/>
                    <w:rPr>
                      <w:rFonts w:hint="default" w:eastAsia="宋体"/>
                      <w:lang w:val="en-US" w:eastAsia="zh-CN"/>
                    </w:rPr>
                  </w:pPr>
                  <w:r>
                    <w:rPr>
                      <w:rFonts w:hint="eastAsia"/>
                      <w:lang w:val="en-US" w:eastAsia="zh-CN"/>
                    </w:rPr>
                    <w:t>吸入式麻醉机</w:t>
                  </w:r>
                </w:p>
              </w:tc>
              <w:tc>
                <w:tcPr>
                  <w:tcW w:w="1135" w:type="pct"/>
                  <w:noWrap w:val="0"/>
                  <w:vAlign w:val="center"/>
                </w:tcPr>
                <w:p w14:paraId="087CD632">
                  <w:pPr>
                    <w:pStyle w:val="67"/>
                    <w:rPr>
                      <w:rFonts w:hint="default" w:eastAsia="宋体"/>
                      <w:lang w:val="en-US" w:eastAsia="zh-CN"/>
                    </w:rPr>
                  </w:pPr>
                  <w:r>
                    <w:rPr>
                      <w:rFonts w:hint="eastAsia"/>
                      <w:lang w:val="en-US" w:eastAsia="zh-CN"/>
                    </w:rPr>
                    <w:t>瑞沃德</w:t>
                  </w:r>
                </w:p>
              </w:tc>
              <w:tc>
                <w:tcPr>
                  <w:tcW w:w="909" w:type="pct"/>
                  <w:tcBorders>
                    <w:right w:val="single" w:color="auto" w:sz="4" w:space="0"/>
                  </w:tcBorders>
                  <w:noWrap w:val="0"/>
                  <w:vAlign w:val="center"/>
                </w:tcPr>
                <w:p w14:paraId="16291448">
                  <w:pPr>
                    <w:pStyle w:val="67"/>
                    <w:rPr>
                      <w:rFonts w:hint="default" w:eastAsia="宋体"/>
                      <w:lang w:val="en-US" w:eastAsia="zh-CN"/>
                    </w:rPr>
                  </w:pPr>
                  <w:r>
                    <w:rPr>
                      <w:rFonts w:hint="eastAsia"/>
                      <w:lang w:val="en-US" w:eastAsia="zh-CN"/>
                    </w:rPr>
                    <w:t>手术室</w:t>
                  </w:r>
                </w:p>
              </w:tc>
              <w:tc>
                <w:tcPr>
                  <w:tcW w:w="683" w:type="pct"/>
                  <w:tcBorders>
                    <w:left w:val="single" w:color="auto" w:sz="4" w:space="0"/>
                  </w:tcBorders>
                  <w:noWrap w:val="0"/>
                  <w:vAlign w:val="center"/>
                </w:tcPr>
                <w:p w14:paraId="34F38B90">
                  <w:pPr>
                    <w:pStyle w:val="67"/>
                    <w:rPr>
                      <w:rFonts w:hint="eastAsia" w:eastAsia="宋体"/>
                      <w:lang w:val="en-US" w:eastAsia="zh-CN"/>
                    </w:rPr>
                  </w:pPr>
                  <w:r>
                    <w:rPr>
                      <w:rFonts w:hint="eastAsia"/>
                      <w:lang w:val="en-US" w:eastAsia="zh-CN"/>
                    </w:rPr>
                    <w:t>1</w:t>
                  </w:r>
                </w:p>
              </w:tc>
            </w:tr>
            <w:tr w14:paraId="490D0CE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683" w:type="pct"/>
                  <w:noWrap w:val="0"/>
                  <w:vAlign w:val="center"/>
                </w:tcPr>
                <w:p w14:paraId="67831DCB">
                  <w:pPr>
                    <w:pStyle w:val="67"/>
                    <w:rPr>
                      <w:rFonts w:hint="eastAsia"/>
                    </w:rPr>
                  </w:pPr>
                  <w:r>
                    <w:rPr>
                      <w:rFonts w:hint="eastAsia"/>
                    </w:rPr>
                    <w:t>9</w:t>
                  </w:r>
                </w:p>
              </w:tc>
              <w:tc>
                <w:tcPr>
                  <w:tcW w:w="1587" w:type="pct"/>
                  <w:noWrap w:val="0"/>
                  <w:vAlign w:val="center"/>
                </w:tcPr>
                <w:p w14:paraId="113BB736">
                  <w:pPr>
                    <w:pStyle w:val="67"/>
                    <w:rPr>
                      <w:rFonts w:hint="default" w:eastAsia="宋体"/>
                      <w:lang w:val="en-US" w:eastAsia="zh-CN"/>
                    </w:rPr>
                  </w:pPr>
                  <w:r>
                    <w:rPr>
                      <w:rFonts w:hint="eastAsia"/>
                      <w:lang w:val="en-US" w:eastAsia="zh-CN"/>
                    </w:rPr>
                    <w:t>心电监护仪</w:t>
                  </w:r>
                </w:p>
              </w:tc>
              <w:tc>
                <w:tcPr>
                  <w:tcW w:w="1135" w:type="pct"/>
                  <w:noWrap w:val="0"/>
                  <w:vAlign w:val="center"/>
                </w:tcPr>
                <w:p w14:paraId="46115C26">
                  <w:pPr>
                    <w:pStyle w:val="67"/>
                    <w:rPr>
                      <w:rFonts w:hint="default" w:eastAsia="宋体"/>
                      <w:lang w:val="en-US" w:eastAsia="zh-CN"/>
                    </w:rPr>
                  </w:pPr>
                  <w:r>
                    <w:rPr>
                      <w:rFonts w:hint="eastAsia"/>
                      <w:lang w:val="en-US" w:eastAsia="zh-CN"/>
                    </w:rPr>
                    <w:t>瑞沃德</w:t>
                  </w:r>
                </w:p>
              </w:tc>
              <w:tc>
                <w:tcPr>
                  <w:tcW w:w="909" w:type="pct"/>
                  <w:tcBorders>
                    <w:right w:val="single" w:color="auto" w:sz="4" w:space="0"/>
                  </w:tcBorders>
                  <w:noWrap w:val="0"/>
                  <w:vAlign w:val="center"/>
                </w:tcPr>
                <w:p w14:paraId="3D7A252F">
                  <w:pPr>
                    <w:pStyle w:val="67"/>
                    <w:rPr>
                      <w:rFonts w:hint="default" w:eastAsia="宋体"/>
                      <w:lang w:val="en-US" w:eastAsia="zh-CN"/>
                    </w:rPr>
                  </w:pPr>
                  <w:r>
                    <w:rPr>
                      <w:rFonts w:hint="eastAsia"/>
                      <w:lang w:val="en-US" w:eastAsia="zh-CN"/>
                    </w:rPr>
                    <w:t>手术室</w:t>
                  </w:r>
                </w:p>
              </w:tc>
              <w:tc>
                <w:tcPr>
                  <w:tcW w:w="683" w:type="pct"/>
                  <w:tcBorders>
                    <w:left w:val="single" w:color="auto" w:sz="4" w:space="0"/>
                  </w:tcBorders>
                  <w:noWrap w:val="0"/>
                  <w:vAlign w:val="center"/>
                </w:tcPr>
                <w:p w14:paraId="692620C7">
                  <w:pPr>
                    <w:pStyle w:val="67"/>
                    <w:rPr>
                      <w:rFonts w:hint="eastAsia" w:eastAsia="宋体"/>
                      <w:lang w:val="en-US" w:eastAsia="zh-CN"/>
                    </w:rPr>
                  </w:pPr>
                  <w:r>
                    <w:rPr>
                      <w:rFonts w:hint="eastAsia"/>
                      <w:lang w:val="en-US" w:eastAsia="zh-CN"/>
                    </w:rPr>
                    <w:t>1</w:t>
                  </w:r>
                </w:p>
              </w:tc>
            </w:tr>
            <w:tr w14:paraId="343D79E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683" w:type="pct"/>
                  <w:noWrap w:val="0"/>
                  <w:vAlign w:val="center"/>
                </w:tcPr>
                <w:p w14:paraId="08742C7C">
                  <w:pPr>
                    <w:pStyle w:val="67"/>
                    <w:rPr>
                      <w:rFonts w:hint="eastAsia"/>
                    </w:rPr>
                  </w:pPr>
                  <w:r>
                    <w:rPr>
                      <w:rFonts w:hint="eastAsia"/>
                    </w:rPr>
                    <w:t>10</w:t>
                  </w:r>
                </w:p>
              </w:tc>
              <w:tc>
                <w:tcPr>
                  <w:tcW w:w="1587" w:type="pct"/>
                  <w:noWrap w:val="0"/>
                  <w:vAlign w:val="center"/>
                </w:tcPr>
                <w:p w14:paraId="356A167E">
                  <w:pPr>
                    <w:pStyle w:val="67"/>
                    <w:rPr>
                      <w:rFonts w:hint="default" w:eastAsia="宋体"/>
                      <w:lang w:val="en-US" w:eastAsia="zh-CN"/>
                    </w:rPr>
                  </w:pPr>
                  <w:r>
                    <w:rPr>
                      <w:rFonts w:hint="eastAsia"/>
                      <w:lang w:val="en-US" w:eastAsia="zh-CN"/>
                    </w:rPr>
                    <w:t>超声波洁牙机</w:t>
                  </w:r>
                </w:p>
              </w:tc>
              <w:tc>
                <w:tcPr>
                  <w:tcW w:w="1135" w:type="pct"/>
                  <w:noWrap w:val="0"/>
                  <w:vAlign w:val="center"/>
                </w:tcPr>
                <w:p w14:paraId="544969BB">
                  <w:pPr>
                    <w:pStyle w:val="67"/>
                    <w:rPr>
                      <w:rFonts w:hint="default" w:eastAsia="宋体"/>
                      <w:lang w:val="en-US" w:eastAsia="zh-CN"/>
                    </w:rPr>
                  </w:pPr>
                  <w:r>
                    <w:rPr>
                      <w:rFonts w:hint="eastAsia"/>
                      <w:lang w:val="en-US" w:eastAsia="zh-CN"/>
                    </w:rPr>
                    <w:t>啄木鸟</w:t>
                  </w:r>
                </w:p>
              </w:tc>
              <w:tc>
                <w:tcPr>
                  <w:tcW w:w="909" w:type="pct"/>
                  <w:tcBorders>
                    <w:right w:val="single" w:color="auto" w:sz="4" w:space="0"/>
                  </w:tcBorders>
                  <w:noWrap w:val="0"/>
                  <w:vAlign w:val="center"/>
                </w:tcPr>
                <w:p w14:paraId="7C8DB67F">
                  <w:pPr>
                    <w:pStyle w:val="67"/>
                    <w:rPr>
                      <w:rFonts w:hint="eastAsia" w:eastAsia="宋体"/>
                      <w:lang w:val="en-US" w:eastAsia="zh-CN"/>
                    </w:rPr>
                  </w:pPr>
                  <w:r>
                    <w:rPr>
                      <w:rFonts w:hint="eastAsia"/>
                      <w:lang w:val="en-US" w:eastAsia="zh-CN"/>
                    </w:rPr>
                    <w:t>手术室</w:t>
                  </w:r>
                </w:p>
              </w:tc>
              <w:tc>
                <w:tcPr>
                  <w:tcW w:w="683" w:type="pct"/>
                  <w:tcBorders>
                    <w:left w:val="single" w:color="auto" w:sz="4" w:space="0"/>
                  </w:tcBorders>
                  <w:noWrap w:val="0"/>
                  <w:vAlign w:val="center"/>
                </w:tcPr>
                <w:p w14:paraId="0BC94BC1">
                  <w:pPr>
                    <w:pStyle w:val="67"/>
                    <w:rPr>
                      <w:rFonts w:hint="eastAsia" w:eastAsia="宋体"/>
                      <w:lang w:val="en-US" w:eastAsia="zh-CN"/>
                    </w:rPr>
                  </w:pPr>
                  <w:r>
                    <w:rPr>
                      <w:rFonts w:hint="eastAsia"/>
                      <w:lang w:val="en-US" w:eastAsia="zh-CN"/>
                    </w:rPr>
                    <w:t>1</w:t>
                  </w:r>
                </w:p>
              </w:tc>
            </w:tr>
          </w:tbl>
          <w:p w14:paraId="4DF7C26B">
            <w:pPr>
              <w:adjustRightInd w:val="0"/>
              <w:snapToGrid w:val="0"/>
              <w:jc w:val="left"/>
              <w:rPr>
                <w:rFonts w:hint="eastAsia" w:eastAsia="宋体"/>
                <w:lang w:eastAsia="zh-CN"/>
              </w:rPr>
            </w:pPr>
            <w:r>
              <w:rPr>
                <w:rFonts w:hint="eastAsia"/>
                <w:sz w:val="21"/>
                <w:szCs w:val="21"/>
                <w:lang w:val="en-US" w:eastAsia="zh-CN"/>
              </w:rPr>
              <w:t>备注：</w:t>
            </w:r>
            <w:r>
              <w:rPr>
                <w:rFonts w:cs="Times New Roman"/>
                <w:sz w:val="21"/>
                <w:szCs w:val="21"/>
              </w:rPr>
              <w:t>DR</w:t>
            </w:r>
            <w:r>
              <w:rPr>
                <w:rFonts w:hint="default" w:cs="Times New Roman"/>
                <w:sz w:val="21"/>
                <w:szCs w:val="21"/>
              </w:rPr>
              <w:t>属于Ⅲ类射线装置</w:t>
            </w:r>
            <w:r>
              <w:rPr>
                <w:rFonts w:hint="default" w:cs="Times New Roman"/>
                <w:color w:val="auto"/>
                <w:sz w:val="21"/>
                <w:szCs w:val="21"/>
              </w:rPr>
              <w:t>，</w:t>
            </w:r>
            <w:r>
              <w:rPr>
                <w:rFonts w:hint="eastAsia"/>
                <w:color w:val="auto"/>
                <w:sz w:val="21"/>
                <w:szCs w:val="21"/>
                <w:lang w:val="en-US" w:eastAsia="zh-CN"/>
              </w:rPr>
              <w:t>应单独进行环境影响评价并报生态环境主管部门审批，本次评价内容不包含放射性部分</w:t>
            </w:r>
            <w:r>
              <w:rPr>
                <w:rFonts w:hint="eastAsia" w:cs="Times New Roman"/>
                <w:color w:val="auto"/>
                <w:sz w:val="21"/>
                <w:szCs w:val="21"/>
                <w:lang w:eastAsia="zh-CN"/>
              </w:rPr>
              <w:t>。</w:t>
            </w:r>
          </w:p>
        </w:tc>
      </w:tr>
      <w:tr w14:paraId="244AF2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76" w:type="dxa"/>
            <w:noWrap w:val="0"/>
            <w:vAlign w:val="center"/>
          </w:tcPr>
          <w:p w14:paraId="443B11CB">
            <w:pPr>
              <w:adjustRightInd w:val="0"/>
              <w:snapToGrid w:val="0"/>
              <w:jc w:val="center"/>
              <w:rPr>
                <w:sz w:val="21"/>
                <w:szCs w:val="21"/>
              </w:rPr>
            </w:pPr>
            <w:r>
              <w:rPr>
                <w:sz w:val="21"/>
                <w:szCs w:val="21"/>
              </w:rPr>
              <w:t>工艺流程和产排污环节</w:t>
            </w:r>
          </w:p>
        </w:tc>
        <w:tc>
          <w:tcPr>
            <w:tcW w:w="8312" w:type="dxa"/>
            <w:noWrap w:val="0"/>
            <w:vAlign w:val="top"/>
          </w:tcPr>
          <w:p w14:paraId="4E0FA156">
            <w:pPr>
              <w:pStyle w:val="5"/>
              <w:keepNext/>
              <w:keepLines/>
              <w:pageBreakBefore w:val="0"/>
              <w:widowControl w:val="0"/>
              <w:numPr>
                <w:ilvl w:val="0"/>
                <w:numId w:val="0"/>
              </w:numPr>
              <w:kinsoku/>
              <w:wordWrap/>
              <w:overflowPunct/>
              <w:topLinePunct w:val="0"/>
              <w:autoSpaceDE/>
              <w:autoSpaceDN/>
              <w:bidi w:val="0"/>
              <w:adjustRightInd/>
              <w:snapToGrid/>
              <w:spacing w:before="0" w:beforeLines="0" w:after="0" w:afterLines="0"/>
              <w:ind w:left="0" w:leftChars="0" w:firstLine="0" w:firstLineChars="0"/>
              <w:textAlignment w:val="auto"/>
              <w:rPr>
                <w:rFonts w:hint="eastAsia"/>
              </w:rPr>
            </w:pPr>
            <w:r>
              <w:rPr>
                <w:rFonts w:hint="eastAsia" w:ascii="Times New Roman" w:hAnsi="Times New Roman" w:eastAsia="宋体" w:cs="宋体"/>
                <w:b/>
                <w:bCs/>
                <w:color w:val="000000"/>
                <w:kern w:val="44"/>
                <w:sz w:val="30"/>
                <w:szCs w:val="32"/>
                <w:lang w:val="en-US" w:eastAsia="zh-CN" w:bidi="ar-SA"/>
              </w:rPr>
              <w:t>2.3</w:t>
            </w:r>
            <w:r>
              <w:rPr>
                <w:rFonts w:hint="eastAsia"/>
              </w:rPr>
              <w:t>工程生产工艺流程及产污环节</w:t>
            </w:r>
          </w:p>
          <w:p w14:paraId="4649B4E5">
            <w:pPr>
              <w:adjustRightInd w:val="0"/>
              <w:snapToGrid w:val="0"/>
              <w:spacing w:line="360" w:lineRule="auto"/>
              <w:rPr>
                <w:b/>
                <w:bCs/>
              </w:rPr>
            </w:pPr>
            <w:bookmarkStart w:id="28" w:name="_Toc9991"/>
            <w:r>
              <w:rPr>
                <w:rFonts w:hint="eastAsia"/>
                <w:b/>
                <w:bCs/>
              </w:rPr>
              <w:t>2.</w:t>
            </w:r>
            <w:r>
              <w:rPr>
                <w:rFonts w:hint="eastAsia"/>
                <w:b/>
                <w:bCs/>
                <w:lang w:val="en-US" w:eastAsia="zh-CN"/>
              </w:rPr>
              <w:t>3</w:t>
            </w:r>
            <w:r>
              <w:rPr>
                <w:rFonts w:hint="eastAsia"/>
                <w:b/>
                <w:bCs/>
              </w:rPr>
              <w:t>.1诊疗流程</w:t>
            </w:r>
          </w:p>
          <w:p w14:paraId="0075045B">
            <w:pPr>
              <w:pStyle w:val="76"/>
              <w:ind w:firstLine="480"/>
            </w:pPr>
            <w:r>
              <w:t>项目主要为宠物提供诊疗、美容服务和宠物用品销售。</w:t>
            </w:r>
          </w:p>
          <w:p w14:paraId="059B65DC">
            <w:pPr>
              <w:pStyle w:val="76"/>
              <w:ind w:firstLine="480"/>
            </w:pPr>
            <w:r>
              <w:t>宠物诊疗包括给宠物一般临床检查、皮肤科、内科、传染科等全部疾病的诊治，外科骨科的手术治疗，血、尿、便等常规的检验，皮肤病的镜检，血液生化的化验等。宠物美容包括给宠物修指甲、剃脚毛、洗眼睛、挖耳朵、挤肛门腺、洗澡、修毛造型、染毛。</w:t>
            </w:r>
          </w:p>
          <w:p w14:paraId="34D64FB3">
            <w:pPr>
              <w:adjustRightInd w:val="0"/>
              <w:snapToGrid w:val="0"/>
              <w:spacing w:line="360" w:lineRule="auto"/>
              <w:ind w:firstLine="480" w:firstLineChars="200"/>
              <w:rPr>
                <w:bCs/>
                <w:color w:val="auto"/>
                <w:szCs w:val="32"/>
              </w:rPr>
            </w:pPr>
            <w:r>
              <w:rPr>
                <w:rFonts w:hint="eastAsia"/>
                <w:bCs/>
                <w:color w:val="auto"/>
                <w:szCs w:val="32"/>
              </w:rPr>
              <w:t>项目不接受传染性宠物的诊治</w:t>
            </w:r>
            <w:r>
              <w:rPr>
                <w:rFonts w:hint="eastAsia"/>
                <w:bCs/>
                <w:color w:val="auto"/>
                <w:szCs w:val="32"/>
                <w:lang w:eastAsia="zh-CN"/>
              </w:rPr>
              <w:t>，</w:t>
            </w:r>
            <w:r>
              <w:rPr>
                <w:rFonts w:hint="eastAsia"/>
                <w:bCs/>
                <w:color w:val="auto"/>
                <w:szCs w:val="32"/>
                <w:lang w:val="en-US" w:eastAsia="zh-CN"/>
              </w:rPr>
              <w:t>建设单位确认：</w:t>
            </w:r>
            <w:r>
              <w:rPr>
                <w:rFonts w:hint="eastAsia"/>
                <w:color w:val="auto"/>
              </w:rPr>
              <w:t>本项目在诊断、检验过程中，发现动物染疫或者疑似染疫的，将严格按照《动物诊疗机构管理办法》的规定，立即向所在地农业农村主管部门或者动物疫病预防控制机构报告，并迅速采取隔离、消毒等控制措施，防止动物疫情扩散。发现动物患有或者疑似患有国家规定应当扑杀的疫病时，杜绝擅自进行治疗。同时，本项目设有隔离室，专门用于染疫或者疑似染疫动物的隔离控制，并配备相应的设施设备，将染疫或者疑似染疫的动物及其诊断、检验过程产生的疑似感染性医疗废物，以及其隔离期间产生的排泄物等全部交由所在地农业农村主管部门或者动物疫病预防控制机构处理，以有效防止动物疫情扩散。</w:t>
            </w:r>
            <w:r>
              <w:rPr>
                <w:rFonts w:hint="eastAsia"/>
                <w:bCs/>
                <w:color w:val="auto"/>
                <w:szCs w:val="32"/>
              </w:rPr>
              <w:t>项目使用的放射设备无需洗片，无废显（定）影液产生。</w:t>
            </w:r>
          </w:p>
          <w:p w14:paraId="28D22ABC">
            <w:pPr>
              <w:adjustRightInd w:val="0"/>
              <w:snapToGrid w:val="0"/>
              <w:spacing w:line="360" w:lineRule="auto"/>
              <w:ind w:firstLine="480" w:firstLineChars="200"/>
              <w:rPr>
                <w:bCs/>
                <w:szCs w:val="32"/>
              </w:rPr>
            </w:pPr>
            <w:r>
              <w:rPr>
                <w:rFonts w:hint="eastAsia"/>
                <w:szCs w:val="32"/>
              </w:rPr>
              <w:t>本</w:t>
            </w:r>
            <w:r>
              <w:rPr>
                <w:szCs w:val="32"/>
              </w:rPr>
              <w:t>项目手术部分</w:t>
            </w:r>
            <w:r>
              <w:rPr>
                <w:rFonts w:hint="eastAsia"/>
                <w:szCs w:val="32"/>
              </w:rPr>
              <w:t>的</w:t>
            </w:r>
            <w:r>
              <w:rPr>
                <w:szCs w:val="32"/>
              </w:rPr>
              <w:t>工艺流程较为简单，根据门诊诊疗情况，部分就诊宠物进行手术治疗康复后出院</w:t>
            </w:r>
            <w:r>
              <w:rPr>
                <w:rFonts w:hint="eastAsia"/>
                <w:bCs/>
                <w:szCs w:val="32"/>
              </w:rPr>
              <w:t>。</w:t>
            </w:r>
          </w:p>
          <w:p w14:paraId="6209D664">
            <w:pPr>
              <w:adjustRightInd w:val="0"/>
              <w:snapToGrid w:val="0"/>
              <w:spacing w:line="360" w:lineRule="auto"/>
              <w:ind w:firstLine="480" w:firstLineChars="200"/>
              <w:rPr>
                <w:bCs/>
                <w:szCs w:val="32"/>
              </w:rPr>
            </w:pPr>
            <w:r>
              <w:rPr>
                <w:rFonts w:hint="eastAsia"/>
                <w:bCs/>
                <w:szCs w:val="32"/>
              </w:rPr>
              <w:t xml:space="preserve">宠物手术流程如下： </w:t>
            </w:r>
          </w:p>
          <w:p w14:paraId="4B745704">
            <w:pPr>
              <w:adjustRightInd w:val="0"/>
              <w:snapToGrid w:val="0"/>
              <w:spacing w:line="360" w:lineRule="auto"/>
              <w:ind w:firstLine="480" w:firstLineChars="200"/>
              <w:rPr>
                <w:bCs/>
                <w:szCs w:val="32"/>
              </w:rPr>
            </w:pPr>
            <w:r>
              <w:rPr>
                <w:rFonts w:hint="eastAsia"/>
                <w:bCs/>
                <w:szCs w:val="32"/>
              </w:rPr>
              <w:t>①术前确认手术类型；</w:t>
            </w:r>
          </w:p>
          <w:p w14:paraId="51672896">
            <w:pPr>
              <w:adjustRightInd w:val="0"/>
              <w:snapToGrid w:val="0"/>
              <w:spacing w:line="360" w:lineRule="auto"/>
              <w:ind w:firstLine="480" w:firstLineChars="200"/>
              <w:rPr>
                <w:bCs/>
                <w:szCs w:val="32"/>
              </w:rPr>
            </w:pPr>
            <w:r>
              <w:rPr>
                <w:rFonts w:hint="eastAsia"/>
                <w:bCs/>
                <w:szCs w:val="32"/>
              </w:rPr>
              <w:t xml:space="preserve">②给予患病宠物提前吸氧，补液，补充预防性抗生素等措施； </w:t>
            </w:r>
          </w:p>
          <w:p w14:paraId="11029D95">
            <w:pPr>
              <w:adjustRightInd w:val="0"/>
              <w:snapToGrid w:val="0"/>
              <w:spacing w:line="360" w:lineRule="auto"/>
              <w:ind w:firstLine="480" w:firstLineChars="200"/>
              <w:rPr>
                <w:bCs/>
                <w:szCs w:val="32"/>
              </w:rPr>
            </w:pPr>
            <w:r>
              <w:rPr>
                <w:rFonts w:hint="eastAsia"/>
                <w:bCs/>
                <w:szCs w:val="32"/>
              </w:rPr>
              <w:t xml:space="preserve">③对于患病宠物诱导麻醉后，进行气管插管； </w:t>
            </w:r>
          </w:p>
          <w:p w14:paraId="3046A3B5">
            <w:pPr>
              <w:adjustRightInd w:val="0"/>
              <w:snapToGrid w:val="0"/>
              <w:spacing w:line="360" w:lineRule="auto"/>
              <w:ind w:firstLine="480" w:firstLineChars="200"/>
              <w:rPr>
                <w:bCs/>
                <w:szCs w:val="32"/>
              </w:rPr>
            </w:pPr>
            <w:r>
              <w:rPr>
                <w:rFonts w:hint="eastAsia"/>
                <w:bCs/>
                <w:szCs w:val="32"/>
              </w:rPr>
              <w:t xml:space="preserve">④将患病宠物患处毛发剔除，患处皮肤用酒精和碘伏消毒； </w:t>
            </w:r>
          </w:p>
          <w:p w14:paraId="411FF631">
            <w:pPr>
              <w:adjustRightInd w:val="0"/>
              <w:snapToGrid w:val="0"/>
              <w:spacing w:line="360" w:lineRule="auto"/>
              <w:ind w:firstLine="480" w:firstLineChars="200"/>
              <w:rPr>
                <w:bCs/>
                <w:szCs w:val="32"/>
              </w:rPr>
            </w:pPr>
            <w:r>
              <w:rPr>
                <w:rFonts w:hint="eastAsia"/>
                <w:bCs/>
                <w:szCs w:val="32"/>
              </w:rPr>
              <w:t xml:space="preserve">⑤进行术前准备：中性肥皂刷手，喷干式刷手液；穿手术衣，戴手套，戴口罩，戴帽子；打开手术包，铺设创巾； </w:t>
            </w:r>
          </w:p>
          <w:p w14:paraId="5FC73949">
            <w:pPr>
              <w:adjustRightInd w:val="0"/>
              <w:snapToGrid w:val="0"/>
              <w:spacing w:line="360" w:lineRule="auto"/>
              <w:ind w:firstLine="480" w:firstLineChars="200"/>
              <w:rPr>
                <w:bCs/>
                <w:szCs w:val="32"/>
              </w:rPr>
            </w:pPr>
            <w:r>
              <w:rPr>
                <w:rFonts w:hint="eastAsia"/>
                <w:bCs/>
                <w:szCs w:val="32"/>
              </w:rPr>
              <w:t xml:space="preserve">⑥进行手术； </w:t>
            </w:r>
          </w:p>
          <w:p w14:paraId="0F71491A">
            <w:pPr>
              <w:pStyle w:val="76"/>
              <w:ind w:firstLine="480"/>
            </w:pPr>
            <w:r>
              <w:rPr>
                <w:rFonts w:hint="eastAsia"/>
                <w:bCs/>
                <w:szCs w:val="32"/>
              </w:rPr>
              <w:t>⑦手术完毕后对医疗器具、手术台等进行清理及消毒。</w:t>
            </w:r>
          </w:p>
          <w:p w14:paraId="6575BD44">
            <w:pPr>
              <w:adjustRightInd w:val="0"/>
              <w:snapToGrid w:val="0"/>
              <w:spacing w:line="360" w:lineRule="auto"/>
              <w:rPr>
                <w:b/>
                <w:bCs/>
              </w:rPr>
            </w:pPr>
            <w:r>
              <w:rPr>
                <w:rFonts w:hint="eastAsia"/>
                <w:b/>
                <w:bCs/>
              </w:rPr>
              <w:t>2.</w:t>
            </w:r>
            <w:r>
              <w:rPr>
                <w:rFonts w:hint="eastAsia"/>
                <w:b/>
                <w:bCs/>
                <w:lang w:val="en-US" w:eastAsia="zh-CN"/>
              </w:rPr>
              <w:t>8</w:t>
            </w:r>
            <w:r>
              <w:rPr>
                <w:rFonts w:hint="eastAsia"/>
                <w:b/>
                <w:bCs/>
              </w:rPr>
              <w:t>.</w:t>
            </w:r>
            <w:r>
              <w:rPr>
                <w:rFonts w:hint="eastAsia"/>
                <w:b/>
                <w:bCs/>
                <w:lang w:val="en-US" w:eastAsia="zh-CN"/>
              </w:rPr>
              <w:t>2产污情况</w:t>
            </w:r>
          </w:p>
          <w:p w14:paraId="7859683E">
            <w:pPr>
              <w:pStyle w:val="76"/>
              <w:ind w:firstLine="480"/>
            </w:pPr>
            <w:r>
              <w:t>废水：项目经营过程产生的废水主要为医疗废水、宠物美容废水和员工生活污水；</w:t>
            </w:r>
          </w:p>
          <w:p w14:paraId="63A15F57">
            <w:pPr>
              <w:pStyle w:val="76"/>
              <w:ind w:firstLine="480"/>
            </w:pPr>
            <w:r>
              <w:t>废气：项目经营过程中宠物散发产生的臭味；</w:t>
            </w:r>
          </w:p>
          <w:p w14:paraId="1B080054">
            <w:pPr>
              <w:pStyle w:val="76"/>
              <w:ind w:firstLine="480"/>
            </w:pPr>
            <w:r>
              <w:t>噪声：项目经营过程中产生的噪声主要来自宠物叫声，具有不定时性和突发性；</w:t>
            </w:r>
          </w:p>
          <w:p w14:paraId="5D561A12">
            <w:pPr>
              <w:pStyle w:val="76"/>
              <w:ind w:firstLine="480"/>
            </w:pPr>
            <w:r>
              <w:t>固废：项目经营过程中产生的固体废物主要来源于工作人员产生的生活垃圾、医疗废物及废水处理污泥。（若有宠物在治疗过程中因意外不幸死亡，尸体由伺养者带回，本项目不进行宠物尸体处理）</w:t>
            </w:r>
          </w:p>
          <w:p w14:paraId="2A13309E">
            <w:pPr>
              <w:pStyle w:val="22"/>
              <w:outlineLvl w:val="9"/>
            </w:pPr>
            <w:r>
              <w:object>
                <v:shape id="_x0000_i1025" o:spt="75" type="#_x0000_t75" style="height:232.1pt;width:321.75pt;" o:ole="t" filled="f" o:preferrelative="t" stroked="f" coordsize="21600,21600">
                  <v:path/>
                  <v:fill on="f" focussize="0,0"/>
                  <v:stroke on="f"/>
                  <v:imagedata r:id="rId12" o:title=""/>
                  <o:lock v:ext="edit" aspectratio="t"/>
                  <w10:wrap type="none"/>
                  <w10:anchorlock/>
                </v:shape>
                <o:OLEObject Type="Embed" ProgID="Visio.Drawing.11" ShapeID="_x0000_i1025" DrawAspect="Content" ObjectID="_1468075725" r:id="rId11">
                  <o:LockedField>false</o:LockedField>
                </o:OLEObject>
              </w:object>
            </w:r>
            <w:bookmarkEnd w:id="28"/>
          </w:p>
          <w:p w14:paraId="4C13F2DA">
            <w:pPr>
              <w:pStyle w:val="78"/>
              <w:numPr>
                <w:ilvl w:val="0"/>
                <w:numId w:val="0"/>
              </w:numPr>
              <w:ind w:left="0" w:leftChars="0" w:firstLine="0" w:firstLineChars="0"/>
              <w:rPr>
                <w:rFonts w:hint="eastAsia"/>
              </w:rPr>
            </w:pPr>
            <w:r>
              <w:rPr>
                <w:rFonts w:hint="eastAsia" w:ascii="Times New Roman" w:hAnsi="Times New Roman" w:eastAsia="宋体" w:cs="宋体"/>
                <w:b/>
                <w:kern w:val="2"/>
                <w:sz w:val="24"/>
                <w:szCs w:val="24"/>
                <w:lang w:val="en-US" w:eastAsia="zh-CN" w:bidi="ar-SA"/>
              </w:rPr>
              <w:t>图2.3-1</w:t>
            </w:r>
            <w:r>
              <w:rPr>
                <w:rFonts w:hint="eastAsia"/>
              </w:rPr>
              <w:t>工艺流程及产污环节图</w:t>
            </w:r>
          </w:p>
          <w:p w14:paraId="5AE13AA5">
            <w:pPr>
              <w:pStyle w:val="63"/>
              <w:numPr>
                <w:ilvl w:val="0"/>
                <w:numId w:val="0"/>
              </w:numPr>
              <w:ind w:left="0" w:leftChars="0" w:firstLine="0" w:firstLineChars="0"/>
              <w:rPr>
                <w:rFonts w:hint="eastAsia"/>
              </w:rPr>
            </w:pPr>
            <w:r>
              <w:rPr>
                <w:rFonts w:hint="eastAsia" w:ascii="Times New Roman" w:hAnsi="Times New Roman" w:eastAsia="宋体" w:cs="宋体"/>
                <w:b/>
                <w:kern w:val="2"/>
                <w:sz w:val="24"/>
                <w:szCs w:val="24"/>
                <w:lang w:val="en-US" w:eastAsia="zh-CN" w:bidi="ar-SA"/>
              </w:rPr>
              <w:t>表2.3-2</w:t>
            </w:r>
            <w:r>
              <w:rPr>
                <w:rFonts w:hint="eastAsia"/>
              </w:rPr>
              <w:t>项目产污环节一览表</w:t>
            </w:r>
          </w:p>
          <w:tbl>
            <w:tblPr>
              <w:tblStyle w:val="25"/>
              <w:tblW w:w="8305"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047"/>
              <w:gridCol w:w="1795"/>
              <w:gridCol w:w="1800"/>
              <w:gridCol w:w="800"/>
              <w:gridCol w:w="2863"/>
            </w:tblGrid>
            <w:tr w14:paraId="6FF10B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047" w:type="dxa"/>
                  <w:noWrap w:val="0"/>
                  <w:vAlign w:val="center"/>
                </w:tcPr>
                <w:p w14:paraId="07E7979B">
                  <w:pPr>
                    <w:pStyle w:val="67"/>
                  </w:pPr>
                  <w:r>
                    <w:t>类别</w:t>
                  </w:r>
                </w:p>
              </w:tc>
              <w:tc>
                <w:tcPr>
                  <w:tcW w:w="1795" w:type="dxa"/>
                  <w:noWrap w:val="0"/>
                  <w:vAlign w:val="center"/>
                </w:tcPr>
                <w:p w14:paraId="372DAFEB">
                  <w:pPr>
                    <w:pStyle w:val="67"/>
                  </w:pPr>
                  <w:r>
                    <w:rPr>
                      <w:rFonts w:hint="eastAsia"/>
                    </w:rPr>
                    <w:t>产污节点</w:t>
                  </w:r>
                </w:p>
              </w:tc>
              <w:tc>
                <w:tcPr>
                  <w:tcW w:w="1800" w:type="dxa"/>
                  <w:noWrap w:val="0"/>
                  <w:vAlign w:val="center"/>
                </w:tcPr>
                <w:p w14:paraId="0C15E64E">
                  <w:pPr>
                    <w:pStyle w:val="67"/>
                    <w:rPr>
                      <w:rFonts w:hint="eastAsia"/>
                    </w:rPr>
                  </w:pPr>
                  <w:r>
                    <w:rPr>
                      <w:rFonts w:hint="eastAsia"/>
                    </w:rPr>
                    <w:t>污染物</w:t>
                  </w:r>
                </w:p>
              </w:tc>
              <w:tc>
                <w:tcPr>
                  <w:tcW w:w="800" w:type="dxa"/>
                  <w:noWrap w:val="0"/>
                  <w:vAlign w:val="center"/>
                </w:tcPr>
                <w:p w14:paraId="6F3A84AC">
                  <w:pPr>
                    <w:pStyle w:val="67"/>
                  </w:pPr>
                  <w:r>
                    <w:t>产生</w:t>
                  </w:r>
                </w:p>
                <w:p w14:paraId="1E6A8D53">
                  <w:pPr>
                    <w:pStyle w:val="67"/>
                  </w:pPr>
                  <w:r>
                    <w:t>特征</w:t>
                  </w:r>
                </w:p>
              </w:tc>
              <w:tc>
                <w:tcPr>
                  <w:tcW w:w="2863" w:type="dxa"/>
                  <w:noWrap w:val="0"/>
                  <w:vAlign w:val="center"/>
                </w:tcPr>
                <w:p w14:paraId="1B72C95C">
                  <w:pPr>
                    <w:pStyle w:val="67"/>
                  </w:pPr>
                  <w:r>
                    <w:t>已采取环保措施</w:t>
                  </w:r>
                </w:p>
              </w:tc>
            </w:tr>
            <w:tr w14:paraId="14567C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7" w:type="dxa"/>
                  <w:vMerge w:val="restart"/>
                  <w:noWrap w:val="0"/>
                  <w:vAlign w:val="center"/>
                </w:tcPr>
                <w:p w14:paraId="5C1F808A">
                  <w:pPr>
                    <w:pStyle w:val="67"/>
                    <w:rPr>
                      <w:rFonts w:hint="eastAsia"/>
                    </w:rPr>
                  </w:pPr>
                  <w:r>
                    <w:rPr>
                      <w:rFonts w:hint="eastAsia"/>
                    </w:rPr>
                    <w:t>废水</w:t>
                  </w:r>
                </w:p>
              </w:tc>
              <w:tc>
                <w:tcPr>
                  <w:tcW w:w="1795" w:type="dxa"/>
                  <w:noWrap w:val="0"/>
                  <w:vAlign w:val="center"/>
                </w:tcPr>
                <w:p w14:paraId="01B5DB7D">
                  <w:pPr>
                    <w:pStyle w:val="67"/>
                  </w:pPr>
                  <w:r>
                    <w:rPr>
                      <w:rFonts w:hint="eastAsia"/>
                    </w:rPr>
                    <w:t>医师器具清洗、手部清洗、医疗用水</w:t>
                  </w:r>
                </w:p>
              </w:tc>
              <w:tc>
                <w:tcPr>
                  <w:tcW w:w="1800" w:type="dxa"/>
                  <w:noWrap w:val="0"/>
                  <w:vAlign w:val="center"/>
                </w:tcPr>
                <w:p w14:paraId="0A26C0F5">
                  <w:pPr>
                    <w:pStyle w:val="67"/>
                  </w:pPr>
                  <w:r>
                    <w:rPr>
                      <w:rFonts w:hint="eastAsia"/>
                    </w:rPr>
                    <w:t>COD、BOD</w:t>
                  </w:r>
                  <w:r>
                    <w:rPr>
                      <w:rFonts w:hint="eastAsia"/>
                      <w:vertAlign w:val="subscript"/>
                    </w:rPr>
                    <w:t>5</w:t>
                  </w:r>
                  <w:r>
                    <w:rPr>
                      <w:rFonts w:hint="eastAsia"/>
                    </w:rPr>
                    <w:t>、SS、粪大肠菌群、总余氯</w:t>
                  </w:r>
                </w:p>
              </w:tc>
              <w:tc>
                <w:tcPr>
                  <w:tcW w:w="800" w:type="dxa"/>
                  <w:noWrap w:val="0"/>
                  <w:vAlign w:val="center"/>
                </w:tcPr>
                <w:p w14:paraId="10EC3D16">
                  <w:pPr>
                    <w:pStyle w:val="67"/>
                  </w:pPr>
                  <w:r>
                    <w:rPr>
                      <w:rFonts w:hint="eastAsia"/>
                    </w:rPr>
                    <w:t>间歇</w:t>
                  </w:r>
                </w:p>
              </w:tc>
              <w:tc>
                <w:tcPr>
                  <w:tcW w:w="2863" w:type="dxa"/>
                  <w:noWrap w:val="0"/>
                  <w:vAlign w:val="center"/>
                </w:tcPr>
                <w:p w14:paraId="10A23BF9">
                  <w:pPr>
                    <w:pStyle w:val="67"/>
                  </w:pPr>
                  <w:r>
                    <w:rPr>
                      <w:rFonts w:hint="eastAsia"/>
                    </w:rPr>
                    <w:t>经一体化水处理设施（滤网+二氧化氯消毒）处理后经化粪池处理排入市政污水管网</w:t>
                  </w:r>
                </w:p>
              </w:tc>
            </w:tr>
            <w:tr w14:paraId="074272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1047" w:type="dxa"/>
                  <w:vMerge w:val="continue"/>
                  <w:noWrap w:val="0"/>
                  <w:vAlign w:val="center"/>
                </w:tcPr>
                <w:p w14:paraId="710D9408">
                  <w:pPr>
                    <w:pStyle w:val="67"/>
                    <w:rPr>
                      <w:rFonts w:hint="eastAsia"/>
                    </w:rPr>
                  </w:pPr>
                </w:p>
              </w:tc>
              <w:tc>
                <w:tcPr>
                  <w:tcW w:w="1795" w:type="dxa"/>
                  <w:noWrap w:val="0"/>
                  <w:vAlign w:val="center"/>
                </w:tcPr>
                <w:p w14:paraId="51F7BA4D">
                  <w:pPr>
                    <w:pStyle w:val="67"/>
                  </w:pPr>
                  <w:r>
                    <w:rPr>
                      <w:rFonts w:hint="eastAsia"/>
                    </w:rPr>
                    <w:t>宠物美容清洗</w:t>
                  </w:r>
                </w:p>
              </w:tc>
              <w:tc>
                <w:tcPr>
                  <w:tcW w:w="1800" w:type="dxa"/>
                  <w:noWrap w:val="0"/>
                  <w:vAlign w:val="center"/>
                </w:tcPr>
                <w:p w14:paraId="7E79BF5C">
                  <w:pPr>
                    <w:pStyle w:val="67"/>
                  </w:pPr>
                  <w:r>
                    <w:rPr>
                      <w:rFonts w:hint="eastAsia"/>
                    </w:rPr>
                    <w:t>COD、BOD</w:t>
                  </w:r>
                  <w:r>
                    <w:rPr>
                      <w:rFonts w:hint="eastAsia"/>
                      <w:vertAlign w:val="subscript"/>
                    </w:rPr>
                    <w:t>5</w:t>
                  </w:r>
                  <w:r>
                    <w:rPr>
                      <w:rFonts w:hint="eastAsia"/>
                    </w:rPr>
                    <w:t>、氨氮、SS、LAS</w:t>
                  </w:r>
                </w:p>
              </w:tc>
              <w:tc>
                <w:tcPr>
                  <w:tcW w:w="800" w:type="dxa"/>
                  <w:noWrap w:val="0"/>
                  <w:vAlign w:val="center"/>
                </w:tcPr>
                <w:p w14:paraId="659D8D9E">
                  <w:pPr>
                    <w:pStyle w:val="67"/>
                  </w:pPr>
                  <w:r>
                    <w:rPr>
                      <w:rFonts w:hint="eastAsia"/>
                    </w:rPr>
                    <w:t>间歇</w:t>
                  </w:r>
                </w:p>
              </w:tc>
              <w:tc>
                <w:tcPr>
                  <w:tcW w:w="2863" w:type="dxa"/>
                  <w:noWrap w:val="0"/>
                  <w:vAlign w:val="center"/>
                </w:tcPr>
                <w:p w14:paraId="438997B0">
                  <w:pPr>
                    <w:pStyle w:val="67"/>
                    <w:rPr>
                      <w:rFonts w:hint="eastAsia"/>
                    </w:rPr>
                  </w:pPr>
                  <w:r>
                    <w:rPr>
                      <w:rFonts w:hint="eastAsia"/>
                    </w:rPr>
                    <w:t>经化粪池处理排入市政污水管网</w:t>
                  </w:r>
                </w:p>
              </w:tc>
            </w:tr>
            <w:tr w14:paraId="686EE7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047" w:type="dxa"/>
                  <w:vMerge w:val="continue"/>
                  <w:noWrap w:val="0"/>
                  <w:vAlign w:val="center"/>
                </w:tcPr>
                <w:p w14:paraId="620A6482">
                  <w:pPr>
                    <w:pStyle w:val="67"/>
                    <w:rPr>
                      <w:rFonts w:hint="eastAsia"/>
                    </w:rPr>
                  </w:pPr>
                </w:p>
              </w:tc>
              <w:tc>
                <w:tcPr>
                  <w:tcW w:w="1795" w:type="dxa"/>
                  <w:noWrap w:val="0"/>
                  <w:vAlign w:val="center"/>
                </w:tcPr>
                <w:p w14:paraId="207DBAD1">
                  <w:pPr>
                    <w:pStyle w:val="67"/>
                  </w:pPr>
                  <w:r>
                    <w:rPr>
                      <w:rFonts w:hint="eastAsia"/>
                    </w:rPr>
                    <w:t>员工生活污水</w:t>
                  </w:r>
                </w:p>
              </w:tc>
              <w:tc>
                <w:tcPr>
                  <w:tcW w:w="1800" w:type="dxa"/>
                  <w:noWrap w:val="0"/>
                  <w:vAlign w:val="center"/>
                </w:tcPr>
                <w:p w14:paraId="2928E55F">
                  <w:pPr>
                    <w:pStyle w:val="67"/>
                    <w:rPr>
                      <w:rFonts w:hint="eastAsia"/>
                    </w:rPr>
                  </w:pPr>
                  <w:r>
                    <w:rPr>
                      <w:rFonts w:hint="eastAsia"/>
                    </w:rPr>
                    <w:t>COD、BOD</w:t>
                  </w:r>
                  <w:r>
                    <w:rPr>
                      <w:rFonts w:hint="eastAsia"/>
                      <w:vertAlign w:val="subscript"/>
                    </w:rPr>
                    <w:t>5</w:t>
                  </w:r>
                  <w:r>
                    <w:rPr>
                      <w:rFonts w:hint="eastAsia"/>
                    </w:rPr>
                    <w:t>、氨氮、SS</w:t>
                  </w:r>
                </w:p>
              </w:tc>
              <w:tc>
                <w:tcPr>
                  <w:tcW w:w="800" w:type="dxa"/>
                  <w:noWrap w:val="0"/>
                  <w:vAlign w:val="center"/>
                </w:tcPr>
                <w:p w14:paraId="74983012">
                  <w:pPr>
                    <w:pStyle w:val="67"/>
                  </w:pPr>
                  <w:r>
                    <w:rPr>
                      <w:rFonts w:hint="eastAsia"/>
                    </w:rPr>
                    <w:t>连续</w:t>
                  </w:r>
                </w:p>
              </w:tc>
              <w:tc>
                <w:tcPr>
                  <w:tcW w:w="2863" w:type="dxa"/>
                  <w:noWrap w:val="0"/>
                  <w:vAlign w:val="center"/>
                </w:tcPr>
                <w:p w14:paraId="52B34A91">
                  <w:pPr>
                    <w:pStyle w:val="67"/>
                    <w:rPr>
                      <w:rFonts w:hint="eastAsia"/>
                    </w:rPr>
                  </w:pPr>
                  <w:r>
                    <w:rPr>
                      <w:rFonts w:hint="eastAsia"/>
                    </w:rPr>
                    <w:t>经化粪池处理排入市政污水管网</w:t>
                  </w:r>
                </w:p>
              </w:tc>
            </w:tr>
            <w:tr w14:paraId="3C6FCB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7" w:type="dxa"/>
                  <w:noWrap w:val="0"/>
                  <w:vAlign w:val="center"/>
                </w:tcPr>
                <w:p w14:paraId="03099EF2">
                  <w:pPr>
                    <w:pStyle w:val="67"/>
                  </w:pPr>
                  <w:r>
                    <w:t>废气</w:t>
                  </w:r>
                </w:p>
              </w:tc>
              <w:tc>
                <w:tcPr>
                  <w:tcW w:w="1795" w:type="dxa"/>
                  <w:noWrap w:val="0"/>
                  <w:vAlign w:val="center"/>
                </w:tcPr>
                <w:p w14:paraId="698DCCBB">
                  <w:pPr>
                    <w:pStyle w:val="67"/>
                    <w:rPr>
                      <w:rFonts w:hint="eastAsia"/>
                    </w:rPr>
                  </w:pPr>
                  <w:r>
                    <w:rPr>
                      <w:rFonts w:hint="eastAsia"/>
                    </w:rPr>
                    <w:t>宠物</w:t>
                  </w:r>
                  <w:r>
                    <w:rPr>
                      <w:sz w:val="21"/>
                      <w:szCs w:val="21"/>
                    </w:rPr>
                    <w:t>粪便及体味等产生气体</w:t>
                  </w:r>
                </w:p>
              </w:tc>
              <w:tc>
                <w:tcPr>
                  <w:tcW w:w="1800" w:type="dxa"/>
                  <w:noWrap w:val="0"/>
                  <w:vAlign w:val="center"/>
                </w:tcPr>
                <w:p w14:paraId="4FBB28AF">
                  <w:pPr>
                    <w:pStyle w:val="67"/>
                    <w:rPr>
                      <w:rFonts w:hint="eastAsia"/>
                    </w:rPr>
                  </w:pPr>
                  <w:r>
                    <w:rPr>
                      <w:rFonts w:hint="eastAsia"/>
                    </w:rPr>
                    <w:t>恶臭</w:t>
                  </w:r>
                </w:p>
              </w:tc>
              <w:tc>
                <w:tcPr>
                  <w:tcW w:w="800" w:type="dxa"/>
                  <w:noWrap w:val="0"/>
                  <w:vAlign w:val="center"/>
                </w:tcPr>
                <w:p w14:paraId="275FF147">
                  <w:pPr>
                    <w:pStyle w:val="67"/>
                    <w:rPr>
                      <w:rFonts w:hint="eastAsia"/>
                    </w:rPr>
                  </w:pPr>
                  <w:r>
                    <w:rPr>
                      <w:rFonts w:hint="eastAsia"/>
                    </w:rPr>
                    <w:t>间歇</w:t>
                  </w:r>
                </w:p>
              </w:tc>
              <w:tc>
                <w:tcPr>
                  <w:tcW w:w="2863" w:type="dxa"/>
                  <w:noWrap w:val="0"/>
                  <w:vAlign w:val="center"/>
                </w:tcPr>
                <w:p w14:paraId="38E5D270">
                  <w:pPr>
                    <w:pStyle w:val="67"/>
                  </w:pPr>
                  <w:r>
                    <w:rPr>
                      <w:rFonts w:hint="eastAsia"/>
                    </w:rPr>
                    <w:t>定期清洁通风，喷洒除臭剂</w:t>
                  </w:r>
                </w:p>
              </w:tc>
            </w:tr>
            <w:tr w14:paraId="2F0D37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7" w:type="dxa"/>
                  <w:noWrap w:val="0"/>
                  <w:vAlign w:val="center"/>
                </w:tcPr>
                <w:p w14:paraId="13F175C4">
                  <w:pPr>
                    <w:pStyle w:val="67"/>
                  </w:pPr>
                  <w:r>
                    <w:t>噪声</w:t>
                  </w:r>
                </w:p>
              </w:tc>
              <w:tc>
                <w:tcPr>
                  <w:tcW w:w="1795" w:type="dxa"/>
                  <w:noWrap w:val="0"/>
                  <w:vAlign w:val="center"/>
                </w:tcPr>
                <w:p w14:paraId="10903C88">
                  <w:pPr>
                    <w:pStyle w:val="67"/>
                  </w:pPr>
                  <w:r>
                    <w:rPr>
                      <w:rFonts w:hint="eastAsia"/>
                    </w:rPr>
                    <w:t>宠物叫声</w:t>
                  </w:r>
                </w:p>
              </w:tc>
              <w:tc>
                <w:tcPr>
                  <w:tcW w:w="1800" w:type="dxa"/>
                  <w:noWrap w:val="0"/>
                  <w:vAlign w:val="center"/>
                </w:tcPr>
                <w:p w14:paraId="21442460">
                  <w:pPr>
                    <w:pStyle w:val="67"/>
                    <w:rPr>
                      <w:rFonts w:hint="eastAsia"/>
                    </w:rPr>
                  </w:pPr>
                  <w:r>
                    <w:rPr>
                      <w:rFonts w:hint="eastAsia"/>
                    </w:rPr>
                    <w:t>噪声</w:t>
                  </w:r>
                </w:p>
              </w:tc>
              <w:tc>
                <w:tcPr>
                  <w:tcW w:w="800" w:type="dxa"/>
                  <w:noWrap w:val="0"/>
                  <w:vAlign w:val="center"/>
                </w:tcPr>
                <w:p w14:paraId="48ACC5F1">
                  <w:pPr>
                    <w:pStyle w:val="67"/>
                    <w:rPr>
                      <w:rFonts w:hint="eastAsia"/>
                    </w:rPr>
                  </w:pPr>
                  <w:r>
                    <w:rPr>
                      <w:rFonts w:hint="eastAsia"/>
                    </w:rPr>
                    <w:t>间歇</w:t>
                  </w:r>
                </w:p>
              </w:tc>
              <w:tc>
                <w:tcPr>
                  <w:tcW w:w="2863" w:type="dxa"/>
                  <w:noWrap w:val="0"/>
                  <w:vAlign w:val="center"/>
                </w:tcPr>
                <w:p w14:paraId="2852A5EE">
                  <w:pPr>
                    <w:pStyle w:val="67"/>
                  </w:pPr>
                  <w:r>
                    <w:rPr>
                      <w:rFonts w:hint="eastAsia"/>
                    </w:rPr>
                    <w:t>墙体隔声</w:t>
                  </w:r>
                </w:p>
              </w:tc>
            </w:tr>
            <w:tr w14:paraId="6BDD5F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1047" w:type="dxa"/>
                  <w:vMerge w:val="restart"/>
                  <w:noWrap w:val="0"/>
                  <w:vAlign w:val="center"/>
                </w:tcPr>
                <w:p w14:paraId="7628F5BF">
                  <w:pPr>
                    <w:pStyle w:val="67"/>
                  </w:pPr>
                  <w:r>
                    <w:t>固废</w:t>
                  </w:r>
                </w:p>
              </w:tc>
              <w:tc>
                <w:tcPr>
                  <w:tcW w:w="1795" w:type="dxa"/>
                  <w:noWrap w:val="0"/>
                  <w:vAlign w:val="center"/>
                </w:tcPr>
                <w:p w14:paraId="246CC4F7">
                  <w:pPr>
                    <w:pStyle w:val="67"/>
                  </w:pPr>
                  <w:r>
                    <w:rPr>
                      <w:rFonts w:hint="eastAsia"/>
                    </w:rPr>
                    <w:t>宠物诊疗、手术、化验</w:t>
                  </w:r>
                </w:p>
              </w:tc>
              <w:tc>
                <w:tcPr>
                  <w:tcW w:w="1800" w:type="dxa"/>
                  <w:noWrap w:val="0"/>
                  <w:vAlign w:val="center"/>
                </w:tcPr>
                <w:p w14:paraId="6A69AB3C">
                  <w:pPr>
                    <w:pStyle w:val="67"/>
                  </w:pPr>
                  <w:r>
                    <w:rPr>
                      <w:rFonts w:hint="eastAsia"/>
                    </w:rPr>
                    <w:t>宠物排便、废检测试剂盒、一次性输液管、针管、医用棉球、纱布、废弃药品、手术废弃组织等医疗废物</w:t>
                  </w:r>
                </w:p>
              </w:tc>
              <w:tc>
                <w:tcPr>
                  <w:tcW w:w="800" w:type="dxa"/>
                  <w:noWrap w:val="0"/>
                  <w:vAlign w:val="center"/>
                </w:tcPr>
                <w:p w14:paraId="7C4D0955">
                  <w:pPr>
                    <w:pStyle w:val="67"/>
                    <w:rPr>
                      <w:rFonts w:hint="eastAsia"/>
                    </w:rPr>
                  </w:pPr>
                  <w:r>
                    <w:rPr>
                      <w:rFonts w:hint="eastAsia"/>
                    </w:rPr>
                    <w:t>间歇</w:t>
                  </w:r>
                </w:p>
              </w:tc>
              <w:tc>
                <w:tcPr>
                  <w:tcW w:w="2863" w:type="dxa"/>
                  <w:noWrap w:val="0"/>
                  <w:vAlign w:val="center"/>
                </w:tcPr>
                <w:p w14:paraId="3A0609A6">
                  <w:pPr>
                    <w:pStyle w:val="67"/>
                  </w:pPr>
                  <w:r>
                    <w:rPr>
                      <w:rFonts w:hint="eastAsia"/>
                    </w:rPr>
                    <w:t>设医疗废物收集桶及危废间，由具有医疗危废资质处置单位处置</w:t>
                  </w:r>
                </w:p>
              </w:tc>
            </w:tr>
            <w:tr w14:paraId="3B4DE8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47" w:type="dxa"/>
                  <w:vMerge w:val="continue"/>
                  <w:noWrap w:val="0"/>
                  <w:vAlign w:val="center"/>
                </w:tcPr>
                <w:p w14:paraId="27016771">
                  <w:pPr>
                    <w:pStyle w:val="67"/>
                  </w:pPr>
                </w:p>
              </w:tc>
              <w:tc>
                <w:tcPr>
                  <w:tcW w:w="1795" w:type="dxa"/>
                  <w:noWrap w:val="0"/>
                  <w:vAlign w:val="center"/>
                </w:tcPr>
                <w:p w14:paraId="306C3C3B">
                  <w:pPr>
                    <w:pStyle w:val="67"/>
                  </w:pPr>
                  <w:r>
                    <w:rPr>
                      <w:rFonts w:hint="eastAsia"/>
                    </w:rPr>
                    <w:t>职工生活垃圾</w:t>
                  </w:r>
                </w:p>
              </w:tc>
              <w:tc>
                <w:tcPr>
                  <w:tcW w:w="1800" w:type="dxa"/>
                  <w:noWrap w:val="0"/>
                  <w:vAlign w:val="center"/>
                </w:tcPr>
                <w:p w14:paraId="09BA74DA">
                  <w:pPr>
                    <w:pStyle w:val="67"/>
                  </w:pPr>
                  <w:r>
                    <w:rPr>
                      <w:rFonts w:hint="eastAsia"/>
                    </w:rPr>
                    <w:t>生活垃圾</w:t>
                  </w:r>
                </w:p>
              </w:tc>
              <w:tc>
                <w:tcPr>
                  <w:tcW w:w="800" w:type="dxa"/>
                  <w:noWrap w:val="0"/>
                  <w:vAlign w:val="center"/>
                </w:tcPr>
                <w:p w14:paraId="689CFCAE">
                  <w:pPr>
                    <w:pStyle w:val="67"/>
                  </w:pPr>
                  <w:r>
                    <w:rPr>
                      <w:rFonts w:hint="eastAsia"/>
                    </w:rPr>
                    <w:t>间歇</w:t>
                  </w:r>
                </w:p>
              </w:tc>
              <w:tc>
                <w:tcPr>
                  <w:tcW w:w="2863" w:type="dxa"/>
                  <w:noWrap w:val="0"/>
                  <w:vAlign w:val="center"/>
                </w:tcPr>
                <w:p w14:paraId="19884277">
                  <w:pPr>
                    <w:pStyle w:val="67"/>
                  </w:pPr>
                  <w:r>
                    <w:rPr>
                      <w:rFonts w:hint="eastAsia"/>
                    </w:rPr>
                    <w:t>生活垃圾由垃圾桶收集后由环卫部门清运</w:t>
                  </w:r>
                </w:p>
              </w:tc>
            </w:tr>
            <w:tr w14:paraId="1C2611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047" w:type="dxa"/>
                  <w:vMerge w:val="continue"/>
                  <w:noWrap w:val="0"/>
                  <w:vAlign w:val="center"/>
                </w:tcPr>
                <w:p w14:paraId="23E0FF8E">
                  <w:pPr>
                    <w:pStyle w:val="67"/>
                  </w:pPr>
                </w:p>
              </w:tc>
              <w:tc>
                <w:tcPr>
                  <w:tcW w:w="1795" w:type="dxa"/>
                  <w:noWrap w:val="0"/>
                  <w:vAlign w:val="center"/>
                </w:tcPr>
                <w:p w14:paraId="0C241541">
                  <w:pPr>
                    <w:pStyle w:val="67"/>
                  </w:pPr>
                  <w:r>
                    <w:rPr>
                      <w:rFonts w:hint="eastAsia"/>
                    </w:rPr>
                    <w:t>医疗废水处理</w:t>
                  </w:r>
                </w:p>
              </w:tc>
              <w:tc>
                <w:tcPr>
                  <w:tcW w:w="1800" w:type="dxa"/>
                  <w:noWrap w:val="0"/>
                  <w:vAlign w:val="center"/>
                </w:tcPr>
                <w:p w14:paraId="1F163ADE">
                  <w:pPr>
                    <w:pStyle w:val="67"/>
                    <w:rPr>
                      <w:rFonts w:hint="eastAsia"/>
                    </w:rPr>
                  </w:pPr>
                  <w:r>
                    <w:rPr>
                      <w:rFonts w:hint="eastAsia"/>
                    </w:rPr>
                    <w:t>污泥</w:t>
                  </w:r>
                </w:p>
              </w:tc>
              <w:tc>
                <w:tcPr>
                  <w:tcW w:w="800" w:type="dxa"/>
                  <w:noWrap w:val="0"/>
                  <w:vAlign w:val="center"/>
                </w:tcPr>
                <w:p w14:paraId="57D250B0">
                  <w:pPr>
                    <w:pStyle w:val="67"/>
                    <w:rPr>
                      <w:color w:val="auto"/>
                    </w:rPr>
                  </w:pPr>
                  <w:r>
                    <w:rPr>
                      <w:rFonts w:hint="eastAsia"/>
                      <w:color w:val="auto"/>
                    </w:rPr>
                    <w:t>间歇</w:t>
                  </w:r>
                </w:p>
              </w:tc>
              <w:tc>
                <w:tcPr>
                  <w:tcW w:w="2863" w:type="dxa"/>
                  <w:noWrap w:val="0"/>
                  <w:vAlign w:val="center"/>
                </w:tcPr>
                <w:p w14:paraId="53652981">
                  <w:pPr>
                    <w:pStyle w:val="67"/>
                    <w:rPr>
                      <w:rFonts w:hint="eastAsia"/>
                      <w:color w:val="auto"/>
                    </w:rPr>
                  </w:pPr>
                  <w:r>
                    <w:rPr>
                      <w:rFonts w:hint="eastAsia"/>
                      <w:color w:val="auto"/>
                    </w:rPr>
                    <w:t>污泥统一由有资质单位进行定期清理</w:t>
                  </w:r>
                </w:p>
              </w:tc>
            </w:tr>
          </w:tbl>
          <w:p w14:paraId="253BEBC6">
            <w:pPr>
              <w:pStyle w:val="5"/>
              <w:keepNext/>
              <w:keepLines/>
              <w:pageBreakBefore w:val="0"/>
              <w:widowControl w:val="0"/>
              <w:numPr>
                <w:ilvl w:val="0"/>
                <w:numId w:val="0"/>
              </w:numPr>
              <w:kinsoku/>
              <w:wordWrap/>
              <w:overflowPunct/>
              <w:topLinePunct w:val="0"/>
              <w:autoSpaceDE/>
              <w:autoSpaceDN/>
              <w:bidi w:val="0"/>
              <w:adjustRightInd/>
              <w:snapToGrid/>
              <w:spacing w:before="0" w:beforeLines="0" w:after="0" w:afterLines="0"/>
              <w:ind w:left="0" w:leftChars="0" w:firstLine="0" w:firstLineChars="0"/>
              <w:textAlignment w:val="auto"/>
              <w:rPr>
                <w:rFonts w:hint="eastAsia"/>
              </w:rPr>
            </w:pPr>
            <w:r>
              <w:rPr>
                <w:rFonts w:hint="eastAsia" w:ascii="Times New Roman" w:hAnsi="Times New Roman" w:eastAsia="宋体" w:cs="宋体"/>
                <w:b/>
                <w:bCs/>
                <w:color w:val="000000"/>
                <w:kern w:val="44"/>
                <w:sz w:val="30"/>
                <w:szCs w:val="32"/>
                <w:lang w:val="en-US" w:eastAsia="zh-CN" w:bidi="ar-SA"/>
              </w:rPr>
              <w:t>2.4</w:t>
            </w:r>
            <w:r>
              <w:rPr>
                <w:rFonts w:hint="eastAsia"/>
              </w:rPr>
              <w:t>项目水平衡</w:t>
            </w:r>
          </w:p>
          <w:p w14:paraId="591FA2D3">
            <w:pPr>
              <w:pStyle w:val="6"/>
              <w:keepNext/>
              <w:keepLines/>
              <w:pageBreakBefore w:val="0"/>
              <w:widowControl w:val="0"/>
              <w:numPr>
                <w:ilvl w:val="0"/>
                <w:numId w:val="0"/>
              </w:numPr>
              <w:tabs>
                <w:tab w:val="left" w:pos="0"/>
              </w:tabs>
              <w:kinsoku/>
              <w:wordWrap/>
              <w:overflowPunct/>
              <w:topLinePunct w:val="0"/>
              <w:autoSpaceDE/>
              <w:autoSpaceDN/>
              <w:bidi w:val="0"/>
              <w:adjustRightInd/>
              <w:snapToGrid/>
              <w:ind w:left="0" w:leftChars="0" w:firstLine="0" w:firstLineChars="0"/>
              <w:textAlignment w:val="auto"/>
            </w:pPr>
            <w:r>
              <w:rPr>
                <w:rFonts w:hint="eastAsia" w:ascii="Times New Roman" w:hAnsi="Times New Roman" w:eastAsia="宋体" w:cs="宋体"/>
                <w:b/>
                <w:bCs/>
                <w:kern w:val="2"/>
                <w:sz w:val="28"/>
                <w:szCs w:val="32"/>
                <w:lang w:val="en-US" w:eastAsia="zh-CN" w:bidi="ar-SA"/>
              </w:rPr>
              <w:t>2.4.1</w:t>
            </w:r>
            <w:r>
              <w:rPr>
                <w:rFonts w:hint="eastAsia"/>
              </w:rPr>
              <w:t>给水</w:t>
            </w:r>
          </w:p>
          <w:p w14:paraId="53CEAA25">
            <w:pPr>
              <w:pStyle w:val="76"/>
              <w:ind w:firstLine="480"/>
            </w:pPr>
            <w:r>
              <w:t>项目用水主要包括员工生活用水、宠物美容清洗用水和宠物医疗用水。</w:t>
            </w:r>
          </w:p>
          <w:p w14:paraId="1D27745F">
            <w:pPr>
              <w:pStyle w:val="76"/>
              <w:ind w:firstLine="480"/>
              <w:rPr>
                <w:rFonts w:hint="default"/>
              </w:rPr>
            </w:pPr>
            <w:r>
              <w:t>（1）员工生活用水</w:t>
            </w:r>
          </w:p>
          <w:p w14:paraId="6EF79D66">
            <w:pPr>
              <w:spacing w:line="360" w:lineRule="auto"/>
              <w:ind w:firstLine="480"/>
            </w:pPr>
            <w:r>
              <w:rPr>
                <w:rFonts w:hint="eastAsia"/>
              </w:rPr>
              <w:t>根据《福建省行业用水定额》（DB35/T772-2018）</w:t>
            </w:r>
            <w:r>
              <w:rPr>
                <w:rFonts w:hint="eastAsia"/>
                <w:color w:val="auto"/>
              </w:rPr>
              <w:t>中“表 6 第三产业用水定额表-9390 其他卫生活动-医务人员-160升每人日”，本项目医务人员</w:t>
            </w:r>
            <w:r>
              <w:rPr>
                <w:rFonts w:hint="eastAsia"/>
                <w:color w:val="auto"/>
                <w:lang w:val="en-US" w:eastAsia="zh-CN"/>
              </w:rPr>
              <w:t>5</w:t>
            </w:r>
            <w:r>
              <w:rPr>
                <w:rFonts w:hint="eastAsia"/>
                <w:color w:val="auto"/>
              </w:rPr>
              <w:t>人，则日用水量为</w:t>
            </w:r>
            <w:r>
              <w:rPr>
                <w:rFonts w:hint="eastAsia"/>
                <w:color w:val="auto"/>
                <w:lang w:val="en-US" w:eastAsia="zh-CN"/>
              </w:rPr>
              <w:t>0.8</w:t>
            </w:r>
            <w:r>
              <w:rPr>
                <w:rFonts w:hint="eastAsia"/>
                <w:color w:val="auto"/>
              </w:rPr>
              <w:t>m</w:t>
            </w:r>
            <w:r>
              <w:rPr>
                <w:rFonts w:hint="eastAsia"/>
                <w:color w:val="auto"/>
                <w:vertAlign w:val="superscript"/>
              </w:rPr>
              <w:t>3</w:t>
            </w:r>
            <w:r>
              <w:rPr>
                <w:rFonts w:hint="eastAsia"/>
                <w:color w:val="auto"/>
              </w:rPr>
              <w:t>/d，项目年运营时间为36</w:t>
            </w:r>
            <w:r>
              <w:rPr>
                <w:rFonts w:hint="eastAsia"/>
                <w:color w:val="auto"/>
                <w:lang w:val="en-US" w:eastAsia="zh-CN"/>
              </w:rPr>
              <w:t>0</w:t>
            </w:r>
            <w:r>
              <w:rPr>
                <w:rFonts w:hint="eastAsia"/>
                <w:color w:val="auto"/>
              </w:rPr>
              <w:t>天，则年用水量为</w:t>
            </w:r>
            <w:r>
              <w:rPr>
                <w:rFonts w:hint="eastAsia"/>
                <w:color w:val="auto"/>
                <w:lang w:val="en-US" w:eastAsia="zh-CN"/>
              </w:rPr>
              <w:t>288</w:t>
            </w:r>
            <w:r>
              <w:rPr>
                <w:rFonts w:hint="eastAsia"/>
                <w:color w:val="auto"/>
              </w:rPr>
              <w:t>m</w:t>
            </w:r>
            <w:r>
              <w:rPr>
                <w:rFonts w:hint="eastAsia"/>
                <w:color w:val="auto"/>
                <w:vertAlign w:val="superscript"/>
              </w:rPr>
              <w:t>3</w:t>
            </w:r>
            <w:r>
              <w:rPr>
                <w:rFonts w:hint="eastAsia"/>
                <w:color w:val="auto"/>
              </w:rPr>
              <w:t>/a。</w:t>
            </w:r>
          </w:p>
          <w:p w14:paraId="134A509F">
            <w:pPr>
              <w:pStyle w:val="76"/>
              <w:ind w:firstLine="480"/>
            </w:pPr>
            <w:r>
              <w:t>（2）宠物美容清洗用水</w:t>
            </w:r>
          </w:p>
          <w:p w14:paraId="7430E898">
            <w:pPr>
              <w:pStyle w:val="76"/>
              <w:ind w:firstLine="480"/>
            </w:pPr>
            <w:r>
              <w:t>本次环评宠物美容清洗用水参考《济南云宠乐善宠物医院有限公司浆水泉路分公司宠物医院项目竣工环境保护验收监测报告》（2019年6月）中项目运营期实际用水情况</w:t>
            </w:r>
            <w:r>
              <w:rPr>
                <w:rFonts w:hint="eastAsia"/>
                <w:lang w:eastAsia="zh-CN"/>
              </w:rPr>
              <w:t>：</w:t>
            </w:r>
            <w:r>
              <w:t>该项目日接待8例美容宠物，全年工作365天，每天12小时，美容清洗用水为175.2m</w:t>
            </w:r>
            <w:r>
              <w:rPr>
                <w:vertAlign w:val="superscript"/>
              </w:rPr>
              <w:t>3</w:t>
            </w:r>
            <w:r>
              <w:t>/a，则宠物美容清洗用水约合60L/每例。</w:t>
            </w:r>
          </w:p>
          <w:p w14:paraId="07FB2D70">
            <w:pPr>
              <w:pStyle w:val="76"/>
              <w:ind w:firstLine="480"/>
              <w:rPr>
                <w:color w:val="auto"/>
              </w:rPr>
            </w:pPr>
            <w:r>
              <w:rPr>
                <w:color w:val="auto"/>
              </w:rPr>
              <w:t>本项目建成运营后拟美容清洗</w:t>
            </w:r>
            <w:r>
              <w:rPr>
                <w:rFonts w:hint="eastAsia"/>
                <w:color w:val="auto"/>
                <w:lang w:val="en-US" w:eastAsia="zh-CN"/>
              </w:rPr>
              <w:t>2</w:t>
            </w:r>
            <w:r>
              <w:rPr>
                <w:color w:val="auto"/>
              </w:rPr>
              <w:t>例/d，年运行36</w:t>
            </w:r>
            <w:r>
              <w:rPr>
                <w:rFonts w:hint="eastAsia"/>
                <w:color w:val="auto"/>
                <w:lang w:val="en-US" w:eastAsia="zh-CN"/>
              </w:rPr>
              <w:t>0</w:t>
            </w:r>
            <w:r>
              <w:rPr>
                <w:color w:val="auto"/>
              </w:rPr>
              <w:t>天，则宠物美容清洗用水量约合0.</w:t>
            </w:r>
            <w:r>
              <w:rPr>
                <w:rFonts w:hint="eastAsia"/>
                <w:color w:val="auto"/>
                <w:lang w:val="en-US" w:eastAsia="zh-CN"/>
              </w:rPr>
              <w:t>12</w:t>
            </w:r>
            <w:r>
              <w:rPr>
                <w:color w:val="auto"/>
              </w:rPr>
              <w:t>m</w:t>
            </w:r>
            <w:r>
              <w:rPr>
                <w:color w:val="auto"/>
                <w:vertAlign w:val="superscript"/>
              </w:rPr>
              <w:t>3</w:t>
            </w:r>
            <w:r>
              <w:rPr>
                <w:color w:val="auto"/>
              </w:rPr>
              <w:t>/d（</w:t>
            </w:r>
            <w:r>
              <w:rPr>
                <w:rFonts w:hint="eastAsia"/>
                <w:color w:val="auto"/>
                <w:lang w:val="en-US" w:eastAsia="zh-CN"/>
              </w:rPr>
              <w:t>43.2</w:t>
            </w:r>
            <w:r>
              <w:rPr>
                <w:color w:val="auto"/>
              </w:rPr>
              <w:t>m</w:t>
            </w:r>
            <w:r>
              <w:rPr>
                <w:color w:val="auto"/>
                <w:vertAlign w:val="superscript"/>
              </w:rPr>
              <w:t>3</w:t>
            </w:r>
            <w:r>
              <w:rPr>
                <w:color w:val="auto"/>
              </w:rPr>
              <w:t>/a）。</w:t>
            </w:r>
          </w:p>
          <w:p w14:paraId="5E3A464A">
            <w:pPr>
              <w:pStyle w:val="76"/>
              <w:ind w:firstLine="480"/>
            </w:pPr>
            <w:r>
              <w:t>（3）宠物医疗用水</w:t>
            </w:r>
          </w:p>
          <w:p w14:paraId="5CE7C550">
            <w:pPr>
              <w:pStyle w:val="76"/>
              <w:ind w:firstLine="480"/>
            </w:pPr>
            <w:r>
              <w:t>本次环评宠物医疗用水参考《济南云宠乐善宠物医院有限公司浆水泉路分公司宠物医院项目竣工环境保护验收监测报告》（2019年6月）中项目运营期实际用水情况</w:t>
            </w:r>
            <w:r>
              <w:rPr>
                <w:rFonts w:hint="eastAsia"/>
                <w:lang w:eastAsia="zh-CN"/>
              </w:rPr>
              <w:t>：</w:t>
            </w:r>
            <w:r>
              <w:t>该项目日接待15例宠物医疗，全年工作365天，每天12小时，宠物医疗用水为82.125m</w:t>
            </w:r>
            <w:r>
              <w:rPr>
                <w:vertAlign w:val="superscript"/>
              </w:rPr>
              <w:t>3</w:t>
            </w:r>
            <w:r>
              <w:t>/a，则宠物医疗用水约合15L/每例。</w:t>
            </w:r>
          </w:p>
          <w:p w14:paraId="4F7FABFA">
            <w:pPr>
              <w:pStyle w:val="76"/>
              <w:ind w:firstLine="480"/>
              <w:rPr>
                <w:color w:val="auto"/>
              </w:rPr>
            </w:pPr>
            <w:r>
              <w:rPr>
                <w:color w:val="auto"/>
              </w:rPr>
              <w:t>本项目建成运营后拟接待</w:t>
            </w:r>
            <w:r>
              <w:rPr>
                <w:rFonts w:hint="eastAsia"/>
                <w:color w:val="auto"/>
                <w:lang w:val="en-US" w:eastAsia="zh-CN"/>
              </w:rPr>
              <w:t>2</w:t>
            </w:r>
            <w:r>
              <w:rPr>
                <w:color w:val="auto"/>
              </w:rPr>
              <w:t>例/d，年运行36</w:t>
            </w:r>
            <w:r>
              <w:rPr>
                <w:rFonts w:hint="eastAsia"/>
                <w:color w:val="auto"/>
                <w:lang w:val="en-US" w:eastAsia="zh-CN"/>
              </w:rPr>
              <w:t>0</w:t>
            </w:r>
            <w:r>
              <w:rPr>
                <w:color w:val="auto"/>
              </w:rPr>
              <w:t>天，则宠物美容清洗用水量约合0.0</w:t>
            </w:r>
            <w:r>
              <w:rPr>
                <w:rFonts w:hint="eastAsia"/>
                <w:color w:val="auto"/>
                <w:lang w:val="en-US" w:eastAsia="zh-CN"/>
              </w:rPr>
              <w:t>3</w:t>
            </w:r>
            <w:r>
              <w:rPr>
                <w:color w:val="auto"/>
              </w:rPr>
              <w:t>m</w:t>
            </w:r>
            <w:r>
              <w:rPr>
                <w:color w:val="auto"/>
                <w:vertAlign w:val="superscript"/>
              </w:rPr>
              <w:t>3</w:t>
            </w:r>
            <w:r>
              <w:rPr>
                <w:color w:val="auto"/>
              </w:rPr>
              <w:t>/d（</w:t>
            </w:r>
            <w:r>
              <w:rPr>
                <w:rFonts w:hint="eastAsia"/>
                <w:color w:val="auto"/>
                <w:lang w:val="en-US" w:eastAsia="zh-CN"/>
              </w:rPr>
              <w:t>10.8</w:t>
            </w:r>
            <w:r>
              <w:rPr>
                <w:color w:val="auto"/>
              </w:rPr>
              <w:t>m</w:t>
            </w:r>
            <w:r>
              <w:rPr>
                <w:color w:val="auto"/>
                <w:vertAlign w:val="superscript"/>
              </w:rPr>
              <w:t>3</w:t>
            </w:r>
            <w:r>
              <w:rPr>
                <w:color w:val="auto"/>
              </w:rPr>
              <w:t>/a）。</w:t>
            </w:r>
          </w:p>
          <w:p w14:paraId="09CE00FF">
            <w:pPr>
              <w:pStyle w:val="76"/>
              <w:ind w:firstLine="480"/>
              <w:rPr>
                <w:rFonts w:hint="default"/>
                <w:color w:val="auto"/>
              </w:rPr>
            </w:pPr>
            <w:r>
              <w:rPr>
                <w:color w:val="auto"/>
              </w:rPr>
              <w:t>项目用水见表2.4-1。</w:t>
            </w:r>
          </w:p>
          <w:p w14:paraId="2FBFBF7D">
            <w:pPr>
              <w:pStyle w:val="63"/>
              <w:numPr>
                <w:ilvl w:val="0"/>
                <w:numId w:val="0"/>
              </w:numPr>
              <w:ind w:left="0" w:leftChars="0" w:firstLine="0" w:firstLineChars="0"/>
              <w:rPr>
                <w:color w:val="auto"/>
              </w:rPr>
            </w:pPr>
            <w:r>
              <w:rPr>
                <w:rFonts w:hint="eastAsia" w:ascii="Times New Roman" w:hAnsi="Times New Roman" w:eastAsia="宋体" w:cs="宋体"/>
                <w:b/>
                <w:color w:val="auto"/>
                <w:kern w:val="2"/>
                <w:sz w:val="24"/>
                <w:szCs w:val="24"/>
                <w:lang w:val="en-US" w:eastAsia="zh-CN" w:bidi="ar-SA"/>
              </w:rPr>
              <w:t>表2.4-1</w:t>
            </w:r>
            <w:r>
              <w:rPr>
                <w:rFonts w:hint="eastAsia"/>
                <w:color w:val="auto"/>
              </w:rPr>
              <w:t>用</w:t>
            </w:r>
            <w:r>
              <w:rPr>
                <w:color w:val="auto"/>
              </w:rPr>
              <w:t>水量一览表</w:t>
            </w:r>
          </w:p>
          <w:tbl>
            <w:tblPr>
              <w:tblStyle w:val="25"/>
              <w:tblW w:w="8370" w:type="dxa"/>
              <w:tblInd w:w="-156"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15" w:type="dxa"/>
                <w:left w:w="15" w:type="dxa"/>
                <w:bottom w:w="15" w:type="dxa"/>
                <w:right w:w="15" w:type="dxa"/>
              </w:tblCellMar>
            </w:tblPr>
            <w:tblGrid>
              <w:gridCol w:w="2570"/>
              <w:gridCol w:w="2100"/>
              <w:gridCol w:w="1652"/>
              <w:gridCol w:w="2048"/>
            </w:tblGrid>
            <w:tr w14:paraId="6DC15B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2570" w:type="dxa"/>
                  <w:noWrap w:val="0"/>
                  <w:vAlign w:val="center"/>
                </w:tcPr>
                <w:p w14:paraId="51764359">
                  <w:pPr>
                    <w:pStyle w:val="66"/>
                    <w:rPr>
                      <w:color w:val="auto"/>
                    </w:rPr>
                  </w:pPr>
                  <w:r>
                    <w:rPr>
                      <w:color w:val="auto"/>
                    </w:rPr>
                    <w:t>项目</w:t>
                  </w:r>
                </w:p>
              </w:tc>
              <w:tc>
                <w:tcPr>
                  <w:tcW w:w="2100" w:type="dxa"/>
                  <w:noWrap w:val="0"/>
                  <w:vAlign w:val="center"/>
                </w:tcPr>
                <w:p w14:paraId="1831AA19">
                  <w:pPr>
                    <w:pStyle w:val="66"/>
                    <w:rPr>
                      <w:color w:val="auto"/>
                    </w:rPr>
                  </w:pPr>
                  <w:r>
                    <w:rPr>
                      <w:color w:val="auto"/>
                    </w:rPr>
                    <w:t>日用水量（</w:t>
                  </w:r>
                  <w:r>
                    <w:rPr>
                      <w:color w:val="auto"/>
                      <w:sz w:val="24"/>
                    </w:rPr>
                    <w:t>m</w:t>
                  </w:r>
                  <w:r>
                    <w:rPr>
                      <w:color w:val="auto"/>
                      <w:sz w:val="24"/>
                      <w:vertAlign w:val="superscript"/>
                    </w:rPr>
                    <w:t>3</w:t>
                  </w:r>
                  <w:r>
                    <w:rPr>
                      <w:rFonts w:hint="eastAsia"/>
                      <w:color w:val="auto"/>
                    </w:rPr>
                    <w:t>/d</w:t>
                  </w:r>
                  <w:r>
                    <w:rPr>
                      <w:color w:val="auto"/>
                    </w:rPr>
                    <w:t>）</w:t>
                  </w:r>
                </w:p>
              </w:tc>
              <w:tc>
                <w:tcPr>
                  <w:tcW w:w="1652" w:type="dxa"/>
                  <w:noWrap w:val="0"/>
                  <w:vAlign w:val="center"/>
                </w:tcPr>
                <w:p w14:paraId="1D9C924C">
                  <w:pPr>
                    <w:pStyle w:val="66"/>
                    <w:rPr>
                      <w:color w:val="auto"/>
                    </w:rPr>
                  </w:pPr>
                  <w:r>
                    <w:rPr>
                      <w:color w:val="auto"/>
                    </w:rPr>
                    <w:t>年用水量（</w:t>
                  </w:r>
                  <w:r>
                    <w:rPr>
                      <w:color w:val="auto"/>
                      <w:sz w:val="24"/>
                    </w:rPr>
                    <w:t>m</w:t>
                  </w:r>
                  <w:r>
                    <w:rPr>
                      <w:color w:val="auto"/>
                      <w:sz w:val="24"/>
                      <w:vertAlign w:val="superscript"/>
                    </w:rPr>
                    <w:t>3</w:t>
                  </w:r>
                  <w:r>
                    <w:rPr>
                      <w:rFonts w:hint="eastAsia"/>
                      <w:color w:val="auto"/>
                    </w:rPr>
                    <w:t>/a</w:t>
                  </w:r>
                  <w:r>
                    <w:rPr>
                      <w:color w:val="auto"/>
                    </w:rPr>
                    <w:t>）</w:t>
                  </w:r>
                </w:p>
              </w:tc>
              <w:tc>
                <w:tcPr>
                  <w:tcW w:w="2048" w:type="dxa"/>
                  <w:noWrap w:val="0"/>
                  <w:vAlign w:val="center"/>
                </w:tcPr>
                <w:p w14:paraId="758D51AC">
                  <w:pPr>
                    <w:pStyle w:val="66"/>
                    <w:rPr>
                      <w:rFonts w:hint="eastAsia"/>
                      <w:color w:val="auto"/>
                    </w:rPr>
                  </w:pPr>
                  <w:r>
                    <w:rPr>
                      <w:rFonts w:hint="eastAsia"/>
                      <w:color w:val="auto"/>
                    </w:rPr>
                    <w:t>来源</w:t>
                  </w:r>
                </w:p>
              </w:tc>
            </w:tr>
            <w:tr w14:paraId="307F469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18" w:hRule="atLeast"/>
              </w:trPr>
              <w:tc>
                <w:tcPr>
                  <w:tcW w:w="2570" w:type="dxa"/>
                  <w:noWrap w:val="0"/>
                  <w:vAlign w:val="center"/>
                </w:tcPr>
                <w:p w14:paraId="457186E2">
                  <w:pPr>
                    <w:pStyle w:val="66"/>
                    <w:rPr>
                      <w:rFonts w:hint="eastAsia"/>
                      <w:color w:val="auto"/>
                    </w:rPr>
                  </w:pPr>
                  <w:r>
                    <w:rPr>
                      <w:rFonts w:hint="eastAsia"/>
                      <w:color w:val="auto"/>
                    </w:rPr>
                    <w:t>生活用水</w:t>
                  </w:r>
                </w:p>
              </w:tc>
              <w:tc>
                <w:tcPr>
                  <w:tcW w:w="2100" w:type="dxa"/>
                  <w:noWrap w:val="0"/>
                  <w:vAlign w:val="center"/>
                </w:tcPr>
                <w:p w14:paraId="3F2D98E4">
                  <w:pPr>
                    <w:pStyle w:val="67"/>
                    <w:rPr>
                      <w:rFonts w:hint="default" w:eastAsia="宋体"/>
                      <w:color w:val="auto"/>
                      <w:lang w:val="en-US" w:eastAsia="zh-CN"/>
                    </w:rPr>
                  </w:pPr>
                  <w:r>
                    <w:rPr>
                      <w:rFonts w:hint="eastAsia"/>
                      <w:color w:val="auto"/>
                      <w:lang w:val="en-US" w:eastAsia="zh-CN"/>
                    </w:rPr>
                    <w:t>0.8</w:t>
                  </w:r>
                </w:p>
              </w:tc>
              <w:tc>
                <w:tcPr>
                  <w:tcW w:w="1652" w:type="dxa"/>
                  <w:noWrap w:val="0"/>
                  <w:vAlign w:val="center"/>
                </w:tcPr>
                <w:p w14:paraId="4ABE391C">
                  <w:pPr>
                    <w:pStyle w:val="67"/>
                    <w:rPr>
                      <w:rFonts w:hint="default" w:eastAsia="宋体"/>
                      <w:color w:val="auto"/>
                      <w:lang w:val="en-US" w:eastAsia="zh-CN"/>
                    </w:rPr>
                  </w:pPr>
                  <w:r>
                    <w:rPr>
                      <w:rFonts w:hint="eastAsia"/>
                      <w:color w:val="auto"/>
                      <w:lang w:val="en-US" w:eastAsia="zh-CN"/>
                    </w:rPr>
                    <w:t>288</w:t>
                  </w:r>
                </w:p>
              </w:tc>
              <w:tc>
                <w:tcPr>
                  <w:tcW w:w="2048" w:type="dxa"/>
                  <w:vMerge w:val="restart"/>
                  <w:noWrap w:val="0"/>
                  <w:vAlign w:val="center"/>
                </w:tcPr>
                <w:p w14:paraId="79A1ED48">
                  <w:pPr>
                    <w:pStyle w:val="66"/>
                    <w:rPr>
                      <w:color w:val="auto"/>
                    </w:rPr>
                  </w:pPr>
                  <w:r>
                    <w:rPr>
                      <w:rFonts w:hint="eastAsia"/>
                      <w:color w:val="auto"/>
                    </w:rPr>
                    <w:t>市政自来水</w:t>
                  </w:r>
                </w:p>
              </w:tc>
            </w:tr>
            <w:tr w14:paraId="0DF022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195" w:hRule="atLeast"/>
              </w:trPr>
              <w:tc>
                <w:tcPr>
                  <w:tcW w:w="2570" w:type="dxa"/>
                  <w:noWrap w:val="0"/>
                  <w:vAlign w:val="center"/>
                </w:tcPr>
                <w:p w14:paraId="41CE6DF0">
                  <w:pPr>
                    <w:pStyle w:val="66"/>
                    <w:rPr>
                      <w:rFonts w:hint="eastAsia"/>
                      <w:color w:val="auto"/>
                    </w:rPr>
                  </w:pPr>
                  <w:r>
                    <w:rPr>
                      <w:rFonts w:hint="eastAsia"/>
                      <w:color w:val="auto"/>
                    </w:rPr>
                    <w:t>宠物美容清洗用水</w:t>
                  </w:r>
                </w:p>
              </w:tc>
              <w:tc>
                <w:tcPr>
                  <w:tcW w:w="2100" w:type="dxa"/>
                  <w:noWrap w:val="0"/>
                  <w:vAlign w:val="center"/>
                </w:tcPr>
                <w:p w14:paraId="077D4571">
                  <w:pPr>
                    <w:pStyle w:val="67"/>
                    <w:rPr>
                      <w:rFonts w:hint="default" w:eastAsia="宋体"/>
                      <w:color w:val="auto"/>
                      <w:lang w:val="en-US" w:eastAsia="zh-CN"/>
                    </w:rPr>
                  </w:pPr>
                  <w:r>
                    <w:rPr>
                      <w:color w:val="auto"/>
                    </w:rPr>
                    <w:t>0.</w:t>
                  </w:r>
                  <w:r>
                    <w:rPr>
                      <w:rFonts w:hint="eastAsia"/>
                      <w:color w:val="auto"/>
                      <w:lang w:val="en-US" w:eastAsia="zh-CN"/>
                    </w:rPr>
                    <w:t>12</w:t>
                  </w:r>
                </w:p>
              </w:tc>
              <w:tc>
                <w:tcPr>
                  <w:tcW w:w="1652" w:type="dxa"/>
                  <w:noWrap w:val="0"/>
                  <w:vAlign w:val="center"/>
                </w:tcPr>
                <w:p w14:paraId="7472C0E9">
                  <w:pPr>
                    <w:pStyle w:val="67"/>
                    <w:rPr>
                      <w:rFonts w:hint="default" w:eastAsia="宋体"/>
                      <w:color w:val="auto"/>
                      <w:lang w:val="en-US" w:eastAsia="zh-CN"/>
                    </w:rPr>
                  </w:pPr>
                  <w:r>
                    <w:rPr>
                      <w:rFonts w:hint="eastAsia"/>
                      <w:color w:val="auto"/>
                      <w:lang w:val="en-US" w:eastAsia="zh-CN"/>
                    </w:rPr>
                    <w:t>43.2</w:t>
                  </w:r>
                </w:p>
              </w:tc>
              <w:tc>
                <w:tcPr>
                  <w:tcW w:w="2048" w:type="dxa"/>
                  <w:vMerge w:val="continue"/>
                  <w:noWrap w:val="0"/>
                  <w:vAlign w:val="center"/>
                </w:tcPr>
                <w:p w14:paraId="51B1F3D2">
                  <w:pPr>
                    <w:pStyle w:val="66"/>
                    <w:rPr>
                      <w:color w:val="auto"/>
                    </w:rPr>
                  </w:pPr>
                </w:p>
              </w:tc>
            </w:tr>
            <w:tr w14:paraId="143C6A2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145" w:hRule="atLeast"/>
              </w:trPr>
              <w:tc>
                <w:tcPr>
                  <w:tcW w:w="2570" w:type="dxa"/>
                  <w:noWrap w:val="0"/>
                  <w:vAlign w:val="center"/>
                </w:tcPr>
                <w:p w14:paraId="3C0FB023">
                  <w:pPr>
                    <w:pStyle w:val="66"/>
                    <w:rPr>
                      <w:rFonts w:hint="eastAsia"/>
                      <w:color w:val="auto"/>
                    </w:rPr>
                  </w:pPr>
                  <w:r>
                    <w:rPr>
                      <w:rFonts w:hint="eastAsia"/>
                      <w:color w:val="auto"/>
                    </w:rPr>
                    <w:t>宠物医疗用水</w:t>
                  </w:r>
                </w:p>
              </w:tc>
              <w:tc>
                <w:tcPr>
                  <w:tcW w:w="2100" w:type="dxa"/>
                  <w:noWrap w:val="0"/>
                  <w:vAlign w:val="center"/>
                </w:tcPr>
                <w:p w14:paraId="5A513720">
                  <w:pPr>
                    <w:pStyle w:val="67"/>
                    <w:rPr>
                      <w:rFonts w:hint="eastAsia" w:eastAsia="宋体"/>
                      <w:color w:val="auto"/>
                      <w:lang w:eastAsia="zh-CN"/>
                    </w:rPr>
                  </w:pPr>
                  <w:r>
                    <w:rPr>
                      <w:color w:val="auto"/>
                    </w:rPr>
                    <w:t>0.0</w:t>
                  </w:r>
                  <w:r>
                    <w:rPr>
                      <w:rFonts w:hint="eastAsia"/>
                      <w:color w:val="auto"/>
                      <w:lang w:val="en-US" w:eastAsia="zh-CN"/>
                    </w:rPr>
                    <w:t>3</w:t>
                  </w:r>
                </w:p>
              </w:tc>
              <w:tc>
                <w:tcPr>
                  <w:tcW w:w="1652" w:type="dxa"/>
                  <w:noWrap w:val="0"/>
                  <w:vAlign w:val="center"/>
                </w:tcPr>
                <w:p w14:paraId="45E36279">
                  <w:pPr>
                    <w:pStyle w:val="67"/>
                    <w:rPr>
                      <w:rFonts w:hint="default" w:eastAsia="宋体"/>
                      <w:color w:val="auto"/>
                      <w:lang w:val="en-US" w:eastAsia="zh-CN"/>
                    </w:rPr>
                  </w:pPr>
                  <w:r>
                    <w:rPr>
                      <w:rFonts w:hint="eastAsia"/>
                      <w:color w:val="auto"/>
                      <w:lang w:val="en-US" w:eastAsia="zh-CN"/>
                    </w:rPr>
                    <w:t>10.8</w:t>
                  </w:r>
                </w:p>
              </w:tc>
              <w:tc>
                <w:tcPr>
                  <w:tcW w:w="2048" w:type="dxa"/>
                  <w:vMerge w:val="continue"/>
                  <w:noWrap w:val="0"/>
                  <w:vAlign w:val="center"/>
                </w:tcPr>
                <w:p w14:paraId="157F07DA">
                  <w:pPr>
                    <w:pStyle w:val="66"/>
                    <w:rPr>
                      <w:color w:val="auto"/>
                    </w:rPr>
                  </w:pPr>
                </w:p>
              </w:tc>
            </w:tr>
            <w:tr w14:paraId="3F7E9D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15" w:hRule="atLeast"/>
              </w:trPr>
              <w:tc>
                <w:tcPr>
                  <w:tcW w:w="2570" w:type="dxa"/>
                  <w:noWrap w:val="0"/>
                  <w:vAlign w:val="center"/>
                </w:tcPr>
                <w:p w14:paraId="4E58606D">
                  <w:pPr>
                    <w:pStyle w:val="66"/>
                    <w:rPr>
                      <w:color w:val="auto"/>
                    </w:rPr>
                  </w:pPr>
                  <w:r>
                    <w:rPr>
                      <w:color w:val="auto"/>
                    </w:rPr>
                    <w:t>合计</w:t>
                  </w:r>
                </w:p>
              </w:tc>
              <w:tc>
                <w:tcPr>
                  <w:tcW w:w="2100" w:type="dxa"/>
                  <w:noWrap w:val="0"/>
                  <w:vAlign w:val="center"/>
                </w:tcPr>
                <w:p w14:paraId="7A80688B">
                  <w:pPr>
                    <w:pStyle w:val="67"/>
                    <w:rPr>
                      <w:rFonts w:hint="default" w:eastAsia="宋体"/>
                      <w:color w:val="auto"/>
                      <w:lang w:val="en-US" w:eastAsia="zh-CN"/>
                    </w:rPr>
                  </w:pPr>
                  <w:r>
                    <w:rPr>
                      <w:rFonts w:hint="eastAsia"/>
                      <w:color w:val="auto"/>
                      <w:lang w:val="en-US" w:eastAsia="zh-CN"/>
                    </w:rPr>
                    <w:t>0.95</w:t>
                  </w:r>
                </w:p>
              </w:tc>
              <w:tc>
                <w:tcPr>
                  <w:tcW w:w="1652" w:type="dxa"/>
                  <w:noWrap w:val="0"/>
                  <w:vAlign w:val="center"/>
                </w:tcPr>
                <w:p w14:paraId="40D5905C">
                  <w:pPr>
                    <w:pStyle w:val="67"/>
                    <w:rPr>
                      <w:rFonts w:hint="default" w:eastAsia="宋体"/>
                      <w:color w:val="auto"/>
                      <w:lang w:val="en-US" w:eastAsia="zh-CN"/>
                    </w:rPr>
                  </w:pPr>
                  <w:r>
                    <w:rPr>
                      <w:rFonts w:hint="eastAsia"/>
                      <w:color w:val="auto"/>
                      <w:lang w:val="en-US" w:eastAsia="zh-CN"/>
                    </w:rPr>
                    <w:t>342</w:t>
                  </w:r>
                </w:p>
              </w:tc>
              <w:tc>
                <w:tcPr>
                  <w:tcW w:w="2048" w:type="dxa"/>
                  <w:noWrap w:val="0"/>
                  <w:vAlign w:val="center"/>
                </w:tcPr>
                <w:p w14:paraId="3BCB7F39">
                  <w:pPr>
                    <w:pStyle w:val="66"/>
                    <w:rPr>
                      <w:color w:val="auto"/>
                    </w:rPr>
                  </w:pPr>
                  <w:r>
                    <w:rPr>
                      <w:rFonts w:hint="eastAsia"/>
                      <w:color w:val="auto"/>
                    </w:rPr>
                    <w:t>/</w:t>
                  </w:r>
                </w:p>
              </w:tc>
            </w:tr>
          </w:tbl>
          <w:p w14:paraId="181529E2">
            <w:pPr>
              <w:pStyle w:val="6"/>
              <w:numPr>
                <w:ilvl w:val="0"/>
                <w:numId w:val="0"/>
              </w:numPr>
              <w:tabs>
                <w:tab w:val="left" w:pos="0"/>
              </w:tabs>
              <w:ind w:left="0" w:leftChars="0" w:firstLine="0" w:firstLineChars="0"/>
              <w:rPr>
                <w:rFonts w:hint="eastAsia"/>
                <w:color w:val="auto"/>
              </w:rPr>
            </w:pPr>
            <w:r>
              <w:rPr>
                <w:rFonts w:hint="eastAsia" w:ascii="Times New Roman" w:hAnsi="Times New Roman" w:eastAsia="宋体" w:cs="宋体"/>
                <w:b/>
                <w:bCs/>
                <w:color w:val="auto"/>
                <w:kern w:val="2"/>
                <w:sz w:val="28"/>
                <w:szCs w:val="32"/>
                <w:lang w:val="en-US" w:eastAsia="zh-CN" w:bidi="ar-SA"/>
              </w:rPr>
              <w:t>2.4.2</w:t>
            </w:r>
            <w:r>
              <w:rPr>
                <w:rFonts w:hint="eastAsia"/>
                <w:color w:val="auto"/>
              </w:rPr>
              <w:t>排水</w:t>
            </w:r>
          </w:p>
          <w:p w14:paraId="754DAA6C">
            <w:pPr>
              <w:pStyle w:val="76"/>
              <w:ind w:firstLine="480"/>
            </w:pPr>
            <w:r>
              <w:t>项目</w:t>
            </w:r>
            <w:r>
              <w:rPr>
                <w:rFonts w:hint="eastAsia"/>
                <w:lang w:val="en-US" w:eastAsia="zh-CN"/>
              </w:rPr>
              <w:t>排</w:t>
            </w:r>
            <w:r>
              <w:t>水主要包括员工生活污水、宠物美容清洗废水和宠物医疗废水。</w:t>
            </w:r>
          </w:p>
          <w:p w14:paraId="1691B7D3">
            <w:pPr>
              <w:pStyle w:val="76"/>
              <w:ind w:firstLine="480"/>
            </w:pPr>
            <w:r>
              <w:t>（1）生活污水</w:t>
            </w:r>
          </w:p>
          <w:p w14:paraId="6927DA5A">
            <w:pPr>
              <w:pStyle w:val="76"/>
              <w:ind w:firstLine="480"/>
              <w:rPr>
                <w:color w:val="auto"/>
              </w:rPr>
            </w:pPr>
            <w:r>
              <w:t>项目医务人员生活污水经化粪池处理达到</w:t>
            </w:r>
            <w:r>
              <w:rPr>
                <w:rFonts w:hint="default" w:cs="Times New Roman"/>
              </w:rPr>
              <w:t>《医疗机构水污染物排放标准》（GB18466-2005）表2中的预处理标准</w:t>
            </w:r>
            <w:r>
              <w:rPr>
                <w:rFonts w:cs="Times New Roman"/>
              </w:rPr>
              <w:t>（</w:t>
            </w:r>
            <w:r>
              <w:rPr>
                <w:rFonts w:hint="default"/>
              </w:rPr>
              <w:t>氨氮指标参照执行《污水排入城镇下水道水质标准》（GB/T31962-2015）表1中B级标准）排</w:t>
            </w:r>
            <w:r>
              <w:rPr>
                <w:rFonts w:hint="default"/>
                <w:color w:val="auto"/>
              </w:rPr>
              <w:t>入</w:t>
            </w:r>
            <w:r>
              <w:rPr>
                <w:color w:val="auto"/>
              </w:rPr>
              <w:t>福州市祥坂污水处理厂</w:t>
            </w:r>
            <w:r>
              <w:rPr>
                <w:rFonts w:hint="default"/>
                <w:color w:val="auto"/>
              </w:rPr>
              <w:t>处理</w:t>
            </w:r>
            <w:r>
              <w:rPr>
                <w:color w:val="auto"/>
              </w:rPr>
              <w:t>。</w:t>
            </w:r>
            <w:r>
              <w:rPr>
                <w:rFonts w:cs="Times New Roman"/>
                <w:color w:val="auto"/>
                <w:szCs w:val="22"/>
              </w:rPr>
              <w:t>该部分用水量为</w:t>
            </w:r>
            <w:r>
              <w:rPr>
                <w:rFonts w:hint="eastAsia" w:cs="Times New Roman"/>
                <w:color w:val="auto"/>
                <w:szCs w:val="22"/>
                <w:lang w:val="en-US" w:eastAsia="zh-CN"/>
              </w:rPr>
              <w:t>288</w:t>
            </w:r>
            <w:r>
              <w:rPr>
                <w:rFonts w:hint="default" w:cs="Times New Roman"/>
                <w:color w:val="auto"/>
                <w:szCs w:val="22"/>
              </w:rPr>
              <w:t>m</w:t>
            </w:r>
            <w:r>
              <w:rPr>
                <w:rFonts w:hint="default" w:cs="Times New Roman"/>
                <w:color w:val="auto"/>
                <w:szCs w:val="22"/>
                <w:vertAlign w:val="superscript"/>
              </w:rPr>
              <w:t>3</w:t>
            </w:r>
            <w:r>
              <w:rPr>
                <w:rFonts w:hint="default" w:cs="Times New Roman"/>
                <w:color w:val="auto"/>
                <w:szCs w:val="22"/>
              </w:rPr>
              <w:t>/a</w:t>
            </w:r>
            <w:r>
              <w:rPr>
                <w:rFonts w:cs="Times New Roman"/>
                <w:color w:val="auto"/>
                <w:szCs w:val="22"/>
              </w:rPr>
              <w:t>，</w:t>
            </w:r>
            <w:r>
              <w:rPr>
                <w:rFonts w:hint="default" w:cs="Times New Roman"/>
                <w:color w:val="auto"/>
                <w:szCs w:val="22"/>
              </w:rPr>
              <w:t>产污系数按0.8</w:t>
            </w:r>
            <w:r>
              <w:rPr>
                <w:rFonts w:cs="Times New Roman"/>
                <w:color w:val="auto"/>
                <w:szCs w:val="22"/>
              </w:rPr>
              <w:t>5</w:t>
            </w:r>
            <w:r>
              <w:rPr>
                <w:rFonts w:hint="default" w:cs="Times New Roman"/>
                <w:color w:val="auto"/>
                <w:szCs w:val="22"/>
              </w:rPr>
              <w:t>计，排污量为</w:t>
            </w:r>
            <w:r>
              <w:rPr>
                <w:rFonts w:hint="eastAsia" w:cs="Times New Roman"/>
                <w:color w:val="auto"/>
                <w:szCs w:val="22"/>
                <w:lang w:val="en-US" w:eastAsia="zh-CN"/>
              </w:rPr>
              <w:t>244.8</w:t>
            </w:r>
            <w:r>
              <w:rPr>
                <w:rFonts w:hint="default" w:cs="Times New Roman"/>
                <w:color w:val="auto"/>
                <w:szCs w:val="22"/>
              </w:rPr>
              <w:t>m</w:t>
            </w:r>
            <w:r>
              <w:rPr>
                <w:rFonts w:hint="default" w:cs="Times New Roman"/>
                <w:color w:val="auto"/>
                <w:szCs w:val="22"/>
                <w:vertAlign w:val="superscript"/>
              </w:rPr>
              <w:t>3</w:t>
            </w:r>
            <w:r>
              <w:rPr>
                <w:rFonts w:hint="default" w:cs="Times New Roman"/>
                <w:color w:val="auto"/>
                <w:szCs w:val="22"/>
              </w:rPr>
              <w:t>/a（</w:t>
            </w:r>
            <w:r>
              <w:rPr>
                <w:rFonts w:cs="Times New Roman"/>
                <w:color w:val="auto"/>
                <w:szCs w:val="22"/>
              </w:rPr>
              <w:t>1.36</w:t>
            </w:r>
            <w:r>
              <w:rPr>
                <w:rFonts w:hint="default" w:cs="Times New Roman"/>
                <w:color w:val="auto"/>
                <w:szCs w:val="22"/>
              </w:rPr>
              <w:t>m</w:t>
            </w:r>
            <w:r>
              <w:rPr>
                <w:rFonts w:hint="default" w:cs="Times New Roman"/>
                <w:color w:val="auto"/>
                <w:szCs w:val="22"/>
                <w:vertAlign w:val="superscript"/>
              </w:rPr>
              <w:t>3</w:t>
            </w:r>
            <w:r>
              <w:rPr>
                <w:rFonts w:hint="default" w:cs="Times New Roman"/>
                <w:color w:val="auto"/>
                <w:szCs w:val="22"/>
              </w:rPr>
              <w:t>/d）</w:t>
            </w:r>
            <w:r>
              <w:rPr>
                <w:color w:val="auto"/>
              </w:rPr>
              <w:t>。</w:t>
            </w:r>
          </w:p>
          <w:p w14:paraId="72D53F74">
            <w:pPr>
              <w:pStyle w:val="76"/>
              <w:ind w:firstLine="480"/>
              <w:rPr>
                <w:rFonts w:hint="default"/>
                <w:color w:val="auto"/>
              </w:rPr>
            </w:pPr>
            <w:r>
              <w:rPr>
                <w:color w:val="auto"/>
              </w:rPr>
              <w:t>（2）宠物美容清洗废水</w:t>
            </w:r>
          </w:p>
          <w:p w14:paraId="6286DA9C">
            <w:pPr>
              <w:spacing w:line="360" w:lineRule="auto"/>
              <w:ind w:firstLine="480"/>
              <w:rPr>
                <w:rFonts w:hint="eastAsia"/>
                <w:color w:val="auto"/>
              </w:rPr>
            </w:pPr>
            <w:r>
              <w:rPr>
                <w:rFonts w:hint="eastAsia"/>
                <w:color w:val="auto"/>
              </w:rPr>
              <w:t>宠物美容清洗用水量为</w:t>
            </w:r>
            <w:r>
              <w:rPr>
                <w:rFonts w:hint="eastAsia"/>
                <w:color w:val="auto"/>
                <w:lang w:val="en-US" w:eastAsia="zh-CN"/>
              </w:rPr>
              <w:t>43.2</w:t>
            </w:r>
            <w:r>
              <w:rPr>
                <w:color w:val="auto"/>
              </w:rPr>
              <w:t>m</w:t>
            </w:r>
            <w:r>
              <w:rPr>
                <w:color w:val="auto"/>
                <w:vertAlign w:val="superscript"/>
              </w:rPr>
              <w:t>3</w:t>
            </w:r>
            <w:r>
              <w:rPr>
                <w:rFonts w:hint="eastAsia"/>
                <w:color w:val="auto"/>
              </w:rPr>
              <w:t>/a，</w:t>
            </w:r>
            <w:r>
              <w:rPr>
                <w:color w:val="auto"/>
                <w:szCs w:val="22"/>
              </w:rPr>
              <w:t>产污系数按0.8</w:t>
            </w:r>
            <w:r>
              <w:rPr>
                <w:rFonts w:hint="eastAsia"/>
                <w:color w:val="auto"/>
                <w:szCs w:val="22"/>
              </w:rPr>
              <w:t>5</w:t>
            </w:r>
            <w:r>
              <w:rPr>
                <w:color w:val="auto"/>
                <w:szCs w:val="22"/>
              </w:rPr>
              <w:t>计</w:t>
            </w:r>
            <w:r>
              <w:rPr>
                <w:rFonts w:hint="eastAsia"/>
                <w:color w:val="auto"/>
                <w:szCs w:val="22"/>
              </w:rPr>
              <w:t>，则废水量为</w:t>
            </w:r>
            <w:r>
              <w:rPr>
                <w:rFonts w:hint="eastAsia"/>
                <w:color w:val="auto"/>
                <w:szCs w:val="22"/>
                <w:lang w:val="en-US" w:eastAsia="zh-CN"/>
              </w:rPr>
              <w:t>36.72</w:t>
            </w:r>
            <w:r>
              <w:rPr>
                <w:color w:val="auto"/>
                <w:szCs w:val="22"/>
              </w:rPr>
              <w:t>m</w:t>
            </w:r>
            <w:r>
              <w:rPr>
                <w:color w:val="auto"/>
                <w:szCs w:val="22"/>
                <w:vertAlign w:val="superscript"/>
              </w:rPr>
              <w:t>3</w:t>
            </w:r>
            <w:r>
              <w:rPr>
                <w:color w:val="auto"/>
                <w:szCs w:val="22"/>
              </w:rPr>
              <w:t>/a</w:t>
            </w:r>
            <w:r>
              <w:rPr>
                <w:rFonts w:hint="eastAsia"/>
                <w:color w:val="auto"/>
                <w:szCs w:val="22"/>
              </w:rPr>
              <w:t>（0.</w:t>
            </w:r>
            <w:r>
              <w:rPr>
                <w:rFonts w:hint="eastAsia"/>
                <w:color w:val="auto"/>
                <w:szCs w:val="22"/>
                <w:lang w:val="en-US" w:eastAsia="zh-CN"/>
              </w:rPr>
              <w:t>102</w:t>
            </w:r>
            <w:r>
              <w:rPr>
                <w:color w:val="auto"/>
                <w:szCs w:val="22"/>
              </w:rPr>
              <w:t>m</w:t>
            </w:r>
            <w:r>
              <w:rPr>
                <w:color w:val="auto"/>
                <w:szCs w:val="22"/>
                <w:vertAlign w:val="superscript"/>
              </w:rPr>
              <w:t>3</w:t>
            </w:r>
            <w:r>
              <w:rPr>
                <w:color w:val="auto"/>
                <w:szCs w:val="22"/>
              </w:rPr>
              <w:t>/d</w:t>
            </w:r>
            <w:r>
              <w:rPr>
                <w:rFonts w:hint="eastAsia"/>
                <w:color w:val="auto"/>
                <w:szCs w:val="22"/>
              </w:rPr>
              <w:t>），该部分废水经化粪池处理</w:t>
            </w:r>
            <w:r>
              <w:rPr>
                <w:color w:val="auto"/>
              </w:rPr>
              <w:t>排入</w:t>
            </w:r>
            <w:r>
              <w:rPr>
                <w:rFonts w:hint="eastAsia"/>
                <w:color w:val="auto"/>
              </w:rPr>
              <w:t>市政污水管网后进入福州市祥坂污水处理厂</w:t>
            </w:r>
            <w:r>
              <w:rPr>
                <w:color w:val="auto"/>
              </w:rPr>
              <w:t>处理</w:t>
            </w:r>
            <w:r>
              <w:rPr>
                <w:rFonts w:hint="eastAsia"/>
                <w:color w:val="auto"/>
              </w:rPr>
              <w:t>。</w:t>
            </w:r>
          </w:p>
          <w:p w14:paraId="77BA021B">
            <w:pPr>
              <w:pStyle w:val="76"/>
              <w:ind w:firstLine="480"/>
              <w:rPr>
                <w:color w:val="auto"/>
              </w:rPr>
            </w:pPr>
            <w:r>
              <w:rPr>
                <w:color w:val="auto"/>
              </w:rPr>
              <w:t>（3）宠物医疗废水</w:t>
            </w:r>
          </w:p>
          <w:p w14:paraId="7D5807A9">
            <w:pPr>
              <w:spacing w:line="360" w:lineRule="auto"/>
              <w:ind w:firstLine="480"/>
              <w:rPr>
                <w:rFonts w:hint="eastAsia"/>
              </w:rPr>
            </w:pPr>
            <w:r>
              <w:rPr>
                <w:rFonts w:hint="eastAsia"/>
                <w:color w:val="auto"/>
              </w:rPr>
              <w:t>宠物医疗废水用水量为</w:t>
            </w:r>
            <w:r>
              <w:rPr>
                <w:rFonts w:hint="eastAsia"/>
                <w:color w:val="auto"/>
                <w:lang w:val="en-US" w:eastAsia="zh-CN"/>
              </w:rPr>
              <w:t>10.8</w:t>
            </w:r>
            <w:r>
              <w:rPr>
                <w:color w:val="auto"/>
              </w:rPr>
              <w:t>m</w:t>
            </w:r>
            <w:r>
              <w:rPr>
                <w:color w:val="auto"/>
                <w:vertAlign w:val="superscript"/>
              </w:rPr>
              <w:t>3</w:t>
            </w:r>
            <w:r>
              <w:rPr>
                <w:rFonts w:hint="eastAsia"/>
                <w:color w:val="auto"/>
              </w:rPr>
              <w:t>/a，</w:t>
            </w:r>
            <w:r>
              <w:rPr>
                <w:color w:val="auto"/>
                <w:szCs w:val="22"/>
              </w:rPr>
              <w:t>产污系数按0.8</w:t>
            </w:r>
            <w:r>
              <w:rPr>
                <w:rFonts w:hint="eastAsia"/>
                <w:color w:val="auto"/>
                <w:szCs w:val="22"/>
              </w:rPr>
              <w:t>5</w:t>
            </w:r>
            <w:r>
              <w:rPr>
                <w:color w:val="auto"/>
                <w:szCs w:val="22"/>
              </w:rPr>
              <w:t>计</w:t>
            </w:r>
            <w:r>
              <w:rPr>
                <w:rFonts w:hint="eastAsia"/>
                <w:color w:val="auto"/>
                <w:szCs w:val="22"/>
              </w:rPr>
              <w:t>，则废水量为</w:t>
            </w:r>
            <w:r>
              <w:rPr>
                <w:rFonts w:hint="eastAsia"/>
                <w:color w:val="auto"/>
                <w:szCs w:val="22"/>
                <w:lang w:val="en-US" w:eastAsia="zh-CN"/>
              </w:rPr>
              <w:t>9.18</w:t>
            </w:r>
            <w:r>
              <w:rPr>
                <w:color w:val="auto"/>
                <w:szCs w:val="22"/>
              </w:rPr>
              <w:t>m</w:t>
            </w:r>
            <w:r>
              <w:rPr>
                <w:color w:val="auto"/>
                <w:szCs w:val="22"/>
                <w:vertAlign w:val="superscript"/>
              </w:rPr>
              <w:t>3</w:t>
            </w:r>
            <w:r>
              <w:rPr>
                <w:color w:val="auto"/>
                <w:szCs w:val="22"/>
              </w:rPr>
              <w:t>/a</w:t>
            </w:r>
            <w:r>
              <w:rPr>
                <w:rFonts w:hint="eastAsia"/>
                <w:color w:val="auto"/>
                <w:szCs w:val="22"/>
              </w:rPr>
              <w:t>（0.0</w:t>
            </w:r>
            <w:r>
              <w:rPr>
                <w:rFonts w:hint="eastAsia"/>
                <w:color w:val="auto"/>
                <w:szCs w:val="22"/>
                <w:lang w:val="en-US" w:eastAsia="zh-CN"/>
              </w:rPr>
              <w:t>255</w:t>
            </w:r>
            <w:r>
              <w:rPr>
                <w:color w:val="auto"/>
                <w:szCs w:val="22"/>
              </w:rPr>
              <w:t>m</w:t>
            </w:r>
            <w:r>
              <w:rPr>
                <w:color w:val="auto"/>
                <w:szCs w:val="22"/>
                <w:vertAlign w:val="superscript"/>
              </w:rPr>
              <w:t>3</w:t>
            </w:r>
            <w:r>
              <w:rPr>
                <w:color w:val="auto"/>
                <w:szCs w:val="22"/>
              </w:rPr>
              <w:t>/d</w:t>
            </w:r>
            <w:r>
              <w:rPr>
                <w:rFonts w:hint="eastAsia"/>
                <w:color w:val="auto"/>
                <w:szCs w:val="22"/>
              </w:rPr>
              <w:t>），该部分废水首先经企业自备</w:t>
            </w:r>
            <w:r>
              <w:rPr>
                <w:rFonts w:hint="eastAsia"/>
                <w:szCs w:val="22"/>
              </w:rPr>
              <w:t>的医疗废水处理设施消毒处理后经化粪池</w:t>
            </w:r>
            <w:r>
              <w:t>排入</w:t>
            </w:r>
            <w:r>
              <w:rPr>
                <w:rFonts w:hint="eastAsia"/>
              </w:rPr>
              <w:t>市政污水管网后进入福州市祥坂污水处理厂</w:t>
            </w:r>
            <w:r>
              <w:t>处理</w:t>
            </w:r>
            <w:r>
              <w:rPr>
                <w:rFonts w:hint="eastAsia"/>
              </w:rPr>
              <w:t>。</w:t>
            </w:r>
          </w:p>
          <w:p w14:paraId="70AB80A4">
            <w:pPr>
              <w:pStyle w:val="63"/>
              <w:numPr>
                <w:ilvl w:val="0"/>
                <w:numId w:val="0"/>
              </w:numPr>
              <w:ind w:left="0" w:leftChars="0" w:firstLine="0" w:firstLineChars="0"/>
            </w:pPr>
            <w:r>
              <w:rPr>
                <w:rFonts w:hint="eastAsia" w:ascii="Times New Roman" w:hAnsi="Times New Roman" w:eastAsia="宋体" w:cs="宋体"/>
                <w:b/>
                <w:kern w:val="2"/>
                <w:sz w:val="24"/>
                <w:szCs w:val="24"/>
                <w:lang w:val="en-US" w:eastAsia="zh-CN" w:bidi="ar-SA"/>
              </w:rPr>
              <w:t>表2.4-2</w:t>
            </w:r>
            <w:r>
              <w:rPr>
                <w:rFonts w:hint="eastAsia"/>
              </w:rPr>
              <w:t>排</w:t>
            </w:r>
            <w:r>
              <w:t>水量一览表</w:t>
            </w:r>
          </w:p>
          <w:tbl>
            <w:tblPr>
              <w:tblStyle w:val="25"/>
              <w:tblW w:w="8425" w:type="dxa"/>
              <w:tblInd w:w="-163"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15" w:type="dxa"/>
                <w:left w:w="15" w:type="dxa"/>
                <w:bottom w:w="15" w:type="dxa"/>
                <w:right w:w="15" w:type="dxa"/>
              </w:tblCellMar>
            </w:tblPr>
            <w:tblGrid>
              <w:gridCol w:w="2757"/>
              <w:gridCol w:w="1920"/>
              <w:gridCol w:w="1652"/>
              <w:gridCol w:w="2096"/>
            </w:tblGrid>
            <w:tr w14:paraId="75F759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2757" w:type="dxa"/>
                  <w:noWrap w:val="0"/>
                  <w:vAlign w:val="center"/>
                </w:tcPr>
                <w:p w14:paraId="07FD408D">
                  <w:pPr>
                    <w:pStyle w:val="66"/>
                  </w:pPr>
                  <w:r>
                    <w:t>项目</w:t>
                  </w:r>
                </w:p>
              </w:tc>
              <w:tc>
                <w:tcPr>
                  <w:tcW w:w="1920" w:type="dxa"/>
                  <w:noWrap w:val="0"/>
                  <w:vAlign w:val="center"/>
                </w:tcPr>
                <w:p w14:paraId="581C65AE">
                  <w:pPr>
                    <w:pStyle w:val="66"/>
                  </w:pPr>
                  <w:r>
                    <w:t>日</w:t>
                  </w:r>
                  <w:r>
                    <w:rPr>
                      <w:rFonts w:hint="eastAsia"/>
                    </w:rPr>
                    <w:t>排</w:t>
                  </w:r>
                  <w:r>
                    <w:t>水量（</w:t>
                  </w:r>
                  <w:r>
                    <w:rPr>
                      <w:sz w:val="24"/>
                    </w:rPr>
                    <w:t>m</w:t>
                  </w:r>
                  <w:r>
                    <w:rPr>
                      <w:sz w:val="24"/>
                      <w:vertAlign w:val="superscript"/>
                    </w:rPr>
                    <w:t>3</w:t>
                  </w:r>
                  <w:r>
                    <w:rPr>
                      <w:rFonts w:hint="eastAsia"/>
                    </w:rPr>
                    <w:t>/d</w:t>
                  </w:r>
                  <w:r>
                    <w:t>）</w:t>
                  </w:r>
                </w:p>
              </w:tc>
              <w:tc>
                <w:tcPr>
                  <w:tcW w:w="1652" w:type="dxa"/>
                  <w:noWrap w:val="0"/>
                  <w:vAlign w:val="center"/>
                </w:tcPr>
                <w:p w14:paraId="7C5EEBFD">
                  <w:pPr>
                    <w:pStyle w:val="66"/>
                  </w:pPr>
                  <w:r>
                    <w:t>年</w:t>
                  </w:r>
                  <w:r>
                    <w:rPr>
                      <w:rFonts w:hint="eastAsia"/>
                    </w:rPr>
                    <w:t>排</w:t>
                  </w:r>
                  <w:r>
                    <w:t>水量（</w:t>
                  </w:r>
                  <w:r>
                    <w:rPr>
                      <w:sz w:val="24"/>
                    </w:rPr>
                    <w:t>m</w:t>
                  </w:r>
                  <w:r>
                    <w:rPr>
                      <w:sz w:val="24"/>
                      <w:vertAlign w:val="superscript"/>
                    </w:rPr>
                    <w:t>3</w:t>
                  </w:r>
                  <w:r>
                    <w:rPr>
                      <w:rFonts w:hint="eastAsia"/>
                    </w:rPr>
                    <w:t>/a</w:t>
                  </w:r>
                  <w:r>
                    <w:t>）</w:t>
                  </w:r>
                </w:p>
              </w:tc>
              <w:tc>
                <w:tcPr>
                  <w:tcW w:w="2096" w:type="dxa"/>
                  <w:noWrap w:val="0"/>
                  <w:vAlign w:val="center"/>
                </w:tcPr>
                <w:p w14:paraId="15045747">
                  <w:pPr>
                    <w:pStyle w:val="66"/>
                  </w:pPr>
                  <w:r>
                    <w:rPr>
                      <w:rFonts w:hint="eastAsia"/>
                    </w:rPr>
                    <w:t>去向</w:t>
                  </w:r>
                </w:p>
              </w:tc>
            </w:tr>
            <w:tr w14:paraId="460B7E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18" w:hRule="atLeast"/>
              </w:trPr>
              <w:tc>
                <w:tcPr>
                  <w:tcW w:w="2757" w:type="dxa"/>
                  <w:noWrap w:val="0"/>
                  <w:vAlign w:val="center"/>
                </w:tcPr>
                <w:p w14:paraId="7E407246">
                  <w:pPr>
                    <w:pStyle w:val="66"/>
                    <w:rPr>
                      <w:color w:val="auto"/>
                    </w:rPr>
                  </w:pPr>
                  <w:r>
                    <w:rPr>
                      <w:rFonts w:hint="eastAsia"/>
                      <w:color w:val="auto"/>
                    </w:rPr>
                    <w:t>生活污水</w:t>
                  </w:r>
                </w:p>
              </w:tc>
              <w:tc>
                <w:tcPr>
                  <w:tcW w:w="1920" w:type="dxa"/>
                  <w:noWrap w:val="0"/>
                  <w:vAlign w:val="center"/>
                </w:tcPr>
                <w:p w14:paraId="24593122">
                  <w:pPr>
                    <w:keepNext w:val="0"/>
                    <w:keepLines w:val="0"/>
                    <w:widowControl/>
                    <w:suppressLineNumbers w:val="0"/>
                    <w:jc w:val="center"/>
                    <w:textAlignment w:val="center"/>
                    <w:rPr>
                      <w:color w:val="auto"/>
                    </w:rPr>
                  </w:pPr>
                  <w:r>
                    <w:rPr>
                      <w:rFonts w:hint="default" w:ascii="Times New Roman" w:hAnsi="Times New Roman" w:eastAsia="宋体" w:cs="Times New Roman"/>
                      <w:i w:val="0"/>
                      <w:iCs w:val="0"/>
                      <w:color w:val="auto"/>
                      <w:kern w:val="0"/>
                      <w:sz w:val="21"/>
                      <w:szCs w:val="21"/>
                      <w:u w:val="none"/>
                      <w:lang w:val="en-US" w:eastAsia="zh-CN" w:bidi="ar"/>
                    </w:rPr>
                    <w:t>0.68</w:t>
                  </w:r>
                </w:p>
              </w:tc>
              <w:tc>
                <w:tcPr>
                  <w:tcW w:w="1652" w:type="dxa"/>
                  <w:noWrap w:val="0"/>
                  <w:vAlign w:val="center"/>
                </w:tcPr>
                <w:p w14:paraId="4D8F732F">
                  <w:pPr>
                    <w:keepNext w:val="0"/>
                    <w:keepLines w:val="0"/>
                    <w:widowControl/>
                    <w:suppressLineNumbers w:val="0"/>
                    <w:jc w:val="center"/>
                    <w:textAlignment w:val="center"/>
                    <w:rPr>
                      <w:color w:val="auto"/>
                    </w:rPr>
                  </w:pPr>
                  <w:r>
                    <w:rPr>
                      <w:rFonts w:hint="default" w:ascii="Times New Roman" w:hAnsi="Times New Roman" w:eastAsia="宋体" w:cs="Times New Roman"/>
                      <w:i w:val="0"/>
                      <w:iCs w:val="0"/>
                      <w:color w:val="auto"/>
                      <w:kern w:val="0"/>
                      <w:sz w:val="21"/>
                      <w:szCs w:val="21"/>
                      <w:u w:val="none"/>
                      <w:lang w:val="en-US" w:eastAsia="zh-CN" w:bidi="ar"/>
                    </w:rPr>
                    <w:t>244.8</w:t>
                  </w:r>
                </w:p>
              </w:tc>
              <w:tc>
                <w:tcPr>
                  <w:tcW w:w="2096" w:type="dxa"/>
                  <w:vMerge w:val="restart"/>
                  <w:noWrap w:val="0"/>
                  <w:vAlign w:val="center"/>
                </w:tcPr>
                <w:p w14:paraId="14AA40C7">
                  <w:pPr>
                    <w:pStyle w:val="66"/>
                  </w:pPr>
                  <w:r>
                    <w:rPr>
                      <w:rFonts w:hint="eastAsia"/>
                    </w:rPr>
                    <w:t>市政污水管网</w:t>
                  </w:r>
                </w:p>
              </w:tc>
            </w:tr>
            <w:tr w14:paraId="339AF9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172" w:hRule="atLeast"/>
              </w:trPr>
              <w:tc>
                <w:tcPr>
                  <w:tcW w:w="2757" w:type="dxa"/>
                  <w:noWrap w:val="0"/>
                  <w:vAlign w:val="center"/>
                </w:tcPr>
                <w:p w14:paraId="4912E731">
                  <w:pPr>
                    <w:pStyle w:val="66"/>
                    <w:rPr>
                      <w:rFonts w:hint="eastAsia"/>
                      <w:color w:val="auto"/>
                    </w:rPr>
                  </w:pPr>
                  <w:r>
                    <w:rPr>
                      <w:rFonts w:hint="eastAsia"/>
                      <w:color w:val="auto"/>
                    </w:rPr>
                    <w:t>宠物美容清洗废水</w:t>
                  </w:r>
                </w:p>
              </w:tc>
              <w:tc>
                <w:tcPr>
                  <w:tcW w:w="1920" w:type="dxa"/>
                  <w:noWrap w:val="0"/>
                  <w:vAlign w:val="center"/>
                </w:tcPr>
                <w:p w14:paraId="666C4E2E">
                  <w:pPr>
                    <w:keepNext w:val="0"/>
                    <w:keepLines w:val="0"/>
                    <w:widowControl/>
                    <w:suppressLineNumbers w:val="0"/>
                    <w:jc w:val="center"/>
                    <w:textAlignment w:val="center"/>
                    <w:rPr>
                      <w:color w:val="auto"/>
                    </w:rPr>
                  </w:pPr>
                  <w:r>
                    <w:rPr>
                      <w:rFonts w:hint="default" w:ascii="Times New Roman" w:hAnsi="Times New Roman" w:eastAsia="宋体" w:cs="Times New Roman"/>
                      <w:i w:val="0"/>
                      <w:iCs w:val="0"/>
                      <w:color w:val="auto"/>
                      <w:kern w:val="0"/>
                      <w:sz w:val="21"/>
                      <w:szCs w:val="21"/>
                      <w:u w:val="none"/>
                      <w:lang w:val="en-US" w:eastAsia="zh-CN" w:bidi="ar"/>
                    </w:rPr>
                    <w:t>0.102</w:t>
                  </w:r>
                </w:p>
              </w:tc>
              <w:tc>
                <w:tcPr>
                  <w:tcW w:w="1652" w:type="dxa"/>
                  <w:noWrap w:val="0"/>
                  <w:vAlign w:val="center"/>
                </w:tcPr>
                <w:p w14:paraId="15474386">
                  <w:pPr>
                    <w:keepNext w:val="0"/>
                    <w:keepLines w:val="0"/>
                    <w:widowControl/>
                    <w:suppressLineNumbers w:val="0"/>
                    <w:jc w:val="center"/>
                    <w:textAlignment w:val="center"/>
                    <w:rPr>
                      <w:color w:val="auto"/>
                    </w:rPr>
                  </w:pPr>
                  <w:r>
                    <w:rPr>
                      <w:rFonts w:hint="default" w:ascii="Times New Roman" w:hAnsi="Times New Roman" w:eastAsia="宋体" w:cs="Times New Roman"/>
                      <w:i w:val="0"/>
                      <w:iCs w:val="0"/>
                      <w:color w:val="auto"/>
                      <w:kern w:val="0"/>
                      <w:sz w:val="21"/>
                      <w:szCs w:val="21"/>
                      <w:u w:val="none"/>
                      <w:lang w:val="en-US" w:eastAsia="zh-CN" w:bidi="ar"/>
                    </w:rPr>
                    <w:t>36.72</w:t>
                  </w:r>
                </w:p>
              </w:tc>
              <w:tc>
                <w:tcPr>
                  <w:tcW w:w="2096" w:type="dxa"/>
                  <w:vMerge w:val="continue"/>
                  <w:noWrap w:val="0"/>
                  <w:vAlign w:val="center"/>
                </w:tcPr>
                <w:p w14:paraId="7BB953A5">
                  <w:pPr>
                    <w:pStyle w:val="66"/>
                  </w:pPr>
                </w:p>
              </w:tc>
            </w:tr>
            <w:tr w14:paraId="173A38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168" w:hRule="atLeast"/>
              </w:trPr>
              <w:tc>
                <w:tcPr>
                  <w:tcW w:w="2757" w:type="dxa"/>
                  <w:noWrap w:val="0"/>
                  <w:vAlign w:val="center"/>
                </w:tcPr>
                <w:p w14:paraId="1BCFEB5D">
                  <w:pPr>
                    <w:pStyle w:val="66"/>
                    <w:rPr>
                      <w:rFonts w:hint="eastAsia"/>
                      <w:color w:val="auto"/>
                    </w:rPr>
                  </w:pPr>
                  <w:r>
                    <w:rPr>
                      <w:rFonts w:hint="eastAsia"/>
                      <w:color w:val="auto"/>
                    </w:rPr>
                    <w:t>宠物医疗废水</w:t>
                  </w:r>
                </w:p>
              </w:tc>
              <w:tc>
                <w:tcPr>
                  <w:tcW w:w="1920" w:type="dxa"/>
                  <w:noWrap w:val="0"/>
                  <w:vAlign w:val="center"/>
                </w:tcPr>
                <w:p w14:paraId="6C1FA089">
                  <w:pPr>
                    <w:keepNext w:val="0"/>
                    <w:keepLines w:val="0"/>
                    <w:widowControl/>
                    <w:suppressLineNumbers w:val="0"/>
                    <w:jc w:val="center"/>
                    <w:textAlignment w:val="center"/>
                    <w:rPr>
                      <w:rFonts w:hint="eastAsia"/>
                      <w:color w:val="auto"/>
                    </w:rPr>
                  </w:pPr>
                  <w:r>
                    <w:rPr>
                      <w:rFonts w:hint="default" w:ascii="Times New Roman" w:hAnsi="Times New Roman" w:eastAsia="宋体" w:cs="Times New Roman"/>
                      <w:i w:val="0"/>
                      <w:iCs w:val="0"/>
                      <w:color w:val="auto"/>
                      <w:kern w:val="0"/>
                      <w:sz w:val="21"/>
                      <w:szCs w:val="21"/>
                      <w:u w:val="none"/>
                      <w:lang w:val="en-US" w:eastAsia="zh-CN" w:bidi="ar"/>
                    </w:rPr>
                    <w:t>0.0255</w:t>
                  </w:r>
                </w:p>
              </w:tc>
              <w:tc>
                <w:tcPr>
                  <w:tcW w:w="1652" w:type="dxa"/>
                  <w:noWrap w:val="0"/>
                  <w:vAlign w:val="center"/>
                </w:tcPr>
                <w:p w14:paraId="7F161064">
                  <w:pPr>
                    <w:keepNext w:val="0"/>
                    <w:keepLines w:val="0"/>
                    <w:widowControl/>
                    <w:suppressLineNumbers w:val="0"/>
                    <w:jc w:val="center"/>
                    <w:textAlignment w:val="center"/>
                    <w:rPr>
                      <w:rFonts w:hint="eastAsia"/>
                      <w:color w:val="auto"/>
                    </w:rPr>
                  </w:pPr>
                  <w:r>
                    <w:rPr>
                      <w:rFonts w:hint="default" w:ascii="Times New Roman" w:hAnsi="Times New Roman" w:eastAsia="宋体" w:cs="Times New Roman"/>
                      <w:i w:val="0"/>
                      <w:iCs w:val="0"/>
                      <w:color w:val="auto"/>
                      <w:kern w:val="0"/>
                      <w:sz w:val="21"/>
                      <w:szCs w:val="21"/>
                      <w:u w:val="none"/>
                      <w:lang w:val="en-US" w:eastAsia="zh-CN" w:bidi="ar"/>
                    </w:rPr>
                    <w:t>9.18</w:t>
                  </w:r>
                </w:p>
              </w:tc>
              <w:tc>
                <w:tcPr>
                  <w:tcW w:w="2096" w:type="dxa"/>
                  <w:vMerge w:val="continue"/>
                  <w:noWrap w:val="0"/>
                  <w:vAlign w:val="center"/>
                </w:tcPr>
                <w:p w14:paraId="21CB6109">
                  <w:pPr>
                    <w:pStyle w:val="66"/>
                  </w:pPr>
                </w:p>
              </w:tc>
            </w:tr>
            <w:tr w14:paraId="38FC20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15" w:hRule="atLeast"/>
              </w:trPr>
              <w:tc>
                <w:tcPr>
                  <w:tcW w:w="2757" w:type="dxa"/>
                  <w:noWrap w:val="0"/>
                  <w:vAlign w:val="center"/>
                </w:tcPr>
                <w:p w14:paraId="6B939215">
                  <w:pPr>
                    <w:pStyle w:val="66"/>
                    <w:rPr>
                      <w:color w:val="auto"/>
                    </w:rPr>
                  </w:pPr>
                  <w:r>
                    <w:rPr>
                      <w:color w:val="auto"/>
                    </w:rPr>
                    <w:t>合计</w:t>
                  </w:r>
                </w:p>
              </w:tc>
              <w:tc>
                <w:tcPr>
                  <w:tcW w:w="1920" w:type="dxa"/>
                  <w:noWrap w:val="0"/>
                  <w:vAlign w:val="center"/>
                </w:tcPr>
                <w:p w14:paraId="7A65E6DE">
                  <w:pPr>
                    <w:keepNext w:val="0"/>
                    <w:keepLines w:val="0"/>
                    <w:widowControl/>
                    <w:suppressLineNumbers w:val="0"/>
                    <w:jc w:val="center"/>
                    <w:textAlignment w:val="center"/>
                    <w:rPr>
                      <w:color w:val="auto"/>
                    </w:rPr>
                  </w:pPr>
                  <w:r>
                    <w:rPr>
                      <w:rFonts w:hint="default" w:ascii="Times New Roman" w:hAnsi="Times New Roman" w:eastAsia="宋体" w:cs="Times New Roman"/>
                      <w:i w:val="0"/>
                      <w:iCs w:val="0"/>
                      <w:color w:val="auto"/>
                      <w:kern w:val="0"/>
                      <w:sz w:val="21"/>
                      <w:szCs w:val="21"/>
                      <w:u w:val="none"/>
                      <w:lang w:val="en-US" w:eastAsia="zh-CN" w:bidi="ar"/>
                    </w:rPr>
                    <w:t>0.8075</w:t>
                  </w:r>
                </w:p>
              </w:tc>
              <w:tc>
                <w:tcPr>
                  <w:tcW w:w="1652" w:type="dxa"/>
                  <w:noWrap w:val="0"/>
                  <w:vAlign w:val="center"/>
                </w:tcPr>
                <w:p w14:paraId="71A1C647">
                  <w:pPr>
                    <w:keepNext w:val="0"/>
                    <w:keepLines w:val="0"/>
                    <w:widowControl/>
                    <w:suppressLineNumbers w:val="0"/>
                    <w:jc w:val="center"/>
                    <w:textAlignment w:val="center"/>
                    <w:rPr>
                      <w:color w:val="auto"/>
                    </w:rPr>
                  </w:pPr>
                  <w:r>
                    <w:rPr>
                      <w:rFonts w:hint="default" w:ascii="Times New Roman" w:hAnsi="Times New Roman" w:eastAsia="宋体" w:cs="Times New Roman"/>
                      <w:i w:val="0"/>
                      <w:iCs w:val="0"/>
                      <w:color w:val="auto"/>
                      <w:kern w:val="0"/>
                      <w:sz w:val="21"/>
                      <w:szCs w:val="21"/>
                      <w:u w:val="none"/>
                      <w:lang w:val="en-US" w:eastAsia="zh-CN" w:bidi="ar"/>
                    </w:rPr>
                    <w:t>290.7</w:t>
                  </w:r>
                </w:p>
              </w:tc>
              <w:tc>
                <w:tcPr>
                  <w:tcW w:w="2096" w:type="dxa"/>
                  <w:noWrap w:val="0"/>
                  <w:vAlign w:val="center"/>
                </w:tcPr>
                <w:p w14:paraId="5BEE1154">
                  <w:pPr>
                    <w:pStyle w:val="66"/>
                  </w:pPr>
                  <w:r>
                    <w:rPr>
                      <w:rFonts w:hint="eastAsia"/>
                    </w:rPr>
                    <w:t>/</w:t>
                  </w:r>
                </w:p>
              </w:tc>
            </w:tr>
          </w:tbl>
          <w:p w14:paraId="30108219">
            <w:pPr>
              <w:pStyle w:val="6"/>
              <w:numPr>
                <w:ilvl w:val="0"/>
                <w:numId w:val="0"/>
              </w:numPr>
              <w:tabs>
                <w:tab w:val="left" w:pos="0"/>
              </w:tabs>
              <w:ind w:left="0" w:leftChars="0" w:firstLine="0" w:firstLineChars="0"/>
            </w:pPr>
            <w:r>
              <w:rPr>
                <w:rFonts w:hint="eastAsia" w:ascii="Times New Roman" w:hAnsi="Times New Roman" w:eastAsia="宋体" w:cs="宋体"/>
                <w:b/>
                <w:bCs/>
                <w:kern w:val="2"/>
                <w:sz w:val="28"/>
                <w:szCs w:val="32"/>
                <w:lang w:val="en-US" w:eastAsia="zh-CN" w:bidi="ar-SA"/>
              </w:rPr>
              <w:t>2.4.3</w:t>
            </w:r>
            <w:r>
              <w:rPr>
                <w:rFonts w:hint="eastAsia"/>
              </w:rPr>
              <w:t>水平衡</w:t>
            </w:r>
          </w:p>
          <w:p w14:paraId="3ED242F4">
            <w:pPr>
              <w:pStyle w:val="76"/>
              <w:ind w:firstLine="480"/>
            </w:pPr>
            <w:r>
              <w:t>水平衡分析如下：</w:t>
            </w:r>
          </w:p>
          <w:p w14:paraId="58CFBF56">
            <w:pPr>
              <w:pStyle w:val="76"/>
              <w:ind w:firstLine="0" w:firstLineChars="0"/>
              <w:jc w:val="center"/>
              <w:rPr>
                <w:rFonts w:hint="eastAsia" w:eastAsia="宋体"/>
                <w:lang w:eastAsia="zh-CN"/>
              </w:rPr>
            </w:pPr>
            <w:r>
              <w:rPr>
                <w:rFonts w:hint="eastAsia" w:eastAsia="宋体"/>
                <w:lang w:eastAsia="zh-CN"/>
              </w:rPr>
              <w:drawing>
                <wp:inline distT="0" distB="0" distL="114300" distR="114300">
                  <wp:extent cx="5092065" cy="2482215"/>
                  <wp:effectExtent l="0" t="0" r="13335" b="13335"/>
                  <wp:docPr id="22" name="图片 63" descr="8d620b06522b3e3dcb526a0118abd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63" descr="8d620b06522b3e3dcb526a0118abd43"/>
                          <pic:cNvPicPr>
                            <a:picLocks noChangeAspect="1"/>
                          </pic:cNvPicPr>
                        </pic:nvPicPr>
                        <pic:blipFill>
                          <a:blip r:embed="rId13"/>
                          <a:stretch>
                            <a:fillRect/>
                          </a:stretch>
                        </pic:blipFill>
                        <pic:spPr>
                          <a:xfrm>
                            <a:off x="0" y="0"/>
                            <a:ext cx="5092065" cy="2482215"/>
                          </a:xfrm>
                          <a:prstGeom prst="rect">
                            <a:avLst/>
                          </a:prstGeom>
                          <a:noFill/>
                          <a:ln>
                            <a:noFill/>
                          </a:ln>
                        </pic:spPr>
                      </pic:pic>
                    </a:graphicData>
                  </a:graphic>
                </wp:inline>
              </w:drawing>
            </w:r>
          </w:p>
          <w:p w14:paraId="50EE1A2B">
            <w:pPr>
              <w:pStyle w:val="78"/>
              <w:numPr>
                <w:ilvl w:val="0"/>
                <w:numId w:val="0"/>
              </w:numPr>
              <w:ind w:left="0" w:leftChars="0" w:firstLine="0" w:firstLineChars="0"/>
            </w:pPr>
            <w:r>
              <w:rPr>
                <w:rFonts w:hint="eastAsia" w:ascii="Times New Roman" w:hAnsi="Times New Roman" w:eastAsia="宋体" w:cs="宋体"/>
                <w:b/>
                <w:kern w:val="2"/>
                <w:sz w:val="24"/>
                <w:szCs w:val="24"/>
                <w:lang w:val="en-US" w:eastAsia="zh-CN" w:bidi="ar-SA"/>
              </w:rPr>
              <w:t>图2.4-1</w:t>
            </w:r>
            <w:r>
              <w:rPr>
                <w:rFonts w:hint="eastAsia"/>
              </w:rPr>
              <w:t>水平衡图 单位：m</w:t>
            </w:r>
            <w:r>
              <w:rPr>
                <w:rFonts w:hint="eastAsia"/>
                <w:vertAlign w:val="superscript"/>
              </w:rPr>
              <w:t>3</w:t>
            </w:r>
            <w:r>
              <w:rPr>
                <w:rFonts w:hint="eastAsia"/>
              </w:rPr>
              <w:t>/a</w:t>
            </w:r>
          </w:p>
          <w:p w14:paraId="3B5A8289">
            <w:pPr>
              <w:pStyle w:val="5"/>
              <w:numPr>
                <w:ilvl w:val="0"/>
                <w:numId w:val="0"/>
              </w:numPr>
              <w:spacing w:before="120" w:after="120"/>
              <w:ind w:left="0" w:leftChars="0" w:firstLine="0" w:firstLineChars="0"/>
              <w:rPr>
                <w:rFonts w:hint="eastAsia"/>
              </w:rPr>
            </w:pPr>
            <w:r>
              <w:rPr>
                <w:rFonts w:hint="eastAsia" w:ascii="Times New Roman" w:hAnsi="Times New Roman" w:eastAsia="宋体" w:cs="宋体"/>
                <w:b/>
                <w:bCs/>
                <w:color w:val="000000"/>
                <w:kern w:val="44"/>
                <w:sz w:val="30"/>
                <w:szCs w:val="32"/>
                <w:lang w:val="en-US" w:eastAsia="zh-CN" w:bidi="ar-SA"/>
              </w:rPr>
              <w:t>2.5</w:t>
            </w:r>
            <w:r>
              <w:rPr>
                <w:rFonts w:hint="eastAsia"/>
              </w:rPr>
              <w:t>平面布置</w:t>
            </w:r>
          </w:p>
          <w:p w14:paraId="346A5D14">
            <w:pPr>
              <w:pStyle w:val="80"/>
              <w:ind w:firstLine="480"/>
              <w:rPr>
                <w:rFonts w:hint="default"/>
                <w:color w:val="auto"/>
              </w:rPr>
            </w:pPr>
            <w:r>
              <w:t>根据项目医院楼层布置设计</w:t>
            </w:r>
            <w:r>
              <w:rPr>
                <w:rFonts w:hint="default"/>
              </w:rPr>
              <w:t>，</w:t>
            </w:r>
            <w:r>
              <w:t>1F主要为</w:t>
            </w:r>
            <w:r>
              <w:rPr>
                <w:rFonts w:hint="eastAsia"/>
              </w:rPr>
              <w:t>接待处、犬诊室、猫诊室、化验室、药房、美容室、洗护室、员工休息室、洗手间</w:t>
            </w:r>
            <w:r>
              <w:t>等，2F主要为</w:t>
            </w:r>
            <w:r>
              <w:rPr>
                <w:rFonts w:hint="eastAsia"/>
              </w:rPr>
              <w:t>影像室、手术室、犬住院部、猫住院部、猫隔离室、输液区</w:t>
            </w:r>
            <w:r>
              <w:t>等，医院结构从下自上，结构</w:t>
            </w:r>
            <w:r>
              <w:rPr>
                <w:rFonts w:hint="default"/>
              </w:rPr>
              <w:t>功能分区明确。</w:t>
            </w:r>
            <w:r>
              <w:rPr>
                <w:rFonts w:hint="default"/>
                <w:lang w:val="en-US" w:eastAsia="zh-CN"/>
              </w:rPr>
              <w:t>项目设置独立的</w:t>
            </w:r>
            <w:r>
              <w:rPr>
                <w:rFonts w:hint="default"/>
              </w:rPr>
              <w:t>出入口，主入口位于南侧，临街设置，出入方便</w:t>
            </w:r>
            <w:r>
              <w:rPr>
                <w:rFonts w:hint="default"/>
                <w:lang w:eastAsia="zh-CN"/>
              </w:rPr>
              <w:t>。</w:t>
            </w:r>
            <w:r>
              <w:rPr>
                <w:rFonts w:hint="default"/>
              </w:rPr>
              <w:t>医院总平面布置功能分区明确，满足医疗、卫生、防火、防灾、隔离等要求。</w:t>
            </w:r>
            <w:r>
              <w:rPr>
                <w:color w:val="auto"/>
              </w:rPr>
              <w:t>项目于</w:t>
            </w:r>
            <w:r>
              <w:rPr>
                <w:rFonts w:hint="eastAsia"/>
                <w:color w:val="auto"/>
                <w:lang w:val="en-US" w:eastAsia="zh-CN"/>
              </w:rPr>
              <w:t>1</w:t>
            </w:r>
            <w:r>
              <w:rPr>
                <w:color w:val="auto"/>
              </w:rPr>
              <w:t>楼</w:t>
            </w:r>
            <w:r>
              <w:rPr>
                <w:rFonts w:hint="default"/>
                <w:color w:val="auto"/>
              </w:rPr>
              <w:t>设置</w:t>
            </w:r>
            <w:r>
              <w:rPr>
                <w:rFonts w:hint="eastAsia"/>
                <w:color w:val="auto"/>
                <w:lang w:val="en-US" w:eastAsia="zh-CN"/>
              </w:rPr>
              <w:t>规范化</w:t>
            </w:r>
            <w:r>
              <w:rPr>
                <w:rFonts w:hint="default"/>
                <w:color w:val="auto"/>
              </w:rPr>
              <w:t>危废</w:t>
            </w:r>
            <w:r>
              <w:rPr>
                <w:color w:val="auto"/>
              </w:rPr>
              <w:t>暂存间</w:t>
            </w:r>
            <w:r>
              <w:rPr>
                <w:rFonts w:hint="default"/>
                <w:color w:val="auto"/>
              </w:rPr>
              <w:t>，化粪池利用</w:t>
            </w:r>
            <w:r>
              <w:rPr>
                <w:color w:val="auto"/>
              </w:rPr>
              <w:t>现有商业楼</w:t>
            </w:r>
            <w:r>
              <w:rPr>
                <w:rFonts w:hint="default"/>
                <w:color w:val="auto"/>
              </w:rPr>
              <w:t>化粪池，无需另行建设</w:t>
            </w:r>
            <w:r>
              <w:rPr>
                <w:rFonts w:hint="eastAsia"/>
                <w:color w:val="auto"/>
                <w:lang w:eastAsia="zh-CN"/>
              </w:rPr>
              <w:t>，</w:t>
            </w:r>
            <w:r>
              <w:rPr>
                <w:color w:val="auto"/>
              </w:rPr>
              <w:t>配套建设</w:t>
            </w:r>
            <w:r>
              <w:rPr>
                <w:rFonts w:hint="default"/>
                <w:color w:val="auto"/>
              </w:rPr>
              <w:t>一体化污水处理设施</w:t>
            </w:r>
            <w:r>
              <w:rPr>
                <w:color w:val="auto"/>
              </w:rPr>
              <w:t>位于</w:t>
            </w:r>
            <w:r>
              <w:rPr>
                <w:rFonts w:hint="eastAsia"/>
                <w:color w:val="auto"/>
                <w:lang w:val="en-US" w:eastAsia="zh-CN"/>
              </w:rPr>
              <w:t>二楼手术室</w:t>
            </w:r>
            <w:r>
              <w:rPr>
                <w:color w:val="auto"/>
              </w:rPr>
              <w:t>，</w:t>
            </w:r>
            <w:r>
              <w:rPr>
                <w:rFonts w:hint="eastAsia"/>
                <w:color w:val="auto"/>
                <w:lang w:val="en-US" w:eastAsia="zh-CN"/>
              </w:rPr>
              <w:t>有</w:t>
            </w:r>
            <w:r>
              <w:rPr>
                <w:color w:val="auto"/>
              </w:rPr>
              <w:t>效进行废水处理</w:t>
            </w:r>
            <w:r>
              <w:rPr>
                <w:rFonts w:hint="default"/>
                <w:color w:val="auto"/>
              </w:rPr>
              <w:t>。</w:t>
            </w:r>
          </w:p>
          <w:p w14:paraId="39EB2048">
            <w:pPr>
              <w:pStyle w:val="80"/>
              <w:ind w:firstLine="480"/>
              <w:rPr>
                <w:rFonts w:hint="default"/>
              </w:rPr>
            </w:pPr>
            <w:r>
              <w:t>综上所述，</w:t>
            </w:r>
            <w:r>
              <w:rPr>
                <w:rFonts w:hint="default"/>
              </w:rPr>
              <w:t>项目布局分区、分块设置，基本相对区隔，满足日常运营要求，且充分考虑到了环保设施的布设的实际情况，布置和考虑相对合理。</w:t>
            </w:r>
          </w:p>
          <w:p w14:paraId="5BD70B18">
            <w:pPr>
              <w:pStyle w:val="80"/>
              <w:ind w:firstLine="480"/>
              <w:rPr>
                <w:rFonts w:hint="default"/>
              </w:rPr>
            </w:pPr>
            <w:r>
              <w:rPr>
                <w:rFonts w:hint="default"/>
              </w:rPr>
              <w:t>项目</w:t>
            </w:r>
            <w:r>
              <w:t>各楼层</w:t>
            </w:r>
            <w:r>
              <w:rPr>
                <w:rFonts w:hint="default"/>
              </w:rPr>
              <w:t>平面布置图详见</w:t>
            </w:r>
            <w:r>
              <w:t>附图4。</w:t>
            </w:r>
          </w:p>
        </w:tc>
      </w:tr>
      <w:tr w14:paraId="580CDF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76" w:type="dxa"/>
            <w:noWrap w:val="0"/>
            <w:vAlign w:val="center"/>
          </w:tcPr>
          <w:p w14:paraId="0436A278">
            <w:pPr>
              <w:adjustRightInd w:val="0"/>
              <w:snapToGrid w:val="0"/>
              <w:jc w:val="center"/>
              <w:rPr>
                <w:sz w:val="21"/>
                <w:szCs w:val="21"/>
              </w:rPr>
            </w:pPr>
            <w:r>
              <w:rPr>
                <w:bCs/>
                <w:sz w:val="21"/>
                <w:szCs w:val="21"/>
              </w:rPr>
              <w:t>与项目有关的原有环境污染问题</w:t>
            </w:r>
          </w:p>
        </w:tc>
        <w:tc>
          <w:tcPr>
            <w:tcW w:w="8312" w:type="dxa"/>
            <w:noWrap w:val="0"/>
            <w:vAlign w:val="top"/>
          </w:tcPr>
          <w:p w14:paraId="53F449F7">
            <w:pPr>
              <w:pStyle w:val="76"/>
              <w:ind w:firstLine="0" w:firstLineChars="0"/>
              <w:jc w:val="center"/>
            </w:pPr>
          </w:p>
          <w:p w14:paraId="69CB7AD5">
            <w:pPr>
              <w:pStyle w:val="76"/>
              <w:ind w:firstLine="0" w:firstLineChars="0"/>
              <w:jc w:val="center"/>
              <w:rPr>
                <w:rFonts w:hint="default"/>
              </w:rPr>
            </w:pPr>
            <w:r>
              <w:t>无</w:t>
            </w:r>
          </w:p>
        </w:tc>
      </w:tr>
    </w:tbl>
    <w:p w14:paraId="484A183C">
      <w:pPr>
        <w:jc w:val="center"/>
        <w:rPr>
          <w:rFonts w:eastAsia="黑体"/>
          <w:snapToGrid w:val="0"/>
          <w:sz w:val="36"/>
          <w:szCs w:val="36"/>
        </w:rPr>
        <w:sectPr>
          <w:pgSz w:w="11906" w:h="16838"/>
          <w:pgMar w:top="1417" w:right="1417" w:bottom="1417" w:left="1417" w:header="851" w:footer="851" w:gutter="0"/>
          <w:cols w:space="720" w:num="1"/>
          <w:docGrid w:linePitch="312" w:charSpace="0"/>
        </w:sectPr>
      </w:pPr>
    </w:p>
    <w:p w14:paraId="66CEDC91"/>
    <w:p w14:paraId="0E25037B">
      <w:pPr>
        <w:pStyle w:val="4"/>
        <w:numPr>
          <w:ilvl w:val="0"/>
          <w:numId w:val="0"/>
        </w:numPr>
        <w:ind w:left="-240" w:leftChars="0" w:firstLine="0" w:firstLineChars="0"/>
        <w:rPr>
          <w:color w:val="auto"/>
        </w:rPr>
      </w:pPr>
      <w:bookmarkStart w:id="29" w:name="_Toc25484"/>
      <w:r>
        <w:rPr>
          <w:rFonts w:hint="eastAsia" w:ascii="Times New Roman" w:hAnsi="Times New Roman" w:eastAsia="黑体" w:cs="宋体"/>
          <w:b/>
          <w:bCs/>
          <w:color w:val="auto"/>
          <w:kern w:val="44"/>
          <w:sz w:val="30"/>
          <w:szCs w:val="30"/>
          <w:lang w:val="en-US" w:eastAsia="zh-CN" w:bidi="ar-SA"/>
        </w:rPr>
        <w:t>三、</w:t>
      </w:r>
      <w:r>
        <w:rPr>
          <w:color w:val="auto"/>
        </w:rPr>
        <w:t>区域环境质量现状、环境保护目标及评价标准</w:t>
      </w:r>
      <w:bookmarkEnd w:id="29"/>
    </w:p>
    <w:tbl>
      <w:tblPr>
        <w:tblStyle w:val="2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627"/>
        <w:gridCol w:w="9336"/>
      </w:tblGrid>
      <w:tr w14:paraId="39B13D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00" w:type="dxa"/>
            <w:noWrap w:val="0"/>
            <w:vAlign w:val="center"/>
          </w:tcPr>
          <w:p w14:paraId="46B43EFB">
            <w:pPr>
              <w:adjustRightInd w:val="0"/>
              <w:snapToGrid w:val="0"/>
              <w:jc w:val="center"/>
              <w:rPr>
                <w:kern w:val="0"/>
                <w:szCs w:val="21"/>
              </w:rPr>
            </w:pPr>
            <w:r>
              <w:rPr>
                <w:kern w:val="0"/>
                <w:szCs w:val="21"/>
              </w:rPr>
              <w:t>区域</w:t>
            </w:r>
          </w:p>
          <w:p w14:paraId="67E4A760">
            <w:pPr>
              <w:adjustRightInd w:val="0"/>
              <w:snapToGrid w:val="0"/>
              <w:jc w:val="center"/>
              <w:rPr>
                <w:kern w:val="0"/>
                <w:szCs w:val="21"/>
              </w:rPr>
            </w:pPr>
            <w:r>
              <w:rPr>
                <w:kern w:val="0"/>
                <w:szCs w:val="21"/>
              </w:rPr>
              <w:t>环境</w:t>
            </w:r>
          </w:p>
          <w:p w14:paraId="733FFA73">
            <w:pPr>
              <w:adjustRightInd w:val="0"/>
              <w:snapToGrid w:val="0"/>
              <w:jc w:val="center"/>
              <w:rPr>
                <w:kern w:val="0"/>
                <w:szCs w:val="21"/>
              </w:rPr>
            </w:pPr>
            <w:r>
              <w:rPr>
                <w:kern w:val="0"/>
                <w:szCs w:val="21"/>
              </w:rPr>
              <w:t>质量</w:t>
            </w:r>
          </w:p>
          <w:p w14:paraId="396EC41F">
            <w:pPr>
              <w:adjustRightInd w:val="0"/>
              <w:snapToGrid w:val="0"/>
              <w:jc w:val="center"/>
              <w:rPr>
                <w:kern w:val="0"/>
                <w:szCs w:val="21"/>
              </w:rPr>
            </w:pPr>
            <w:r>
              <w:rPr>
                <w:kern w:val="0"/>
                <w:szCs w:val="21"/>
              </w:rPr>
              <w:t>现状</w:t>
            </w:r>
          </w:p>
        </w:tc>
        <w:tc>
          <w:tcPr>
            <w:tcW w:w="8190" w:type="dxa"/>
            <w:noWrap w:val="0"/>
            <w:vAlign w:val="center"/>
          </w:tcPr>
          <w:p w14:paraId="25896B2D">
            <w:pPr>
              <w:pStyle w:val="5"/>
              <w:keepNext/>
              <w:keepLines/>
              <w:pageBreakBefore w:val="0"/>
              <w:widowControl w:val="0"/>
              <w:numPr>
                <w:ilvl w:val="0"/>
                <w:numId w:val="0"/>
              </w:numPr>
              <w:kinsoku/>
              <w:wordWrap/>
              <w:overflowPunct/>
              <w:topLinePunct w:val="0"/>
              <w:autoSpaceDE/>
              <w:autoSpaceDN/>
              <w:bidi w:val="0"/>
              <w:adjustRightInd/>
              <w:snapToGrid/>
              <w:spacing w:before="0" w:beforeLines="0" w:after="0" w:afterLines="0"/>
              <w:ind w:left="0" w:leftChars="0" w:firstLine="0" w:firstLineChars="0"/>
              <w:textAlignment w:val="auto"/>
            </w:pPr>
            <w:bookmarkStart w:id="30" w:name="_Toc11132"/>
            <w:r>
              <w:rPr>
                <w:rFonts w:hint="eastAsia" w:ascii="Times New Roman" w:hAnsi="Times New Roman" w:eastAsia="宋体" w:cs="宋体"/>
                <w:b/>
                <w:bCs/>
                <w:color w:val="000000"/>
                <w:kern w:val="44"/>
                <w:sz w:val="30"/>
                <w:szCs w:val="32"/>
                <w:lang w:val="en-US" w:eastAsia="zh-CN" w:bidi="ar-SA"/>
              </w:rPr>
              <w:t>3.1</w:t>
            </w:r>
            <w:r>
              <w:t>水环境质量现状</w:t>
            </w:r>
            <w:bookmarkEnd w:id="30"/>
          </w:p>
          <w:p w14:paraId="3430631C">
            <w:pPr>
              <w:pStyle w:val="76"/>
              <w:ind w:firstLine="480"/>
              <w:rPr>
                <w:rFonts w:hint="default"/>
              </w:rPr>
            </w:pPr>
            <w:r>
              <w:rPr>
                <w:rFonts w:hint="default"/>
              </w:rPr>
              <w:t>根据福建省生态环境厅</w:t>
            </w:r>
            <w:r>
              <w:rPr>
                <w:rFonts w:hint="default"/>
                <w:lang w:val="zh-CN"/>
              </w:rPr>
              <w:t>网站公布</w:t>
            </w:r>
            <w:r>
              <w:rPr>
                <w:rFonts w:hint="default"/>
              </w:rPr>
              <w:t>的《福建省流域水环境质量状况（202</w:t>
            </w:r>
            <w:r>
              <w:rPr>
                <w:rFonts w:hint="eastAsia"/>
                <w:lang w:val="en-US" w:eastAsia="zh-CN"/>
              </w:rPr>
              <w:t>3</w:t>
            </w:r>
            <w:r>
              <w:rPr>
                <w:rFonts w:hint="default"/>
              </w:rPr>
              <w:t>年1</w:t>
            </w:r>
            <w:r>
              <w:rPr>
                <w:rFonts w:hint="eastAsia"/>
                <w:lang w:val="en-US" w:eastAsia="zh-CN"/>
              </w:rPr>
              <w:t>-</w:t>
            </w:r>
            <w:r>
              <w:rPr>
                <w:rFonts w:hint="default"/>
              </w:rPr>
              <w:t>12月）》数据，2023年1</w:t>
            </w:r>
            <w:r>
              <w:rPr>
                <w:rFonts w:hint="eastAsia"/>
                <w:lang w:val="en-US" w:eastAsia="zh-CN"/>
              </w:rPr>
              <w:t>-</w:t>
            </w:r>
            <w:r>
              <w:rPr>
                <w:rFonts w:hint="default"/>
              </w:rPr>
              <w:t>12月，全省主要流域总体水质为优，国控断面Ⅰ～Ⅲ类水质比例99.0％,Ⅰ～Ⅱ类水质比例68.6％；国控及省控断面Ⅰ～Ⅲ类水质比例99.5％，其中Ⅰ～Ⅱ类水质比例65.3％，各类水质比例如下：Ⅰ类占1.9%，Ⅱ类占63.5%，Ⅲ类占34.1%，Ⅳ类占0.5%，无Ⅴ类和劣Ⅴ类水。。</w:t>
            </w:r>
            <w:r>
              <w:t>综上所述，</w:t>
            </w:r>
            <w:r>
              <w:rPr>
                <w:rFonts w:hint="default"/>
              </w:rPr>
              <w:t>项目区域水环境质量现状达标。</w:t>
            </w:r>
          </w:p>
          <w:p w14:paraId="1D8C6020">
            <w:pPr>
              <w:pStyle w:val="76"/>
              <w:ind w:firstLine="480"/>
              <w:rPr>
                <w:rFonts w:hint="default"/>
              </w:rPr>
            </w:pPr>
            <w:r>
              <w:rPr>
                <w:rFonts w:hint="default"/>
              </w:rPr>
              <w:t>根据《环境影响评价技术导则地表水环境》</w:t>
            </w:r>
            <w:r>
              <w:t>（</w:t>
            </w:r>
            <w:r>
              <w:rPr>
                <w:rFonts w:hint="default"/>
              </w:rPr>
              <w:t>HJ2.3-2018</w:t>
            </w:r>
            <w:r>
              <w:t>）</w:t>
            </w:r>
            <w:r>
              <w:rPr>
                <w:rFonts w:hint="default"/>
              </w:rPr>
              <w:t>的要求，水环境质量现状调查应优先采用国务院生态环境保护主管部门统一发布的水环境状况信息。</w:t>
            </w:r>
            <w:r>
              <w:t>本次</w:t>
            </w:r>
            <w:r>
              <w:rPr>
                <w:rFonts w:hint="default"/>
              </w:rPr>
              <w:t>评价选取福建省主要流域水环境质量状况信息，符合《环境影响评价技术导则地表水环境》</w:t>
            </w:r>
            <w:r>
              <w:t>（</w:t>
            </w:r>
            <w:r>
              <w:rPr>
                <w:rFonts w:hint="default"/>
              </w:rPr>
              <w:t>HJ2.</w:t>
            </w:r>
            <w:r>
              <w:t>3</w:t>
            </w:r>
            <w:r>
              <w:rPr>
                <w:rFonts w:hint="default"/>
              </w:rPr>
              <w:t>-2018</w:t>
            </w:r>
            <w:r>
              <w:t>）</w:t>
            </w:r>
            <w:r>
              <w:rPr>
                <w:rFonts w:hint="default"/>
              </w:rPr>
              <w:t>的要求，环境现状监测数据可行。</w:t>
            </w:r>
            <w:r>
              <w:t>区域水环境质量公报截图见图3.1-1</w:t>
            </w:r>
            <w:r>
              <w:rPr>
                <w:rFonts w:hint="default"/>
              </w:rPr>
              <w:t>。</w:t>
            </w:r>
          </w:p>
          <w:p w14:paraId="4D2426DA">
            <w:pPr>
              <w:pStyle w:val="76"/>
              <w:ind w:firstLine="0" w:firstLineChars="0"/>
              <w:jc w:val="center"/>
              <w:rPr>
                <w:rFonts w:hint="default"/>
              </w:rPr>
            </w:pPr>
            <w:r>
              <w:drawing>
                <wp:inline distT="0" distB="0" distL="114300" distR="114300">
                  <wp:extent cx="5528310" cy="4191000"/>
                  <wp:effectExtent l="0" t="0" r="15240" b="0"/>
                  <wp:docPr id="23"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61"/>
                          <pic:cNvPicPr>
                            <a:picLocks noChangeAspect="1"/>
                          </pic:cNvPicPr>
                        </pic:nvPicPr>
                        <pic:blipFill>
                          <a:blip r:embed="rId14"/>
                          <a:stretch>
                            <a:fillRect/>
                          </a:stretch>
                        </pic:blipFill>
                        <pic:spPr>
                          <a:xfrm>
                            <a:off x="0" y="0"/>
                            <a:ext cx="5528310" cy="4191000"/>
                          </a:xfrm>
                          <a:prstGeom prst="rect">
                            <a:avLst/>
                          </a:prstGeom>
                          <a:noFill/>
                          <a:ln>
                            <a:noFill/>
                          </a:ln>
                        </pic:spPr>
                      </pic:pic>
                    </a:graphicData>
                  </a:graphic>
                </wp:inline>
              </w:drawing>
            </w:r>
          </w:p>
          <w:p w14:paraId="0EC8699B">
            <w:pPr>
              <w:pStyle w:val="78"/>
              <w:numPr>
                <w:ilvl w:val="0"/>
                <w:numId w:val="0"/>
              </w:numPr>
              <w:ind w:left="0" w:leftChars="0" w:firstLine="0" w:firstLineChars="0"/>
            </w:pPr>
            <w:bookmarkStart w:id="31" w:name="_Toc23142"/>
            <w:r>
              <w:rPr>
                <w:rFonts w:hint="eastAsia" w:ascii="Times New Roman" w:hAnsi="Times New Roman" w:eastAsia="宋体" w:cs="宋体"/>
                <w:b/>
                <w:kern w:val="2"/>
                <w:sz w:val="24"/>
                <w:szCs w:val="24"/>
                <w:lang w:val="en-US" w:eastAsia="zh-CN" w:bidi="ar-SA"/>
              </w:rPr>
              <w:t>图3.1-1</w:t>
            </w:r>
            <w:r>
              <w:t>水环境质量现状截图</w:t>
            </w:r>
          </w:p>
          <w:p w14:paraId="3D7B413C">
            <w:pPr>
              <w:pStyle w:val="5"/>
              <w:keepNext/>
              <w:keepLines/>
              <w:pageBreakBefore w:val="0"/>
              <w:widowControl w:val="0"/>
              <w:numPr>
                <w:ilvl w:val="0"/>
                <w:numId w:val="0"/>
              </w:numPr>
              <w:kinsoku/>
              <w:wordWrap/>
              <w:overflowPunct/>
              <w:topLinePunct w:val="0"/>
              <w:autoSpaceDE/>
              <w:autoSpaceDN/>
              <w:bidi w:val="0"/>
              <w:adjustRightInd/>
              <w:snapToGrid/>
              <w:spacing w:before="0" w:beforeLines="0" w:after="0" w:afterLines="0"/>
              <w:ind w:left="0" w:leftChars="0" w:firstLine="0" w:firstLineChars="0"/>
              <w:textAlignment w:val="auto"/>
            </w:pPr>
            <w:r>
              <w:rPr>
                <w:rFonts w:hint="eastAsia" w:ascii="Times New Roman" w:hAnsi="Times New Roman" w:eastAsia="宋体" w:cs="宋体"/>
                <w:b/>
                <w:bCs/>
                <w:color w:val="000000"/>
                <w:kern w:val="44"/>
                <w:sz w:val="30"/>
                <w:szCs w:val="32"/>
                <w:lang w:val="en-US" w:eastAsia="zh-CN" w:bidi="ar-SA"/>
              </w:rPr>
              <w:t>3.2</w:t>
            </w:r>
            <w:r>
              <w:t>大气环境质量现状</w:t>
            </w:r>
            <w:bookmarkEnd w:id="31"/>
          </w:p>
          <w:p w14:paraId="72697041">
            <w:pPr>
              <w:pStyle w:val="76"/>
              <w:ind w:firstLine="480"/>
            </w:pPr>
            <w:r>
              <w:t>根据《建设项目环境影响报告表编制技术指南（污染影响类）（试行）》（环办环评〔2020〕33号）的要求：“污染物引用与建设项目距离近的有效数据，包括近3年的规划环境影响评价的监测数据，国家、地方环境空气质量监测网数据或生态环境主管部门公开发布的质量数据等。引用建设项目周边5千米范围内近3年的现有监测数据，无相关数据的选择当季主导风向下风向1个点位补充不少于3天的监测数据。”</w:t>
            </w:r>
          </w:p>
          <w:p w14:paraId="25A2617D">
            <w:pPr>
              <w:pStyle w:val="76"/>
              <w:ind w:firstLine="480"/>
              <w:rPr>
                <w:color w:val="auto"/>
              </w:rPr>
            </w:pPr>
            <w:r>
              <w:rPr>
                <w:color w:val="auto"/>
              </w:rPr>
              <w:t>本次评价选取</w:t>
            </w:r>
            <w:r>
              <w:rPr>
                <w:rFonts w:hint="default" w:cs="Times New Roman"/>
                <w:color w:val="auto"/>
                <w:szCs w:val="23"/>
              </w:rPr>
              <w:t>为了解本项目的大气环境现状，本评价</w:t>
            </w:r>
            <w:r>
              <w:rPr>
                <w:rFonts w:hint="default" w:cs="Times New Roman"/>
                <w:color w:val="auto"/>
                <w:lang w:val="zh-CN"/>
              </w:rPr>
              <w:t>引用福建省生态环境厅网站公布的</w:t>
            </w:r>
            <w:r>
              <w:rPr>
                <w:rFonts w:hint="default" w:cs="Times New Roman"/>
                <w:color w:val="auto"/>
              </w:rPr>
              <w:t>202</w:t>
            </w:r>
            <w:r>
              <w:rPr>
                <w:rFonts w:hint="eastAsia" w:cs="Times New Roman"/>
                <w:color w:val="auto"/>
                <w:lang w:val="en-US" w:eastAsia="zh-CN"/>
              </w:rPr>
              <w:t>3</w:t>
            </w:r>
            <w:r>
              <w:rPr>
                <w:rFonts w:hint="default" w:cs="Times New Roman"/>
                <w:color w:val="auto"/>
              </w:rPr>
              <w:t>年1~12月设区城市环境空气质量状况</w:t>
            </w:r>
            <w:r>
              <w:rPr>
                <w:rFonts w:hint="default" w:cs="Times New Roman"/>
                <w:color w:val="auto"/>
                <w:lang w:val="zh-CN"/>
              </w:rPr>
              <w:t>，福州市城区环境空气质量良好，能达到《环境空气质量标准》（GB3095-2012）二级标准要求</w:t>
            </w:r>
            <w:r>
              <w:rPr>
                <w:color w:val="auto"/>
              </w:rPr>
              <w:t>，表3.2-1。</w:t>
            </w:r>
          </w:p>
          <w:p w14:paraId="0F55919D">
            <w:pPr>
              <w:pStyle w:val="63"/>
              <w:numPr>
                <w:ilvl w:val="0"/>
                <w:numId w:val="0"/>
              </w:numPr>
              <w:ind w:left="0" w:leftChars="0" w:firstLine="0" w:firstLineChars="0"/>
              <w:rPr>
                <w:color w:val="auto"/>
              </w:rPr>
            </w:pPr>
            <w:r>
              <w:rPr>
                <w:rFonts w:hint="eastAsia" w:ascii="Times New Roman" w:hAnsi="Times New Roman" w:eastAsia="宋体" w:cs="宋体"/>
                <w:b/>
                <w:color w:val="auto"/>
                <w:kern w:val="2"/>
                <w:sz w:val="24"/>
                <w:szCs w:val="24"/>
                <w:lang w:val="en-US" w:eastAsia="zh-CN" w:bidi="ar-SA"/>
              </w:rPr>
              <w:t>表3.2-1</w:t>
            </w:r>
            <w:r>
              <w:rPr>
                <w:rFonts w:hint="eastAsia" w:cs="宋体"/>
                <w:b/>
                <w:color w:val="auto"/>
                <w:kern w:val="2"/>
                <w:sz w:val="24"/>
                <w:szCs w:val="24"/>
                <w:lang w:val="en-US" w:eastAsia="zh-CN" w:bidi="ar-SA"/>
              </w:rPr>
              <w:t xml:space="preserve">   </w:t>
            </w:r>
            <w:r>
              <w:rPr>
                <w:color w:val="auto"/>
              </w:rPr>
              <w:t>202</w:t>
            </w:r>
            <w:r>
              <w:rPr>
                <w:rFonts w:hint="eastAsia"/>
                <w:color w:val="auto"/>
                <w:lang w:val="en-US" w:eastAsia="zh-CN"/>
              </w:rPr>
              <w:t>3</w:t>
            </w:r>
            <w:r>
              <w:rPr>
                <w:color w:val="auto"/>
              </w:rPr>
              <w:t>年1-12月设区城市环境空气质量情况</w:t>
            </w:r>
            <w:r>
              <w:rPr>
                <w:rFonts w:hint="eastAsia"/>
                <w:color w:val="auto"/>
              </w:rPr>
              <w:t>（摘选）</w:t>
            </w:r>
          </w:p>
          <w:tbl>
            <w:tblPr>
              <w:tblStyle w:val="25"/>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803"/>
              <w:gridCol w:w="1225"/>
              <w:gridCol w:w="700"/>
              <w:gridCol w:w="735"/>
              <w:gridCol w:w="786"/>
              <w:gridCol w:w="924"/>
              <w:gridCol w:w="942"/>
              <w:gridCol w:w="977"/>
              <w:gridCol w:w="1023"/>
            </w:tblGrid>
            <w:tr w14:paraId="3BFD7B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89" w:type="pct"/>
                  <w:noWrap w:val="0"/>
                  <w:vAlign w:val="center"/>
                </w:tcPr>
                <w:p w14:paraId="1F384805">
                  <w:pPr>
                    <w:pStyle w:val="67"/>
                    <w:rPr>
                      <w:color w:val="auto"/>
                    </w:rPr>
                  </w:pPr>
                  <w:r>
                    <w:rPr>
                      <w:color w:val="auto"/>
                    </w:rPr>
                    <w:t>城市</w:t>
                  </w:r>
                </w:p>
              </w:tc>
              <w:tc>
                <w:tcPr>
                  <w:tcW w:w="672" w:type="pct"/>
                  <w:noWrap w:val="0"/>
                  <w:vAlign w:val="center"/>
                </w:tcPr>
                <w:p w14:paraId="3E45C81D">
                  <w:pPr>
                    <w:pStyle w:val="67"/>
                    <w:rPr>
                      <w:color w:val="auto"/>
                    </w:rPr>
                  </w:pPr>
                  <w:r>
                    <w:rPr>
                      <w:color w:val="auto"/>
                    </w:rPr>
                    <w:t>综合指数</w:t>
                  </w:r>
                </w:p>
              </w:tc>
              <w:tc>
                <w:tcPr>
                  <w:tcW w:w="384" w:type="pct"/>
                  <w:noWrap w:val="0"/>
                  <w:vAlign w:val="center"/>
                </w:tcPr>
                <w:p w14:paraId="4D224AB2">
                  <w:pPr>
                    <w:pStyle w:val="67"/>
                    <w:rPr>
                      <w:color w:val="auto"/>
                    </w:rPr>
                  </w:pPr>
                  <w:r>
                    <w:rPr>
                      <w:color w:val="auto"/>
                    </w:rPr>
                    <w:t>SO</w:t>
                  </w:r>
                  <w:r>
                    <w:rPr>
                      <w:color w:val="auto"/>
                      <w:vertAlign w:val="subscript"/>
                    </w:rPr>
                    <w:t>2</w:t>
                  </w:r>
                </w:p>
              </w:tc>
              <w:tc>
                <w:tcPr>
                  <w:tcW w:w="403" w:type="pct"/>
                  <w:noWrap w:val="0"/>
                  <w:vAlign w:val="center"/>
                </w:tcPr>
                <w:p w14:paraId="65EA8926">
                  <w:pPr>
                    <w:pStyle w:val="67"/>
                    <w:rPr>
                      <w:color w:val="auto"/>
                    </w:rPr>
                  </w:pPr>
                  <w:r>
                    <w:rPr>
                      <w:color w:val="auto"/>
                    </w:rPr>
                    <w:t>NO</w:t>
                  </w:r>
                  <w:r>
                    <w:rPr>
                      <w:color w:val="auto"/>
                      <w:vertAlign w:val="subscript"/>
                    </w:rPr>
                    <w:t>2</w:t>
                  </w:r>
                </w:p>
              </w:tc>
              <w:tc>
                <w:tcPr>
                  <w:tcW w:w="431" w:type="pct"/>
                  <w:noWrap w:val="0"/>
                  <w:vAlign w:val="center"/>
                </w:tcPr>
                <w:p w14:paraId="48E9E014">
                  <w:pPr>
                    <w:pStyle w:val="67"/>
                    <w:rPr>
                      <w:color w:val="auto"/>
                    </w:rPr>
                  </w:pPr>
                  <w:r>
                    <w:rPr>
                      <w:color w:val="auto"/>
                    </w:rPr>
                    <w:t>PM</w:t>
                  </w:r>
                  <w:r>
                    <w:rPr>
                      <w:color w:val="auto"/>
                      <w:vertAlign w:val="subscript"/>
                    </w:rPr>
                    <w:t>10</w:t>
                  </w:r>
                </w:p>
              </w:tc>
              <w:tc>
                <w:tcPr>
                  <w:tcW w:w="507" w:type="pct"/>
                  <w:noWrap w:val="0"/>
                  <w:vAlign w:val="center"/>
                </w:tcPr>
                <w:p w14:paraId="51258FEE">
                  <w:pPr>
                    <w:pStyle w:val="67"/>
                    <w:rPr>
                      <w:color w:val="auto"/>
                    </w:rPr>
                  </w:pPr>
                  <w:r>
                    <w:rPr>
                      <w:color w:val="auto"/>
                    </w:rPr>
                    <w:t>PM</w:t>
                  </w:r>
                  <w:r>
                    <w:rPr>
                      <w:color w:val="auto"/>
                      <w:vertAlign w:val="subscript"/>
                    </w:rPr>
                    <w:t>2.5</w:t>
                  </w:r>
                </w:p>
              </w:tc>
              <w:tc>
                <w:tcPr>
                  <w:tcW w:w="517" w:type="pct"/>
                  <w:noWrap w:val="0"/>
                  <w:vAlign w:val="center"/>
                </w:tcPr>
                <w:p w14:paraId="3663FCF7">
                  <w:pPr>
                    <w:pStyle w:val="67"/>
                    <w:rPr>
                      <w:color w:val="auto"/>
                      <w:lang w:val="zh-CN"/>
                    </w:rPr>
                  </w:pPr>
                  <w:r>
                    <w:rPr>
                      <w:color w:val="auto"/>
                      <w:lang w:val="zh-CN"/>
                    </w:rPr>
                    <w:t>CO-</w:t>
                  </w:r>
                </w:p>
                <w:p w14:paraId="31466D21">
                  <w:pPr>
                    <w:pStyle w:val="67"/>
                    <w:rPr>
                      <w:color w:val="auto"/>
                      <w:lang w:val="zh-CN"/>
                    </w:rPr>
                  </w:pPr>
                  <w:r>
                    <w:rPr>
                      <w:color w:val="auto"/>
                      <w:lang w:val="zh-CN"/>
                    </w:rPr>
                    <w:t>95per</w:t>
                  </w:r>
                </w:p>
              </w:tc>
              <w:tc>
                <w:tcPr>
                  <w:tcW w:w="536" w:type="pct"/>
                  <w:noWrap w:val="0"/>
                  <w:vAlign w:val="center"/>
                </w:tcPr>
                <w:p w14:paraId="7B31E704">
                  <w:pPr>
                    <w:pStyle w:val="67"/>
                    <w:rPr>
                      <w:color w:val="auto"/>
                      <w:lang w:val="zh-CN"/>
                    </w:rPr>
                  </w:pPr>
                  <w:r>
                    <w:rPr>
                      <w:color w:val="auto"/>
                      <w:lang w:val="zh-CN"/>
                    </w:rPr>
                    <w:t>O</w:t>
                  </w:r>
                  <w:r>
                    <w:rPr>
                      <w:color w:val="auto"/>
                      <w:vertAlign w:val="subscript"/>
                      <w:lang w:val="zh-CN"/>
                    </w:rPr>
                    <w:t>3</w:t>
                  </w:r>
                  <w:r>
                    <w:rPr>
                      <w:color w:val="auto"/>
                      <w:lang w:val="zh-CN"/>
                    </w:rPr>
                    <w:t>_8h</w:t>
                  </w:r>
                  <w:r>
                    <w:rPr>
                      <w:color w:val="auto"/>
                      <w:lang w:val="zh-CN"/>
                    </w:rPr>
                    <w:cr/>
                  </w:r>
                  <w:r>
                    <w:rPr>
                      <w:color w:val="auto"/>
                      <w:lang w:val="zh-CN"/>
                    </w:rPr>
                    <w:t>90per</w:t>
                  </w:r>
                </w:p>
              </w:tc>
              <w:tc>
                <w:tcPr>
                  <w:tcW w:w="556" w:type="pct"/>
                  <w:noWrap w:val="0"/>
                  <w:vAlign w:val="center"/>
                </w:tcPr>
                <w:p w14:paraId="06DC2AA7">
                  <w:pPr>
                    <w:pStyle w:val="67"/>
                    <w:rPr>
                      <w:color w:val="auto"/>
                    </w:rPr>
                  </w:pPr>
                  <w:r>
                    <w:rPr>
                      <w:color w:val="auto"/>
                    </w:rPr>
                    <w:t>首要污染物</w:t>
                  </w:r>
                </w:p>
              </w:tc>
            </w:tr>
            <w:tr w14:paraId="685668C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89" w:type="pct"/>
                  <w:noWrap w:val="0"/>
                  <w:vAlign w:val="center"/>
                </w:tcPr>
                <w:p w14:paraId="79090A2C">
                  <w:pPr>
                    <w:pStyle w:val="67"/>
                    <w:rPr>
                      <w:color w:val="auto"/>
                    </w:rPr>
                  </w:pPr>
                  <w:r>
                    <w:rPr>
                      <w:color w:val="auto"/>
                    </w:rPr>
                    <w:t>福州市</w:t>
                  </w:r>
                </w:p>
              </w:tc>
              <w:tc>
                <w:tcPr>
                  <w:tcW w:w="672" w:type="pct"/>
                  <w:noWrap w:val="0"/>
                  <w:vAlign w:val="center"/>
                </w:tcPr>
                <w:p w14:paraId="4FCD1F63">
                  <w:pPr>
                    <w:pStyle w:val="67"/>
                    <w:rPr>
                      <w:rFonts w:hint="default" w:eastAsia="宋体"/>
                      <w:color w:val="auto"/>
                      <w:lang w:val="en-US" w:eastAsia="zh-CN"/>
                    </w:rPr>
                  </w:pPr>
                  <w:r>
                    <w:rPr>
                      <w:rFonts w:hint="eastAsia"/>
                      <w:color w:val="auto"/>
                    </w:rPr>
                    <w:t>2.5</w:t>
                  </w:r>
                </w:p>
              </w:tc>
              <w:tc>
                <w:tcPr>
                  <w:tcW w:w="384" w:type="pct"/>
                  <w:noWrap w:val="0"/>
                  <w:vAlign w:val="center"/>
                </w:tcPr>
                <w:p w14:paraId="7439B78E">
                  <w:pPr>
                    <w:pStyle w:val="67"/>
                    <w:rPr>
                      <w:rFonts w:hint="eastAsia" w:eastAsia="宋体"/>
                      <w:color w:val="auto"/>
                      <w:lang w:eastAsia="zh-CN"/>
                    </w:rPr>
                  </w:pPr>
                  <w:r>
                    <w:rPr>
                      <w:rFonts w:hint="eastAsia"/>
                      <w:color w:val="auto"/>
                      <w:lang w:val="en-US" w:eastAsia="zh-CN"/>
                    </w:rPr>
                    <w:t>4</w:t>
                  </w:r>
                </w:p>
              </w:tc>
              <w:tc>
                <w:tcPr>
                  <w:tcW w:w="403" w:type="pct"/>
                  <w:noWrap w:val="0"/>
                  <w:vAlign w:val="center"/>
                </w:tcPr>
                <w:p w14:paraId="72BAA7E5">
                  <w:pPr>
                    <w:pStyle w:val="67"/>
                    <w:rPr>
                      <w:rFonts w:hint="default" w:eastAsia="宋体"/>
                      <w:color w:val="auto"/>
                      <w:lang w:val="en-US" w:eastAsia="zh-CN"/>
                    </w:rPr>
                  </w:pPr>
                  <w:r>
                    <w:rPr>
                      <w:rFonts w:hint="eastAsia"/>
                      <w:color w:val="auto"/>
                      <w:lang w:val="en-US" w:eastAsia="zh-CN"/>
                    </w:rPr>
                    <w:t>16</w:t>
                  </w:r>
                </w:p>
              </w:tc>
              <w:tc>
                <w:tcPr>
                  <w:tcW w:w="431" w:type="pct"/>
                  <w:noWrap w:val="0"/>
                  <w:vAlign w:val="center"/>
                </w:tcPr>
                <w:p w14:paraId="2C537BDB">
                  <w:pPr>
                    <w:pStyle w:val="67"/>
                    <w:rPr>
                      <w:rFonts w:hint="eastAsia" w:eastAsia="宋体"/>
                      <w:color w:val="auto"/>
                      <w:lang w:val="en-US" w:eastAsia="zh-CN"/>
                    </w:rPr>
                  </w:pPr>
                  <w:r>
                    <w:rPr>
                      <w:color w:val="auto"/>
                    </w:rPr>
                    <w:t>3</w:t>
                  </w:r>
                  <w:r>
                    <w:rPr>
                      <w:rFonts w:hint="eastAsia"/>
                      <w:color w:val="auto"/>
                      <w:lang w:val="en-US" w:eastAsia="zh-CN"/>
                    </w:rPr>
                    <w:t>5</w:t>
                  </w:r>
                </w:p>
              </w:tc>
              <w:tc>
                <w:tcPr>
                  <w:tcW w:w="507" w:type="pct"/>
                  <w:noWrap w:val="0"/>
                  <w:vAlign w:val="center"/>
                </w:tcPr>
                <w:p w14:paraId="5DF2C3F0">
                  <w:pPr>
                    <w:pStyle w:val="67"/>
                    <w:rPr>
                      <w:rFonts w:hint="default" w:eastAsia="宋体"/>
                      <w:color w:val="auto"/>
                      <w:lang w:val="en-US" w:eastAsia="zh-CN"/>
                    </w:rPr>
                  </w:pPr>
                  <w:r>
                    <w:rPr>
                      <w:rFonts w:hint="eastAsia"/>
                      <w:color w:val="auto"/>
                      <w:lang w:val="en-US" w:eastAsia="zh-CN"/>
                    </w:rPr>
                    <w:t>19</w:t>
                  </w:r>
                </w:p>
              </w:tc>
              <w:tc>
                <w:tcPr>
                  <w:tcW w:w="517" w:type="pct"/>
                  <w:noWrap w:val="0"/>
                  <w:vAlign w:val="center"/>
                </w:tcPr>
                <w:p w14:paraId="730DD785">
                  <w:pPr>
                    <w:pStyle w:val="67"/>
                    <w:rPr>
                      <w:rFonts w:hint="eastAsia" w:eastAsia="宋体"/>
                      <w:color w:val="auto"/>
                      <w:lang w:eastAsia="zh-CN"/>
                    </w:rPr>
                  </w:pPr>
                  <w:r>
                    <w:rPr>
                      <w:color w:val="auto"/>
                    </w:rPr>
                    <w:t>0.</w:t>
                  </w:r>
                  <w:r>
                    <w:rPr>
                      <w:rFonts w:hint="eastAsia"/>
                      <w:color w:val="auto"/>
                      <w:lang w:val="en-US" w:eastAsia="zh-CN"/>
                    </w:rPr>
                    <w:t>7</w:t>
                  </w:r>
                </w:p>
              </w:tc>
              <w:tc>
                <w:tcPr>
                  <w:tcW w:w="536" w:type="pct"/>
                  <w:noWrap w:val="0"/>
                  <w:vAlign w:val="center"/>
                </w:tcPr>
                <w:p w14:paraId="34F8375C">
                  <w:pPr>
                    <w:pStyle w:val="67"/>
                    <w:rPr>
                      <w:rFonts w:hint="default" w:eastAsia="宋体"/>
                      <w:color w:val="auto"/>
                      <w:lang w:val="en-US" w:eastAsia="zh-CN"/>
                    </w:rPr>
                  </w:pPr>
                  <w:r>
                    <w:rPr>
                      <w:rFonts w:hint="eastAsia" w:eastAsia="宋体"/>
                      <w:color w:val="auto"/>
                      <w:lang w:val="en-US" w:eastAsia="zh-CN"/>
                    </w:rPr>
                    <w:t>130</w:t>
                  </w:r>
                </w:p>
              </w:tc>
              <w:tc>
                <w:tcPr>
                  <w:tcW w:w="556" w:type="pct"/>
                  <w:noWrap w:val="0"/>
                  <w:vAlign w:val="center"/>
                </w:tcPr>
                <w:p w14:paraId="5AD29B95">
                  <w:pPr>
                    <w:pStyle w:val="67"/>
                    <w:rPr>
                      <w:color w:val="auto"/>
                    </w:rPr>
                  </w:pPr>
                  <w:r>
                    <w:rPr>
                      <w:color w:val="auto"/>
                    </w:rPr>
                    <w:t>臭氧</w:t>
                  </w:r>
                </w:p>
              </w:tc>
            </w:tr>
            <w:tr w14:paraId="0F3CFB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00" w:type="pct"/>
                  <w:gridSpan w:val="9"/>
                  <w:noWrap w:val="0"/>
                  <w:vAlign w:val="center"/>
                </w:tcPr>
                <w:p w14:paraId="59020614">
                  <w:pPr>
                    <w:pStyle w:val="67"/>
                    <w:jc w:val="left"/>
                    <w:rPr>
                      <w:color w:val="auto"/>
                    </w:rPr>
                  </w:pPr>
                  <w:r>
                    <w:rPr>
                      <w:color w:val="auto"/>
                      <w:lang w:val="zh-CN"/>
                    </w:rPr>
                    <w:t>备注：综合指数为无量纲，CO浓度单位为mg/m</w:t>
                  </w:r>
                  <w:r>
                    <w:rPr>
                      <w:color w:val="auto"/>
                      <w:vertAlign w:val="superscript"/>
                      <w:lang w:val="zh-CN"/>
                    </w:rPr>
                    <w:t>3</w:t>
                  </w:r>
                  <w:r>
                    <w:rPr>
                      <w:color w:val="auto"/>
                      <w:lang w:val="zh-CN"/>
                    </w:rPr>
                    <w:t>，其他浓度单位均为</w:t>
                  </w:r>
                  <w:r>
                    <w:rPr>
                      <w:color w:val="auto"/>
                    </w:rPr>
                    <w:t>u</w:t>
                  </w:r>
                  <w:r>
                    <w:rPr>
                      <w:color w:val="auto"/>
                      <w:lang w:val="zh-CN"/>
                    </w:rPr>
                    <w:t>g/m</w:t>
                  </w:r>
                  <w:r>
                    <w:rPr>
                      <w:color w:val="auto"/>
                      <w:vertAlign w:val="superscript"/>
                      <w:lang w:val="zh-CN"/>
                    </w:rPr>
                    <w:t>3</w:t>
                  </w:r>
                  <w:r>
                    <w:rPr>
                      <w:color w:val="auto"/>
                      <w:lang w:val="zh-CN"/>
                    </w:rPr>
                    <w:t>；综合指数越小，表示环境空气质量相对越好。</w:t>
                  </w:r>
                </w:p>
              </w:tc>
            </w:tr>
          </w:tbl>
          <w:p w14:paraId="711D9F32">
            <w:pPr>
              <w:adjustRightInd w:val="0"/>
              <w:spacing w:line="360" w:lineRule="auto"/>
              <w:ind w:firstLine="480" w:firstLineChars="200"/>
              <w:rPr>
                <w:color w:val="FF0000"/>
              </w:rPr>
            </w:pPr>
            <w:r>
              <w:rPr>
                <w:rFonts w:hint="eastAsia"/>
                <w:color w:val="auto"/>
              </w:rPr>
              <w:t>由上表可知，福州城区环境空气质量良好</w:t>
            </w:r>
            <w:r>
              <w:rPr>
                <w:rFonts w:hint="eastAsia"/>
                <w:color w:val="auto"/>
                <w:kern w:val="0"/>
              </w:rPr>
              <w:t>。</w:t>
            </w:r>
          </w:p>
          <w:p w14:paraId="0E29A091">
            <w:pPr>
              <w:pStyle w:val="6"/>
              <w:numPr>
                <w:ilvl w:val="0"/>
                <w:numId w:val="0"/>
              </w:numPr>
              <w:adjustRightInd w:val="0"/>
              <w:ind w:left="0" w:leftChars="0" w:firstLine="200" w:firstLineChars="0"/>
            </w:pPr>
            <w:bookmarkStart w:id="32" w:name="_Toc22792"/>
            <w:r>
              <w:rPr>
                <w:rFonts w:hint="eastAsia" w:ascii="Times New Roman" w:hAnsi="Times New Roman" w:eastAsia="宋体" w:cs="宋体"/>
                <w:b/>
                <w:bCs/>
                <w:kern w:val="2"/>
                <w:sz w:val="28"/>
                <w:szCs w:val="32"/>
                <w:lang w:val="en-US" w:eastAsia="zh-CN" w:bidi="ar-SA"/>
              </w:rPr>
              <w:t>3.2.2</w:t>
            </w:r>
            <w:r>
              <w:t>声环境</w:t>
            </w:r>
            <w:bookmarkEnd w:id="32"/>
          </w:p>
          <w:p w14:paraId="150564DF">
            <w:pPr>
              <w:adjustRightInd w:val="0"/>
              <w:spacing w:line="360" w:lineRule="auto"/>
              <w:ind w:firstLine="480" w:firstLineChars="200"/>
              <w:rPr>
                <w:rFonts w:hint="eastAsia"/>
                <w:color w:val="auto"/>
              </w:rPr>
            </w:pPr>
            <w:r>
              <w:rPr>
                <w:rFonts w:hint="eastAsia"/>
                <w:color w:val="auto"/>
              </w:rPr>
              <w:t>为了了解本项目的环境噪声现状，评价单位于</w:t>
            </w:r>
            <w:r>
              <w:rPr>
                <w:rFonts w:hint="eastAsia"/>
                <w:color w:val="auto"/>
                <w:lang w:val="en-US" w:eastAsia="zh-CN"/>
              </w:rPr>
              <w:t>2024年6月12日委托福州猫眼检测技术服务有限公司对</w:t>
            </w:r>
            <w:r>
              <w:rPr>
                <w:rFonts w:hint="eastAsia"/>
                <w:color w:val="auto"/>
              </w:rPr>
              <w:t>本项目场界及项目周边敏感点的声环境现状进行监测</w:t>
            </w:r>
            <w:r>
              <w:rPr>
                <w:rFonts w:hint="eastAsia"/>
                <w:color w:val="auto"/>
                <w:lang w:eastAsia="zh-CN"/>
              </w:rPr>
              <w:t>，</w:t>
            </w:r>
            <w:r>
              <w:rPr>
                <w:rFonts w:hint="eastAsia"/>
                <w:color w:val="auto"/>
                <w:lang w:val="en-US" w:eastAsia="zh-CN"/>
              </w:rPr>
              <w:t>监测点位见图3.1-2，检测报告江附件6。</w:t>
            </w:r>
          </w:p>
          <w:p w14:paraId="14BFC1CD">
            <w:pPr>
              <w:adjustRightInd w:val="0"/>
              <w:spacing w:line="360" w:lineRule="auto"/>
              <w:ind w:firstLine="480" w:firstLineChars="200"/>
              <w:rPr>
                <w:rFonts w:hint="eastAsia" w:eastAsia="宋体"/>
                <w:color w:val="auto"/>
                <w:lang w:eastAsia="zh-CN"/>
              </w:rPr>
            </w:pPr>
            <w:r>
              <w:rPr>
                <w:rFonts w:hint="eastAsia"/>
                <w:color w:val="auto"/>
              </w:rPr>
              <w:t>（1）监测点位：详见表3.2-2</w:t>
            </w:r>
            <w:r>
              <w:rPr>
                <w:rFonts w:hint="eastAsia"/>
                <w:color w:val="auto"/>
                <w:lang w:eastAsia="zh-CN"/>
              </w:rPr>
              <w:t>；</w:t>
            </w:r>
          </w:p>
          <w:p w14:paraId="116DFCC5">
            <w:pPr>
              <w:adjustRightInd w:val="0"/>
              <w:spacing w:line="360" w:lineRule="auto"/>
              <w:ind w:firstLine="480" w:firstLineChars="200"/>
              <w:rPr>
                <w:rFonts w:hint="eastAsia"/>
                <w:color w:val="auto"/>
              </w:rPr>
            </w:pPr>
            <w:r>
              <w:rPr>
                <w:rFonts w:hint="eastAsia"/>
                <w:color w:val="auto"/>
              </w:rPr>
              <w:t>（2）监测指标：L</w:t>
            </w:r>
            <w:r>
              <w:rPr>
                <w:rFonts w:hint="eastAsia"/>
                <w:color w:val="auto"/>
                <w:vertAlign w:val="subscript"/>
              </w:rPr>
              <w:t>Aeq</w:t>
            </w:r>
            <w:r>
              <w:rPr>
                <w:rFonts w:hint="eastAsia"/>
                <w:color w:val="auto"/>
              </w:rPr>
              <w:t>；</w:t>
            </w:r>
          </w:p>
          <w:p w14:paraId="477FED23">
            <w:pPr>
              <w:adjustRightInd w:val="0"/>
              <w:spacing w:line="360" w:lineRule="auto"/>
              <w:ind w:firstLine="480" w:firstLineChars="200"/>
              <w:rPr>
                <w:rFonts w:hint="eastAsia" w:eastAsia="宋体"/>
                <w:color w:val="auto"/>
                <w:lang w:eastAsia="zh-CN"/>
              </w:rPr>
            </w:pPr>
            <w:r>
              <w:rPr>
                <w:rFonts w:hint="eastAsia"/>
                <w:color w:val="auto"/>
              </w:rPr>
              <w:t>（3）监测频次和天数：昼间1次，1天</w:t>
            </w:r>
            <w:r>
              <w:rPr>
                <w:rFonts w:hint="eastAsia"/>
                <w:color w:val="auto"/>
                <w:lang w:eastAsia="zh-CN"/>
              </w:rPr>
              <w:t>；</w:t>
            </w:r>
          </w:p>
          <w:p w14:paraId="6D158428">
            <w:pPr>
              <w:adjustRightInd w:val="0"/>
              <w:spacing w:line="360" w:lineRule="auto"/>
              <w:ind w:firstLine="480" w:firstLineChars="200"/>
              <w:rPr>
                <w:rFonts w:hint="eastAsia"/>
                <w:color w:val="auto"/>
              </w:rPr>
            </w:pPr>
            <w:r>
              <w:rPr>
                <w:rFonts w:hint="eastAsia"/>
                <w:color w:val="auto"/>
              </w:rPr>
              <w:t>监测结果详见表3.2-2。</w:t>
            </w:r>
          </w:p>
          <w:p w14:paraId="5B4B57AB">
            <w:pPr>
              <w:pStyle w:val="63"/>
              <w:numPr>
                <w:ilvl w:val="0"/>
                <w:numId w:val="0"/>
              </w:numPr>
              <w:ind w:left="0" w:leftChars="0" w:firstLine="0" w:firstLineChars="0"/>
              <w:rPr>
                <w:color w:val="auto"/>
              </w:rPr>
            </w:pPr>
            <w:r>
              <w:rPr>
                <w:rFonts w:hint="eastAsia" w:ascii="Times New Roman" w:hAnsi="Times New Roman" w:eastAsia="宋体" w:cs="宋体"/>
                <w:b/>
                <w:color w:val="auto"/>
                <w:kern w:val="2"/>
                <w:sz w:val="24"/>
                <w:szCs w:val="24"/>
                <w:lang w:val="en-US" w:eastAsia="zh-CN" w:bidi="ar-SA"/>
              </w:rPr>
              <w:t>表3.2-2</w:t>
            </w:r>
            <w:r>
              <w:rPr>
                <w:rFonts w:hint="eastAsia"/>
                <w:color w:val="auto"/>
                <w:lang w:val="en-US" w:eastAsia="zh-CN"/>
              </w:rPr>
              <w:t>区域声环境</w:t>
            </w:r>
            <w:r>
              <w:rPr>
                <w:rFonts w:hint="eastAsia"/>
                <w:color w:val="auto"/>
              </w:rPr>
              <w:t>现状监测结果 单位：dB（A）</w:t>
            </w:r>
          </w:p>
          <w:tbl>
            <w:tblPr>
              <w:tblStyle w:val="25"/>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051"/>
              <w:gridCol w:w="2047"/>
              <w:gridCol w:w="1344"/>
              <w:gridCol w:w="1472"/>
              <w:gridCol w:w="1601"/>
              <w:gridCol w:w="1601"/>
            </w:tblGrid>
            <w:tr w14:paraId="12A825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576" w:type="pct"/>
                  <w:vMerge w:val="restart"/>
                  <w:noWrap w:val="0"/>
                  <w:vAlign w:val="center"/>
                </w:tcPr>
                <w:p w14:paraId="20860E6B">
                  <w:pPr>
                    <w:pStyle w:val="67"/>
                    <w:rPr>
                      <w:color w:val="auto"/>
                    </w:rPr>
                  </w:pPr>
                  <w:r>
                    <w:rPr>
                      <w:color w:val="auto"/>
                    </w:rPr>
                    <w:t>编号</w:t>
                  </w:r>
                </w:p>
              </w:tc>
              <w:tc>
                <w:tcPr>
                  <w:tcW w:w="1122" w:type="pct"/>
                  <w:vMerge w:val="restart"/>
                  <w:noWrap w:val="0"/>
                  <w:vAlign w:val="center"/>
                </w:tcPr>
                <w:p w14:paraId="5A720598">
                  <w:pPr>
                    <w:pStyle w:val="67"/>
                    <w:rPr>
                      <w:color w:val="auto"/>
                    </w:rPr>
                  </w:pPr>
                  <w:r>
                    <w:rPr>
                      <w:color w:val="auto"/>
                    </w:rPr>
                    <w:t>监测点位</w:t>
                  </w:r>
                </w:p>
              </w:tc>
              <w:tc>
                <w:tcPr>
                  <w:tcW w:w="737" w:type="pct"/>
                  <w:noWrap w:val="0"/>
                  <w:vAlign w:val="center"/>
                </w:tcPr>
                <w:p w14:paraId="36C7E08F">
                  <w:pPr>
                    <w:pStyle w:val="67"/>
                    <w:rPr>
                      <w:color w:val="auto"/>
                    </w:rPr>
                  </w:pPr>
                  <w:r>
                    <w:rPr>
                      <w:color w:val="auto"/>
                    </w:rPr>
                    <w:t>监测时间</w:t>
                  </w:r>
                </w:p>
              </w:tc>
              <w:tc>
                <w:tcPr>
                  <w:tcW w:w="807" w:type="pct"/>
                  <w:noWrap w:val="0"/>
                  <w:vAlign w:val="center"/>
                </w:tcPr>
                <w:p w14:paraId="02B81FD6">
                  <w:pPr>
                    <w:pStyle w:val="67"/>
                    <w:rPr>
                      <w:color w:val="auto"/>
                    </w:rPr>
                  </w:pPr>
                  <w:r>
                    <w:rPr>
                      <w:rFonts w:hint="eastAsia"/>
                      <w:color w:val="auto"/>
                    </w:rPr>
                    <w:t>执行标准</w:t>
                  </w:r>
                </w:p>
              </w:tc>
              <w:tc>
                <w:tcPr>
                  <w:tcW w:w="878" w:type="pct"/>
                  <w:noWrap w:val="0"/>
                  <w:vAlign w:val="center"/>
                </w:tcPr>
                <w:p w14:paraId="08EE4B30">
                  <w:pPr>
                    <w:pStyle w:val="67"/>
                    <w:rPr>
                      <w:color w:val="auto"/>
                    </w:rPr>
                  </w:pPr>
                  <w:r>
                    <w:rPr>
                      <w:rFonts w:hint="eastAsia"/>
                      <w:color w:val="auto"/>
                    </w:rPr>
                    <w:t>达标情况</w:t>
                  </w:r>
                </w:p>
              </w:tc>
              <w:tc>
                <w:tcPr>
                  <w:tcW w:w="878" w:type="pct"/>
                  <w:vMerge w:val="restart"/>
                  <w:noWrap w:val="0"/>
                  <w:vAlign w:val="center"/>
                </w:tcPr>
                <w:p w14:paraId="22FD662E">
                  <w:pPr>
                    <w:pStyle w:val="67"/>
                    <w:rPr>
                      <w:rFonts w:hint="eastAsia" w:eastAsia="宋体"/>
                      <w:color w:val="auto"/>
                      <w:lang w:val="en-US" w:eastAsia="zh-CN"/>
                    </w:rPr>
                  </w:pPr>
                  <w:r>
                    <w:rPr>
                      <w:rFonts w:hint="eastAsia"/>
                      <w:color w:val="auto"/>
                      <w:lang w:val="en-US" w:eastAsia="zh-CN"/>
                    </w:rPr>
                    <w:t>功能区</w:t>
                  </w:r>
                </w:p>
              </w:tc>
            </w:tr>
            <w:tr w14:paraId="44B8FD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576" w:type="pct"/>
                  <w:vMerge w:val="continue"/>
                  <w:noWrap w:val="0"/>
                  <w:vAlign w:val="center"/>
                </w:tcPr>
                <w:p w14:paraId="3D956F65">
                  <w:pPr>
                    <w:pStyle w:val="67"/>
                    <w:rPr>
                      <w:color w:val="auto"/>
                    </w:rPr>
                  </w:pPr>
                </w:p>
              </w:tc>
              <w:tc>
                <w:tcPr>
                  <w:tcW w:w="1122" w:type="pct"/>
                  <w:vMerge w:val="continue"/>
                  <w:noWrap w:val="0"/>
                  <w:vAlign w:val="center"/>
                </w:tcPr>
                <w:p w14:paraId="69A6FB4D">
                  <w:pPr>
                    <w:pStyle w:val="67"/>
                    <w:rPr>
                      <w:color w:val="auto"/>
                    </w:rPr>
                  </w:pPr>
                </w:p>
              </w:tc>
              <w:tc>
                <w:tcPr>
                  <w:tcW w:w="737" w:type="pct"/>
                  <w:noWrap w:val="0"/>
                  <w:vAlign w:val="center"/>
                </w:tcPr>
                <w:p w14:paraId="75CB9C76">
                  <w:pPr>
                    <w:pStyle w:val="67"/>
                    <w:rPr>
                      <w:color w:val="auto"/>
                    </w:rPr>
                  </w:pPr>
                  <w:r>
                    <w:rPr>
                      <w:color w:val="auto"/>
                    </w:rPr>
                    <w:t>昼间</w:t>
                  </w:r>
                </w:p>
              </w:tc>
              <w:tc>
                <w:tcPr>
                  <w:tcW w:w="807" w:type="pct"/>
                  <w:noWrap w:val="0"/>
                  <w:vAlign w:val="center"/>
                </w:tcPr>
                <w:p w14:paraId="0AAA4952">
                  <w:pPr>
                    <w:pStyle w:val="67"/>
                    <w:rPr>
                      <w:rFonts w:hint="eastAsia"/>
                      <w:color w:val="auto"/>
                    </w:rPr>
                  </w:pPr>
                  <w:r>
                    <w:rPr>
                      <w:color w:val="auto"/>
                    </w:rPr>
                    <w:t>昼间</w:t>
                  </w:r>
                </w:p>
              </w:tc>
              <w:tc>
                <w:tcPr>
                  <w:tcW w:w="878" w:type="pct"/>
                  <w:noWrap w:val="0"/>
                  <w:vAlign w:val="center"/>
                </w:tcPr>
                <w:p w14:paraId="4803420C">
                  <w:pPr>
                    <w:pStyle w:val="67"/>
                    <w:rPr>
                      <w:rFonts w:hint="eastAsia"/>
                      <w:color w:val="auto"/>
                    </w:rPr>
                  </w:pPr>
                  <w:r>
                    <w:rPr>
                      <w:color w:val="auto"/>
                    </w:rPr>
                    <w:t>昼间</w:t>
                  </w:r>
                </w:p>
              </w:tc>
              <w:tc>
                <w:tcPr>
                  <w:tcW w:w="878" w:type="pct"/>
                  <w:vMerge w:val="continue"/>
                  <w:noWrap w:val="0"/>
                  <w:vAlign w:val="center"/>
                </w:tcPr>
                <w:p w14:paraId="498F5327">
                  <w:pPr>
                    <w:pStyle w:val="67"/>
                    <w:rPr>
                      <w:color w:val="auto"/>
                    </w:rPr>
                  </w:pPr>
                </w:p>
              </w:tc>
            </w:tr>
            <w:tr w14:paraId="0B2B00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576" w:type="pct"/>
                  <w:noWrap w:val="0"/>
                  <w:vAlign w:val="center"/>
                </w:tcPr>
                <w:p w14:paraId="01B8362D">
                  <w:pPr>
                    <w:pStyle w:val="66"/>
                    <w:rPr>
                      <w:color w:val="auto"/>
                    </w:rPr>
                  </w:pPr>
                  <w:r>
                    <w:rPr>
                      <w:rFonts w:hint="eastAsia"/>
                      <w:color w:val="auto"/>
                    </w:rPr>
                    <w:t>N1</w:t>
                  </w:r>
                </w:p>
              </w:tc>
              <w:tc>
                <w:tcPr>
                  <w:tcW w:w="1122" w:type="pct"/>
                  <w:noWrap w:val="0"/>
                  <w:vAlign w:val="center"/>
                </w:tcPr>
                <w:p w14:paraId="2DEBBA64">
                  <w:pPr>
                    <w:pStyle w:val="66"/>
                    <w:rPr>
                      <w:rFonts w:hint="default" w:eastAsia="宋体"/>
                      <w:color w:val="auto"/>
                      <w:lang w:val="en-US" w:eastAsia="zh-CN"/>
                    </w:rPr>
                  </w:pPr>
                  <w:r>
                    <w:rPr>
                      <w:rFonts w:hint="default" w:eastAsia="宋体"/>
                      <w:color w:val="auto"/>
                      <w:lang w:val="en-US" w:eastAsia="zh-CN"/>
                    </w:rPr>
                    <w:t>欣慷动物医院门口</w:t>
                  </w:r>
                </w:p>
              </w:tc>
              <w:tc>
                <w:tcPr>
                  <w:tcW w:w="737" w:type="pct"/>
                  <w:noWrap w:val="0"/>
                  <w:vAlign w:val="center"/>
                </w:tcPr>
                <w:p w14:paraId="00EA0F87">
                  <w:pPr>
                    <w:keepNext w:val="0"/>
                    <w:keepLines w:val="0"/>
                    <w:widowControl/>
                    <w:suppressLineNumbers w:val="0"/>
                    <w:jc w:val="center"/>
                    <w:textAlignment w:val="center"/>
                    <w:rPr>
                      <w:rFonts w:hint="default" w:ascii="Times New Roman" w:hAnsi="Times New Roman" w:eastAsia="宋体" w:cs="Times New Roman"/>
                      <w:color w:val="auto"/>
                      <w:kern w:val="0"/>
                      <w:sz w:val="21"/>
                      <w:szCs w:val="24"/>
                      <w:lang w:val="en-US" w:eastAsia="zh-CN" w:bidi="ar-SA"/>
                    </w:rPr>
                  </w:pPr>
                  <w:r>
                    <w:rPr>
                      <w:rFonts w:hint="eastAsia" w:ascii="Times New Roman" w:hAnsi="Times New Roman" w:eastAsia="宋体" w:cs="Times New Roman"/>
                      <w:color w:val="auto"/>
                      <w:kern w:val="0"/>
                      <w:sz w:val="21"/>
                      <w:szCs w:val="24"/>
                      <w:lang w:val="en-US" w:eastAsia="zh-CN" w:bidi="ar-SA"/>
                    </w:rPr>
                    <w:t>67.7</w:t>
                  </w:r>
                </w:p>
              </w:tc>
              <w:tc>
                <w:tcPr>
                  <w:tcW w:w="807" w:type="pct"/>
                  <w:noWrap w:val="0"/>
                  <w:vAlign w:val="center"/>
                </w:tcPr>
                <w:p w14:paraId="53E6A0E4">
                  <w:pPr>
                    <w:pStyle w:val="67"/>
                    <w:rPr>
                      <w:rFonts w:hint="default" w:ascii="Times New Roman" w:hAnsi="Times New Roman" w:eastAsia="宋体" w:cs="Times New Roman"/>
                      <w:color w:val="auto"/>
                      <w:kern w:val="0"/>
                      <w:sz w:val="21"/>
                      <w:szCs w:val="24"/>
                      <w:lang w:val="en-US" w:eastAsia="zh-CN" w:bidi="ar-SA"/>
                    </w:rPr>
                  </w:pPr>
                  <w:r>
                    <w:rPr>
                      <w:rFonts w:hint="eastAsia" w:ascii="Times New Roman" w:hAnsi="Times New Roman" w:eastAsia="宋体" w:cs="Times New Roman"/>
                      <w:color w:val="auto"/>
                      <w:kern w:val="0"/>
                      <w:sz w:val="21"/>
                      <w:szCs w:val="24"/>
                      <w:lang w:val="en-US" w:eastAsia="zh-CN" w:bidi="ar-SA"/>
                    </w:rPr>
                    <w:t>70</w:t>
                  </w:r>
                </w:p>
              </w:tc>
              <w:tc>
                <w:tcPr>
                  <w:tcW w:w="878" w:type="pct"/>
                  <w:noWrap w:val="0"/>
                  <w:vAlign w:val="center"/>
                </w:tcPr>
                <w:p w14:paraId="6FF4BA0F">
                  <w:pPr>
                    <w:pStyle w:val="67"/>
                    <w:rPr>
                      <w:color w:val="auto"/>
                    </w:rPr>
                  </w:pPr>
                  <w:r>
                    <w:rPr>
                      <w:rFonts w:hint="eastAsia"/>
                      <w:color w:val="auto"/>
                    </w:rPr>
                    <w:t>达标</w:t>
                  </w:r>
                </w:p>
              </w:tc>
              <w:tc>
                <w:tcPr>
                  <w:tcW w:w="878" w:type="pct"/>
                  <w:noWrap w:val="0"/>
                  <w:vAlign w:val="center"/>
                </w:tcPr>
                <w:p w14:paraId="01B4C2E8">
                  <w:pPr>
                    <w:pStyle w:val="67"/>
                    <w:rPr>
                      <w:rFonts w:hint="default" w:eastAsia="宋体"/>
                      <w:color w:val="auto"/>
                      <w:lang w:val="en-US" w:eastAsia="zh-CN"/>
                    </w:rPr>
                  </w:pPr>
                  <w:r>
                    <w:rPr>
                      <w:rFonts w:hint="eastAsia"/>
                      <w:color w:val="auto"/>
                      <w:lang w:val="en-US" w:eastAsia="zh-CN"/>
                    </w:rPr>
                    <w:t>4类</w:t>
                  </w:r>
                </w:p>
              </w:tc>
            </w:tr>
            <w:tr w14:paraId="5DF803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576" w:type="pct"/>
                  <w:noWrap w:val="0"/>
                  <w:vAlign w:val="center"/>
                </w:tcPr>
                <w:p w14:paraId="128B2864">
                  <w:pPr>
                    <w:pStyle w:val="66"/>
                    <w:rPr>
                      <w:color w:val="auto"/>
                    </w:rPr>
                  </w:pPr>
                  <w:r>
                    <w:rPr>
                      <w:rFonts w:hint="eastAsia"/>
                      <w:color w:val="auto"/>
                    </w:rPr>
                    <w:t>N2</w:t>
                  </w:r>
                </w:p>
              </w:tc>
              <w:tc>
                <w:tcPr>
                  <w:tcW w:w="1122" w:type="pct"/>
                  <w:noWrap w:val="0"/>
                  <w:vAlign w:val="center"/>
                </w:tcPr>
                <w:p w14:paraId="07A2F709">
                  <w:pPr>
                    <w:pStyle w:val="66"/>
                    <w:rPr>
                      <w:color w:val="auto"/>
                    </w:rPr>
                  </w:pPr>
                  <w:r>
                    <w:rPr>
                      <w:rFonts w:hint="default"/>
                      <w:color w:val="auto"/>
                      <w:lang w:val="en-US" w:eastAsia="zh-CN"/>
                    </w:rPr>
                    <w:t>武夷花园</w:t>
                  </w:r>
                </w:p>
              </w:tc>
              <w:tc>
                <w:tcPr>
                  <w:tcW w:w="737" w:type="pct"/>
                  <w:noWrap w:val="0"/>
                  <w:vAlign w:val="center"/>
                </w:tcPr>
                <w:p w14:paraId="38CF5AD4">
                  <w:pPr>
                    <w:keepNext w:val="0"/>
                    <w:keepLines w:val="0"/>
                    <w:widowControl/>
                    <w:suppressLineNumbers w:val="0"/>
                    <w:jc w:val="center"/>
                    <w:textAlignment w:val="center"/>
                    <w:rPr>
                      <w:rFonts w:hint="default" w:ascii="Times New Roman" w:hAnsi="Times New Roman" w:eastAsia="宋体" w:cs="Times New Roman"/>
                      <w:color w:val="auto"/>
                      <w:kern w:val="0"/>
                      <w:sz w:val="21"/>
                      <w:szCs w:val="24"/>
                      <w:lang w:val="en-US" w:eastAsia="zh-CN" w:bidi="ar-SA"/>
                    </w:rPr>
                  </w:pPr>
                  <w:r>
                    <w:rPr>
                      <w:rFonts w:hint="eastAsia" w:ascii="Times New Roman" w:hAnsi="Times New Roman" w:eastAsia="宋体" w:cs="Times New Roman"/>
                      <w:color w:val="auto"/>
                      <w:kern w:val="0"/>
                      <w:sz w:val="21"/>
                      <w:szCs w:val="24"/>
                      <w:lang w:val="en-US" w:eastAsia="zh-CN" w:bidi="ar-SA"/>
                    </w:rPr>
                    <w:t>66.4</w:t>
                  </w:r>
                </w:p>
              </w:tc>
              <w:tc>
                <w:tcPr>
                  <w:tcW w:w="807" w:type="pct"/>
                  <w:noWrap w:val="0"/>
                  <w:vAlign w:val="center"/>
                </w:tcPr>
                <w:p w14:paraId="6DD33451">
                  <w:pPr>
                    <w:keepNext w:val="0"/>
                    <w:keepLines w:val="0"/>
                    <w:widowControl/>
                    <w:suppressLineNumbers w:val="0"/>
                    <w:jc w:val="center"/>
                    <w:textAlignment w:val="center"/>
                    <w:rPr>
                      <w:rFonts w:hint="default" w:ascii="Times New Roman" w:hAnsi="Times New Roman" w:eastAsia="宋体" w:cs="Times New Roman"/>
                      <w:color w:val="auto"/>
                      <w:kern w:val="0"/>
                      <w:sz w:val="21"/>
                      <w:szCs w:val="24"/>
                      <w:lang w:val="en-US" w:eastAsia="zh-CN" w:bidi="ar-SA"/>
                    </w:rPr>
                  </w:pPr>
                  <w:r>
                    <w:rPr>
                      <w:rFonts w:hint="eastAsia" w:ascii="Times New Roman" w:hAnsi="Times New Roman" w:eastAsia="宋体" w:cs="Times New Roman"/>
                      <w:color w:val="auto"/>
                      <w:kern w:val="0"/>
                      <w:sz w:val="21"/>
                      <w:szCs w:val="24"/>
                      <w:lang w:val="en-US" w:eastAsia="zh-CN" w:bidi="ar-SA"/>
                    </w:rPr>
                    <w:t>70</w:t>
                  </w:r>
                </w:p>
              </w:tc>
              <w:tc>
                <w:tcPr>
                  <w:tcW w:w="878" w:type="pct"/>
                  <w:noWrap w:val="0"/>
                  <w:vAlign w:val="center"/>
                </w:tcPr>
                <w:p w14:paraId="62530183">
                  <w:pPr>
                    <w:pStyle w:val="67"/>
                    <w:rPr>
                      <w:color w:val="auto"/>
                    </w:rPr>
                  </w:pPr>
                  <w:r>
                    <w:rPr>
                      <w:rFonts w:hint="eastAsia"/>
                      <w:color w:val="auto"/>
                    </w:rPr>
                    <w:t>达标</w:t>
                  </w:r>
                </w:p>
              </w:tc>
              <w:tc>
                <w:tcPr>
                  <w:tcW w:w="878" w:type="pct"/>
                  <w:noWrap w:val="0"/>
                  <w:vAlign w:val="center"/>
                </w:tcPr>
                <w:p w14:paraId="6A1DCA18">
                  <w:pPr>
                    <w:pStyle w:val="67"/>
                    <w:rPr>
                      <w:rFonts w:hint="eastAsia"/>
                      <w:color w:val="auto"/>
                    </w:rPr>
                  </w:pPr>
                  <w:r>
                    <w:rPr>
                      <w:rFonts w:hint="eastAsia"/>
                      <w:color w:val="auto"/>
                      <w:lang w:val="en-US" w:eastAsia="zh-CN"/>
                    </w:rPr>
                    <w:t>4类</w:t>
                  </w:r>
                </w:p>
              </w:tc>
            </w:tr>
            <w:tr w14:paraId="45025B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576" w:type="pct"/>
                  <w:noWrap w:val="0"/>
                  <w:vAlign w:val="center"/>
                </w:tcPr>
                <w:p w14:paraId="61A02CC6">
                  <w:pPr>
                    <w:pStyle w:val="66"/>
                    <w:rPr>
                      <w:color w:val="auto"/>
                    </w:rPr>
                  </w:pPr>
                  <w:r>
                    <w:rPr>
                      <w:rFonts w:hint="eastAsia"/>
                      <w:color w:val="auto"/>
                    </w:rPr>
                    <w:t>N3</w:t>
                  </w:r>
                </w:p>
              </w:tc>
              <w:tc>
                <w:tcPr>
                  <w:tcW w:w="1122" w:type="pct"/>
                  <w:noWrap w:val="0"/>
                  <w:vAlign w:val="center"/>
                </w:tcPr>
                <w:p w14:paraId="46984CD6">
                  <w:pPr>
                    <w:pStyle w:val="66"/>
                    <w:rPr>
                      <w:rFonts w:hint="eastAsia" w:eastAsia="宋体"/>
                      <w:color w:val="auto"/>
                      <w:lang w:eastAsia="zh-CN"/>
                    </w:rPr>
                  </w:pPr>
                  <w:r>
                    <w:rPr>
                      <w:rFonts w:hint="eastAsia" w:eastAsia="宋体"/>
                      <w:color w:val="auto"/>
                      <w:lang w:val="en-US" w:eastAsia="zh-CN"/>
                    </w:rPr>
                    <w:t>善化新村 12 栋</w:t>
                  </w:r>
                </w:p>
              </w:tc>
              <w:tc>
                <w:tcPr>
                  <w:tcW w:w="737" w:type="pct"/>
                  <w:noWrap w:val="0"/>
                  <w:vAlign w:val="center"/>
                </w:tcPr>
                <w:p w14:paraId="411256F5">
                  <w:pPr>
                    <w:keepNext w:val="0"/>
                    <w:keepLines w:val="0"/>
                    <w:widowControl/>
                    <w:suppressLineNumbers w:val="0"/>
                    <w:jc w:val="center"/>
                    <w:textAlignment w:val="center"/>
                    <w:rPr>
                      <w:rFonts w:hint="default" w:ascii="Times New Roman" w:hAnsi="Times New Roman" w:eastAsia="宋体" w:cs="Times New Roman"/>
                      <w:color w:val="auto"/>
                      <w:kern w:val="0"/>
                      <w:sz w:val="21"/>
                      <w:szCs w:val="24"/>
                      <w:lang w:val="en-US" w:eastAsia="zh-CN" w:bidi="ar-SA"/>
                    </w:rPr>
                  </w:pPr>
                  <w:r>
                    <w:rPr>
                      <w:rFonts w:hint="eastAsia" w:ascii="Times New Roman" w:hAnsi="Times New Roman" w:eastAsia="宋体" w:cs="Times New Roman"/>
                      <w:color w:val="auto"/>
                      <w:kern w:val="0"/>
                      <w:sz w:val="21"/>
                      <w:szCs w:val="24"/>
                      <w:lang w:val="en-US" w:eastAsia="zh-CN" w:bidi="ar-SA"/>
                    </w:rPr>
                    <w:t>62.5</w:t>
                  </w:r>
                </w:p>
              </w:tc>
              <w:tc>
                <w:tcPr>
                  <w:tcW w:w="807" w:type="pct"/>
                  <w:noWrap w:val="0"/>
                  <w:vAlign w:val="center"/>
                </w:tcPr>
                <w:p w14:paraId="270D8F23">
                  <w:pPr>
                    <w:keepNext w:val="0"/>
                    <w:keepLines w:val="0"/>
                    <w:widowControl/>
                    <w:suppressLineNumbers w:val="0"/>
                    <w:jc w:val="center"/>
                    <w:textAlignment w:val="center"/>
                    <w:rPr>
                      <w:rFonts w:hint="default" w:ascii="Times New Roman" w:hAnsi="Times New Roman" w:eastAsia="宋体" w:cs="Times New Roman"/>
                      <w:color w:val="auto"/>
                      <w:kern w:val="0"/>
                      <w:sz w:val="21"/>
                      <w:szCs w:val="24"/>
                      <w:lang w:val="en-US" w:eastAsia="zh-CN" w:bidi="ar-SA"/>
                    </w:rPr>
                  </w:pPr>
                  <w:r>
                    <w:rPr>
                      <w:rFonts w:hint="eastAsia" w:ascii="Times New Roman" w:hAnsi="Times New Roman" w:eastAsia="宋体" w:cs="Times New Roman"/>
                      <w:color w:val="auto"/>
                      <w:kern w:val="0"/>
                      <w:sz w:val="21"/>
                      <w:szCs w:val="24"/>
                      <w:lang w:val="en-US" w:eastAsia="zh-CN" w:bidi="ar-SA"/>
                    </w:rPr>
                    <w:t>70</w:t>
                  </w:r>
                </w:p>
              </w:tc>
              <w:tc>
                <w:tcPr>
                  <w:tcW w:w="878" w:type="pct"/>
                  <w:noWrap w:val="0"/>
                  <w:vAlign w:val="center"/>
                </w:tcPr>
                <w:p w14:paraId="0AE9ADCB">
                  <w:pPr>
                    <w:pStyle w:val="67"/>
                    <w:rPr>
                      <w:color w:val="auto"/>
                    </w:rPr>
                  </w:pPr>
                  <w:r>
                    <w:rPr>
                      <w:rFonts w:hint="eastAsia"/>
                      <w:color w:val="auto"/>
                    </w:rPr>
                    <w:t>达标</w:t>
                  </w:r>
                </w:p>
              </w:tc>
              <w:tc>
                <w:tcPr>
                  <w:tcW w:w="878" w:type="pct"/>
                  <w:noWrap w:val="0"/>
                  <w:vAlign w:val="center"/>
                </w:tcPr>
                <w:p w14:paraId="0312A601">
                  <w:pPr>
                    <w:pStyle w:val="67"/>
                    <w:rPr>
                      <w:rFonts w:hint="eastAsia"/>
                      <w:color w:val="auto"/>
                    </w:rPr>
                  </w:pPr>
                  <w:r>
                    <w:rPr>
                      <w:rFonts w:hint="eastAsia"/>
                      <w:color w:val="auto"/>
                      <w:lang w:val="en-US" w:eastAsia="zh-CN"/>
                    </w:rPr>
                    <w:t>4类</w:t>
                  </w:r>
                </w:p>
              </w:tc>
            </w:tr>
            <w:tr w14:paraId="4638E4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576" w:type="pct"/>
                  <w:noWrap w:val="0"/>
                  <w:vAlign w:val="center"/>
                </w:tcPr>
                <w:p w14:paraId="57377072">
                  <w:pPr>
                    <w:pStyle w:val="66"/>
                    <w:rPr>
                      <w:rFonts w:hint="eastAsia" w:eastAsia="宋体"/>
                      <w:color w:val="auto"/>
                      <w:lang w:val="en-US" w:eastAsia="zh-CN"/>
                    </w:rPr>
                  </w:pPr>
                  <w:r>
                    <w:rPr>
                      <w:rFonts w:hint="eastAsia"/>
                      <w:color w:val="auto"/>
                      <w:lang w:val="en-US" w:eastAsia="zh-CN"/>
                    </w:rPr>
                    <w:t>N4</w:t>
                  </w:r>
                </w:p>
              </w:tc>
              <w:tc>
                <w:tcPr>
                  <w:tcW w:w="1122" w:type="pct"/>
                  <w:noWrap w:val="0"/>
                  <w:vAlign w:val="center"/>
                </w:tcPr>
                <w:p w14:paraId="74408188">
                  <w:pPr>
                    <w:pStyle w:val="66"/>
                    <w:rPr>
                      <w:rFonts w:hint="eastAsia"/>
                      <w:color w:val="auto"/>
                    </w:rPr>
                  </w:pPr>
                  <w:r>
                    <w:rPr>
                      <w:rFonts w:hint="eastAsia"/>
                      <w:color w:val="auto"/>
                      <w:lang w:val="en-US" w:eastAsia="zh-CN"/>
                    </w:rPr>
                    <w:t>善化新村 8栋北侧</w:t>
                  </w:r>
                </w:p>
              </w:tc>
              <w:tc>
                <w:tcPr>
                  <w:tcW w:w="737" w:type="pct"/>
                  <w:noWrap w:val="0"/>
                  <w:vAlign w:val="center"/>
                </w:tcPr>
                <w:p w14:paraId="17718E88">
                  <w:pPr>
                    <w:keepNext w:val="0"/>
                    <w:keepLines w:val="0"/>
                    <w:widowControl/>
                    <w:suppressLineNumbers w:val="0"/>
                    <w:jc w:val="center"/>
                    <w:textAlignment w:val="center"/>
                    <w:rPr>
                      <w:rFonts w:hint="default" w:ascii="Times New Roman" w:hAnsi="Times New Roman" w:eastAsia="宋体" w:cs="Times New Roman"/>
                      <w:color w:val="auto"/>
                      <w:kern w:val="0"/>
                      <w:sz w:val="21"/>
                      <w:szCs w:val="24"/>
                      <w:lang w:val="en-US" w:eastAsia="zh-CN" w:bidi="ar-SA"/>
                    </w:rPr>
                  </w:pPr>
                  <w:r>
                    <w:rPr>
                      <w:rFonts w:hint="eastAsia" w:ascii="Times New Roman" w:hAnsi="Times New Roman" w:eastAsia="宋体" w:cs="Times New Roman"/>
                      <w:color w:val="auto"/>
                      <w:kern w:val="0"/>
                      <w:sz w:val="21"/>
                      <w:szCs w:val="24"/>
                      <w:lang w:val="en-US" w:eastAsia="zh-CN" w:bidi="ar-SA"/>
                    </w:rPr>
                    <w:t>53.1</w:t>
                  </w:r>
                </w:p>
              </w:tc>
              <w:tc>
                <w:tcPr>
                  <w:tcW w:w="807" w:type="pct"/>
                  <w:noWrap w:val="0"/>
                  <w:vAlign w:val="center"/>
                </w:tcPr>
                <w:p w14:paraId="7F04AA3D">
                  <w:pPr>
                    <w:keepNext w:val="0"/>
                    <w:keepLines w:val="0"/>
                    <w:widowControl/>
                    <w:suppressLineNumbers w:val="0"/>
                    <w:jc w:val="center"/>
                    <w:textAlignment w:val="center"/>
                    <w:rPr>
                      <w:rFonts w:hint="default" w:ascii="Times New Roman" w:hAnsi="Times New Roman" w:eastAsia="宋体" w:cs="Times New Roman"/>
                      <w:color w:val="auto"/>
                      <w:kern w:val="0"/>
                      <w:sz w:val="21"/>
                      <w:szCs w:val="24"/>
                      <w:lang w:val="en-US" w:eastAsia="zh-CN" w:bidi="ar-SA"/>
                    </w:rPr>
                  </w:pPr>
                  <w:r>
                    <w:rPr>
                      <w:rFonts w:hint="eastAsia" w:ascii="Times New Roman" w:hAnsi="Times New Roman" w:eastAsia="宋体" w:cs="Times New Roman"/>
                      <w:color w:val="auto"/>
                      <w:kern w:val="0"/>
                      <w:sz w:val="21"/>
                      <w:szCs w:val="24"/>
                      <w:lang w:val="en-US" w:eastAsia="zh-CN" w:bidi="ar-SA"/>
                    </w:rPr>
                    <w:t>60</w:t>
                  </w:r>
                </w:p>
              </w:tc>
              <w:tc>
                <w:tcPr>
                  <w:tcW w:w="878" w:type="pct"/>
                  <w:noWrap w:val="0"/>
                  <w:vAlign w:val="center"/>
                </w:tcPr>
                <w:p w14:paraId="5CDA76F0">
                  <w:pPr>
                    <w:pStyle w:val="67"/>
                    <w:rPr>
                      <w:rFonts w:hint="eastAsia" w:eastAsia="宋体"/>
                      <w:color w:val="auto"/>
                      <w:lang w:val="en-US" w:eastAsia="zh-CN"/>
                    </w:rPr>
                  </w:pPr>
                  <w:r>
                    <w:rPr>
                      <w:rFonts w:hint="eastAsia"/>
                      <w:color w:val="auto"/>
                      <w:lang w:val="en-US" w:eastAsia="zh-CN"/>
                    </w:rPr>
                    <w:t>达标</w:t>
                  </w:r>
                </w:p>
              </w:tc>
              <w:tc>
                <w:tcPr>
                  <w:tcW w:w="878" w:type="pct"/>
                  <w:noWrap w:val="0"/>
                  <w:vAlign w:val="center"/>
                </w:tcPr>
                <w:p w14:paraId="5BE78C9D">
                  <w:pPr>
                    <w:pStyle w:val="67"/>
                    <w:rPr>
                      <w:rFonts w:hint="eastAsia"/>
                      <w:color w:val="auto"/>
                      <w:lang w:val="en-US" w:eastAsia="zh-CN"/>
                    </w:rPr>
                  </w:pPr>
                  <w:r>
                    <w:rPr>
                      <w:rFonts w:hint="eastAsia"/>
                      <w:color w:val="auto"/>
                      <w:lang w:val="en-US" w:eastAsia="zh-CN"/>
                    </w:rPr>
                    <w:t>2类</w:t>
                  </w:r>
                </w:p>
              </w:tc>
            </w:tr>
            <w:tr w14:paraId="105FEA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576" w:type="pct"/>
                  <w:noWrap w:val="0"/>
                  <w:vAlign w:val="center"/>
                </w:tcPr>
                <w:p w14:paraId="56B594D0">
                  <w:pPr>
                    <w:pStyle w:val="66"/>
                    <w:rPr>
                      <w:rFonts w:hint="eastAsia" w:eastAsia="宋体"/>
                      <w:color w:val="auto"/>
                      <w:lang w:val="en-US" w:eastAsia="zh-CN"/>
                    </w:rPr>
                  </w:pPr>
                  <w:r>
                    <w:rPr>
                      <w:rFonts w:hint="eastAsia"/>
                      <w:color w:val="auto"/>
                    </w:rPr>
                    <w:t>N</w:t>
                  </w:r>
                  <w:r>
                    <w:rPr>
                      <w:rFonts w:hint="eastAsia"/>
                      <w:color w:val="auto"/>
                      <w:lang w:val="en-US" w:eastAsia="zh-CN"/>
                    </w:rPr>
                    <w:t>5</w:t>
                  </w:r>
                </w:p>
              </w:tc>
              <w:tc>
                <w:tcPr>
                  <w:tcW w:w="1122" w:type="pct"/>
                  <w:noWrap w:val="0"/>
                  <w:vAlign w:val="center"/>
                </w:tcPr>
                <w:p w14:paraId="73856B87">
                  <w:pPr>
                    <w:pStyle w:val="66"/>
                    <w:rPr>
                      <w:rFonts w:hint="default" w:eastAsia="宋体"/>
                      <w:color w:val="auto"/>
                      <w:lang w:val="en-US" w:eastAsia="zh-CN"/>
                    </w:rPr>
                  </w:pPr>
                  <w:r>
                    <w:rPr>
                      <w:rFonts w:hint="default" w:eastAsia="宋体"/>
                      <w:color w:val="auto"/>
                      <w:lang w:val="en-US" w:eastAsia="zh-CN"/>
                    </w:rPr>
                    <w:t>善化新村8栋东侧</w:t>
                  </w:r>
                </w:p>
              </w:tc>
              <w:tc>
                <w:tcPr>
                  <w:tcW w:w="737" w:type="pct"/>
                  <w:noWrap w:val="0"/>
                  <w:vAlign w:val="center"/>
                </w:tcPr>
                <w:p w14:paraId="2585605E">
                  <w:pPr>
                    <w:keepNext w:val="0"/>
                    <w:keepLines w:val="0"/>
                    <w:widowControl/>
                    <w:suppressLineNumbers w:val="0"/>
                    <w:jc w:val="center"/>
                    <w:textAlignment w:val="center"/>
                    <w:rPr>
                      <w:rFonts w:hint="default" w:ascii="Times New Roman" w:hAnsi="Times New Roman" w:eastAsia="宋体" w:cs="Times New Roman"/>
                      <w:color w:val="auto"/>
                      <w:kern w:val="0"/>
                      <w:sz w:val="21"/>
                      <w:szCs w:val="24"/>
                      <w:lang w:val="en-US" w:eastAsia="zh-CN" w:bidi="ar-SA"/>
                    </w:rPr>
                  </w:pPr>
                  <w:r>
                    <w:rPr>
                      <w:rFonts w:hint="eastAsia" w:ascii="Times New Roman" w:hAnsi="Times New Roman" w:eastAsia="宋体" w:cs="Times New Roman"/>
                      <w:color w:val="auto"/>
                      <w:kern w:val="0"/>
                      <w:sz w:val="21"/>
                      <w:szCs w:val="24"/>
                      <w:lang w:val="en-US" w:eastAsia="zh-CN" w:bidi="ar-SA"/>
                    </w:rPr>
                    <w:t>61.4</w:t>
                  </w:r>
                </w:p>
              </w:tc>
              <w:tc>
                <w:tcPr>
                  <w:tcW w:w="807" w:type="pct"/>
                  <w:noWrap w:val="0"/>
                  <w:vAlign w:val="center"/>
                </w:tcPr>
                <w:p w14:paraId="67CB5461">
                  <w:pPr>
                    <w:keepNext w:val="0"/>
                    <w:keepLines w:val="0"/>
                    <w:widowControl/>
                    <w:suppressLineNumbers w:val="0"/>
                    <w:jc w:val="center"/>
                    <w:textAlignment w:val="center"/>
                    <w:rPr>
                      <w:rFonts w:hint="default" w:ascii="Times New Roman" w:hAnsi="Times New Roman" w:eastAsia="宋体" w:cs="Times New Roman"/>
                      <w:color w:val="auto"/>
                      <w:kern w:val="0"/>
                      <w:sz w:val="21"/>
                      <w:szCs w:val="24"/>
                      <w:lang w:val="en-US" w:eastAsia="zh-CN" w:bidi="ar-SA"/>
                    </w:rPr>
                  </w:pPr>
                  <w:r>
                    <w:rPr>
                      <w:rFonts w:hint="eastAsia" w:ascii="Times New Roman" w:hAnsi="Times New Roman" w:eastAsia="宋体" w:cs="Times New Roman"/>
                      <w:color w:val="auto"/>
                      <w:kern w:val="0"/>
                      <w:sz w:val="21"/>
                      <w:szCs w:val="24"/>
                      <w:lang w:val="en-US" w:eastAsia="zh-CN" w:bidi="ar-SA"/>
                    </w:rPr>
                    <w:t>70</w:t>
                  </w:r>
                </w:p>
              </w:tc>
              <w:tc>
                <w:tcPr>
                  <w:tcW w:w="878" w:type="pct"/>
                  <w:noWrap w:val="0"/>
                  <w:vAlign w:val="center"/>
                </w:tcPr>
                <w:p w14:paraId="6C724990">
                  <w:pPr>
                    <w:pStyle w:val="67"/>
                    <w:rPr>
                      <w:color w:val="auto"/>
                    </w:rPr>
                  </w:pPr>
                  <w:r>
                    <w:rPr>
                      <w:rFonts w:hint="eastAsia"/>
                      <w:color w:val="auto"/>
                    </w:rPr>
                    <w:t>达标</w:t>
                  </w:r>
                </w:p>
              </w:tc>
              <w:tc>
                <w:tcPr>
                  <w:tcW w:w="878" w:type="pct"/>
                  <w:noWrap w:val="0"/>
                  <w:vAlign w:val="center"/>
                </w:tcPr>
                <w:p w14:paraId="4AF33A71">
                  <w:pPr>
                    <w:pStyle w:val="67"/>
                    <w:rPr>
                      <w:rFonts w:hint="eastAsia"/>
                      <w:color w:val="auto"/>
                    </w:rPr>
                  </w:pPr>
                  <w:r>
                    <w:rPr>
                      <w:rFonts w:hint="eastAsia"/>
                      <w:color w:val="auto"/>
                      <w:lang w:val="en-US" w:eastAsia="zh-CN"/>
                    </w:rPr>
                    <w:t>4类</w:t>
                  </w:r>
                </w:p>
              </w:tc>
            </w:tr>
          </w:tbl>
          <w:p w14:paraId="1BBBFFBB">
            <w:pPr>
              <w:adjustRightInd w:val="0"/>
              <w:spacing w:line="360" w:lineRule="auto"/>
              <w:ind w:firstLine="480" w:firstLineChars="200"/>
              <w:rPr>
                <w:rFonts w:hint="eastAsia"/>
                <w:color w:val="auto"/>
                <w:lang w:val="en-US" w:eastAsia="zh-CN"/>
              </w:rPr>
            </w:pPr>
          </w:p>
          <w:p w14:paraId="36D6B26E">
            <w:pPr>
              <w:keepNext w:val="0"/>
              <w:keepLines w:val="0"/>
              <w:pageBreakBefore w:val="0"/>
              <w:widowControl w:val="0"/>
              <w:kinsoku/>
              <w:wordWrap/>
              <w:overflowPunct/>
              <w:topLinePunct w:val="0"/>
              <w:autoSpaceDE/>
              <w:autoSpaceDN/>
              <w:bidi w:val="0"/>
              <w:adjustRightInd w:val="0"/>
              <w:snapToGrid/>
              <w:spacing w:line="360" w:lineRule="auto"/>
              <w:ind w:firstLine="0" w:firstLineChars="0"/>
              <w:textAlignment w:val="auto"/>
              <w:rPr>
                <w:rFonts w:hint="eastAsia"/>
                <w:color w:val="auto"/>
                <w:lang w:val="en-US" w:eastAsia="zh-CN"/>
              </w:rPr>
            </w:pPr>
            <w:r>
              <w:drawing>
                <wp:inline distT="0" distB="0" distL="114300" distR="114300">
                  <wp:extent cx="5791200" cy="2781300"/>
                  <wp:effectExtent l="0" t="0" r="0" b="0"/>
                  <wp:docPr id="24"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92"/>
                          <pic:cNvPicPr>
                            <a:picLocks noChangeAspect="1"/>
                          </pic:cNvPicPr>
                        </pic:nvPicPr>
                        <pic:blipFill>
                          <a:blip r:embed="rId15"/>
                          <a:stretch>
                            <a:fillRect/>
                          </a:stretch>
                        </pic:blipFill>
                        <pic:spPr>
                          <a:xfrm>
                            <a:off x="0" y="0"/>
                            <a:ext cx="5791200" cy="2781300"/>
                          </a:xfrm>
                          <a:prstGeom prst="rect">
                            <a:avLst/>
                          </a:prstGeom>
                          <a:noFill/>
                          <a:ln>
                            <a:noFill/>
                          </a:ln>
                        </pic:spPr>
                      </pic:pic>
                    </a:graphicData>
                  </a:graphic>
                </wp:inline>
              </w:drawing>
            </w:r>
          </w:p>
          <w:p w14:paraId="4DA402C1">
            <w:pPr>
              <w:adjustRightInd w:val="0"/>
              <w:spacing w:line="360" w:lineRule="auto"/>
              <w:ind w:firstLine="480" w:firstLineChars="200"/>
              <w:rPr>
                <w:rFonts w:hint="eastAsia"/>
                <w:color w:val="auto"/>
              </w:rPr>
            </w:pPr>
            <w:r>
              <w:rPr>
                <w:rFonts w:hint="eastAsia"/>
                <w:color w:val="auto"/>
                <w:lang w:val="en-US" w:eastAsia="zh-CN"/>
              </w:rPr>
              <w:t>此外，建设单位于</w:t>
            </w:r>
            <w:r>
              <w:rPr>
                <w:rFonts w:hint="eastAsia"/>
                <w:color w:val="auto"/>
              </w:rPr>
              <w:t>202</w:t>
            </w:r>
            <w:r>
              <w:rPr>
                <w:rFonts w:hint="eastAsia"/>
                <w:color w:val="auto"/>
                <w:lang w:val="en-US" w:eastAsia="zh-CN"/>
              </w:rPr>
              <w:t>4</w:t>
            </w:r>
            <w:r>
              <w:rPr>
                <w:rFonts w:hint="eastAsia"/>
                <w:color w:val="auto"/>
              </w:rPr>
              <w:t>年</w:t>
            </w:r>
            <w:r>
              <w:rPr>
                <w:rFonts w:hint="eastAsia"/>
                <w:color w:val="auto"/>
                <w:lang w:val="en-US" w:eastAsia="zh-CN"/>
              </w:rPr>
              <w:t>11</w:t>
            </w:r>
            <w:r>
              <w:rPr>
                <w:rFonts w:hint="eastAsia"/>
                <w:color w:val="auto"/>
              </w:rPr>
              <w:t>月</w:t>
            </w:r>
            <w:r>
              <w:rPr>
                <w:rFonts w:hint="eastAsia"/>
                <w:color w:val="auto"/>
                <w:lang w:val="en-US" w:eastAsia="zh-CN"/>
              </w:rPr>
              <w:t>13日</w:t>
            </w:r>
            <w:r>
              <w:rPr>
                <w:rFonts w:hint="eastAsia"/>
                <w:color w:val="auto"/>
              </w:rPr>
              <w:t>委托</w:t>
            </w:r>
            <w:r>
              <w:rPr>
                <w:rFonts w:hint="eastAsia"/>
                <w:color w:val="auto"/>
                <w:lang w:val="en-US" w:eastAsia="zh-CN"/>
              </w:rPr>
              <w:t>福建华远检测有限公司</w:t>
            </w:r>
            <w:r>
              <w:rPr>
                <w:rFonts w:hint="eastAsia"/>
                <w:color w:val="auto"/>
              </w:rPr>
              <w:t>对本项目场界及项目周边敏感点的声环境现状进行</w:t>
            </w:r>
            <w:r>
              <w:rPr>
                <w:rFonts w:hint="eastAsia"/>
                <w:color w:val="auto"/>
                <w:lang w:val="en-US" w:eastAsia="zh-CN"/>
              </w:rPr>
              <w:t>补充</w:t>
            </w:r>
            <w:r>
              <w:rPr>
                <w:rFonts w:hint="eastAsia"/>
                <w:color w:val="auto"/>
              </w:rPr>
              <w:t>监测</w:t>
            </w:r>
            <w:r>
              <w:rPr>
                <w:rFonts w:hint="eastAsia"/>
                <w:color w:val="auto"/>
                <w:lang w:eastAsia="zh-CN"/>
              </w:rPr>
              <w:t>，</w:t>
            </w:r>
            <w:r>
              <w:rPr>
                <w:rFonts w:hint="eastAsia"/>
                <w:color w:val="auto"/>
                <w:lang w:val="en-US" w:eastAsia="zh-CN"/>
              </w:rPr>
              <w:t>监测点位见图3.1-2，检测报告见附件7</w:t>
            </w:r>
            <w:r>
              <w:rPr>
                <w:rFonts w:hint="eastAsia"/>
                <w:color w:val="auto"/>
              </w:rPr>
              <w:t>。</w:t>
            </w:r>
          </w:p>
          <w:p w14:paraId="12822A77">
            <w:pPr>
              <w:adjustRightInd w:val="0"/>
              <w:spacing w:line="360" w:lineRule="auto"/>
              <w:ind w:firstLine="480" w:firstLineChars="200"/>
              <w:rPr>
                <w:rFonts w:hint="eastAsia" w:eastAsia="宋体"/>
                <w:color w:val="auto"/>
                <w:lang w:eastAsia="zh-CN"/>
              </w:rPr>
            </w:pPr>
            <w:r>
              <w:rPr>
                <w:rFonts w:hint="eastAsia"/>
                <w:color w:val="auto"/>
              </w:rPr>
              <w:t>（1）监测点位：详见表3.2-</w:t>
            </w:r>
            <w:r>
              <w:rPr>
                <w:rFonts w:hint="eastAsia"/>
                <w:color w:val="auto"/>
                <w:lang w:val="en-US" w:eastAsia="zh-CN"/>
              </w:rPr>
              <w:t>3</w:t>
            </w:r>
            <w:r>
              <w:rPr>
                <w:rFonts w:hint="eastAsia"/>
                <w:color w:val="auto"/>
                <w:lang w:eastAsia="zh-CN"/>
              </w:rPr>
              <w:t>；</w:t>
            </w:r>
          </w:p>
          <w:p w14:paraId="767527CB">
            <w:pPr>
              <w:adjustRightInd w:val="0"/>
              <w:spacing w:line="360" w:lineRule="auto"/>
              <w:ind w:firstLine="480" w:firstLineChars="200"/>
              <w:rPr>
                <w:rFonts w:hint="eastAsia"/>
                <w:color w:val="auto"/>
              </w:rPr>
            </w:pPr>
            <w:r>
              <w:rPr>
                <w:rFonts w:hint="eastAsia"/>
                <w:color w:val="auto"/>
              </w:rPr>
              <w:t>（2）监测指标：L</w:t>
            </w:r>
            <w:r>
              <w:rPr>
                <w:rFonts w:hint="eastAsia"/>
                <w:color w:val="auto"/>
                <w:vertAlign w:val="subscript"/>
              </w:rPr>
              <w:t>Aeq</w:t>
            </w:r>
            <w:r>
              <w:rPr>
                <w:rFonts w:hint="eastAsia"/>
                <w:color w:val="auto"/>
              </w:rPr>
              <w:t>；</w:t>
            </w:r>
          </w:p>
          <w:p w14:paraId="38F898DC">
            <w:pPr>
              <w:adjustRightInd w:val="0"/>
              <w:spacing w:line="360" w:lineRule="auto"/>
              <w:ind w:firstLine="480" w:firstLineChars="200"/>
              <w:rPr>
                <w:rFonts w:hint="eastAsia" w:eastAsia="宋体"/>
                <w:color w:val="auto"/>
                <w:lang w:eastAsia="zh-CN"/>
              </w:rPr>
            </w:pPr>
            <w:r>
              <w:rPr>
                <w:rFonts w:hint="eastAsia"/>
                <w:color w:val="auto"/>
              </w:rPr>
              <w:t>（3）监测频次和天数：昼间1次，1天</w:t>
            </w:r>
            <w:r>
              <w:rPr>
                <w:rFonts w:hint="eastAsia"/>
                <w:color w:val="auto"/>
                <w:lang w:eastAsia="zh-CN"/>
              </w:rPr>
              <w:t>；</w:t>
            </w:r>
          </w:p>
          <w:p w14:paraId="163C324F">
            <w:pPr>
              <w:adjustRightInd w:val="0"/>
              <w:spacing w:line="360" w:lineRule="auto"/>
              <w:ind w:firstLine="480" w:firstLineChars="200"/>
              <w:rPr>
                <w:rFonts w:hint="eastAsia"/>
                <w:color w:val="auto"/>
              </w:rPr>
            </w:pPr>
            <w:r>
              <w:rPr>
                <w:rFonts w:hint="eastAsia"/>
                <w:color w:val="auto"/>
              </w:rPr>
              <w:t>监测结果详见表3.2-</w:t>
            </w:r>
            <w:r>
              <w:rPr>
                <w:rFonts w:hint="eastAsia"/>
                <w:color w:val="auto"/>
                <w:lang w:val="en-US" w:eastAsia="zh-CN"/>
              </w:rPr>
              <w:t>3</w:t>
            </w:r>
            <w:r>
              <w:rPr>
                <w:rFonts w:hint="eastAsia"/>
                <w:color w:val="auto"/>
              </w:rPr>
              <w:t>。</w:t>
            </w:r>
          </w:p>
          <w:p w14:paraId="65FF3EC1">
            <w:pPr>
              <w:pStyle w:val="63"/>
              <w:numPr>
                <w:ilvl w:val="0"/>
                <w:numId w:val="0"/>
              </w:numPr>
              <w:ind w:left="0" w:leftChars="0" w:firstLine="0" w:firstLineChars="0"/>
              <w:rPr>
                <w:color w:val="auto"/>
              </w:rPr>
            </w:pPr>
            <w:r>
              <w:rPr>
                <w:rFonts w:hint="eastAsia" w:ascii="Times New Roman" w:hAnsi="Times New Roman" w:eastAsia="宋体" w:cs="宋体"/>
                <w:b/>
                <w:color w:val="auto"/>
                <w:kern w:val="2"/>
                <w:sz w:val="24"/>
                <w:szCs w:val="24"/>
                <w:lang w:val="en-US" w:eastAsia="zh-CN" w:bidi="ar-SA"/>
              </w:rPr>
              <w:t>表3.2-</w:t>
            </w:r>
            <w:r>
              <w:rPr>
                <w:rFonts w:hint="eastAsia" w:cs="宋体"/>
                <w:b/>
                <w:color w:val="auto"/>
                <w:kern w:val="2"/>
                <w:sz w:val="24"/>
                <w:szCs w:val="24"/>
                <w:lang w:val="en-US" w:eastAsia="zh-CN" w:bidi="ar-SA"/>
              </w:rPr>
              <w:t>3</w:t>
            </w:r>
            <w:r>
              <w:rPr>
                <w:rFonts w:hint="eastAsia"/>
                <w:color w:val="auto"/>
                <w:lang w:val="en-US" w:eastAsia="zh-CN"/>
              </w:rPr>
              <w:t>区域声环境</w:t>
            </w:r>
            <w:r>
              <w:rPr>
                <w:rFonts w:hint="eastAsia"/>
                <w:color w:val="auto"/>
              </w:rPr>
              <w:t>现状</w:t>
            </w:r>
            <w:r>
              <w:rPr>
                <w:rFonts w:hint="eastAsia"/>
                <w:color w:val="auto"/>
                <w:lang w:val="en-US" w:eastAsia="zh-CN"/>
              </w:rPr>
              <w:t>补充</w:t>
            </w:r>
            <w:r>
              <w:rPr>
                <w:rFonts w:hint="eastAsia"/>
                <w:color w:val="auto"/>
              </w:rPr>
              <w:t>监测结果 单位：dB（A）</w:t>
            </w:r>
          </w:p>
          <w:tbl>
            <w:tblPr>
              <w:tblStyle w:val="25"/>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051"/>
              <w:gridCol w:w="2047"/>
              <w:gridCol w:w="1344"/>
              <w:gridCol w:w="1472"/>
              <w:gridCol w:w="1601"/>
              <w:gridCol w:w="1601"/>
            </w:tblGrid>
            <w:tr w14:paraId="14934E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576" w:type="pct"/>
                  <w:vMerge w:val="restart"/>
                  <w:noWrap w:val="0"/>
                  <w:vAlign w:val="center"/>
                </w:tcPr>
                <w:p w14:paraId="0EA97CEE">
                  <w:pPr>
                    <w:pStyle w:val="67"/>
                    <w:rPr>
                      <w:color w:val="auto"/>
                    </w:rPr>
                  </w:pPr>
                  <w:r>
                    <w:rPr>
                      <w:color w:val="auto"/>
                    </w:rPr>
                    <w:t>编号</w:t>
                  </w:r>
                </w:p>
              </w:tc>
              <w:tc>
                <w:tcPr>
                  <w:tcW w:w="1122" w:type="pct"/>
                  <w:vMerge w:val="restart"/>
                  <w:noWrap w:val="0"/>
                  <w:vAlign w:val="center"/>
                </w:tcPr>
                <w:p w14:paraId="27AC61D9">
                  <w:pPr>
                    <w:pStyle w:val="67"/>
                    <w:rPr>
                      <w:color w:val="auto"/>
                    </w:rPr>
                  </w:pPr>
                  <w:r>
                    <w:rPr>
                      <w:color w:val="auto"/>
                    </w:rPr>
                    <w:t>监测点位</w:t>
                  </w:r>
                </w:p>
              </w:tc>
              <w:tc>
                <w:tcPr>
                  <w:tcW w:w="737" w:type="pct"/>
                  <w:noWrap w:val="0"/>
                  <w:vAlign w:val="center"/>
                </w:tcPr>
                <w:p w14:paraId="3E1E8AAB">
                  <w:pPr>
                    <w:pStyle w:val="67"/>
                    <w:rPr>
                      <w:color w:val="auto"/>
                    </w:rPr>
                  </w:pPr>
                  <w:r>
                    <w:rPr>
                      <w:color w:val="auto"/>
                    </w:rPr>
                    <w:t>监测时间</w:t>
                  </w:r>
                </w:p>
              </w:tc>
              <w:tc>
                <w:tcPr>
                  <w:tcW w:w="807" w:type="pct"/>
                  <w:noWrap w:val="0"/>
                  <w:vAlign w:val="center"/>
                </w:tcPr>
                <w:p w14:paraId="45482EBF">
                  <w:pPr>
                    <w:pStyle w:val="67"/>
                    <w:rPr>
                      <w:color w:val="auto"/>
                    </w:rPr>
                  </w:pPr>
                  <w:r>
                    <w:rPr>
                      <w:rFonts w:hint="eastAsia"/>
                      <w:color w:val="auto"/>
                    </w:rPr>
                    <w:t>执行标准</w:t>
                  </w:r>
                </w:p>
              </w:tc>
              <w:tc>
                <w:tcPr>
                  <w:tcW w:w="878" w:type="pct"/>
                  <w:noWrap w:val="0"/>
                  <w:vAlign w:val="center"/>
                </w:tcPr>
                <w:p w14:paraId="60E28E24">
                  <w:pPr>
                    <w:pStyle w:val="67"/>
                    <w:rPr>
                      <w:color w:val="auto"/>
                    </w:rPr>
                  </w:pPr>
                  <w:r>
                    <w:rPr>
                      <w:rFonts w:hint="eastAsia"/>
                      <w:color w:val="auto"/>
                    </w:rPr>
                    <w:t>达标情况</w:t>
                  </w:r>
                </w:p>
              </w:tc>
              <w:tc>
                <w:tcPr>
                  <w:tcW w:w="878" w:type="pct"/>
                  <w:vMerge w:val="restart"/>
                  <w:noWrap w:val="0"/>
                  <w:vAlign w:val="center"/>
                </w:tcPr>
                <w:p w14:paraId="051D80D0">
                  <w:pPr>
                    <w:pStyle w:val="67"/>
                    <w:rPr>
                      <w:rFonts w:hint="eastAsia" w:eastAsia="宋体"/>
                      <w:color w:val="auto"/>
                      <w:lang w:val="en-US" w:eastAsia="zh-CN"/>
                    </w:rPr>
                  </w:pPr>
                  <w:r>
                    <w:rPr>
                      <w:rFonts w:hint="eastAsia"/>
                      <w:color w:val="auto"/>
                      <w:lang w:val="en-US" w:eastAsia="zh-CN"/>
                    </w:rPr>
                    <w:t>功能区</w:t>
                  </w:r>
                </w:p>
              </w:tc>
            </w:tr>
            <w:tr w14:paraId="1E733E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576" w:type="pct"/>
                  <w:vMerge w:val="continue"/>
                  <w:noWrap w:val="0"/>
                  <w:vAlign w:val="center"/>
                </w:tcPr>
                <w:p w14:paraId="3EFA9F47">
                  <w:pPr>
                    <w:pStyle w:val="67"/>
                    <w:rPr>
                      <w:color w:val="auto"/>
                    </w:rPr>
                  </w:pPr>
                </w:p>
              </w:tc>
              <w:tc>
                <w:tcPr>
                  <w:tcW w:w="1122" w:type="pct"/>
                  <w:vMerge w:val="continue"/>
                  <w:noWrap w:val="0"/>
                  <w:vAlign w:val="center"/>
                </w:tcPr>
                <w:p w14:paraId="18D867B2">
                  <w:pPr>
                    <w:pStyle w:val="67"/>
                    <w:rPr>
                      <w:color w:val="auto"/>
                    </w:rPr>
                  </w:pPr>
                </w:p>
              </w:tc>
              <w:tc>
                <w:tcPr>
                  <w:tcW w:w="737" w:type="pct"/>
                  <w:noWrap w:val="0"/>
                  <w:vAlign w:val="center"/>
                </w:tcPr>
                <w:p w14:paraId="16097B5F">
                  <w:pPr>
                    <w:pStyle w:val="67"/>
                    <w:rPr>
                      <w:color w:val="auto"/>
                    </w:rPr>
                  </w:pPr>
                  <w:r>
                    <w:rPr>
                      <w:color w:val="auto"/>
                    </w:rPr>
                    <w:t>昼间</w:t>
                  </w:r>
                </w:p>
              </w:tc>
              <w:tc>
                <w:tcPr>
                  <w:tcW w:w="807" w:type="pct"/>
                  <w:noWrap w:val="0"/>
                  <w:vAlign w:val="center"/>
                </w:tcPr>
                <w:p w14:paraId="7306312E">
                  <w:pPr>
                    <w:pStyle w:val="67"/>
                    <w:rPr>
                      <w:rFonts w:hint="eastAsia"/>
                      <w:color w:val="auto"/>
                    </w:rPr>
                  </w:pPr>
                  <w:r>
                    <w:rPr>
                      <w:color w:val="auto"/>
                    </w:rPr>
                    <w:t>昼间</w:t>
                  </w:r>
                </w:p>
              </w:tc>
              <w:tc>
                <w:tcPr>
                  <w:tcW w:w="878" w:type="pct"/>
                  <w:noWrap w:val="0"/>
                  <w:vAlign w:val="center"/>
                </w:tcPr>
                <w:p w14:paraId="00693FFA">
                  <w:pPr>
                    <w:pStyle w:val="67"/>
                    <w:rPr>
                      <w:rFonts w:hint="eastAsia"/>
                      <w:color w:val="auto"/>
                    </w:rPr>
                  </w:pPr>
                  <w:r>
                    <w:rPr>
                      <w:color w:val="auto"/>
                    </w:rPr>
                    <w:t>昼间</w:t>
                  </w:r>
                </w:p>
              </w:tc>
              <w:tc>
                <w:tcPr>
                  <w:tcW w:w="878" w:type="pct"/>
                  <w:vMerge w:val="continue"/>
                  <w:noWrap w:val="0"/>
                  <w:vAlign w:val="center"/>
                </w:tcPr>
                <w:p w14:paraId="2C23917F">
                  <w:pPr>
                    <w:pStyle w:val="67"/>
                    <w:rPr>
                      <w:color w:val="auto"/>
                    </w:rPr>
                  </w:pPr>
                </w:p>
              </w:tc>
            </w:tr>
            <w:tr w14:paraId="64A163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576" w:type="pct"/>
                  <w:noWrap w:val="0"/>
                  <w:vAlign w:val="center"/>
                </w:tcPr>
                <w:p w14:paraId="5930FA7C">
                  <w:pPr>
                    <w:pStyle w:val="66"/>
                    <w:rPr>
                      <w:color w:val="auto"/>
                    </w:rPr>
                  </w:pPr>
                  <w:r>
                    <w:rPr>
                      <w:rFonts w:hint="eastAsia"/>
                      <w:color w:val="auto"/>
                    </w:rPr>
                    <w:t>N1</w:t>
                  </w:r>
                </w:p>
              </w:tc>
              <w:tc>
                <w:tcPr>
                  <w:tcW w:w="1122" w:type="pct"/>
                  <w:noWrap w:val="0"/>
                  <w:vAlign w:val="center"/>
                </w:tcPr>
                <w:p w14:paraId="0256A65C">
                  <w:pPr>
                    <w:pStyle w:val="66"/>
                    <w:rPr>
                      <w:rFonts w:hint="default" w:eastAsia="宋体"/>
                      <w:color w:val="auto"/>
                      <w:lang w:val="en-US" w:eastAsia="zh-CN"/>
                    </w:rPr>
                  </w:pPr>
                  <w:r>
                    <w:rPr>
                      <w:rFonts w:hint="default" w:eastAsia="宋体"/>
                      <w:color w:val="auto"/>
                      <w:lang w:val="en-US" w:eastAsia="zh-CN"/>
                    </w:rPr>
                    <w:t>善化新村12座</w:t>
                  </w:r>
                </w:p>
              </w:tc>
              <w:tc>
                <w:tcPr>
                  <w:tcW w:w="737" w:type="pct"/>
                  <w:noWrap w:val="0"/>
                  <w:vAlign w:val="center"/>
                </w:tcPr>
                <w:p w14:paraId="0B097B98">
                  <w:pPr>
                    <w:keepNext w:val="0"/>
                    <w:keepLines w:val="0"/>
                    <w:widowControl/>
                    <w:suppressLineNumbers w:val="0"/>
                    <w:jc w:val="center"/>
                    <w:textAlignment w:val="center"/>
                    <w:rPr>
                      <w:rFonts w:hint="default" w:eastAsia="宋体"/>
                      <w:color w:val="auto"/>
                      <w:lang w:val="en-US" w:eastAsia="zh-CN"/>
                    </w:rPr>
                  </w:pPr>
                  <w:r>
                    <w:rPr>
                      <w:rFonts w:hint="default" w:ascii="Times New Roman" w:hAnsi="Times New Roman" w:eastAsia="仿宋" w:cs="Times New Roman"/>
                      <w:i w:val="0"/>
                      <w:iCs w:val="0"/>
                      <w:color w:val="000000"/>
                      <w:kern w:val="0"/>
                      <w:sz w:val="21"/>
                      <w:szCs w:val="21"/>
                      <w:u w:val="none"/>
                      <w:lang w:val="en-US" w:eastAsia="zh-CN" w:bidi="ar"/>
                    </w:rPr>
                    <w:t>54.4</w:t>
                  </w:r>
                </w:p>
              </w:tc>
              <w:tc>
                <w:tcPr>
                  <w:tcW w:w="807" w:type="pct"/>
                  <w:noWrap w:val="0"/>
                  <w:vAlign w:val="center"/>
                </w:tcPr>
                <w:p w14:paraId="1093ACB2">
                  <w:pPr>
                    <w:pStyle w:val="67"/>
                    <w:rPr>
                      <w:rFonts w:hint="default" w:eastAsia="宋体"/>
                      <w:color w:val="auto"/>
                      <w:lang w:val="en-US" w:eastAsia="zh-CN"/>
                    </w:rPr>
                  </w:pPr>
                  <w:r>
                    <w:rPr>
                      <w:rFonts w:hint="eastAsia"/>
                      <w:color w:val="auto"/>
                      <w:lang w:val="en-US" w:eastAsia="zh-CN"/>
                    </w:rPr>
                    <w:t>60</w:t>
                  </w:r>
                </w:p>
              </w:tc>
              <w:tc>
                <w:tcPr>
                  <w:tcW w:w="878" w:type="pct"/>
                  <w:noWrap w:val="0"/>
                  <w:vAlign w:val="center"/>
                </w:tcPr>
                <w:p w14:paraId="199E0882">
                  <w:pPr>
                    <w:pStyle w:val="67"/>
                    <w:rPr>
                      <w:color w:val="auto"/>
                    </w:rPr>
                  </w:pPr>
                  <w:r>
                    <w:rPr>
                      <w:rFonts w:hint="eastAsia"/>
                      <w:color w:val="auto"/>
                    </w:rPr>
                    <w:t>达标</w:t>
                  </w:r>
                </w:p>
              </w:tc>
              <w:tc>
                <w:tcPr>
                  <w:tcW w:w="878" w:type="pct"/>
                  <w:noWrap w:val="0"/>
                  <w:vAlign w:val="center"/>
                </w:tcPr>
                <w:p w14:paraId="44A29CB7">
                  <w:pPr>
                    <w:pStyle w:val="67"/>
                    <w:rPr>
                      <w:rFonts w:hint="default" w:eastAsia="宋体"/>
                      <w:color w:val="auto"/>
                      <w:lang w:val="en-US" w:eastAsia="zh-CN"/>
                    </w:rPr>
                  </w:pPr>
                  <w:r>
                    <w:rPr>
                      <w:rFonts w:hint="eastAsia"/>
                      <w:color w:val="auto"/>
                      <w:lang w:val="en-US" w:eastAsia="zh-CN"/>
                    </w:rPr>
                    <w:t>2类</w:t>
                  </w:r>
                </w:p>
              </w:tc>
            </w:tr>
            <w:tr w14:paraId="1394E9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576" w:type="pct"/>
                  <w:noWrap w:val="0"/>
                  <w:vAlign w:val="center"/>
                </w:tcPr>
                <w:p w14:paraId="5A3668ED">
                  <w:pPr>
                    <w:pStyle w:val="66"/>
                    <w:rPr>
                      <w:color w:val="auto"/>
                    </w:rPr>
                  </w:pPr>
                  <w:r>
                    <w:rPr>
                      <w:rFonts w:hint="eastAsia"/>
                      <w:color w:val="auto"/>
                    </w:rPr>
                    <w:t>N2</w:t>
                  </w:r>
                </w:p>
              </w:tc>
              <w:tc>
                <w:tcPr>
                  <w:tcW w:w="1122" w:type="pct"/>
                  <w:noWrap w:val="0"/>
                  <w:vAlign w:val="center"/>
                </w:tcPr>
                <w:p w14:paraId="07E286B3">
                  <w:pPr>
                    <w:pStyle w:val="66"/>
                    <w:rPr>
                      <w:color w:val="auto"/>
                    </w:rPr>
                  </w:pPr>
                  <w:r>
                    <w:rPr>
                      <w:rFonts w:hint="default"/>
                      <w:color w:val="auto"/>
                      <w:lang w:val="en-US" w:eastAsia="zh-CN"/>
                    </w:rPr>
                    <w:t>善化新村</w:t>
                  </w:r>
                  <w:r>
                    <w:rPr>
                      <w:rFonts w:hint="eastAsia"/>
                      <w:color w:val="auto"/>
                      <w:lang w:val="en-US" w:eastAsia="zh-CN"/>
                    </w:rPr>
                    <w:t>8</w:t>
                  </w:r>
                  <w:r>
                    <w:rPr>
                      <w:rFonts w:hint="default"/>
                      <w:color w:val="auto"/>
                      <w:lang w:val="en-US" w:eastAsia="zh-CN"/>
                    </w:rPr>
                    <w:t>座</w:t>
                  </w:r>
                </w:p>
              </w:tc>
              <w:tc>
                <w:tcPr>
                  <w:tcW w:w="737" w:type="pct"/>
                  <w:noWrap w:val="0"/>
                  <w:vAlign w:val="center"/>
                </w:tcPr>
                <w:p w14:paraId="016C37D7">
                  <w:pPr>
                    <w:keepNext w:val="0"/>
                    <w:keepLines w:val="0"/>
                    <w:widowControl/>
                    <w:suppressLineNumbers w:val="0"/>
                    <w:jc w:val="center"/>
                    <w:textAlignment w:val="center"/>
                    <w:rPr>
                      <w:rFonts w:hint="default" w:eastAsia="宋体"/>
                      <w:color w:val="auto"/>
                      <w:lang w:val="en-US" w:eastAsia="zh-CN"/>
                    </w:rPr>
                  </w:pPr>
                  <w:r>
                    <w:rPr>
                      <w:rFonts w:hint="default" w:ascii="Times New Roman" w:hAnsi="Times New Roman" w:eastAsia="仿宋" w:cs="Times New Roman"/>
                      <w:i w:val="0"/>
                      <w:iCs w:val="0"/>
                      <w:color w:val="000000"/>
                      <w:kern w:val="0"/>
                      <w:sz w:val="21"/>
                      <w:szCs w:val="21"/>
                      <w:u w:val="none"/>
                      <w:lang w:val="en-US" w:eastAsia="zh-CN" w:bidi="ar"/>
                    </w:rPr>
                    <w:t>55.8</w:t>
                  </w:r>
                </w:p>
              </w:tc>
              <w:tc>
                <w:tcPr>
                  <w:tcW w:w="807" w:type="pct"/>
                  <w:noWrap w:val="0"/>
                  <w:vAlign w:val="center"/>
                </w:tcPr>
                <w:p w14:paraId="7611714B">
                  <w:pPr>
                    <w:jc w:val="center"/>
                    <w:rPr>
                      <w:rFonts w:hint="default" w:eastAsia="宋体"/>
                      <w:color w:val="auto"/>
                      <w:lang w:val="en-US" w:eastAsia="zh-CN"/>
                    </w:rPr>
                  </w:pPr>
                  <w:r>
                    <w:rPr>
                      <w:rFonts w:hint="eastAsia"/>
                      <w:color w:val="auto"/>
                      <w:lang w:val="en-US" w:eastAsia="zh-CN"/>
                    </w:rPr>
                    <w:t>60</w:t>
                  </w:r>
                </w:p>
              </w:tc>
              <w:tc>
                <w:tcPr>
                  <w:tcW w:w="878" w:type="pct"/>
                  <w:noWrap w:val="0"/>
                  <w:vAlign w:val="center"/>
                </w:tcPr>
                <w:p w14:paraId="78D1EAD1">
                  <w:pPr>
                    <w:pStyle w:val="67"/>
                    <w:rPr>
                      <w:color w:val="auto"/>
                    </w:rPr>
                  </w:pPr>
                  <w:r>
                    <w:rPr>
                      <w:rFonts w:hint="eastAsia"/>
                      <w:color w:val="auto"/>
                    </w:rPr>
                    <w:t>达标</w:t>
                  </w:r>
                </w:p>
              </w:tc>
              <w:tc>
                <w:tcPr>
                  <w:tcW w:w="878" w:type="pct"/>
                  <w:noWrap w:val="0"/>
                  <w:vAlign w:val="center"/>
                </w:tcPr>
                <w:p w14:paraId="0E693785">
                  <w:pPr>
                    <w:pStyle w:val="67"/>
                    <w:rPr>
                      <w:rFonts w:hint="eastAsia"/>
                      <w:color w:val="auto"/>
                    </w:rPr>
                  </w:pPr>
                  <w:r>
                    <w:rPr>
                      <w:rFonts w:hint="eastAsia"/>
                      <w:color w:val="auto"/>
                      <w:lang w:val="en-US" w:eastAsia="zh-CN"/>
                    </w:rPr>
                    <w:t>2类</w:t>
                  </w:r>
                </w:p>
              </w:tc>
            </w:tr>
            <w:tr w14:paraId="73BA9C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576" w:type="pct"/>
                  <w:noWrap w:val="0"/>
                  <w:vAlign w:val="center"/>
                </w:tcPr>
                <w:p w14:paraId="5954A81B">
                  <w:pPr>
                    <w:pStyle w:val="66"/>
                    <w:rPr>
                      <w:color w:val="auto"/>
                    </w:rPr>
                  </w:pPr>
                  <w:r>
                    <w:rPr>
                      <w:rFonts w:hint="eastAsia"/>
                      <w:color w:val="auto"/>
                    </w:rPr>
                    <w:t>N3</w:t>
                  </w:r>
                </w:p>
              </w:tc>
              <w:tc>
                <w:tcPr>
                  <w:tcW w:w="1122" w:type="pct"/>
                  <w:noWrap w:val="0"/>
                  <w:vAlign w:val="center"/>
                </w:tcPr>
                <w:p w14:paraId="09637D4F">
                  <w:pPr>
                    <w:pStyle w:val="66"/>
                    <w:rPr>
                      <w:rFonts w:hint="eastAsia" w:eastAsia="宋体"/>
                      <w:color w:val="auto"/>
                      <w:lang w:eastAsia="zh-CN"/>
                    </w:rPr>
                  </w:pPr>
                  <w:r>
                    <w:rPr>
                      <w:rFonts w:hint="eastAsia" w:eastAsia="宋体"/>
                      <w:color w:val="auto"/>
                      <w:lang w:val="en-US" w:eastAsia="zh-CN"/>
                    </w:rPr>
                    <w:t>保定新村10座</w:t>
                  </w:r>
                </w:p>
              </w:tc>
              <w:tc>
                <w:tcPr>
                  <w:tcW w:w="737" w:type="pct"/>
                  <w:noWrap w:val="0"/>
                  <w:vAlign w:val="center"/>
                </w:tcPr>
                <w:p w14:paraId="6204513C">
                  <w:pPr>
                    <w:keepNext w:val="0"/>
                    <w:keepLines w:val="0"/>
                    <w:widowControl/>
                    <w:suppressLineNumbers w:val="0"/>
                    <w:jc w:val="center"/>
                    <w:textAlignment w:val="center"/>
                    <w:rPr>
                      <w:rFonts w:hint="default" w:eastAsia="宋体"/>
                      <w:color w:val="auto"/>
                      <w:lang w:val="en-US" w:eastAsia="zh-CN"/>
                    </w:rPr>
                  </w:pPr>
                  <w:r>
                    <w:rPr>
                      <w:rFonts w:hint="default" w:ascii="Times New Roman" w:hAnsi="Times New Roman" w:eastAsia="仿宋" w:cs="Times New Roman"/>
                      <w:i w:val="0"/>
                      <w:iCs w:val="0"/>
                      <w:color w:val="000000"/>
                      <w:kern w:val="0"/>
                      <w:sz w:val="21"/>
                      <w:szCs w:val="21"/>
                      <w:u w:val="none"/>
                      <w:lang w:val="en-US" w:eastAsia="zh-CN" w:bidi="ar"/>
                    </w:rPr>
                    <w:t>56.0</w:t>
                  </w:r>
                </w:p>
              </w:tc>
              <w:tc>
                <w:tcPr>
                  <w:tcW w:w="807" w:type="pct"/>
                  <w:noWrap w:val="0"/>
                  <w:vAlign w:val="center"/>
                </w:tcPr>
                <w:p w14:paraId="15ED3828">
                  <w:pPr>
                    <w:jc w:val="center"/>
                    <w:rPr>
                      <w:rFonts w:hint="default" w:eastAsia="宋体"/>
                      <w:color w:val="auto"/>
                      <w:lang w:val="en-US" w:eastAsia="zh-CN"/>
                    </w:rPr>
                  </w:pPr>
                  <w:r>
                    <w:rPr>
                      <w:rFonts w:hint="eastAsia"/>
                      <w:color w:val="auto"/>
                      <w:lang w:val="en-US" w:eastAsia="zh-CN"/>
                    </w:rPr>
                    <w:t>60</w:t>
                  </w:r>
                </w:p>
              </w:tc>
              <w:tc>
                <w:tcPr>
                  <w:tcW w:w="878" w:type="pct"/>
                  <w:noWrap w:val="0"/>
                  <w:vAlign w:val="center"/>
                </w:tcPr>
                <w:p w14:paraId="7A8021A7">
                  <w:pPr>
                    <w:pStyle w:val="67"/>
                    <w:rPr>
                      <w:color w:val="auto"/>
                    </w:rPr>
                  </w:pPr>
                  <w:r>
                    <w:rPr>
                      <w:rFonts w:hint="eastAsia"/>
                      <w:color w:val="auto"/>
                    </w:rPr>
                    <w:t>达标</w:t>
                  </w:r>
                </w:p>
              </w:tc>
              <w:tc>
                <w:tcPr>
                  <w:tcW w:w="878" w:type="pct"/>
                  <w:noWrap w:val="0"/>
                  <w:vAlign w:val="center"/>
                </w:tcPr>
                <w:p w14:paraId="29E386F3">
                  <w:pPr>
                    <w:pStyle w:val="67"/>
                    <w:rPr>
                      <w:rFonts w:hint="eastAsia"/>
                      <w:color w:val="auto"/>
                    </w:rPr>
                  </w:pPr>
                  <w:r>
                    <w:rPr>
                      <w:rFonts w:hint="eastAsia"/>
                      <w:color w:val="auto"/>
                      <w:lang w:val="en-US" w:eastAsia="zh-CN"/>
                    </w:rPr>
                    <w:t>2类</w:t>
                  </w:r>
                </w:p>
              </w:tc>
            </w:tr>
            <w:tr w14:paraId="7AEAD0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576" w:type="pct"/>
                  <w:noWrap w:val="0"/>
                  <w:vAlign w:val="center"/>
                </w:tcPr>
                <w:p w14:paraId="2AF3AB30">
                  <w:pPr>
                    <w:pStyle w:val="66"/>
                    <w:rPr>
                      <w:rFonts w:hint="eastAsia" w:eastAsia="宋体"/>
                      <w:color w:val="auto"/>
                      <w:lang w:val="en-US" w:eastAsia="zh-CN"/>
                    </w:rPr>
                  </w:pPr>
                  <w:r>
                    <w:rPr>
                      <w:rFonts w:hint="eastAsia"/>
                      <w:color w:val="auto"/>
                      <w:lang w:val="en-US" w:eastAsia="zh-CN"/>
                    </w:rPr>
                    <w:t>N4</w:t>
                  </w:r>
                </w:p>
              </w:tc>
              <w:tc>
                <w:tcPr>
                  <w:tcW w:w="1122" w:type="pct"/>
                  <w:noWrap w:val="0"/>
                  <w:vAlign w:val="center"/>
                </w:tcPr>
                <w:p w14:paraId="2582D10D">
                  <w:pPr>
                    <w:pStyle w:val="66"/>
                    <w:rPr>
                      <w:rFonts w:hint="eastAsia"/>
                      <w:color w:val="auto"/>
                    </w:rPr>
                  </w:pPr>
                  <w:r>
                    <w:rPr>
                      <w:rFonts w:hint="eastAsia"/>
                      <w:color w:val="auto"/>
                      <w:lang w:val="en-US" w:eastAsia="zh-CN"/>
                    </w:rPr>
                    <w:t>保定新村10座</w:t>
                  </w:r>
                </w:p>
              </w:tc>
              <w:tc>
                <w:tcPr>
                  <w:tcW w:w="737" w:type="pct"/>
                  <w:noWrap w:val="0"/>
                  <w:vAlign w:val="center"/>
                </w:tcPr>
                <w:p w14:paraId="5E9014B5">
                  <w:pPr>
                    <w:keepNext w:val="0"/>
                    <w:keepLines w:val="0"/>
                    <w:widowControl/>
                    <w:suppressLineNumbers w:val="0"/>
                    <w:jc w:val="center"/>
                    <w:textAlignment w:val="center"/>
                    <w:rPr>
                      <w:rFonts w:hint="default" w:eastAsia="宋体"/>
                      <w:color w:val="auto"/>
                      <w:lang w:val="en-US" w:eastAsia="zh-CN"/>
                    </w:rPr>
                  </w:pPr>
                  <w:r>
                    <w:rPr>
                      <w:rFonts w:hint="default" w:ascii="Times New Roman" w:hAnsi="Times New Roman" w:eastAsia="仿宋" w:cs="Times New Roman"/>
                      <w:i w:val="0"/>
                      <w:iCs w:val="0"/>
                      <w:color w:val="000000"/>
                      <w:kern w:val="0"/>
                      <w:sz w:val="21"/>
                      <w:szCs w:val="21"/>
                      <w:u w:val="none"/>
                      <w:lang w:val="en-US" w:eastAsia="zh-CN" w:bidi="ar"/>
                    </w:rPr>
                    <w:t>56.3</w:t>
                  </w:r>
                </w:p>
              </w:tc>
              <w:tc>
                <w:tcPr>
                  <w:tcW w:w="807" w:type="pct"/>
                  <w:noWrap w:val="0"/>
                  <w:vAlign w:val="center"/>
                </w:tcPr>
                <w:p w14:paraId="4A177F4B">
                  <w:pPr>
                    <w:jc w:val="center"/>
                    <w:rPr>
                      <w:rFonts w:hint="default" w:eastAsia="宋体"/>
                      <w:color w:val="auto"/>
                      <w:lang w:val="en-US" w:eastAsia="zh-CN"/>
                    </w:rPr>
                  </w:pPr>
                  <w:r>
                    <w:rPr>
                      <w:rFonts w:hint="eastAsia"/>
                      <w:color w:val="auto"/>
                      <w:lang w:val="en-US" w:eastAsia="zh-CN"/>
                    </w:rPr>
                    <w:t>60</w:t>
                  </w:r>
                </w:p>
              </w:tc>
              <w:tc>
                <w:tcPr>
                  <w:tcW w:w="878" w:type="pct"/>
                  <w:noWrap w:val="0"/>
                  <w:vAlign w:val="center"/>
                </w:tcPr>
                <w:p w14:paraId="744B3397">
                  <w:pPr>
                    <w:pStyle w:val="67"/>
                    <w:rPr>
                      <w:rFonts w:hint="eastAsia" w:eastAsia="宋体"/>
                      <w:color w:val="auto"/>
                      <w:lang w:val="en-US" w:eastAsia="zh-CN"/>
                    </w:rPr>
                  </w:pPr>
                  <w:r>
                    <w:rPr>
                      <w:rFonts w:hint="eastAsia"/>
                      <w:color w:val="auto"/>
                      <w:lang w:val="en-US" w:eastAsia="zh-CN"/>
                    </w:rPr>
                    <w:t>达标</w:t>
                  </w:r>
                </w:p>
              </w:tc>
              <w:tc>
                <w:tcPr>
                  <w:tcW w:w="878" w:type="pct"/>
                  <w:noWrap w:val="0"/>
                  <w:vAlign w:val="center"/>
                </w:tcPr>
                <w:p w14:paraId="0E1543EB">
                  <w:pPr>
                    <w:pStyle w:val="67"/>
                    <w:rPr>
                      <w:rFonts w:hint="eastAsia"/>
                      <w:color w:val="auto"/>
                      <w:lang w:val="en-US" w:eastAsia="zh-CN"/>
                    </w:rPr>
                  </w:pPr>
                  <w:r>
                    <w:rPr>
                      <w:rFonts w:hint="eastAsia"/>
                      <w:color w:val="auto"/>
                      <w:lang w:val="en-US" w:eastAsia="zh-CN"/>
                    </w:rPr>
                    <w:t>2类</w:t>
                  </w:r>
                </w:p>
              </w:tc>
            </w:tr>
            <w:tr w14:paraId="26E1D7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576" w:type="pct"/>
                  <w:noWrap w:val="0"/>
                  <w:vAlign w:val="center"/>
                </w:tcPr>
                <w:p w14:paraId="0028EBCA">
                  <w:pPr>
                    <w:pStyle w:val="66"/>
                    <w:rPr>
                      <w:rFonts w:hint="eastAsia" w:eastAsia="宋体"/>
                      <w:color w:val="auto"/>
                      <w:lang w:val="en-US" w:eastAsia="zh-CN"/>
                    </w:rPr>
                  </w:pPr>
                  <w:r>
                    <w:rPr>
                      <w:rFonts w:hint="eastAsia"/>
                      <w:color w:val="auto"/>
                    </w:rPr>
                    <w:t>N</w:t>
                  </w:r>
                  <w:r>
                    <w:rPr>
                      <w:rFonts w:hint="eastAsia"/>
                      <w:color w:val="auto"/>
                      <w:lang w:val="en-US" w:eastAsia="zh-CN"/>
                    </w:rPr>
                    <w:t>5</w:t>
                  </w:r>
                </w:p>
              </w:tc>
              <w:tc>
                <w:tcPr>
                  <w:tcW w:w="1122" w:type="pct"/>
                  <w:noWrap w:val="0"/>
                  <w:vAlign w:val="center"/>
                </w:tcPr>
                <w:p w14:paraId="58FC71B2">
                  <w:pPr>
                    <w:pStyle w:val="66"/>
                    <w:rPr>
                      <w:rFonts w:hint="default" w:eastAsia="宋体"/>
                      <w:color w:val="auto"/>
                      <w:lang w:val="en-US" w:eastAsia="zh-CN"/>
                    </w:rPr>
                  </w:pPr>
                  <w:r>
                    <w:rPr>
                      <w:rFonts w:hint="default" w:eastAsia="宋体"/>
                      <w:color w:val="auto"/>
                      <w:lang w:val="en-US" w:eastAsia="zh-CN"/>
                    </w:rPr>
                    <w:t>武夷花园A座</w:t>
                  </w:r>
                </w:p>
              </w:tc>
              <w:tc>
                <w:tcPr>
                  <w:tcW w:w="737" w:type="pct"/>
                  <w:noWrap w:val="0"/>
                  <w:vAlign w:val="center"/>
                </w:tcPr>
                <w:p w14:paraId="3C22969C">
                  <w:pPr>
                    <w:keepNext w:val="0"/>
                    <w:keepLines w:val="0"/>
                    <w:widowControl/>
                    <w:suppressLineNumbers w:val="0"/>
                    <w:jc w:val="center"/>
                    <w:textAlignment w:val="center"/>
                    <w:rPr>
                      <w:rFonts w:hint="default" w:eastAsia="宋体"/>
                      <w:color w:val="auto"/>
                      <w:lang w:val="en-US" w:eastAsia="zh-CN"/>
                    </w:rPr>
                  </w:pPr>
                  <w:r>
                    <w:rPr>
                      <w:rFonts w:hint="default" w:ascii="Times New Roman" w:hAnsi="Times New Roman" w:eastAsia="仿宋" w:cs="Times New Roman"/>
                      <w:i w:val="0"/>
                      <w:iCs w:val="0"/>
                      <w:color w:val="000000"/>
                      <w:kern w:val="0"/>
                      <w:sz w:val="21"/>
                      <w:szCs w:val="21"/>
                      <w:u w:val="none"/>
                      <w:lang w:val="en-US" w:eastAsia="zh-CN" w:bidi="ar"/>
                    </w:rPr>
                    <w:t>55.9</w:t>
                  </w:r>
                </w:p>
              </w:tc>
              <w:tc>
                <w:tcPr>
                  <w:tcW w:w="807" w:type="pct"/>
                  <w:noWrap w:val="0"/>
                  <w:vAlign w:val="center"/>
                </w:tcPr>
                <w:p w14:paraId="39DBC343">
                  <w:pPr>
                    <w:jc w:val="center"/>
                    <w:rPr>
                      <w:rFonts w:hint="default" w:eastAsia="宋体"/>
                      <w:color w:val="auto"/>
                      <w:lang w:val="en-US" w:eastAsia="zh-CN"/>
                    </w:rPr>
                  </w:pPr>
                  <w:r>
                    <w:rPr>
                      <w:rFonts w:hint="eastAsia"/>
                      <w:color w:val="auto"/>
                      <w:lang w:val="en-US" w:eastAsia="zh-CN"/>
                    </w:rPr>
                    <w:t>60</w:t>
                  </w:r>
                </w:p>
              </w:tc>
              <w:tc>
                <w:tcPr>
                  <w:tcW w:w="878" w:type="pct"/>
                  <w:noWrap w:val="0"/>
                  <w:vAlign w:val="center"/>
                </w:tcPr>
                <w:p w14:paraId="67F9ECA1">
                  <w:pPr>
                    <w:pStyle w:val="67"/>
                    <w:rPr>
                      <w:color w:val="auto"/>
                    </w:rPr>
                  </w:pPr>
                  <w:r>
                    <w:rPr>
                      <w:rFonts w:hint="eastAsia"/>
                      <w:color w:val="auto"/>
                    </w:rPr>
                    <w:t>达标</w:t>
                  </w:r>
                </w:p>
              </w:tc>
              <w:tc>
                <w:tcPr>
                  <w:tcW w:w="878" w:type="pct"/>
                  <w:noWrap w:val="0"/>
                  <w:vAlign w:val="center"/>
                </w:tcPr>
                <w:p w14:paraId="4C12CDB2">
                  <w:pPr>
                    <w:pStyle w:val="67"/>
                    <w:rPr>
                      <w:rFonts w:hint="eastAsia"/>
                      <w:color w:val="auto"/>
                    </w:rPr>
                  </w:pPr>
                  <w:r>
                    <w:rPr>
                      <w:rFonts w:hint="eastAsia"/>
                      <w:color w:val="auto"/>
                      <w:lang w:val="en-US" w:eastAsia="zh-CN"/>
                    </w:rPr>
                    <w:t>2类</w:t>
                  </w:r>
                </w:p>
              </w:tc>
            </w:tr>
          </w:tbl>
          <w:p w14:paraId="2A36844C">
            <w:pPr>
              <w:adjustRightInd w:val="0"/>
              <w:spacing w:line="360" w:lineRule="auto"/>
              <w:jc w:val="center"/>
              <w:rPr>
                <w:color w:val="auto"/>
              </w:rPr>
            </w:pPr>
            <w:r>
              <w:rPr>
                <w:rFonts w:hint="default" w:ascii="Times New Roman" w:hAnsi="Times New Roman" w:eastAsia="仿宋" w:cs="Times New Roman"/>
              </w:rPr>
              <w:drawing>
                <wp:inline distT="0" distB="0" distL="114300" distR="114300">
                  <wp:extent cx="4763770" cy="3355340"/>
                  <wp:effectExtent l="0" t="0" r="17780" b="16510"/>
                  <wp:docPr id="25"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91"/>
                          <pic:cNvPicPr>
                            <a:picLocks noChangeAspect="1"/>
                          </pic:cNvPicPr>
                        </pic:nvPicPr>
                        <pic:blipFill>
                          <a:blip r:embed="rId16"/>
                          <a:srcRect t="1083"/>
                          <a:stretch>
                            <a:fillRect/>
                          </a:stretch>
                        </pic:blipFill>
                        <pic:spPr>
                          <a:xfrm>
                            <a:off x="0" y="0"/>
                            <a:ext cx="4763770" cy="3355340"/>
                          </a:xfrm>
                          <a:prstGeom prst="rect">
                            <a:avLst/>
                          </a:prstGeom>
                          <a:noFill/>
                          <a:ln>
                            <a:noFill/>
                          </a:ln>
                        </pic:spPr>
                      </pic:pic>
                    </a:graphicData>
                  </a:graphic>
                </wp:inline>
              </w:drawing>
            </w:r>
          </w:p>
          <w:p w14:paraId="38474522">
            <w:pPr>
              <w:pStyle w:val="63"/>
              <w:numPr>
                <w:ilvl w:val="0"/>
                <w:numId w:val="0"/>
              </w:numPr>
              <w:ind w:leftChars="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图3.1-2  区域声环境现状监测点位图</w:t>
            </w:r>
          </w:p>
          <w:p w14:paraId="7BB03DED">
            <w:pPr>
              <w:pStyle w:val="6"/>
              <w:numPr>
                <w:ilvl w:val="0"/>
                <w:numId w:val="0"/>
              </w:numPr>
              <w:tabs>
                <w:tab w:val="left" w:pos="0"/>
              </w:tabs>
              <w:ind w:left="0" w:leftChars="0" w:firstLine="0" w:firstLineChars="0"/>
            </w:pPr>
            <w:r>
              <w:rPr>
                <w:rFonts w:hint="eastAsia" w:ascii="Times New Roman" w:hAnsi="Times New Roman" w:eastAsia="宋体" w:cs="宋体"/>
                <w:b/>
                <w:bCs/>
                <w:kern w:val="2"/>
                <w:sz w:val="28"/>
                <w:szCs w:val="32"/>
                <w:lang w:val="en-US" w:eastAsia="zh-CN" w:bidi="ar-SA"/>
              </w:rPr>
              <w:t>3.2.3</w:t>
            </w:r>
            <w:r>
              <w:t>生态环境现状调查</w:t>
            </w:r>
          </w:p>
          <w:p w14:paraId="394EA21B">
            <w:pPr>
              <w:adjustRightInd w:val="0"/>
              <w:spacing w:line="360" w:lineRule="auto"/>
              <w:ind w:firstLine="480" w:firstLineChars="200"/>
              <w:rPr>
                <w:rFonts w:hint="eastAsia"/>
                <w:color w:val="auto"/>
                <w:lang w:val="en-US" w:eastAsia="zh-CN"/>
              </w:rPr>
            </w:pPr>
            <w:r>
              <w:rPr>
                <w:color w:val="auto"/>
              </w:rPr>
              <w:t>本项目</w:t>
            </w:r>
            <w:r>
              <w:rPr>
                <w:rFonts w:hint="eastAsia"/>
                <w:color w:val="auto"/>
              </w:rPr>
              <w:t>为租赁现有商业地块</w:t>
            </w:r>
            <w:r>
              <w:rPr>
                <w:rFonts w:hint="eastAsia"/>
                <w:color w:val="auto"/>
                <w:lang w:val="zh-CN"/>
              </w:rPr>
              <w:t>，</w:t>
            </w:r>
            <w:r>
              <w:rPr>
                <w:rFonts w:hint="eastAsia"/>
                <w:color w:val="auto"/>
              </w:rPr>
              <w:t>位于已城市建成区</w:t>
            </w:r>
            <w:r>
              <w:rPr>
                <w:color w:val="auto"/>
                <w:lang w:val="zh-CN"/>
              </w:rPr>
              <w:t>，</w:t>
            </w:r>
            <w:r>
              <w:rPr>
                <w:rFonts w:hint="eastAsia"/>
                <w:color w:val="auto"/>
                <w:lang w:val="en-US" w:eastAsia="zh-CN"/>
              </w:rPr>
              <w:t>项目直接影响区域即占地范围内不涉及</w:t>
            </w:r>
            <w:r>
              <w:rPr>
                <w:color w:val="auto"/>
                <w:lang w:val="zh-CN"/>
              </w:rPr>
              <w:t>珍稀濒危物种、自然保护区、风景名胜区等生态敏感目标</w:t>
            </w:r>
            <w:r>
              <w:rPr>
                <w:rFonts w:hint="eastAsia"/>
                <w:color w:val="auto"/>
                <w:lang w:val="zh-CN"/>
              </w:rPr>
              <w:t>。</w:t>
            </w:r>
            <w:r>
              <w:rPr>
                <w:rFonts w:hint="eastAsia"/>
                <w:color w:val="auto"/>
                <w:lang w:val="en-US" w:eastAsia="zh-CN"/>
              </w:rPr>
              <w:t>污染物排放间接影响涉及项目北侧西湖公园，距离本项目500米。西湖公园有1700多年历史，是福州保留最完整的一座古典园林，被人称为“福建园林明珠”。</w:t>
            </w:r>
          </w:p>
          <w:p w14:paraId="481AFB4E">
            <w:pPr>
              <w:adjustRightInd w:val="0"/>
              <w:spacing w:line="360" w:lineRule="auto"/>
              <w:ind w:firstLine="480" w:firstLineChars="200"/>
              <w:rPr>
                <w:rFonts w:hint="default" w:eastAsia="宋体"/>
                <w:lang w:val="en-US" w:eastAsia="zh-CN"/>
              </w:rPr>
            </w:pPr>
            <w:r>
              <w:rPr>
                <w:rFonts w:hint="eastAsia"/>
                <w:color w:val="auto"/>
                <w:lang w:val="en-US" w:eastAsia="zh-CN"/>
              </w:rPr>
              <w:t>而三坊七巷位于本项目的东南方向距离380米的南后街。总占地约45公顷，是从南后街两旁从北至南依次排列的坊巷总称。三坊七巷自晋代发轫，于唐五代形成，到明清鼎盛，如今古老坊巷风貌基本得以传续。三坊七巷为国内现存规模较大、保护较为完整的历史文化街区，有“中国城市里坊制度活化石”和“中国明清建筑博物馆”的美称。</w:t>
            </w:r>
          </w:p>
          <w:p w14:paraId="1378A1F5">
            <w:pPr>
              <w:pStyle w:val="6"/>
              <w:numPr>
                <w:ilvl w:val="0"/>
                <w:numId w:val="0"/>
              </w:numPr>
              <w:tabs>
                <w:tab w:val="left" w:pos="0"/>
              </w:tabs>
              <w:ind w:left="0" w:leftChars="0" w:firstLine="0" w:firstLineChars="0"/>
            </w:pPr>
            <w:r>
              <w:rPr>
                <w:rFonts w:hint="eastAsia" w:ascii="Times New Roman" w:hAnsi="Times New Roman" w:eastAsia="宋体" w:cs="宋体"/>
                <w:b/>
                <w:bCs/>
                <w:kern w:val="2"/>
                <w:sz w:val="28"/>
                <w:szCs w:val="32"/>
                <w:lang w:val="en-US" w:eastAsia="zh-CN" w:bidi="ar-SA"/>
              </w:rPr>
              <w:t>3.2.4</w:t>
            </w:r>
            <w:r>
              <w:rPr>
                <w:rFonts w:hint="eastAsia"/>
                <w:lang w:val="en-US" w:eastAsia="zh-CN"/>
              </w:rPr>
              <w:t>土壤</w:t>
            </w:r>
            <w:r>
              <w:t>环境</w:t>
            </w:r>
          </w:p>
          <w:p w14:paraId="64FEFA78">
            <w:pPr>
              <w:spacing w:line="360" w:lineRule="auto"/>
              <w:ind w:firstLine="482"/>
            </w:pPr>
            <w:r>
              <w:t>根据《环境影响评价技术导则</w:t>
            </w:r>
            <w:r>
              <w:rPr>
                <w:rFonts w:hint="eastAsia"/>
              </w:rPr>
              <w:t>-</w:t>
            </w:r>
            <w:r>
              <w:t>土壤环境（试行）》（HJ964-2018）附录A，本项目土壤环境影响评价项目类别为：Ⅳ类</w:t>
            </w:r>
            <w:r>
              <w:rPr>
                <w:rFonts w:hint="eastAsia"/>
              </w:rPr>
              <w:t>，详</w:t>
            </w:r>
            <w:r>
              <w:t>见表3.</w:t>
            </w:r>
            <w:r>
              <w:rPr>
                <w:rFonts w:hint="eastAsia"/>
                <w:lang w:val="en-US" w:eastAsia="zh-CN"/>
              </w:rPr>
              <w:t>2</w:t>
            </w:r>
            <w:r>
              <w:t>-</w:t>
            </w:r>
            <w:r>
              <w:rPr>
                <w:rFonts w:hint="eastAsia"/>
                <w:lang w:val="en-US" w:eastAsia="zh-CN"/>
              </w:rPr>
              <w:t>4</w:t>
            </w:r>
            <w:r>
              <w:t>。根据导则判定，本项目可不开展土壤环境影响评价。</w:t>
            </w:r>
          </w:p>
          <w:p w14:paraId="33EF8E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b/>
                <w:bCs/>
              </w:rPr>
            </w:pPr>
            <w:r>
              <w:rPr>
                <w:rFonts w:ascii="Times New Roman" w:hAnsi="Times New Roman" w:eastAsia="宋体" w:cs="Times New Roman"/>
                <w:b/>
                <w:kern w:val="2"/>
                <w:sz w:val="24"/>
                <w:szCs w:val="22"/>
                <w:lang w:val="en-US" w:eastAsia="zh-CN" w:bidi="ar-SA"/>
              </w:rPr>
              <w:t>表3.</w:t>
            </w:r>
            <w:r>
              <w:rPr>
                <w:rFonts w:hint="eastAsia" w:ascii="Times New Roman" w:hAnsi="Times New Roman" w:eastAsia="宋体" w:cs="Times New Roman"/>
                <w:b/>
                <w:kern w:val="2"/>
                <w:sz w:val="24"/>
                <w:szCs w:val="22"/>
                <w:lang w:val="en-US" w:eastAsia="zh-CN" w:bidi="ar-SA"/>
              </w:rPr>
              <w:t>2</w:t>
            </w:r>
            <w:r>
              <w:rPr>
                <w:rFonts w:ascii="Times New Roman" w:hAnsi="Times New Roman" w:eastAsia="宋体" w:cs="Times New Roman"/>
                <w:b/>
                <w:kern w:val="2"/>
                <w:sz w:val="24"/>
                <w:szCs w:val="22"/>
                <w:lang w:val="en-US" w:eastAsia="zh-CN" w:bidi="ar-SA"/>
              </w:rPr>
              <w:t>-</w:t>
            </w:r>
            <w:r>
              <w:rPr>
                <w:rFonts w:hint="eastAsia" w:ascii="Times New Roman" w:hAnsi="Times New Roman" w:eastAsia="宋体" w:cs="Times New Roman"/>
                <w:b/>
                <w:kern w:val="2"/>
                <w:sz w:val="24"/>
                <w:szCs w:val="22"/>
                <w:lang w:val="en-US" w:eastAsia="zh-CN" w:bidi="ar-SA"/>
              </w:rPr>
              <w:t>4</w:t>
            </w:r>
            <w:r>
              <w:rPr>
                <w:rFonts w:ascii="Times New Roman" w:hAnsi="Times New Roman" w:eastAsia="宋体" w:cs="Times New Roman"/>
                <w:b/>
                <w:kern w:val="2"/>
                <w:sz w:val="24"/>
                <w:szCs w:val="22"/>
                <w:lang w:val="en-US" w:eastAsia="zh-CN" w:bidi="ar-SA"/>
              </w:rPr>
              <w:t xml:space="preserve">  土</w:t>
            </w:r>
            <w:r>
              <w:rPr>
                <w:b/>
                <w:bCs/>
              </w:rPr>
              <w:t>壤环境影响评价行业分类表</w:t>
            </w:r>
          </w:p>
          <w:tbl>
            <w:tblPr>
              <w:tblStyle w:val="25"/>
              <w:tblW w:w="4999" w:type="pct"/>
              <w:tblInd w:w="-1"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2121"/>
              <w:gridCol w:w="1242"/>
              <w:gridCol w:w="985"/>
              <w:gridCol w:w="3581"/>
              <w:gridCol w:w="1189"/>
            </w:tblGrid>
            <w:tr w14:paraId="32FFD06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1163" w:type="pct"/>
                  <w:vMerge w:val="restart"/>
                  <w:tcBorders>
                    <w:top w:val="single" w:color="auto" w:sz="4" w:space="0"/>
                    <w:left w:val="single" w:color="auto" w:sz="0" w:space="0"/>
                  </w:tcBorders>
                  <w:noWrap w:val="0"/>
                  <w:vAlign w:val="center"/>
                </w:tcPr>
                <w:p w14:paraId="2460775E">
                  <w:pPr>
                    <w:jc w:val="center"/>
                    <w:rPr>
                      <w:bCs/>
                      <w:kern w:val="0"/>
                      <w:sz w:val="21"/>
                      <w:szCs w:val="21"/>
                    </w:rPr>
                  </w:pPr>
                  <w:r>
                    <w:rPr>
                      <w:bCs/>
                      <w:kern w:val="0"/>
                      <w:sz w:val="21"/>
                      <w:szCs w:val="21"/>
                    </w:rPr>
                    <w:t>行业类别</w:t>
                  </w:r>
                </w:p>
              </w:tc>
              <w:tc>
                <w:tcPr>
                  <w:tcW w:w="3836" w:type="pct"/>
                  <w:gridSpan w:val="4"/>
                  <w:tcBorders>
                    <w:top w:val="single" w:color="auto" w:sz="4" w:space="0"/>
                    <w:right w:val="single" w:color="auto" w:sz="4" w:space="0"/>
                  </w:tcBorders>
                  <w:noWrap w:val="0"/>
                  <w:vAlign w:val="center"/>
                </w:tcPr>
                <w:p w14:paraId="6C781FE4">
                  <w:pPr>
                    <w:jc w:val="center"/>
                    <w:rPr>
                      <w:bCs/>
                      <w:kern w:val="0"/>
                      <w:sz w:val="21"/>
                      <w:szCs w:val="21"/>
                    </w:rPr>
                  </w:pPr>
                  <w:r>
                    <w:rPr>
                      <w:bCs/>
                      <w:kern w:val="0"/>
                      <w:sz w:val="21"/>
                      <w:szCs w:val="21"/>
                    </w:rPr>
                    <w:t>项目类别</w:t>
                  </w:r>
                </w:p>
              </w:tc>
            </w:tr>
            <w:tr w14:paraId="27CDC63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1163" w:type="pct"/>
                  <w:vMerge w:val="continue"/>
                  <w:tcBorders>
                    <w:left w:val="single" w:color="auto" w:sz="4" w:space="0"/>
                  </w:tcBorders>
                  <w:noWrap w:val="0"/>
                  <w:vAlign w:val="center"/>
                </w:tcPr>
                <w:p w14:paraId="3BEFBFAE">
                  <w:pPr>
                    <w:jc w:val="center"/>
                    <w:rPr>
                      <w:bCs/>
                      <w:sz w:val="21"/>
                      <w:szCs w:val="21"/>
                    </w:rPr>
                  </w:pPr>
                </w:p>
              </w:tc>
              <w:tc>
                <w:tcPr>
                  <w:tcW w:w="681" w:type="pct"/>
                  <w:noWrap w:val="0"/>
                  <w:vAlign w:val="center"/>
                </w:tcPr>
                <w:p w14:paraId="5C8A3D43">
                  <w:pPr>
                    <w:jc w:val="center"/>
                    <w:rPr>
                      <w:bCs/>
                      <w:sz w:val="21"/>
                      <w:szCs w:val="21"/>
                    </w:rPr>
                  </w:pPr>
                  <w:r>
                    <w:rPr>
                      <w:bCs/>
                      <w:sz w:val="21"/>
                      <w:szCs w:val="21"/>
                    </w:rPr>
                    <w:t>Ⅰ类</w:t>
                  </w:r>
                </w:p>
              </w:tc>
              <w:tc>
                <w:tcPr>
                  <w:tcW w:w="540" w:type="pct"/>
                  <w:noWrap w:val="0"/>
                  <w:vAlign w:val="center"/>
                </w:tcPr>
                <w:p w14:paraId="5BC3C911">
                  <w:pPr>
                    <w:jc w:val="center"/>
                    <w:rPr>
                      <w:bCs/>
                      <w:sz w:val="21"/>
                      <w:szCs w:val="21"/>
                    </w:rPr>
                  </w:pPr>
                  <w:r>
                    <w:rPr>
                      <w:bCs/>
                      <w:sz w:val="21"/>
                      <w:szCs w:val="21"/>
                    </w:rPr>
                    <w:t>Ⅱ类</w:t>
                  </w:r>
                </w:p>
              </w:tc>
              <w:tc>
                <w:tcPr>
                  <w:tcW w:w="1963" w:type="pct"/>
                  <w:noWrap w:val="0"/>
                  <w:vAlign w:val="center"/>
                </w:tcPr>
                <w:p w14:paraId="26ACDBDD">
                  <w:pPr>
                    <w:jc w:val="center"/>
                    <w:rPr>
                      <w:bCs/>
                      <w:sz w:val="21"/>
                      <w:szCs w:val="21"/>
                    </w:rPr>
                  </w:pPr>
                  <w:r>
                    <w:rPr>
                      <w:bCs/>
                      <w:sz w:val="21"/>
                      <w:szCs w:val="21"/>
                    </w:rPr>
                    <w:t>Ⅲ类</w:t>
                  </w:r>
                </w:p>
              </w:tc>
              <w:tc>
                <w:tcPr>
                  <w:tcW w:w="652" w:type="pct"/>
                  <w:tcBorders>
                    <w:right w:val="single" w:color="auto" w:sz="4" w:space="0"/>
                  </w:tcBorders>
                  <w:noWrap w:val="0"/>
                  <w:vAlign w:val="center"/>
                </w:tcPr>
                <w:p w14:paraId="5C13FF91">
                  <w:pPr>
                    <w:jc w:val="center"/>
                    <w:rPr>
                      <w:bCs/>
                      <w:sz w:val="21"/>
                      <w:szCs w:val="21"/>
                    </w:rPr>
                  </w:pPr>
                  <w:r>
                    <w:rPr>
                      <w:bCs/>
                      <w:sz w:val="21"/>
                      <w:szCs w:val="21"/>
                    </w:rPr>
                    <w:t>Ⅳ类</w:t>
                  </w:r>
                </w:p>
              </w:tc>
            </w:tr>
            <w:tr w14:paraId="1AE87D9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1163" w:type="pct"/>
                  <w:tcBorders>
                    <w:left w:val="single" w:color="auto" w:sz="4" w:space="0"/>
                    <w:bottom w:val="single" w:color="auto" w:sz="4" w:space="0"/>
                  </w:tcBorders>
                  <w:noWrap w:val="0"/>
                  <w:vAlign w:val="center"/>
                </w:tcPr>
                <w:p w14:paraId="49F8D5A6">
                  <w:pPr>
                    <w:jc w:val="center"/>
                    <w:rPr>
                      <w:bCs/>
                      <w:sz w:val="21"/>
                      <w:szCs w:val="21"/>
                    </w:rPr>
                  </w:pPr>
                  <w:r>
                    <w:rPr>
                      <w:bCs/>
                      <w:sz w:val="21"/>
                      <w:szCs w:val="21"/>
                    </w:rPr>
                    <w:t>社会事业与服务业</w:t>
                  </w:r>
                </w:p>
              </w:tc>
              <w:tc>
                <w:tcPr>
                  <w:tcW w:w="681" w:type="pct"/>
                  <w:tcBorders>
                    <w:bottom w:val="single" w:color="auto" w:sz="4" w:space="0"/>
                  </w:tcBorders>
                  <w:noWrap w:val="0"/>
                  <w:vAlign w:val="center"/>
                </w:tcPr>
                <w:p w14:paraId="20219A53">
                  <w:pPr>
                    <w:jc w:val="center"/>
                    <w:rPr>
                      <w:bCs/>
                      <w:sz w:val="21"/>
                      <w:szCs w:val="21"/>
                    </w:rPr>
                  </w:pPr>
                  <w:r>
                    <w:rPr>
                      <w:bCs/>
                      <w:sz w:val="21"/>
                      <w:szCs w:val="21"/>
                    </w:rPr>
                    <w:t>/</w:t>
                  </w:r>
                </w:p>
              </w:tc>
              <w:tc>
                <w:tcPr>
                  <w:tcW w:w="540" w:type="pct"/>
                  <w:tcBorders>
                    <w:bottom w:val="single" w:color="auto" w:sz="4" w:space="0"/>
                  </w:tcBorders>
                  <w:noWrap w:val="0"/>
                  <w:vAlign w:val="center"/>
                </w:tcPr>
                <w:p w14:paraId="774952BE">
                  <w:pPr>
                    <w:jc w:val="center"/>
                    <w:rPr>
                      <w:bCs/>
                      <w:sz w:val="21"/>
                      <w:szCs w:val="21"/>
                    </w:rPr>
                  </w:pPr>
                  <w:r>
                    <w:rPr>
                      <w:bCs/>
                      <w:sz w:val="21"/>
                      <w:szCs w:val="21"/>
                    </w:rPr>
                    <w:t>/</w:t>
                  </w:r>
                </w:p>
              </w:tc>
              <w:tc>
                <w:tcPr>
                  <w:tcW w:w="1963" w:type="pct"/>
                  <w:tcBorders>
                    <w:bottom w:val="single" w:color="auto" w:sz="4" w:space="0"/>
                  </w:tcBorders>
                  <w:noWrap w:val="0"/>
                  <w:vAlign w:val="center"/>
                </w:tcPr>
                <w:p w14:paraId="1BC2C624">
                  <w:pPr>
                    <w:jc w:val="center"/>
                    <w:rPr>
                      <w:bCs/>
                      <w:sz w:val="21"/>
                      <w:szCs w:val="21"/>
                    </w:rPr>
                  </w:pPr>
                  <w:r>
                    <w:rPr>
                      <w:bCs/>
                      <w:sz w:val="21"/>
                      <w:szCs w:val="21"/>
                    </w:rPr>
                    <w:t>高尔夫球场、加油站、赛车场</w:t>
                  </w:r>
                </w:p>
              </w:tc>
              <w:tc>
                <w:tcPr>
                  <w:tcW w:w="652" w:type="pct"/>
                  <w:tcBorders>
                    <w:bottom w:val="single" w:color="auto" w:sz="4" w:space="0"/>
                    <w:right w:val="single" w:color="auto" w:sz="4" w:space="0"/>
                  </w:tcBorders>
                  <w:noWrap w:val="0"/>
                  <w:vAlign w:val="center"/>
                </w:tcPr>
                <w:p w14:paraId="6DEB0ED2">
                  <w:pPr>
                    <w:jc w:val="center"/>
                    <w:rPr>
                      <w:bCs/>
                      <w:sz w:val="21"/>
                      <w:szCs w:val="21"/>
                    </w:rPr>
                  </w:pPr>
                  <w:r>
                    <w:rPr>
                      <w:bCs/>
                      <w:sz w:val="21"/>
                      <w:szCs w:val="21"/>
                    </w:rPr>
                    <w:t>其他</w:t>
                  </w:r>
                </w:p>
              </w:tc>
            </w:tr>
          </w:tbl>
          <w:p w14:paraId="6FD0545F">
            <w:pPr>
              <w:pStyle w:val="6"/>
              <w:numPr>
                <w:ilvl w:val="0"/>
                <w:numId w:val="0"/>
              </w:numPr>
              <w:tabs>
                <w:tab w:val="left" w:pos="0"/>
              </w:tabs>
              <w:ind w:left="0" w:leftChars="0" w:firstLine="0" w:firstLineChars="0"/>
            </w:pPr>
            <w:r>
              <w:rPr>
                <w:rFonts w:hint="eastAsia" w:ascii="Times New Roman" w:hAnsi="Times New Roman" w:eastAsia="宋体" w:cs="宋体"/>
                <w:b/>
                <w:bCs/>
                <w:kern w:val="2"/>
                <w:sz w:val="28"/>
                <w:szCs w:val="32"/>
                <w:lang w:val="en-US" w:eastAsia="zh-CN" w:bidi="ar-SA"/>
              </w:rPr>
              <w:t>3.2.5</w:t>
            </w:r>
            <w:r>
              <w:rPr>
                <w:rFonts w:hint="eastAsia"/>
                <w:lang w:val="en-US" w:eastAsia="zh-CN"/>
              </w:rPr>
              <w:t>地下水</w:t>
            </w:r>
            <w:r>
              <w:t>环境</w:t>
            </w:r>
          </w:p>
          <w:p w14:paraId="211E8E37">
            <w:pPr>
              <w:widowControl/>
              <w:spacing w:line="360" w:lineRule="auto"/>
              <w:ind w:firstLine="480" w:firstLineChars="200"/>
              <w:jc w:val="left"/>
              <w:rPr>
                <w:kern w:val="0"/>
                <w:lang w:bidi="ar"/>
              </w:rPr>
            </w:pPr>
            <w:r>
              <w:rPr>
                <w:kern w:val="0"/>
                <w:lang w:bidi="ar"/>
              </w:rPr>
              <w:t>根据《环境影响评价技术导则</w:t>
            </w:r>
            <w:r>
              <w:rPr>
                <w:rFonts w:hint="eastAsia"/>
                <w:kern w:val="0"/>
                <w:lang w:bidi="ar"/>
              </w:rPr>
              <w:t>-</w:t>
            </w:r>
            <w:r>
              <w:rPr>
                <w:kern w:val="0"/>
                <w:lang w:bidi="ar"/>
              </w:rPr>
              <w:t>地下水环境》（HJ610-2016）附录A，建设项目所属的地下水环境影响评价项目类别为：Ⅳ类</w:t>
            </w:r>
            <w:r>
              <w:rPr>
                <w:rFonts w:hint="eastAsia"/>
                <w:kern w:val="0"/>
                <w:lang w:bidi="ar"/>
              </w:rPr>
              <w:t>，详</w:t>
            </w:r>
            <w:r>
              <w:rPr>
                <w:kern w:val="0"/>
                <w:lang w:bidi="ar"/>
              </w:rPr>
              <w:t>见表3.</w:t>
            </w:r>
            <w:r>
              <w:rPr>
                <w:rFonts w:hint="eastAsia"/>
                <w:kern w:val="0"/>
                <w:lang w:val="en-US" w:eastAsia="zh-CN" w:bidi="ar"/>
              </w:rPr>
              <w:t>2</w:t>
            </w:r>
            <w:r>
              <w:rPr>
                <w:kern w:val="0"/>
                <w:lang w:bidi="ar"/>
              </w:rPr>
              <w:t>-</w:t>
            </w:r>
            <w:r>
              <w:rPr>
                <w:rFonts w:hint="eastAsia"/>
                <w:kern w:val="0"/>
                <w:lang w:val="en-US" w:eastAsia="zh-CN" w:bidi="ar"/>
              </w:rPr>
              <w:t>5</w:t>
            </w:r>
            <w:r>
              <w:rPr>
                <w:rFonts w:hint="eastAsia"/>
                <w:kern w:val="0"/>
                <w:lang w:bidi="ar"/>
              </w:rPr>
              <w:t>；</w:t>
            </w:r>
            <w:r>
              <w:rPr>
                <w:rFonts w:hint="eastAsia"/>
              </w:rPr>
              <w:t>宠物</w:t>
            </w:r>
            <w:r>
              <w:t>医院所在区域地下水环境不敏感；本项目污水水质简单，项目废水处理后由市政</w:t>
            </w:r>
            <w:r>
              <w:rPr>
                <w:rFonts w:hint="eastAsia"/>
              </w:rPr>
              <w:t>污水</w:t>
            </w:r>
            <w:r>
              <w:t>管网</w:t>
            </w:r>
            <w:r>
              <w:rPr>
                <w:rFonts w:hint="eastAsia"/>
              </w:rPr>
              <w:t>纳入连坂</w:t>
            </w:r>
            <w:r>
              <w:t>污水处理厂处理。根据导则判定，本项目可不开展地下水环境影响评价。</w:t>
            </w:r>
          </w:p>
          <w:p w14:paraId="345335B1">
            <w:pPr>
              <w:jc w:val="center"/>
              <w:rPr>
                <w:b/>
                <w:kern w:val="0"/>
              </w:rPr>
            </w:pPr>
            <w:r>
              <w:rPr>
                <w:rFonts w:ascii="Times New Roman" w:hAnsi="Times New Roman" w:eastAsia="宋体" w:cs="Times New Roman"/>
                <w:b/>
                <w:kern w:val="2"/>
                <w:sz w:val="24"/>
                <w:szCs w:val="22"/>
                <w:lang w:val="en-US" w:eastAsia="zh-CN" w:bidi="ar-SA"/>
              </w:rPr>
              <w:t>表3.</w:t>
            </w:r>
            <w:r>
              <w:rPr>
                <w:rFonts w:hint="eastAsia" w:ascii="Times New Roman" w:hAnsi="Times New Roman" w:eastAsia="宋体" w:cs="Times New Roman"/>
                <w:b/>
                <w:kern w:val="2"/>
                <w:sz w:val="24"/>
                <w:szCs w:val="22"/>
                <w:lang w:val="en-US" w:eastAsia="zh-CN" w:bidi="ar-SA"/>
              </w:rPr>
              <w:t>2</w:t>
            </w:r>
            <w:r>
              <w:rPr>
                <w:rFonts w:ascii="Times New Roman" w:hAnsi="Times New Roman" w:eastAsia="宋体" w:cs="Times New Roman"/>
                <w:b/>
                <w:kern w:val="2"/>
                <w:sz w:val="24"/>
                <w:szCs w:val="22"/>
                <w:lang w:val="en-US" w:eastAsia="zh-CN" w:bidi="ar-SA"/>
              </w:rPr>
              <w:t>-</w:t>
            </w:r>
            <w:r>
              <w:rPr>
                <w:rFonts w:hint="eastAsia" w:ascii="Times New Roman" w:hAnsi="Times New Roman" w:eastAsia="宋体" w:cs="Times New Roman"/>
                <w:b/>
                <w:kern w:val="2"/>
                <w:sz w:val="24"/>
                <w:szCs w:val="22"/>
                <w:lang w:val="en-US" w:eastAsia="zh-CN" w:bidi="ar-SA"/>
              </w:rPr>
              <w:t>5</w:t>
            </w:r>
            <w:r>
              <w:rPr>
                <w:rFonts w:ascii="Times New Roman" w:hAnsi="Times New Roman" w:eastAsia="宋体" w:cs="Times New Roman"/>
                <w:b/>
                <w:kern w:val="2"/>
                <w:sz w:val="24"/>
                <w:szCs w:val="22"/>
                <w:lang w:val="en-US" w:eastAsia="zh-CN" w:bidi="ar-SA"/>
              </w:rPr>
              <w:t xml:space="preserve">  </w:t>
            </w:r>
            <w:r>
              <w:rPr>
                <w:b/>
                <w:kern w:val="0"/>
              </w:rPr>
              <w:t>地下水环境影响评价行业分类表</w:t>
            </w:r>
          </w:p>
          <w:tbl>
            <w:tblPr>
              <w:tblStyle w:val="25"/>
              <w:tblW w:w="4998" w:type="pct"/>
              <w:tblInd w:w="-1"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2235"/>
              <w:gridCol w:w="1776"/>
              <w:gridCol w:w="1479"/>
              <w:gridCol w:w="2062"/>
              <w:gridCol w:w="1564"/>
            </w:tblGrid>
            <w:tr w14:paraId="5F83EC2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1226" w:type="pct"/>
                  <w:vMerge w:val="restart"/>
                  <w:tcBorders>
                    <w:top w:val="single" w:color="auto" w:sz="4" w:space="0"/>
                    <w:left w:val="single" w:color="auto" w:sz="0" w:space="0"/>
                    <w:tl2br w:val="single" w:color="auto" w:sz="4" w:space="0"/>
                  </w:tcBorders>
                  <w:noWrap w:val="0"/>
                  <w:vAlign w:val="center"/>
                </w:tcPr>
                <w:p w14:paraId="4255C9EC">
                  <w:pPr>
                    <w:jc w:val="center"/>
                    <w:rPr>
                      <w:bCs/>
                      <w:kern w:val="0"/>
                      <w:sz w:val="21"/>
                      <w:szCs w:val="21"/>
                    </w:rPr>
                  </w:pPr>
                  <w:r>
                    <w:rPr>
                      <w:bCs/>
                      <w:kern w:val="0"/>
                      <w:sz w:val="21"/>
                      <w:szCs w:val="21"/>
                    </w:rPr>
                    <w:t xml:space="preserve">       环评类别</w:t>
                  </w:r>
                </w:p>
                <w:p w14:paraId="07932B1A">
                  <w:pPr>
                    <w:rPr>
                      <w:bCs/>
                      <w:kern w:val="0"/>
                      <w:sz w:val="21"/>
                      <w:szCs w:val="21"/>
                    </w:rPr>
                  </w:pPr>
                  <w:r>
                    <w:rPr>
                      <w:bCs/>
                      <w:kern w:val="0"/>
                      <w:sz w:val="21"/>
                      <w:szCs w:val="21"/>
                    </w:rPr>
                    <w:t>行业类别</w:t>
                  </w:r>
                </w:p>
              </w:tc>
              <w:tc>
                <w:tcPr>
                  <w:tcW w:w="974" w:type="pct"/>
                  <w:vMerge w:val="restart"/>
                  <w:tcBorders>
                    <w:top w:val="single" w:color="auto" w:sz="4" w:space="0"/>
                  </w:tcBorders>
                  <w:noWrap w:val="0"/>
                  <w:vAlign w:val="center"/>
                </w:tcPr>
                <w:p w14:paraId="3BAF8722">
                  <w:pPr>
                    <w:jc w:val="center"/>
                    <w:rPr>
                      <w:bCs/>
                      <w:kern w:val="0"/>
                      <w:sz w:val="21"/>
                      <w:szCs w:val="21"/>
                    </w:rPr>
                  </w:pPr>
                  <w:r>
                    <w:rPr>
                      <w:bCs/>
                      <w:kern w:val="0"/>
                      <w:sz w:val="21"/>
                      <w:szCs w:val="21"/>
                    </w:rPr>
                    <w:t>报告书</w:t>
                  </w:r>
                </w:p>
              </w:tc>
              <w:tc>
                <w:tcPr>
                  <w:tcW w:w="811" w:type="pct"/>
                  <w:vMerge w:val="restart"/>
                  <w:tcBorders>
                    <w:top w:val="single" w:color="auto" w:sz="4" w:space="0"/>
                  </w:tcBorders>
                  <w:noWrap w:val="0"/>
                  <w:vAlign w:val="center"/>
                </w:tcPr>
                <w:p w14:paraId="0E874BD1">
                  <w:pPr>
                    <w:jc w:val="center"/>
                    <w:rPr>
                      <w:bCs/>
                      <w:kern w:val="0"/>
                      <w:sz w:val="21"/>
                      <w:szCs w:val="21"/>
                    </w:rPr>
                  </w:pPr>
                  <w:r>
                    <w:rPr>
                      <w:bCs/>
                      <w:kern w:val="0"/>
                      <w:sz w:val="21"/>
                      <w:szCs w:val="21"/>
                    </w:rPr>
                    <w:t>报告表</w:t>
                  </w:r>
                </w:p>
              </w:tc>
              <w:tc>
                <w:tcPr>
                  <w:tcW w:w="1988" w:type="pct"/>
                  <w:gridSpan w:val="2"/>
                  <w:tcBorders>
                    <w:top w:val="single" w:color="auto" w:sz="4" w:space="0"/>
                    <w:right w:val="single" w:color="auto" w:sz="4" w:space="0"/>
                  </w:tcBorders>
                  <w:noWrap w:val="0"/>
                  <w:vAlign w:val="center"/>
                </w:tcPr>
                <w:p w14:paraId="1E6071C3">
                  <w:pPr>
                    <w:jc w:val="center"/>
                    <w:rPr>
                      <w:bCs/>
                      <w:kern w:val="0"/>
                      <w:sz w:val="21"/>
                      <w:szCs w:val="21"/>
                    </w:rPr>
                  </w:pPr>
                  <w:r>
                    <w:rPr>
                      <w:bCs/>
                      <w:kern w:val="0"/>
                      <w:sz w:val="21"/>
                      <w:szCs w:val="21"/>
                    </w:rPr>
                    <w:t>地下水环境影响评价项目类别</w:t>
                  </w:r>
                </w:p>
              </w:tc>
            </w:tr>
            <w:tr w14:paraId="3C5141F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1226" w:type="pct"/>
                  <w:vMerge w:val="continue"/>
                  <w:tcBorders>
                    <w:left w:val="single" w:color="auto" w:sz="4" w:space="0"/>
                  </w:tcBorders>
                  <w:noWrap w:val="0"/>
                  <w:vAlign w:val="center"/>
                </w:tcPr>
                <w:p w14:paraId="7488A9DB">
                  <w:pPr>
                    <w:jc w:val="center"/>
                    <w:rPr>
                      <w:bCs/>
                      <w:kern w:val="0"/>
                      <w:sz w:val="21"/>
                      <w:szCs w:val="21"/>
                    </w:rPr>
                  </w:pPr>
                </w:p>
              </w:tc>
              <w:tc>
                <w:tcPr>
                  <w:tcW w:w="974" w:type="pct"/>
                  <w:vMerge w:val="continue"/>
                  <w:noWrap w:val="0"/>
                  <w:vAlign w:val="center"/>
                </w:tcPr>
                <w:p w14:paraId="2932AD9C">
                  <w:pPr>
                    <w:jc w:val="center"/>
                    <w:rPr>
                      <w:bCs/>
                      <w:kern w:val="0"/>
                      <w:sz w:val="21"/>
                      <w:szCs w:val="21"/>
                    </w:rPr>
                  </w:pPr>
                </w:p>
              </w:tc>
              <w:tc>
                <w:tcPr>
                  <w:tcW w:w="811" w:type="pct"/>
                  <w:vMerge w:val="continue"/>
                  <w:noWrap w:val="0"/>
                  <w:vAlign w:val="center"/>
                </w:tcPr>
                <w:p w14:paraId="3CFB8F23">
                  <w:pPr>
                    <w:jc w:val="center"/>
                    <w:rPr>
                      <w:bCs/>
                      <w:kern w:val="0"/>
                      <w:sz w:val="21"/>
                      <w:szCs w:val="21"/>
                    </w:rPr>
                  </w:pPr>
                </w:p>
              </w:tc>
              <w:tc>
                <w:tcPr>
                  <w:tcW w:w="1131" w:type="pct"/>
                  <w:noWrap w:val="0"/>
                  <w:vAlign w:val="center"/>
                </w:tcPr>
                <w:p w14:paraId="35EBFB36">
                  <w:pPr>
                    <w:jc w:val="center"/>
                    <w:rPr>
                      <w:bCs/>
                      <w:kern w:val="0"/>
                      <w:sz w:val="21"/>
                      <w:szCs w:val="21"/>
                    </w:rPr>
                  </w:pPr>
                  <w:r>
                    <w:rPr>
                      <w:bCs/>
                      <w:kern w:val="0"/>
                      <w:sz w:val="21"/>
                      <w:szCs w:val="21"/>
                    </w:rPr>
                    <w:t>报告书</w:t>
                  </w:r>
                </w:p>
              </w:tc>
              <w:tc>
                <w:tcPr>
                  <w:tcW w:w="856" w:type="pct"/>
                  <w:tcBorders>
                    <w:right w:val="single" w:color="auto" w:sz="4" w:space="0"/>
                  </w:tcBorders>
                  <w:noWrap w:val="0"/>
                  <w:vAlign w:val="center"/>
                </w:tcPr>
                <w:p w14:paraId="3365B53B">
                  <w:pPr>
                    <w:jc w:val="center"/>
                    <w:rPr>
                      <w:bCs/>
                      <w:kern w:val="0"/>
                      <w:sz w:val="21"/>
                      <w:szCs w:val="21"/>
                    </w:rPr>
                  </w:pPr>
                  <w:r>
                    <w:rPr>
                      <w:bCs/>
                      <w:kern w:val="0"/>
                      <w:sz w:val="21"/>
                      <w:szCs w:val="21"/>
                    </w:rPr>
                    <w:t>报告表</w:t>
                  </w:r>
                </w:p>
              </w:tc>
            </w:tr>
            <w:tr w14:paraId="3208C72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5000" w:type="pct"/>
                  <w:gridSpan w:val="5"/>
                  <w:tcBorders>
                    <w:left w:val="single" w:color="auto" w:sz="4" w:space="0"/>
                    <w:right w:val="single" w:color="auto" w:sz="4" w:space="0"/>
                  </w:tcBorders>
                  <w:noWrap w:val="0"/>
                  <w:vAlign w:val="center"/>
                </w:tcPr>
                <w:p w14:paraId="610BC875">
                  <w:pPr>
                    <w:jc w:val="center"/>
                    <w:rPr>
                      <w:bCs/>
                      <w:kern w:val="0"/>
                      <w:sz w:val="21"/>
                      <w:szCs w:val="21"/>
                    </w:rPr>
                  </w:pPr>
                  <w:r>
                    <w:rPr>
                      <w:bCs/>
                      <w:kern w:val="0"/>
                      <w:sz w:val="21"/>
                      <w:szCs w:val="21"/>
                    </w:rPr>
                    <w:t>V 社会事业与服务业</w:t>
                  </w:r>
                </w:p>
              </w:tc>
            </w:tr>
            <w:tr w14:paraId="1CDFCC5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1226" w:type="pct"/>
                  <w:tcBorders>
                    <w:left w:val="single" w:color="auto" w:sz="4" w:space="0"/>
                    <w:bottom w:val="single" w:color="auto" w:sz="4" w:space="0"/>
                  </w:tcBorders>
                  <w:noWrap w:val="0"/>
                  <w:vAlign w:val="center"/>
                </w:tcPr>
                <w:p w14:paraId="01EDC487">
                  <w:pPr>
                    <w:jc w:val="center"/>
                    <w:rPr>
                      <w:bCs/>
                      <w:kern w:val="0"/>
                      <w:sz w:val="21"/>
                      <w:szCs w:val="21"/>
                    </w:rPr>
                  </w:pPr>
                  <w:r>
                    <w:rPr>
                      <w:bCs/>
                      <w:kern w:val="0"/>
                      <w:sz w:val="21"/>
                      <w:szCs w:val="21"/>
                    </w:rPr>
                    <w:t>165、动物医院</w:t>
                  </w:r>
                </w:p>
              </w:tc>
              <w:tc>
                <w:tcPr>
                  <w:tcW w:w="974" w:type="pct"/>
                  <w:tcBorders>
                    <w:bottom w:val="single" w:color="auto" w:sz="4" w:space="0"/>
                  </w:tcBorders>
                  <w:noWrap w:val="0"/>
                  <w:vAlign w:val="center"/>
                </w:tcPr>
                <w:p w14:paraId="067ED1AD">
                  <w:pPr>
                    <w:jc w:val="center"/>
                    <w:rPr>
                      <w:bCs/>
                      <w:kern w:val="0"/>
                      <w:sz w:val="21"/>
                      <w:szCs w:val="21"/>
                    </w:rPr>
                  </w:pPr>
                  <w:r>
                    <w:rPr>
                      <w:bCs/>
                      <w:kern w:val="0"/>
                      <w:sz w:val="21"/>
                      <w:szCs w:val="21"/>
                    </w:rPr>
                    <w:t>/</w:t>
                  </w:r>
                </w:p>
              </w:tc>
              <w:tc>
                <w:tcPr>
                  <w:tcW w:w="811" w:type="pct"/>
                  <w:tcBorders>
                    <w:bottom w:val="single" w:color="auto" w:sz="4" w:space="0"/>
                  </w:tcBorders>
                  <w:noWrap w:val="0"/>
                  <w:vAlign w:val="center"/>
                </w:tcPr>
                <w:p w14:paraId="71A78BED">
                  <w:pPr>
                    <w:jc w:val="center"/>
                    <w:rPr>
                      <w:bCs/>
                      <w:kern w:val="0"/>
                      <w:sz w:val="21"/>
                      <w:szCs w:val="21"/>
                    </w:rPr>
                  </w:pPr>
                  <w:r>
                    <w:rPr>
                      <w:bCs/>
                      <w:kern w:val="0"/>
                      <w:sz w:val="21"/>
                      <w:szCs w:val="21"/>
                    </w:rPr>
                    <w:t>全部</w:t>
                  </w:r>
                </w:p>
              </w:tc>
              <w:tc>
                <w:tcPr>
                  <w:tcW w:w="1131" w:type="pct"/>
                  <w:tcBorders>
                    <w:bottom w:val="single" w:color="auto" w:sz="4" w:space="0"/>
                  </w:tcBorders>
                  <w:noWrap w:val="0"/>
                  <w:vAlign w:val="center"/>
                </w:tcPr>
                <w:p w14:paraId="52444D5C">
                  <w:pPr>
                    <w:jc w:val="center"/>
                    <w:rPr>
                      <w:bCs/>
                      <w:kern w:val="0"/>
                      <w:sz w:val="21"/>
                      <w:szCs w:val="21"/>
                    </w:rPr>
                  </w:pPr>
                  <w:r>
                    <w:rPr>
                      <w:bCs/>
                      <w:kern w:val="0"/>
                      <w:sz w:val="21"/>
                      <w:szCs w:val="21"/>
                    </w:rPr>
                    <w:t>/</w:t>
                  </w:r>
                </w:p>
              </w:tc>
              <w:tc>
                <w:tcPr>
                  <w:tcW w:w="856" w:type="pct"/>
                  <w:tcBorders>
                    <w:bottom w:val="single" w:color="auto" w:sz="4" w:space="0"/>
                    <w:right w:val="single" w:color="auto" w:sz="4" w:space="0"/>
                  </w:tcBorders>
                  <w:noWrap w:val="0"/>
                  <w:vAlign w:val="center"/>
                </w:tcPr>
                <w:p w14:paraId="435180DA">
                  <w:pPr>
                    <w:jc w:val="center"/>
                    <w:rPr>
                      <w:bCs/>
                      <w:kern w:val="0"/>
                      <w:sz w:val="21"/>
                      <w:szCs w:val="21"/>
                    </w:rPr>
                  </w:pPr>
                  <w:r>
                    <w:rPr>
                      <w:bCs/>
                      <w:kern w:val="0"/>
                      <w:sz w:val="21"/>
                      <w:szCs w:val="21"/>
                    </w:rPr>
                    <w:t>Ⅳ类</w:t>
                  </w:r>
                </w:p>
              </w:tc>
            </w:tr>
          </w:tbl>
          <w:p w14:paraId="6F37F4E1">
            <w:pPr>
              <w:adjustRightInd w:val="0"/>
              <w:spacing w:line="360" w:lineRule="auto"/>
              <w:ind w:firstLine="480" w:firstLineChars="200"/>
            </w:pPr>
          </w:p>
        </w:tc>
      </w:tr>
      <w:tr w14:paraId="3FDEFC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00" w:type="dxa"/>
            <w:noWrap w:val="0"/>
            <w:vAlign w:val="center"/>
          </w:tcPr>
          <w:p w14:paraId="15BBAE47">
            <w:pPr>
              <w:adjustRightInd w:val="0"/>
              <w:snapToGrid w:val="0"/>
              <w:jc w:val="center"/>
              <w:rPr>
                <w:kern w:val="0"/>
                <w:szCs w:val="21"/>
              </w:rPr>
            </w:pPr>
            <w:r>
              <w:rPr>
                <w:kern w:val="0"/>
                <w:szCs w:val="21"/>
              </w:rPr>
              <w:t>环境</w:t>
            </w:r>
          </w:p>
          <w:p w14:paraId="27524082">
            <w:pPr>
              <w:adjustRightInd w:val="0"/>
              <w:snapToGrid w:val="0"/>
              <w:jc w:val="center"/>
              <w:rPr>
                <w:kern w:val="0"/>
                <w:szCs w:val="21"/>
              </w:rPr>
            </w:pPr>
            <w:r>
              <w:rPr>
                <w:kern w:val="0"/>
                <w:szCs w:val="21"/>
              </w:rPr>
              <w:t>保护</w:t>
            </w:r>
          </w:p>
          <w:p w14:paraId="089C7518">
            <w:pPr>
              <w:adjustRightInd w:val="0"/>
              <w:snapToGrid w:val="0"/>
              <w:jc w:val="center"/>
              <w:rPr>
                <w:kern w:val="0"/>
                <w:szCs w:val="21"/>
              </w:rPr>
            </w:pPr>
            <w:r>
              <w:rPr>
                <w:kern w:val="0"/>
                <w:szCs w:val="21"/>
              </w:rPr>
              <w:t>目标</w:t>
            </w:r>
          </w:p>
        </w:tc>
        <w:tc>
          <w:tcPr>
            <w:tcW w:w="8190" w:type="dxa"/>
            <w:noWrap w:val="0"/>
            <w:vAlign w:val="center"/>
          </w:tcPr>
          <w:p w14:paraId="4AF3BA9D">
            <w:pPr>
              <w:adjustRightInd w:val="0"/>
              <w:spacing w:line="360" w:lineRule="auto"/>
              <w:ind w:firstLine="480" w:firstLineChars="200"/>
              <w:rPr>
                <w:szCs w:val="22"/>
              </w:rPr>
            </w:pPr>
            <w:r>
              <w:rPr>
                <w:szCs w:val="22"/>
              </w:rPr>
              <w:t>根据评价范围内环境敏感情况及可能产生的环境问题，</w:t>
            </w:r>
            <w:r>
              <w:t>项目主要环境保护目标见表</w:t>
            </w:r>
            <w:r>
              <w:rPr>
                <w:rFonts w:hint="eastAsia"/>
              </w:rPr>
              <w:t>3.2-</w:t>
            </w:r>
            <w:r>
              <w:rPr>
                <w:rFonts w:hint="eastAsia"/>
                <w:lang w:val="en-US" w:eastAsia="zh-CN"/>
              </w:rPr>
              <w:t>6</w:t>
            </w:r>
            <w:r>
              <w:t>，项目与周边环境敏感目标关系</w:t>
            </w:r>
            <w:r>
              <w:rPr>
                <w:rFonts w:hint="eastAsia"/>
              </w:rPr>
              <w:t>详</w:t>
            </w:r>
            <w:r>
              <w:rPr>
                <w:szCs w:val="22"/>
              </w:rPr>
              <w:t>见</w:t>
            </w:r>
            <w:r>
              <w:rPr>
                <w:rFonts w:hint="eastAsia"/>
                <w:szCs w:val="22"/>
              </w:rPr>
              <w:t>附图2</w:t>
            </w:r>
            <w:r>
              <w:rPr>
                <w:szCs w:val="22"/>
              </w:rPr>
              <w:t>。</w:t>
            </w:r>
            <w:r>
              <w:rPr>
                <w:rFonts w:hint="eastAsia"/>
                <w:szCs w:val="22"/>
              </w:rPr>
              <w:t>水系图详见附图3。</w:t>
            </w:r>
          </w:p>
          <w:p w14:paraId="7AA1B72D">
            <w:pPr>
              <w:pStyle w:val="63"/>
              <w:numPr>
                <w:ilvl w:val="0"/>
                <w:numId w:val="0"/>
              </w:numPr>
              <w:ind w:left="0" w:leftChars="0" w:firstLine="0" w:firstLineChars="0"/>
              <w:rPr>
                <w:szCs w:val="22"/>
              </w:rPr>
            </w:pPr>
            <w:r>
              <w:rPr>
                <w:rFonts w:hint="eastAsia" w:ascii="Times New Roman" w:hAnsi="Times New Roman" w:eastAsia="宋体" w:cs="宋体"/>
                <w:b/>
                <w:kern w:val="2"/>
                <w:sz w:val="24"/>
                <w:szCs w:val="22"/>
                <w:lang w:val="en-US" w:eastAsia="zh-CN" w:bidi="ar-SA"/>
              </w:rPr>
              <w:t>表3.2-</w:t>
            </w:r>
            <w:r>
              <w:rPr>
                <w:rFonts w:hint="eastAsia" w:cs="宋体"/>
                <w:b/>
                <w:kern w:val="2"/>
                <w:sz w:val="24"/>
                <w:szCs w:val="22"/>
                <w:lang w:val="en-US" w:eastAsia="zh-CN" w:bidi="ar-SA"/>
              </w:rPr>
              <w:t>6</w:t>
            </w:r>
            <w:r>
              <w:rPr>
                <w:szCs w:val="22"/>
              </w:rPr>
              <w:t>项目主要环境保护目标一览表</w:t>
            </w:r>
          </w:p>
          <w:tbl>
            <w:tblPr>
              <w:tblStyle w:val="2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85" w:type="dxa"/>
                <w:bottom w:w="0" w:type="dxa"/>
                <w:right w:w="85" w:type="dxa"/>
              </w:tblCellMar>
            </w:tblPr>
            <w:tblGrid>
              <w:gridCol w:w="932"/>
              <w:gridCol w:w="2227"/>
              <w:gridCol w:w="715"/>
              <w:gridCol w:w="1158"/>
              <w:gridCol w:w="1410"/>
              <w:gridCol w:w="2678"/>
            </w:tblGrid>
            <w:tr w14:paraId="5F15B4F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85" w:type="dxa"/>
                  <w:bottom w:w="0" w:type="dxa"/>
                  <w:right w:w="85" w:type="dxa"/>
                </w:tblCellMar>
              </w:tblPrEx>
              <w:trPr>
                <w:trHeight w:val="340" w:hRule="atLeast"/>
                <w:jc w:val="center"/>
              </w:trPr>
              <w:tc>
                <w:tcPr>
                  <w:tcW w:w="511" w:type="pct"/>
                  <w:vMerge w:val="restart"/>
                  <w:noWrap w:val="0"/>
                  <w:vAlign w:val="center"/>
                </w:tcPr>
                <w:p w14:paraId="5DB3EC6C">
                  <w:pPr>
                    <w:jc w:val="center"/>
                    <w:rPr>
                      <w:sz w:val="21"/>
                    </w:rPr>
                  </w:pPr>
                  <w:r>
                    <w:rPr>
                      <w:sz w:val="21"/>
                    </w:rPr>
                    <w:t>环境</w:t>
                  </w:r>
                </w:p>
                <w:p w14:paraId="36B0DE70">
                  <w:pPr>
                    <w:jc w:val="center"/>
                    <w:rPr>
                      <w:sz w:val="21"/>
                    </w:rPr>
                  </w:pPr>
                  <w:r>
                    <w:rPr>
                      <w:sz w:val="21"/>
                    </w:rPr>
                    <w:t>要素</w:t>
                  </w:r>
                </w:p>
              </w:tc>
              <w:tc>
                <w:tcPr>
                  <w:tcW w:w="1221" w:type="pct"/>
                  <w:vMerge w:val="restart"/>
                  <w:noWrap w:val="0"/>
                  <w:vAlign w:val="center"/>
                </w:tcPr>
                <w:p w14:paraId="54272113">
                  <w:pPr>
                    <w:jc w:val="center"/>
                    <w:rPr>
                      <w:sz w:val="21"/>
                    </w:rPr>
                  </w:pPr>
                  <w:r>
                    <w:rPr>
                      <w:sz w:val="21"/>
                    </w:rPr>
                    <w:t>敏感目标</w:t>
                  </w:r>
                </w:p>
              </w:tc>
              <w:tc>
                <w:tcPr>
                  <w:tcW w:w="1800" w:type="pct"/>
                  <w:gridSpan w:val="3"/>
                  <w:noWrap w:val="0"/>
                  <w:vAlign w:val="center"/>
                </w:tcPr>
                <w:p w14:paraId="79607AE9">
                  <w:pPr>
                    <w:jc w:val="center"/>
                    <w:rPr>
                      <w:sz w:val="21"/>
                    </w:rPr>
                  </w:pPr>
                  <w:r>
                    <w:rPr>
                      <w:sz w:val="21"/>
                    </w:rPr>
                    <w:t>基本情况</w:t>
                  </w:r>
                </w:p>
              </w:tc>
              <w:tc>
                <w:tcPr>
                  <w:tcW w:w="1467" w:type="pct"/>
                  <w:vMerge w:val="restart"/>
                  <w:noWrap w:val="0"/>
                  <w:vAlign w:val="center"/>
                </w:tcPr>
                <w:p w14:paraId="4E5BB7FF">
                  <w:pPr>
                    <w:jc w:val="center"/>
                    <w:rPr>
                      <w:sz w:val="21"/>
                    </w:rPr>
                  </w:pPr>
                  <w:r>
                    <w:rPr>
                      <w:sz w:val="21"/>
                    </w:rPr>
                    <w:t>功能区划</w:t>
                  </w:r>
                </w:p>
              </w:tc>
            </w:tr>
            <w:tr w14:paraId="72CA7AC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85" w:type="dxa"/>
                  <w:bottom w:w="0" w:type="dxa"/>
                  <w:right w:w="85" w:type="dxa"/>
                </w:tblCellMar>
              </w:tblPrEx>
              <w:trPr>
                <w:trHeight w:val="340" w:hRule="atLeast"/>
                <w:jc w:val="center"/>
              </w:trPr>
              <w:tc>
                <w:tcPr>
                  <w:tcW w:w="511" w:type="pct"/>
                  <w:vMerge w:val="continue"/>
                  <w:noWrap w:val="0"/>
                  <w:vAlign w:val="center"/>
                </w:tcPr>
                <w:p w14:paraId="420BA627">
                  <w:pPr>
                    <w:jc w:val="center"/>
                    <w:rPr>
                      <w:sz w:val="21"/>
                    </w:rPr>
                  </w:pPr>
                </w:p>
              </w:tc>
              <w:tc>
                <w:tcPr>
                  <w:tcW w:w="1221" w:type="pct"/>
                  <w:vMerge w:val="continue"/>
                  <w:noWrap w:val="0"/>
                  <w:vAlign w:val="center"/>
                </w:tcPr>
                <w:p w14:paraId="2230D8AB">
                  <w:pPr>
                    <w:jc w:val="center"/>
                    <w:rPr>
                      <w:sz w:val="21"/>
                    </w:rPr>
                  </w:pPr>
                </w:p>
              </w:tc>
              <w:tc>
                <w:tcPr>
                  <w:tcW w:w="392" w:type="pct"/>
                  <w:noWrap w:val="0"/>
                  <w:vAlign w:val="center"/>
                </w:tcPr>
                <w:p w14:paraId="5AB25842">
                  <w:pPr>
                    <w:jc w:val="center"/>
                    <w:rPr>
                      <w:sz w:val="21"/>
                    </w:rPr>
                  </w:pPr>
                  <w:r>
                    <w:rPr>
                      <w:sz w:val="21"/>
                    </w:rPr>
                    <w:t>方位</w:t>
                  </w:r>
                </w:p>
              </w:tc>
              <w:tc>
                <w:tcPr>
                  <w:tcW w:w="635" w:type="pct"/>
                  <w:noWrap w:val="0"/>
                  <w:vAlign w:val="center"/>
                </w:tcPr>
                <w:p w14:paraId="6E6064FE">
                  <w:pPr>
                    <w:jc w:val="center"/>
                    <w:rPr>
                      <w:sz w:val="21"/>
                    </w:rPr>
                  </w:pPr>
                  <w:r>
                    <w:rPr>
                      <w:sz w:val="21"/>
                    </w:rPr>
                    <w:t>距离（m）</w:t>
                  </w:r>
                </w:p>
              </w:tc>
              <w:tc>
                <w:tcPr>
                  <w:tcW w:w="772" w:type="pct"/>
                  <w:noWrap w:val="0"/>
                  <w:vAlign w:val="center"/>
                </w:tcPr>
                <w:p w14:paraId="0CD29BFC">
                  <w:pPr>
                    <w:jc w:val="center"/>
                    <w:rPr>
                      <w:rFonts w:hint="eastAsia"/>
                      <w:sz w:val="21"/>
                    </w:rPr>
                  </w:pPr>
                  <w:r>
                    <w:rPr>
                      <w:rFonts w:hint="eastAsia"/>
                      <w:sz w:val="21"/>
                    </w:rPr>
                    <w:t>特性</w:t>
                  </w:r>
                </w:p>
              </w:tc>
              <w:tc>
                <w:tcPr>
                  <w:tcW w:w="1467" w:type="pct"/>
                  <w:vMerge w:val="continue"/>
                  <w:noWrap w:val="0"/>
                  <w:vAlign w:val="center"/>
                </w:tcPr>
                <w:p w14:paraId="5984EC36">
                  <w:pPr>
                    <w:jc w:val="center"/>
                    <w:rPr>
                      <w:sz w:val="21"/>
                    </w:rPr>
                  </w:pPr>
                </w:p>
              </w:tc>
            </w:tr>
            <w:tr w14:paraId="790EF6E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85" w:type="dxa"/>
                  <w:bottom w:w="0" w:type="dxa"/>
                  <w:right w:w="85" w:type="dxa"/>
                </w:tblCellMar>
              </w:tblPrEx>
              <w:trPr>
                <w:trHeight w:val="494" w:hRule="atLeast"/>
                <w:jc w:val="center"/>
              </w:trPr>
              <w:tc>
                <w:tcPr>
                  <w:tcW w:w="511" w:type="pct"/>
                  <w:vMerge w:val="restart"/>
                  <w:noWrap w:val="0"/>
                  <w:vAlign w:val="center"/>
                </w:tcPr>
                <w:p w14:paraId="21EF3E76">
                  <w:pPr>
                    <w:jc w:val="center"/>
                    <w:rPr>
                      <w:sz w:val="21"/>
                    </w:rPr>
                  </w:pPr>
                  <w:r>
                    <w:rPr>
                      <w:sz w:val="21"/>
                    </w:rPr>
                    <w:t>水环境</w:t>
                  </w:r>
                </w:p>
              </w:tc>
              <w:tc>
                <w:tcPr>
                  <w:tcW w:w="1221" w:type="pct"/>
                  <w:tcBorders>
                    <w:right w:val="single" w:color="auto" w:sz="4" w:space="0"/>
                  </w:tcBorders>
                  <w:noWrap w:val="0"/>
                  <w:vAlign w:val="center"/>
                </w:tcPr>
                <w:p w14:paraId="7D967AAA">
                  <w:pPr>
                    <w:jc w:val="center"/>
                    <w:rPr>
                      <w:rFonts w:hint="eastAsia" w:eastAsia="宋体"/>
                      <w:sz w:val="21"/>
                      <w:lang w:eastAsia="zh-CN"/>
                    </w:rPr>
                  </w:pPr>
                  <w:r>
                    <w:rPr>
                      <w:rFonts w:hint="eastAsia"/>
                      <w:sz w:val="21"/>
                      <w:lang w:val="en-US" w:eastAsia="zh-CN"/>
                    </w:rPr>
                    <w:t>西湖</w:t>
                  </w:r>
                </w:p>
              </w:tc>
              <w:tc>
                <w:tcPr>
                  <w:tcW w:w="392" w:type="pct"/>
                  <w:tcBorders>
                    <w:left w:val="single" w:color="auto" w:sz="4" w:space="0"/>
                    <w:right w:val="single" w:color="auto" w:sz="4" w:space="0"/>
                  </w:tcBorders>
                  <w:noWrap w:val="0"/>
                  <w:vAlign w:val="center"/>
                </w:tcPr>
                <w:p w14:paraId="40E1747D">
                  <w:pPr>
                    <w:jc w:val="center"/>
                    <w:rPr>
                      <w:rFonts w:hint="eastAsia" w:eastAsia="宋体"/>
                      <w:sz w:val="21"/>
                      <w:lang w:eastAsia="zh-CN"/>
                    </w:rPr>
                  </w:pPr>
                  <w:r>
                    <w:rPr>
                      <w:rFonts w:hint="eastAsia"/>
                      <w:sz w:val="21"/>
                      <w:lang w:val="en-US" w:eastAsia="zh-CN"/>
                    </w:rPr>
                    <w:t>北</w:t>
                  </w:r>
                </w:p>
              </w:tc>
              <w:tc>
                <w:tcPr>
                  <w:tcW w:w="635" w:type="pct"/>
                  <w:tcBorders>
                    <w:left w:val="single" w:color="auto" w:sz="4" w:space="0"/>
                    <w:right w:val="single" w:color="auto" w:sz="4" w:space="0"/>
                  </w:tcBorders>
                  <w:noWrap w:val="0"/>
                  <w:vAlign w:val="center"/>
                </w:tcPr>
                <w:p w14:paraId="0C3A2137">
                  <w:pPr>
                    <w:jc w:val="center"/>
                    <w:rPr>
                      <w:rFonts w:hint="default" w:eastAsia="宋体"/>
                      <w:sz w:val="21"/>
                      <w:lang w:val="en-US" w:eastAsia="zh-CN"/>
                    </w:rPr>
                  </w:pPr>
                  <w:r>
                    <w:rPr>
                      <w:rFonts w:hint="eastAsia"/>
                      <w:sz w:val="21"/>
                      <w:lang w:val="en-US" w:eastAsia="zh-CN"/>
                    </w:rPr>
                    <w:t>500</w:t>
                  </w:r>
                </w:p>
              </w:tc>
              <w:tc>
                <w:tcPr>
                  <w:tcW w:w="772" w:type="pct"/>
                  <w:tcBorders>
                    <w:left w:val="single" w:color="auto" w:sz="4" w:space="0"/>
                    <w:right w:val="single" w:color="auto" w:sz="4" w:space="0"/>
                  </w:tcBorders>
                  <w:noWrap w:val="0"/>
                  <w:vAlign w:val="center"/>
                </w:tcPr>
                <w:p w14:paraId="4CAB7AC2">
                  <w:pPr>
                    <w:jc w:val="center"/>
                    <w:rPr>
                      <w:sz w:val="21"/>
                    </w:rPr>
                  </w:pPr>
                  <w:r>
                    <w:rPr>
                      <w:rFonts w:hint="eastAsia"/>
                      <w:sz w:val="21"/>
                    </w:rPr>
                    <w:t>风景名胜区</w:t>
                  </w:r>
                </w:p>
              </w:tc>
              <w:tc>
                <w:tcPr>
                  <w:tcW w:w="1467" w:type="pct"/>
                  <w:vMerge w:val="restart"/>
                  <w:tcBorders>
                    <w:left w:val="single" w:color="auto" w:sz="4" w:space="0"/>
                  </w:tcBorders>
                  <w:noWrap w:val="0"/>
                  <w:vAlign w:val="center"/>
                </w:tcPr>
                <w:p w14:paraId="0B582417">
                  <w:pPr>
                    <w:jc w:val="center"/>
                    <w:rPr>
                      <w:sz w:val="21"/>
                    </w:rPr>
                  </w:pPr>
                  <w:r>
                    <w:rPr>
                      <w:rFonts w:hint="eastAsia"/>
                      <w:sz w:val="21"/>
                      <w:szCs w:val="21"/>
                    </w:rPr>
                    <w:t>地表水环境质量标准（GB 3838-2002）（</w:t>
                  </w:r>
                  <w:r>
                    <w:rPr>
                      <w:sz w:val="21"/>
                      <w:szCs w:val="21"/>
                    </w:rPr>
                    <w:t>GB3097-1997</w:t>
                  </w:r>
                  <w:r>
                    <w:rPr>
                      <w:rFonts w:hint="eastAsia"/>
                      <w:sz w:val="21"/>
                      <w:szCs w:val="21"/>
                    </w:rPr>
                    <w:t>）V</w:t>
                  </w:r>
                  <w:r>
                    <w:rPr>
                      <w:sz w:val="21"/>
                      <w:szCs w:val="21"/>
                    </w:rPr>
                    <w:t>类标准</w:t>
                  </w:r>
                </w:p>
              </w:tc>
            </w:tr>
            <w:tr w14:paraId="6DDA9EE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85" w:type="dxa"/>
                  <w:bottom w:w="0" w:type="dxa"/>
                  <w:right w:w="85" w:type="dxa"/>
                </w:tblCellMar>
              </w:tblPrEx>
              <w:trPr>
                <w:trHeight w:val="494" w:hRule="atLeast"/>
                <w:jc w:val="center"/>
              </w:trPr>
              <w:tc>
                <w:tcPr>
                  <w:tcW w:w="511" w:type="pct"/>
                  <w:vMerge w:val="continue"/>
                  <w:noWrap w:val="0"/>
                  <w:vAlign w:val="center"/>
                </w:tcPr>
                <w:p w14:paraId="55A043BB">
                  <w:pPr>
                    <w:jc w:val="center"/>
                    <w:rPr>
                      <w:sz w:val="21"/>
                    </w:rPr>
                  </w:pPr>
                </w:p>
              </w:tc>
              <w:tc>
                <w:tcPr>
                  <w:tcW w:w="1221" w:type="pct"/>
                  <w:tcBorders>
                    <w:right w:val="single" w:color="auto" w:sz="4" w:space="0"/>
                  </w:tcBorders>
                  <w:noWrap w:val="0"/>
                  <w:vAlign w:val="center"/>
                </w:tcPr>
                <w:p w14:paraId="04A8A8A9">
                  <w:pPr>
                    <w:jc w:val="center"/>
                    <w:rPr>
                      <w:rFonts w:hint="default"/>
                      <w:sz w:val="21"/>
                      <w:lang w:val="en-US" w:eastAsia="zh-CN"/>
                    </w:rPr>
                  </w:pPr>
                  <w:r>
                    <w:rPr>
                      <w:rFonts w:hint="eastAsia"/>
                      <w:sz w:val="21"/>
                      <w:lang w:val="en-US" w:eastAsia="zh-CN"/>
                    </w:rPr>
                    <w:t>白马河</w:t>
                  </w:r>
                </w:p>
              </w:tc>
              <w:tc>
                <w:tcPr>
                  <w:tcW w:w="392" w:type="pct"/>
                  <w:tcBorders>
                    <w:left w:val="single" w:color="auto" w:sz="4" w:space="0"/>
                    <w:right w:val="single" w:color="auto" w:sz="4" w:space="0"/>
                  </w:tcBorders>
                  <w:noWrap w:val="0"/>
                  <w:vAlign w:val="center"/>
                </w:tcPr>
                <w:p w14:paraId="58CB1959">
                  <w:pPr>
                    <w:jc w:val="center"/>
                    <w:rPr>
                      <w:rFonts w:hint="eastAsia" w:eastAsia="宋体"/>
                      <w:sz w:val="21"/>
                      <w:lang w:val="en-US" w:eastAsia="zh-CN"/>
                    </w:rPr>
                  </w:pPr>
                  <w:r>
                    <w:rPr>
                      <w:rFonts w:hint="eastAsia"/>
                      <w:sz w:val="21"/>
                      <w:lang w:val="en-US" w:eastAsia="zh-CN"/>
                    </w:rPr>
                    <w:t>西</w:t>
                  </w:r>
                </w:p>
              </w:tc>
              <w:tc>
                <w:tcPr>
                  <w:tcW w:w="635" w:type="pct"/>
                  <w:tcBorders>
                    <w:left w:val="single" w:color="auto" w:sz="4" w:space="0"/>
                    <w:right w:val="single" w:color="auto" w:sz="4" w:space="0"/>
                  </w:tcBorders>
                  <w:noWrap w:val="0"/>
                  <w:vAlign w:val="center"/>
                </w:tcPr>
                <w:p w14:paraId="6377D1C6">
                  <w:pPr>
                    <w:jc w:val="center"/>
                    <w:rPr>
                      <w:rFonts w:hint="default" w:eastAsia="宋体"/>
                      <w:sz w:val="21"/>
                      <w:lang w:val="en-US" w:eastAsia="zh-CN"/>
                    </w:rPr>
                  </w:pPr>
                  <w:r>
                    <w:rPr>
                      <w:rFonts w:hint="eastAsia"/>
                      <w:sz w:val="21"/>
                      <w:lang w:val="en-US" w:eastAsia="zh-CN"/>
                    </w:rPr>
                    <w:t>200</w:t>
                  </w:r>
                </w:p>
              </w:tc>
              <w:tc>
                <w:tcPr>
                  <w:tcW w:w="772" w:type="pct"/>
                  <w:tcBorders>
                    <w:left w:val="single" w:color="auto" w:sz="4" w:space="0"/>
                    <w:right w:val="single" w:color="auto" w:sz="4" w:space="0"/>
                  </w:tcBorders>
                  <w:noWrap w:val="0"/>
                  <w:vAlign w:val="center"/>
                </w:tcPr>
                <w:p w14:paraId="45EE02AE">
                  <w:pPr>
                    <w:jc w:val="center"/>
                    <w:rPr>
                      <w:rFonts w:hint="eastAsia"/>
                      <w:sz w:val="21"/>
                    </w:rPr>
                  </w:pPr>
                  <w:r>
                    <w:rPr>
                      <w:rFonts w:hint="eastAsia"/>
                      <w:sz w:val="21"/>
                    </w:rPr>
                    <w:t>城市内河</w:t>
                  </w:r>
                </w:p>
              </w:tc>
              <w:tc>
                <w:tcPr>
                  <w:tcW w:w="1467" w:type="pct"/>
                  <w:vMerge w:val="continue"/>
                  <w:tcBorders>
                    <w:left w:val="single" w:color="auto" w:sz="4" w:space="0"/>
                  </w:tcBorders>
                  <w:noWrap w:val="0"/>
                  <w:vAlign w:val="center"/>
                </w:tcPr>
                <w:p w14:paraId="6D0C73BB">
                  <w:pPr>
                    <w:jc w:val="center"/>
                    <w:rPr>
                      <w:rFonts w:hint="eastAsia"/>
                      <w:sz w:val="21"/>
                      <w:szCs w:val="21"/>
                    </w:rPr>
                  </w:pPr>
                </w:p>
              </w:tc>
            </w:tr>
            <w:tr w14:paraId="200ACBA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85" w:type="dxa"/>
                  <w:bottom w:w="0" w:type="dxa"/>
                  <w:right w:w="85" w:type="dxa"/>
                </w:tblCellMar>
              </w:tblPrEx>
              <w:trPr>
                <w:trHeight w:val="346" w:hRule="atLeast"/>
                <w:jc w:val="center"/>
              </w:trPr>
              <w:tc>
                <w:tcPr>
                  <w:tcW w:w="511" w:type="pct"/>
                  <w:vMerge w:val="restart"/>
                  <w:noWrap w:val="0"/>
                  <w:vAlign w:val="center"/>
                </w:tcPr>
                <w:p w14:paraId="76445F69">
                  <w:pPr>
                    <w:jc w:val="center"/>
                    <w:rPr>
                      <w:sz w:val="21"/>
                    </w:rPr>
                  </w:pPr>
                  <w:r>
                    <w:rPr>
                      <w:sz w:val="21"/>
                    </w:rPr>
                    <w:t>大气</w:t>
                  </w:r>
                </w:p>
                <w:p w14:paraId="14F756D7">
                  <w:pPr>
                    <w:jc w:val="center"/>
                    <w:rPr>
                      <w:sz w:val="21"/>
                    </w:rPr>
                  </w:pPr>
                  <w:r>
                    <w:rPr>
                      <w:sz w:val="21"/>
                    </w:rPr>
                    <w:t>环境</w:t>
                  </w:r>
                </w:p>
              </w:tc>
              <w:tc>
                <w:tcPr>
                  <w:tcW w:w="1221" w:type="pct"/>
                  <w:tcBorders>
                    <w:bottom w:val="single" w:color="auto" w:sz="4" w:space="0"/>
                    <w:right w:val="single" w:color="auto" w:sz="4" w:space="0"/>
                  </w:tcBorders>
                  <w:noWrap w:val="0"/>
                  <w:vAlign w:val="center"/>
                </w:tcPr>
                <w:p w14:paraId="17C2027F">
                  <w:pPr>
                    <w:jc w:val="center"/>
                    <w:rPr>
                      <w:rFonts w:hint="default" w:ascii="Times New Roman" w:hAnsi="Times New Roman" w:eastAsia="宋体" w:cs="Times New Roman"/>
                      <w:sz w:val="21"/>
                      <w:lang w:val="en-US" w:eastAsia="zh-CN"/>
                    </w:rPr>
                  </w:pPr>
                  <w:r>
                    <w:rPr>
                      <w:rFonts w:hint="eastAsia" w:ascii="Times New Roman" w:hAnsi="Times New Roman" w:eastAsia="宋体" w:cs="Times New Roman"/>
                      <w:sz w:val="21"/>
                      <w:lang w:val="en-US" w:eastAsia="zh-CN"/>
                    </w:rPr>
                    <w:t>中福西湖花园</w:t>
                  </w:r>
                </w:p>
              </w:tc>
              <w:tc>
                <w:tcPr>
                  <w:tcW w:w="392" w:type="pct"/>
                  <w:tcBorders>
                    <w:left w:val="single" w:color="auto" w:sz="4" w:space="0"/>
                    <w:bottom w:val="single" w:color="auto" w:sz="4" w:space="0"/>
                    <w:right w:val="single" w:color="auto" w:sz="4" w:space="0"/>
                  </w:tcBorders>
                  <w:noWrap w:val="0"/>
                  <w:vAlign w:val="center"/>
                </w:tcPr>
                <w:p w14:paraId="48DB0729">
                  <w:pPr>
                    <w:jc w:val="center"/>
                    <w:rPr>
                      <w:rFonts w:hint="eastAsia"/>
                      <w:sz w:val="21"/>
                    </w:rPr>
                  </w:pPr>
                  <w:r>
                    <w:rPr>
                      <w:rFonts w:hint="eastAsia"/>
                      <w:sz w:val="21"/>
                    </w:rPr>
                    <w:t>北</w:t>
                  </w:r>
                </w:p>
              </w:tc>
              <w:tc>
                <w:tcPr>
                  <w:tcW w:w="635" w:type="pct"/>
                  <w:tcBorders>
                    <w:left w:val="single" w:color="auto" w:sz="4" w:space="0"/>
                    <w:bottom w:val="single" w:color="auto" w:sz="4" w:space="0"/>
                    <w:right w:val="single" w:color="auto" w:sz="4" w:space="0"/>
                  </w:tcBorders>
                  <w:noWrap w:val="0"/>
                  <w:vAlign w:val="center"/>
                </w:tcPr>
                <w:p w14:paraId="679FCA97">
                  <w:pPr>
                    <w:jc w:val="center"/>
                    <w:rPr>
                      <w:rFonts w:hint="default" w:eastAsia="宋体"/>
                      <w:sz w:val="21"/>
                      <w:lang w:val="en-US" w:eastAsia="zh-CN"/>
                    </w:rPr>
                  </w:pPr>
                  <w:r>
                    <w:rPr>
                      <w:rFonts w:hint="eastAsia"/>
                      <w:sz w:val="21"/>
                      <w:lang w:val="en-US" w:eastAsia="zh-CN"/>
                    </w:rPr>
                    <w:t>440</w:t>
                  </w:r>
                </w:p>
              </w:tc>
              <w:tc>
                <w:tcPr>
                  <w:tcW w:w="772" w:type="pct"/>
                  <w:tcBorders>
                    <w:left w:val="single" w:color="auto" w:sz="4" w:space="0"/>
                    <w:bottom w:val="single" w:color="auto" w:sz="4" w:space="0"/>
                    <w:right w:val="single" w:color="auto" w:sz="4" w:space="0"/>
                  </w:tcBorders>
                  <w:noWrap w:val="0"/>
                  <w:vAlign w:val="center"/>
                </w:tcPr>
                <w:p w14:paraId="461DBDC5">
                  <w:pPr>
                    <w:jc w:val="center"/>
                    <w:rPr>
                      <w:sz w:val="21"/>
                    </w:rPr>
                  </w:pPr>
                  <w:r>
                    <w:rPr>
                      <w:rFonts w:hint="eastAsia"/>
                      <w:sz w:val="21"/>
                    </w:rPr>
                    <w:t>居民区</w:t>
                  </w:r>
                </w:p>
              </w:tc>
              <w:tc>
                <w:tcPr>
                  <w:tcW w:w="1467" w:type="pct"/>
                  <w:vMerge w:val="restart"/>
                  <w:tcBorders>
                    <w:left w:val="single" w:color="auto" w:sz="4" w:space="0"/>
                  </w:tcBorders>
                  <w:noWrap w:val="0"/>
                  <w:vAlign w:val="center"/>
                </w:tcPr>
                <w:p w14:paraId="10FBB9AD">
                  <w:pPr>
                    <w:jc w:val="center"/>
                    <w:rPr>
                      <w:sz w:val="21"/>
                    </w:rPr>
                  </w:pPr>
                  <w:r>
                    <w:rPr>
                      <w:rStyle w:val="32"/>
                      <w:rFonts w:hint="eastAsia"/>
                      <w:kern w:val="0"/>
                      <w:szCs w:val="20"/>
                    </w:rPr>
                    <w:t>《环境空气质量标准》（GB3095-2012）及其2018年修改单二级标准</w:t>
                  </w:r>
                </w:p>
              </w:tc>
            </w:tr>
            <w:tr w14:paraId="5D775DD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85" w:type="dxa"/>
                  <w:bottom w:w="0" w:type="dxa"/>
                  <w:right w:w="85" w:type="dxa"/>
                </w:tblCellMar>
              </w:tblPrEx>
              <w:trPr>
                <w:trHeight w:val="346" w:hRule="atLeast"/>
                <w:jc w:val="center"/>
              </w:trPr>
              <w:tc>
                <w:tcPr>
                  <w:tcW w:w="511" w:type="pct"/>
                  <w:vMerge w:val="continue"/>
                  <w:noWrap w:val="0"/>
                  <w:vAlign w:val="center"/>
                </w:tcPr>
                <w:p w14:paraId="2132ECE9">
                  <w:pPr>
                    <w:jc w:val="center"/>
                    <w:rPr>
                      <w:sz w:val="21"/>
                    </w:rPr>
                  </w:pPr>
                </w:p>
              </w:tc>
              <w:tc>
                <w:tcPr>
                  <w:tcW w:w="1221" w:type="pct"/>
                  <w:tcBorders>
                    <w:bottom w:val="single" w:color="auto" w:sz="4" w:space="0"/>
                    <w:right w:val="single" w:color="auto" w:sz="4" w:space="0"/>
                  </w:tcBorders>
                  <w:noWrap w:val="0"/>
                  <w:vAlign w:val="center"/>
                </w:tcPr>
                <w:p w14:paraId="6C6C816B">
                  <w:pPr>
                    <w:jc w:val="center"/>
                    <w:rPr>
                      <w:rFonts w:hint="default" w:ascii="Times New Roman" w:hAnsi="Times New Roman" w:eastAsia="宋体" w:cs="Times New Roman"/>
                      <w:sz w:val="21"/>
                      <w:lang w:val="en-US" w:eastAsia="zh-CN"/>
                    </w:rPr>
                  </w:pPr>
                  <w:r>
                    <w:rPr>
                      <w:rFonts w:hint="eastAsia" w:ascii="Times New Roman" w:hAnsi="Times New Roman" w:eastAsia="宋体" w:cs="Times New Roman"/>
                      <w:sz w:val="21"/>
                      <w:lang w:val="en-US" w:eastAsia="zh-CN"/>
                    </w:rPr>
                    <w:t>华湖花园</w:t>
                  </w:r>
                </w:p>
              </w:tc>
              <w:tc>
                <w:tcPr>
                  <w:tcW w:w="392" w:type="pct"/>
                  <w:tcBorders>
                    <w:left w:val="single" w:color="auto" w:sz="4" w:space="0"/>
                    <w:bottom w:val="single" w:color="auto" w:sz="4" w:space="0"/>
                    <w:right w:val="single" w:color="auto" w:sz="4" w:space="0"/>
                  </w:tcBorders>
                  <w:noWrap w:val="0"/>
                  <w:vAlign w:val="center"/>
                </w:tcPr>
                <w:p w14:paraId="0A6B1B8D">
                  <w:pPr>
                    <w:jc w:val="center"/>
                    <w:rPr>
                      <w:rFonts w:hint="default" w:eastAsia="宋体"/>
                      <w:sz w:val="21"/>
                      <w:lang w:val="en-US" w:eastAsia="zh-CN"/>
                    </w:rPr>
                  </w:pPr>
                  <w:r>
                    <w:rPr>
                      <w:rFonts w:hint="eastAsia"/>
                      <w:sz w:val="21"/>
                      <w:lang w:val="en-US" w:eastAsia="zh-CN"/>
                    </w:rPr>
                    <w:t>北</w:t>
                  </w:r>
                </w:p>
              </w:tc>
              <w:tc>
                <w:tcPr>
                  <w:tcW w:w="635" w:type="pct"/>
                  <w:tcBorders>
                    <w:left w:val="single" w:color="auto" w:sz="4" w:space="0"/>
                    <w:bottom w:val="single" w:color="auto" w:sz="4" w:space="0"/>
                    <w:right w:val="single" w:color="auto" w:sz="4" w:space="0"/>
                  </w:tcBorders>
                  <w:noWrap w:val="0"/>
                  <w:vAlign w:val="center"/>
                </w:tcPr>
                <w:p w14:paraId="4290547D">
                  <w:pPr>
                    <w:jc w:val="center"/>
                    <w:rPr>
                      <w:rFonts w:hint="default"/>
                      <w:sz w:val="21"/>
                      <w:lang w:val="en-US" w:eastAsia="zh-CN"/>
                    </w:rPr>
                  </w:pPr>
                  <w:r>
                    <w:rPr>
                      <w:rFonts w:hint="eastAsia"/>
                      <w:sz w:val="21"/>
                      <w:lang w:val="en-US" w:eastAsia="zh-CN"/>
                    </w:rPr>
                    <w:t>370</w:t>
                  </w:r>
                </w:p>
              </w:tc>
              <w:tc>
                <w:tcPr>
                  <w:tcW w:w="772" w:type="pct"/>
                  <w:tcBorders>
                    <w:left w:val="single" w:color="auto" w:sz="4" w:space="0"/>
                    <w:bottom w:val="single" w:color="auto" w:sz="4" w:space="0"/>
                    <w:right w:val="single" w:color="auto" w:sz="4" w:space="0"/>
                  </w:tcBorders>
                  <w:noWrap w:val="0"/>
                  <w:vAlign w:val="center"/>
                </w:tcPr>
                <w:p w14:paraId="384D88B8">
                  <w:pPr>
                    <w:jc w:val="center"/>
                    <w:rPr>
                      <w:rFonts w:hint="default" w:eastAsia="宋体"/>
                      <w:sz w:val="21"/>
                      <w:lang w:val="en-US" w:eastAsia="zh-CN"/>
                    </w:rPr>
                  </w:pPr>
                  <w:r>
                    <w:rPr>
                      <w:rFonts w:hint="eastAsia"/>
                      <w:sz w:val="21"/>
                      <w:lang w:val="en-US" w:eastAsia="zh-CN"/>
                    </w:rPr>
                    <w:t>居民区</w:t>
                  </w:r>
                </w:p>
              </w:tc>
              <w:tc>
                <w:tcPr>
                  <w:tcW w:w="1467" w:type="pct"/>
                  <w:vMerge w:val="continue"/>
                  <w:tcBorders>
                    <w:left w:val="single" w:color="auto" w:sz="4" w:space="0"/>
                  </w:tcBorders>
                  <w:noWrap w:val="0"/>
                  <w:vAlign w:val="center"/>
                </w:tcPr>
                <w:p w14:paraId="55134C58">
                  <w:pPr>
                    <w:jc w:val="center"/>
                    <w:rPr>
                      <w:rStyle w:val="32"/>
                      <w:rFonts w:hint="eastAsia"/>
                      <w:kern w:val="0"/>
                      <w:szCs w:val="20"/>
                    </w:rPr>
                  </w:pPr>
                </w:p>
              </w:tc>
            </w:tr>
            <w:tr w14:paraId="236351C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85" w:type="dxa"/>
                  <w:bottom w:w="0" w:type="dxa"/>
                  <w:right w:w="85" w:type="dxa"/>
                </w:tblCellMar>
              </w:tblPrEx>
              <w:trPr>
                <w:trHeight w:val="328" w:hRule="atLeast"/>
                <w:jc w:val="center"/>
              </w:trPr>
              <w:tc>
                <w:tcPr>
                  <w:tcW w:w="511" w:type="pct"/>
                  <w:vMerge w:val="continue"/>
                  <w:noWrap w:val="0"/>
                  <w:vAlign w:val="center"/>
                </w:tcPr>
                <w:p w14:paraId="77BAD378">
                  <w:pPr>
                    <w:jc w:val="center"/>
                    <w:rPr>
                      <w:sz w:val="21"/>
                    </w:rPr>
                  </w:pPr>
                </w:p>
              </w:tc>
              <w:tc>
                <w:tcPr>
                  <w:tcW w:w="1221" w:type="pct"/>
                  <w:tcBorders>
                    <w:top w:val="single" w:color="auto" w:sz="4" w:space="0"/>
                    <w:bottom w:val="single" w:color="auto" w:sz="4" w:space="0"/>
                    <w:right w:val="single" w:color="auto" w:sz="4" w:space="0"/>
                  </w:tcBorders>
                  <w:noWrap w:val="0"/>
                  <w:vAlign w:val="center"/>
                </w:tcPr>
                <w:p w14:paraId="4954555B">
                  <w:pPr>
                    <w:jc w:val="center"/>
                    <w:rPr>
                      <w:rFonts w:hint="default" w:eastAsia="宋体"/>
                      <w:sz w:val="21"/>
                      <w:lang w:val="en-US" w:eastAsia="zh-CN"/>
                    </w:rPr>
                  </w:pPr>
                  <w:r>
                    <w:rPr>
                      <w:rFonts w:hint="eastAsia"/>
                      <w:sz w:val="21"/>
                      <w:lang w:val="en-US" w:eastAsia="zh-CN"/>
                    </w:rPr>
                    <w:t>通湖新村</w:t>
                  </w:r>
                </w:p>
              </w:tc>
              <w:tc>
                <w:tcPr>
                  <w:tcW w:w="392" w:type="pct"/>
                  <w:tcBorders>
                    <w:top w:val="single" w:color="auto" w:sz="4" w:space="0"/>
                    <w:left w:val="single" w:color="auto" w:sz="4" w:space="0"/>
                    <w:bottom w:val="single" w:color="auto" w:sz="4" w:space="0"/>
                    <w:right w:val="single" w:color="auto" w:sz="4" w:space="0"/>
                  </w:tcBorders>
                  <w:noWrap w:val="0"/>
                  <w:vAlign w:val="center"/>
                </w:tcPr>
                <w:p w14:paraId="5B9D56C5">
                  <w:pPr>
                    <w:jc w:val="center"/>
                    <w:rPr>
                      <w:rFonts w:hint="eastAsia" w:eastAsia="宋体"/>
                      <w:sz w:val="21"/>
                      <w:lang w:eastAsia="zh-CN"/>
                    </w:rPr>
                  </w:pPr>
                  <w:r>
                    <w:rPr>
                      <w:rFonts w:hint="eastAsia"/>
                      <w:sz w:val="21"/>
                      <w:lang w:val="en-US" w:eastAsia="zh-CN"/>
                    </w:rPr>
                    <w:t>北</w:t>
                  </w:r>
                </w:p>
              </w:tc>
              <w:tc>
                <w:tcPr>
                  <w:tcW w:w="635" w:type="pct"/>
                  <w:tcBorders>
                    <w:top w:val="single" w:color="auto" w:sz="4" w:space="0"/>
                    <w:left w:val="single" w:color="auto" w:sz="4" w:space="0"/>
                    <w:bottom w:val="single" w:color="auto" w:sz="4" w:space="0"/>
                    <w:right w:val="single" w:color="auto" w:sz="4" w:space="0"/>
                  </w:tcBorders>
                  <w:noWrap w:val="0"/>
                  <w:vAlign w:val="center"/>
                </w:tcPr>
                <w:p w14:paraId="5C8C9221">
                  <w:pPr>
                    <w:jc w:val="center"/>
                    <w:rPr>
                      <w:rFonts w:hint="default" w:eastAsia="宋体"/>
                      <w:sz w:val="21"/>
                      <w:lang w:val="en-US" w:eastAsia="zh-CN"/>
                    </w:rPr>
                  </w:pPr>
                  <w:r>
                    <w:rPr>
                      <w:rFonts w:hint="eastAsia"/>
                      <w:sz w:val="21"/>
                      <w:lang w:val="en-US" w:eastAsia="zh-CN"/>
                    </w:rPr>
                    <w:t>410</w:t>
                  </w:r>
                </w:p>
              </w:tc>
              <w:tc>
                <w:tcPr>
                  <w:tcW w:w="772" w:type="pct"/>
                  <w:tcBorders>
                    <w:top w:val="single" w:color="auto" w:sz="4" w:space="0"/>
                    <w:left w:val="single" w:color="auto" w:sz="4" w:space="0"/>
                    <w:bottom w:val="single" w:color="auto" w:sz="4" w:space="0"/>
                    <w:right w:val="single" w:color="auto" w:sz="4" w:space="0"/>
                  </w:tcBorders>
                  <w:noWrap w:val="0"/>
                  <w:vAlign w:val="center"/>
                </w:tcPr>
                <w:p w14:paraId="0853E116">
                  <w:pPr>
                    <w:jc w:val="center"/>
                    <w:rPr>
                      <w:sz w:val="21"/>
                    </w:rPr>
                  </w:pPr>
                  <w:r>
                    <w:rPr>
                      <w:rFonts w:hint="eastAsia"/>
                      <w:sz w:val="21"/>
                    </w:rPr>
                    <w:t>居民区</w:t>
                  </w:r>
                </w:p>
              </w:tc>
              <w:tc>
                <w:tcPr>
                  <w:tcW w:w="1467" w:type="pct"/>
                  <w:vMerge w:val="continue"/>
                  <w:tcBorders>
                    <w:left w:val="single" w:color="auto" w:sz="4" w:space="0"/>
                  </w:tcBorders>
                  <w:noWrap w:val="0"/>
                  <w:vAlign w:val="center"/>
                </w:tcPr>
                <w:p w14:paraId="2854DFB7">
                  <w:pPr>
                    <w:jc w:val="center"/>
                    <w:rPr>
                      <w:sz w:val="21"/>
                    </w:rPr>
                  </w:pPr>
                </w:p>
              </w:tc>
            </w:tr>
            <w:tr w14:paraId="6EB716D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85" w:type="dxa"/>
                  <w:bottom w:w="0" w:type="dxa"/>
                  <w:right w:w="85" w:type="dxa"/>
                </w:tblCellMar>
              </w:tblPrEx>
              <w:trPr>
                <w:trHeight w:val="328" w:hRule="atLeast"/>
                <w:jc w:val="center"/>
              </w:trPr>
              <w:tc>
                <w:tcPr>
                  <w:tcW w:w="511" w:type="pct"/>
                  <w:vMerge w:val="continue"/>
                  <w:noWrap w:val="0"/>
                  <w:vAlign w:val="center"/>
                </w:tcPr>
                <w:p w14:paraId="6D4BE14C">
                  <w:pPr>
                    <w:jc w:val="center"/>
                    <w:rPr>
                      <w:sz w:val="21"/>
                    </w:rPr>
                  </w:pPr>
                </w:p>
              </w:tc>
              <w:tc>
                <w:tcPr>
                  <w:tcW w:w="1221" w:type="pct"/>
                  <w:tcBorders>
                    <w:top w:val="single" w:color="auto" w:sz="4" w:space="0"/>
                    <w:bottom w:val="single" w:color="auto" w:sz="4" w:space="0"/>
                    <w:right w:val="single" w:color="auto" w:sz="4" w:space="0"/>
                  </w:tcBorders>
                  <w:noWrap w:val="0"/>
                  <w:vAlign w:val="center"/>
                </w:tcPr>
                <w:p w14:paraId="742A1DC0">
                  <w:pPr>
                    <w:jc w:val="center"/>
                    <w:rPr>
                      <w:rFonts w:hint="default"/>
                      <w:sz w:val="21"/>
                      <w:lang w:val="en-US" w:eastAsia="zh-CN"/>
                    </w:rPr>
                  </w:pPr>
                  <w:r>
                    <w:rPr>
                      <w:rFonts w:hint="eastAsia"/>
                      <w:sz w:val="21"/>
                      <w:lang w:val="en-US" w:eastAsia="zh-CN"/>
                    </w:rPr>
                    <w:t>晨光幼儿园</w:t>
                  </w:r>
                </w:p>
              </w:tc>
              <w:tc>
                <w:tcPr>
                  <w:tcW w:w="392" w:type="pct"/>
                  <w:tcBorders>
                    <w:top w:val="single" w:color="auto" w:sz="4" w:space="0"/>
                    <w:left w:val="single" w:color="auto" w:sz="4" w:space="0"/>
                    <w:bottom w:val="single" w:color="auto" w:sz="4" w:space="0"/>
                    <w:right w:val="single" w:color="auto" w:sz="4" w:space="0"/>
                  </w:tcBorders>
                  <w:noWrap w:val="0"/>
                  <w:vAlign w:val="center"/>
                </w:tcPr>
                <w:p w14:paraId="6C54F4E7">
                  <w:pPr>
                    <w:jc w:val="center"/>
                    <w:rPr>
                      <w:rFonts w:hint="default"/>
                      <w:sz w:val="21"/>
                      <w:lang w:val="en-US" w:eastAsia="zh-CN"/>
                    </w:rPr>
                  </w:pPr>
                  <w:r>
                    <w:rPr>
                      <w:rFonts w:hint="eastAsia"/>
                      <w:sz w:val="21"/>
                      <w:lang w:val="en-US" w:eastAsia="zh-CN"/>
                    </w:rPr>
                    <w:t>北</w:t>
                  </w:r>
                </w:p>
              </w:tc>
              <w:tc>
                <w:tcPr>
                  <w:tcW w:w="635" w:type="pct"/>
                  <w:tcBorders>
                    <w:top w:val="single" w:color="auto" w:sz="4" w:space="0"/>
                    <w:left w:val="single" w:color="auto" w:sz="4" w:space="0"/>
                    <w:bottom w:val="single" w:color="auto" w:sz="4" w:space="0"/>
                    <w:right w:val="single" w:color="auto" w:sz="4" w:space="0"/>
                  </w:tcBorders>
                  <w:noWrap w:val="0"/>
                  <w:vAlign w:val="center"/>
                </w:tcPr>
                <w:p w14:paraId="2071A961">
                  <w:pPr>
                    <w:jc w:val="center"/>
                    <w:rPr>
                      <w:rFonts w:hint="default"/>
                      <w:sz w:val="21"/>
                      <w:lang w:val="en-US" w:eastAsia="zh-CN"/>
                    </w:rPr>
                  </w:pPr>
                  <w:r>
                    <w:rPr>
                      <w:rFonts w:hint="eastAsia"/>
                      <w:sz w:val="21"/>
                      <w:lang w:val="en-US" w:eastAsia="zh-CN"/>
                    </w:rPr>
                    <w:t>410</w:t>
                  </w:r>
                </w:p>
              </w:tc>
              <w:tc>
                <w:tcPr>
                  <w:tcW w:w="772" w:type="pct"/>
                  <w:tcBorders>
                    <w:top w:val="single" w:color="auto" w:sz="4" w:space="0"/>
                    <w:left w:val="single" w:color="auto" w:sz="4" w:space="0"/>
                    <w:bottom w:val="single" w:color="auto" w:sz="4" w:space="0"/>
                    <w:right w:val="single" w:color="auto" w:sz="4" w:space="0"/>
                  </w:tcBorders>
                  <w:noWrap w:val="0"/>
                  <w:vAlign w:val="center"/>
                </w:tcPr>
                <w:p w14:paraId="168188F5">
                  <w:pPr>
                    <w:jc w:val="center"/>
                    <w:rPr>
                      <w:rFonts w:hint="eastAsia" w:eastAsia="宋体"/>
                      <w:sz w:val="21"/>
                      <w:lang w:val="en-US" w:eastAsia="zh-CN"/>
                    </w:rPr>
                  </w:pPr>
                  <w:r>
                    <w:rPr>
                      <w:rFonts w:hint="eastAsia"/>
                      <w:sz w:val="21"/>
                      <w:lang w:val="en-US" w:eastAsia="zh-CN"/>
                    </w:rPr>
                    <w:t>学校</w:t>
                  </w:r>
                </w:p>
              </w:tc>
              <w:tc>
                <w:tcPr>
                  <w:tcW w:w="1467" w:type="pct"/>
                  <w:vMerge w:val="continue"/>
                  <w:tcBorders>
                    <w:left w:val="single" w:color="auto" w:sz="4" w:space="0"/>
                  </w:tcBorders>
                  <w:noWrap w:val="0"/>
                  <w:vAlign w:val="center"/>
                </w:tcPr>
                <w:p w14:paraId="550870D3">
                  <w:pPr>
                    <w:jc w:val="center"/>
                    <w:rPr>
                      <w:sz w:val="21"/>
                    </w:rPr>
                  </w:pPr>
                </w:p>
              </w:tc>
            </w:tr>
            <w:tr w14:paraId="71EDE48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85" w:type="dxa"/>
                  <w:bottom w:w="0" w:type="dxa"/>
                  <w:right w:w="85" w:type="dxa"/>
                </w:tblCellMar>
              </w:tblPrEx>
              <w:trPr>
                <w:trHeight w:val="328" w:hRule="atLeast"/>
                <w:jc w:val="center"/>
              </w:trPr>
              <w:tc>
                <w:tcPr>
                  <w:tcW w:w="511" w:type="pct"/>
                  <w:vMerge w:val="continue"/>
                  <w:noWrap w:val="0"/>
                  <w:vAlign w:val="center"/>
                </w:tcPr>
                <w:p w14:paraId="0F71BFAB">
                  <w:pPr>
                    <w:jc w:val="center"/>
                    <w:rPr>
                      <w:sz w:val="21"/>
                    </w:rPr>
                  </w:pPr>
                </w:p>
              </w:tc>
              <w:tc>
                <w:tcPr>
                  <w:tcW w:w="1221" w:type="pct"/>
                  <w:tcBorders>
                    <w:top w:val="single" w:color="auto" w:sz="4" w:space="0"/>
                    <w:bottom w:val="single" w:color="auto" w:sz="4" w:space="0"/>
                    <w:right w:val="single" w:color="auto" w:sz="4" w:space="0"/>
                  </w:tcBorders>
                  <w:noWrap w:val="0"/>
                  <w:vAlign w:val="center"/>
                </w:tcPr>
                <w:p w14:paraId="6B6AA223">
                  <w:pPr>
                    <w:jc w:val="center"/>
                    <w:rPr>
                      <w:rFonts w:hint="default"/>
                      <w:sz w:val="21"/>
                      <w:lang w:val="en-US" w:eastAsia="zh-CN"/>
                    </w:rPr>
                  </w:pPr>
                  <w:r>
                    <w:rPr>
                      <w:rFonts w:hint="eastAsia"/>
                      <w:sz w:val="21"/>
                      <w:lang w:val="en-US" w:eastAsia="zh-CN"/>
                    </w:rPr>
                    <w:t>福州市西峰小学</w:t>
                  </w:r>
                </w:p>
              </w:tc>
              <w:tc>
                <w:tcPr>
                  <w:tcW w:w="392" w:type="pct"/>
                  <w:tcBorders>
                    <w:top w:val="single" w:color="auto" w:sz="4" w:space="0"/>
                    <w:left w:val="single" w:color="auto" w:sz="4" w:space="0"/>
                    <w:bottom w:val="single" w:color="auto" w:sz="4" w:space="0"/>
                    <w:right w:val="single" w:color="auto" w:sz="4" w:space="0"/>
                  </w:tcBorders>
                  <w:noWrap w:val="0"/>
                  <w:vAlign w:val="center"/>
                </w:tcPr>
                <w:p w14:paraId="1BC1E2D9">
                  <w:pPr>
                    <w:jc w:val="center"/>
                    <w:rPr>
                      <w:rFonts w:hint="default"/>
                      <w:sz w:val="21"/>
                      <w:lang w:val="en-US" w:eastAsia="zh-CN"/>
                    </w:rPr>
                  </w:pPr>
                  <w:r>
                    <w:rPr>
                      <w:rFonts w:hint="eastAsia"/>
                      <w:sz w:val="21"/>
                      <w:lang w:val="en-US" w:eastAsia="zh-CN"/>
                    </w:rPr>
                    <w:t>东北</w:t>
                  </w:r>
                </w:p>
              </w:tc>
              <w:tc>
                <w:tcPr>
                  <w:tcW w:w="635" w:type="pct"/>
                  <w:tcBorders>
                    <w:top w:val="single" w:color="auto" w:sz="4" w:space="0"/>
                    <w:left w:val="single" w:color="auto" w:sz="4" w:space="0"/>
                    <w:bottom w:val="single" w:color="auto" w:sz="4" w:space="0"/>
                    <w:right w:val="single" w:color="auto" w:sz="4" w:space="0"/>
                  </w:tcBorders>
                  <w:noWrap w:val="0"/>
                  <w:vAlign w:val="center"/>
                </w:tcPr>
                <w:p w14:paraId="737690E0">
                  <w:pPr>
                    <w:jc w:val="center"/>
                    <w:rPr>
                      <w:rFonts w:hint="default"/>
                      <w:sz w:val="21"/>
                      <w:lang w:val="en-US" w:eastAsia="zh-CN"/>
                    </w:rPr>
                  </w:pPr>
                  <w:r>
                    <w:rPr>
                      <w:rFonts w:hint="eastAsia"/>
                      <w:sz w:val="21"/>
                      <w:lang w:val="en-US" w:eastAsia="zh-CN"/>
                    </w:rPr>
                    <w:t>450</w:t>
                  </w:r>
                </w:p>
              </w:tc>
              <w:tc>
                <w:tcPr>
                  <w:tcW w:w="772" w:type="pct"/>
                  <w:tcBorders>
                    <w:top w:val="single" w:color="auto" w:sz="4" w:space="0"/>
                    <w:left w:val="single" w:color="auto" w:sz="4" w:space="0"/>
                    <w:bottom w:val="single" w:color="auto" w:sz="4" w:space="0"/>
                    <w:right w:val="single" w:color="auto" w:sz="4" w:space="0"/>
                  </w:tcBorders>
                  <w:noWrap w:val="0"/>
                  <w:vAlign w:val="center"/>
                </w:tcPr>
                <w:p w14:paraId="05630753">
                  <w:pPr>
                    <w:jc w:val="center"/>
                    <w:rPr>
                      <w:rFonts w:hint="eastAsia" w:eastAsia="宋体"/>
                      <w:sz w:val="21"/>
                      <w:lang w:val="en-US" w:eastAsia="zh-CN"/>
                    </w:rPr>
                  </w:pPr>
                  <w:r>
                    <w:rPr>
                      <w:rFonts w:hint="eastAsia"/>
                      <w:sz w:val="21"/>
                      <w:lang w:val="en-US" w:eastAsia="zh-CN"/>
                    </w:rPr>
                    <w:t>学校</w:t>
                  </w:r>
                </w:p>
              </w:tc>
              <w:tc>
                <w:tcPr>
                  <w:tcW w:w="1467" w:type="pct"/>
                  <w:vMerge w:val="continue"/>
                  <w:tcBorders>
                    <w:left w:val="single" w:color="auto" w:sz="4" w:space="0"/>
                  </w:tcBorders>
                  <w:noWrap w:val="0"/>
                  <w:vAlign w:val="center"/>
                </w:tcPr>
                <w:p w14:paraId="761A29C8">
                  <w:pPr>
                    <w:jc w:val="center"/>
                    <w:rPr>
                      <w:sz w:val="21"/>
                    </w:rPr>
                  </w:pPr>
                </w:p>
              </w:tc>
            </w:tr>
            <w:tr w14:paraId="73AD5C7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85" w:type="dxa"/>
                  <w:bottom w:w="0" w:type="dxa"/>
                  <w:right w:w="85" w:type="dxa"/>
                </w:tblCellMar>
              </w:tblPrEx>
              <w:trPr>
                <w:trHeight w:val="90" w:hRule="atLeast"/>
                <w:jc w:val="center"/>
              </w:trPr>
              <w:tc>
                <w:tcPr>
                  <w:tcW w:w="511" w:type="pct"/>
                  <w:vMerge w:val="continue"/>
                  <w:noWrap w:val="0"/>
                  <w:vAlign w:val="center"/>
                </w:tcPr>
                <w:p w14:paraId="6A567CA8">
                  <w:pPr>
                    <w:jc w:val="center"/>
                    <w:rPr>
                      <w:sz w:val="21"/>
                    </w:rPr>
                  </w:pPr>
                </w:p>
              </w:tc>
              <w:tc>
                <w:tcPr>
                  <w:tcW w:w="1221" w:type="pct"/>
                  <w:tcBorders>
                    <w:top w:val="single" w:color="auto" w:sz="4" w:space="0"/>
                    <w:bottom w:val="single" w:color="auto" w:sz="4" w:space="0"/>
                    <w:right w:val="single" w:color="auto" w:sz="4" w:space="0"/>
                  </w:tcBorders>
                  <w:noWrap w:val="0"/>
                  <w:vAlign w:val="center"/>
                </w:tcPr>
                <w:p w14:paraId="47F0A571">
                  <w:pPr>
                    <w:jc w:val="center"/>
                    <w:rPr>
                      <w:rFonts w:hint="default" w:eastAsia="宋体"/>
                      <w:sz w:val="21"/>
                      <w:lang w:val="en-US" w:eastAsia="zh-CN"/>
                    </w:rPr>
                  </w:pPr>
                  <w:r>
                    <w:rPr>
                      <w:rFonts w:hint="eastAsia"/>
                      <w:sz w:val="21"/>
                      <w:lang w:val="en-US" w:eastAsia="zh-CN"/>
                    </w:rPr>
                    <w:t>碧茂新村</w:t>
                  </w:r>
                </w:p>
              </w:tc>
              <w:tc>
                <w:tcPr>
                  <w:tcW w:w="392" w:type="pct"/>
                  <w:tcBorders>
                    <w:top w:val="single" w:color="auto" w:sz="4" w:space="0"/>
                    <w:left w:val="single" w:color="auto" w:sz="4" w:space="0"/>
                    <w:bottom w:val="single" w:color="auto" w:sz="4" w:space="0"/>
                    <w:right w:val="single" w:color="auto" w:sz="4" w:space="0"/>
                  </w:tcBorders>
                  <w:noWrap w:val="0"/>
                  <w:vAlign w:val="center"/>
                </w:tcPr>
                <w:p w14:paraId="07CE7BF1">
                  <w:pPr>
                    <w:jc w:val="center"/>
                    <w:rPr>
                      <w:rFonts w:hint="eastAsia" w:eastAsia="宋体"/>
                      <w:sz w:val="21"/>
                      <w:lang w:eastAsia="zh-CN"/>
                    </w:rPr>
                  </w:pPr>
                  <w:r>
                    <w:rPr>
                      <w:rFonts w:hint="eastAsia"/>
                      <w:sz w:val="21"/>
                      <w:lang w:val="en-US" w:eastAsia="zh-CN"/>
                    </w:rPr>
                    <w:t>西北</w:t>
                  </w:r>
                </w:p>
              </w:tc>
              <w:tc>
                <w:tcPr>
                  <w:tcW w:w="635" w:type="pct"/>
                  <w:tcBorders>
                    <w:top w:val="single" w:color="auto" w:sz="4" w:space="0"/>
                    <w:left w:val="single" w:color="auto" w:sz="4" w:space="0"/>
                    <w:bottom w:val="single" w:color="auto" w:sz="4" w:space="0"/>
                    <w:right w:val="single" w:color="auto" w:sz="4" w:space="0"/>
                  </w:tcBorders>
                  <w:noWrap w:val="0"/>
                  <w:vAlign w:val="center"/>
                </w:tcPr>
                <w:p w14:paraId="3BC6C2B7">
                  <w:pPr>
                    <w:jc w:val="center"/>
                    <w:rPr>
                      <w:rFonts w:hint="default" w:eastAsia="宋体"/>
                      <w:sz w:val="21"/>
                      <w:lang w:val="en-US" w:eastAsia="zh-CN"/>
                    </w:rPr>
                  </w:pPr>
                  <w:r>
                    <w:rPr>
                      <w:rFonts w:hint="eastAsia"/>
                      <w:sz w:val="21"/>
                      <w:lang w:val="en-US" w:eastAsia="zh-CN"/>
                    </w:rPr>
                    <w:t>405</w:t>
                  </w:r>
                </w:p>
              </w:tc>
              <w:tc>
                <w:tcPr>
                  <w:tcW w:w="772" w:type="pct"/>
                  <w:tcBorders>
                    <w:top w:val="single" w:color="auto" w:sz="4" w:space="0"/>
                    <w:left w:val="single" w:color="auto" w:sz="4" w:space="0"/>
                    <w:bottom w:val="single" w:color="auto" w:sz="4" w:space="0"/>
                    <w:right w:val="single" w:color="auto" w:sz="4" w:space="0"/>
                  </w:tcBorders>
                  <w:noWrap w:val="0"/>
                  <w:vAlign w:val="center"/>
                </w:tcPr>
                <w:p w14:paraId="123D5A10">
                  <w:pPr>
                    <w:jc w:val="center"/>
                    <w:rPr>
                      <w:rFonts w:hint="eastAsia"/>
                      <w:sz w:val="21"/>
                    </w:rPr>
                  </w:pPr>
                  <w:r>
                    <w:rPr>
                      <w:rFonts w:hint="eastAsia"/>
                      <w:sz w:val="21"/>
                    </w:rPr>
                    <w:t>居民区</w:t>
                  </w:r>
                </w:p>
              </w:tc>
              <w:tc>
                <w:tcPr>
                  <w:tcW w:w="1467" w:type="pct"/>
                  <w:vMerge w:val="continue"/>
                  <w:tcBorders>
                    <w:left w:val="single" w:color="auto" w:sz="4" w:space="0"/>
                  </w:tcBorders>
                  <w:noWrap w:val="0"/>
                  <w:vAlign w:val="center"/>
                </w:tcPr>
                <w:p w14:paraId="51FA0692">
                  <w:pPr>
                    <w:jc w:val="center"/>
                    <w:rPr>
                      <w:sz w:val="21"/>
                    </w:rPr>
                  </w:pPr>
                </w:p>
              </w:tc>
            </w:tr>
            <w:tr w14:paraId="10A7224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85" w:type="dxa"/>
                  <w:bottom w:w="0" w:type="dxa"/>
                  <w:right w:w="85" w:type="dxa"/>
                </w:tblCellMar>
              </w:tblPrEx>
              <w:trPr>
                <w:trHeight w:val="98" w:hRule="atLeast"/>
                <w:jc w:val="center"/>
              </w:trPr>
              <w:tc>
                <w:tcPr>
                  <w:tcW w:w="511" w:type="pct"/>
                  <w:vMerge w:val="continue"/>
                  <w:noWrap w:val="0"/>
                  <w:vAlign w:val="center"/>
                </w:tcPr>
                <w:p w14:paraId="6196101E">
                  <w:pPr>
                    <w:jc w:val="center"/>
                    <w:rPr>
                      <w:sz w:val="21"/>
                    </w:rPr>
                  </w:pPr>
                </w:p>
              </w:tc>
              <w:tc>
                <w:tcPr>
                  <w:tcW w:w="1221" w:type="pct"/>
                  <w:tcBorders>
                    <w:top w:val="single" w:color="auto" w:sz="4" w:space="0"/>
                    <w:bottom w:val="single" w:color="auto" w:sz="4" w:space="0"/>
                    <w:right w:val="single" w:color="auto" w:sz="4" w:space="0"/>
                  </w:tcBorders>
                  <w:noWrap w:val="0"/>
                  <w:vAlign w:val="center"/>
                </w:tcPr>
                <w:p w14:paraId="52E8B0E6">
                  <w:pPr>
                    <w:jc w:val="center"/>
                    <w:rPr>
                      <w:rFonts w:hint="default" w:eastAsia="宋体"/>
                      <w:sz w:val="21"/>
                      <w:lang w:val="en-US" w:eastAsia="zh-CN"/>
                    </w:rPr>
                  </w:pPr>
                  <w:r>
                    <w:rPr>
                      <w:rFonts w:hint="eastAsia"/>
                      <w:sz w:val="21"/>
                      <w:lang w:val="en-US" w:eastAsia="zh-CN"/>
                    </w:rPr>
                    <w:t>福禄寿花园</w:t>
                  </w:r>
                </w:p>
              </w:tc>
              <w:tc>
                <w:tcPr>
                  <w:tcW w:w="392" w:type="pct"/>
                  <w:tcBorders>
                    <w:top w:val="single" w:color="auto" w:sz="4" w:space="0"/>
                    <w:left w:val="single" w:color="auto" w:sz="4" w:space="0"/>
                    <w:bottom w:val="single" w:color="auto" w:sz="4" w:space="0"/>
                    <w:right w:val="single" w:color="auto" w:sz="4" w:space="0"/>
                  </w:tcBorders>
                  <w:noWrap w:val="0"/>
                  <w:vAlign w:val="center"/>
                </w:tcPr>
                <w:p w14:paraId="2E1FEB85">
                  <w:pPr>
                    <w:jc w:val="center"/>
                    <w:rPr>
                      <w:sz w:val="21"/>
                    </w:rPr>
                  </w:pPr>
                  <w:r>
                    <w:rPr>
                      <w:rFonts w:hint="eastAsia"/>
                      <w:sz w:val="21"/>
                    </w:rPr>
                    <w:t>西北</w:t>
                  </w:r>
                </w:p>
              </w:tc>
              <w:tc>
                <w:tcPr>
                  <w:tcW w:w="635" w:type="pct"/>
                  <w:tcBorders>
                    <w:top w:val="single" w:color="auto" w:sz="4" w:space="0"/>
                    <w:left w:val="single" w:color="auto" w:sz="4" w:space="0"/>
                    <w:bottom w:val="single" w:color="auto" w:sz="4" w:space="0"/>
                    <w:right w:val="single" w:color="auto" w:sz="4" w:space="0"/>
                  </w:tcBorders>
                  <w:noWrap w:val="0"/>
                  <w:vAlign w:val="center"/>
                </w:tcPr>
                <w:p w14:paraId="5DEE2265">
                  <w:pPr>
                    <w:jc w:val="center"/>
                    <w:rPr>
                      <w:rFonts w:hint="default" w:eastAsia="宋体"/>
                      <w:sz w:val="21"/>
                      <w:lang w:val="en-US" w:eastAsia="zh-CN"/>
                    </w:rPr>
                  </w:pPr>
                  <w:r>
                    <w:rPr>
                      <w:rFonts w:hint="eastAsia"/>
                      <w:sz w:val="21"/>
                      <w:lang w:val="en-US" w:eastAsia="zh-CN"/>
                    </w:rPr>
                    <w:t>350</w:t>
                  </w:r>
                </w:p>
              </w:tc>
              <w:tc>
                <w:tcPr>
                  <w:tcW w:w="772" w:type="pct"/>
                  <w:tcBorders>
                    <w:top w:val="single" w:color="auto" w:sz="4" w:space="0"/>
                    <w:left w:val="single" w:color="auto" w:sz="4" w:space="0"/>
                    <w:bottom w:val="single" w:color="auto" w:sz="4" w:space="0"/>
                    <w:right w:val="single" w:color="auto" w:sz="4" w:space="0"/>
                  </w:tcBorders>
                  <w:noWrap w:val="0"/>
                  <w:vAlign w:val="center"/>
                </w:tcPr>
                <w:p w14:paraId="272D4682">
                  <w:pPr>
                    <w:jc w:val="center"/>
                    <w:rPr>
                      <w:sz w:val="21"/>
                    </w:rPr>
                  </w:pPr>
                  <w:r>
                    <w:rPr>
                      <w:rFonts w:hint="eastAsia"/>
                      <w:sz w:val="21"/>
                      <w:lang w:val="en-US" w:eastAsia="zh-CN"/>
                    </w:rPr>
                    <w:t>居民</w:t>
                  </w:r>
                  <w:r>
                    <w:rPr>
                      <w:rFonts w:hint="eastAsia"/>
                      <w:sz w:val="21"/>
                    </w:rPr>
                    <w:t>区</w:t>
                  </w:r>
                </w:p>
              </w:tc>
              <w:tc>
                <w:tcPr>
                  <w:tcW w:w="1467" w:type="pct"/>
                  <w:vMerge w:val="continue"/>
                  <w:tcBorders>
                    <w:left w:val="single" w:color="auto" w:sz="4" w:space="0"/>
                  </w:tcBorders>
                  <w:noWrap w:val="0"/>
                  <w:vAlign w:val="center"/>
                </w:tcPr>
                <w:p w14:paraId="6B0F0C0D">
                  <w:pPr>
                    <w:jc w:val="center"/>
                    <w:rPr>
                      <w:sz w:val="21"/>
                    </w:rPr>
                  </w:pPr>
                </w:p>
              </w:tc>
            </w:tr>
            <w:tr w14:paraId="447ECB1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85" w:type="dxa"/>
                  <w:bottom w:w="0" w:type="dxa"/>
                  <w:right w:w="85" w:type="dxa"/>
                </w:tblCellMar>
              </w:tblPrEx>
              <w:trPr>
                <w:trHeight w:val="90" w:hRule="atLeast"/>
                <w:jc w:val="center"/>
              </w:trPr>
              <w:tc>
                <w:tcPr>
                  <w:tcW w:w="511" w:type="pct"/>
                  <w:vMerge w:val="continue"/>
                  <w:noWrap w:val="0"/>
                  <w:vAlign w:val="center"/>
                </w:tcPr>
                <w:p w14:paraId="4CFAC2C7">
                  <w:pPr>
                    <w:jc w:val="center"/>
                    <w:rPr>
                      <w:sz w:val="21"/>
                    </w:rPr>
                  </w:pPr>
                </w:p>
              </w:tc>
              <w:tc>
                <w:tcPr>
                  <w:tcW w:w="1221" w:type="pct"/>
                  <w:tcBorders>
                    <w:top w:val="single" w:color="auto" w:sz="4" w:space="0"/>
                    <w:bottom w:val="single" w:color="auto" w:sz="4" w:space="0"/>
                    <w:right w:val="single" w:color="auto" w:sz="4" w:space="0"/>
                  </w:tcBorders>
                  <w:noWrap w:val="0"/>
                  <w:vAlign w:val="center"/>
                </w:tcPr>
                <w:p w14:paraId="5AFA489C">
                  <w:pPr>
                    <w:jc w:val="center"/>
                    <w:rPr>
                      <w:rFonts w:hint="default" w:eastAsia="宋体"/>
                      <w:sz w:val="21"/>
                      <w:lang w:val="en-US" w:eastAsia="zh-CN"/>
                    </w:rPr>
                  </w:pPr>
                  <w:r>
                    <w:rPr>
                      <w:rFonts w:hint="eastAsia"/>
                      <w:sz w:val="21"/>
                      <w:lang w:val="en-US" w:eastAsia="zh-CN"/>
                    </w:rPr>
                    <w:t>湖滨花园</w:t>
                  </w:r>
                </w:p>
              </w:tc>
              <w:tc>
                <w:tcPr>
                  <w:tcW w:w="392" w:type="pct"/>
                  <w:tcBorders>
                    <w:top w:val="single" w:color="auto" w:sz="4" w:space="0"/>
                    <w:left w:val="single" w:color="auto" w:sz="4" w:space="0"/>
                    <w:bottom w:val="single" w:color="auto" w:sz="4" w:space="0"/>
                    <w:right w:val="single" w:color="auto" w:sz="4" w:space="0"/>
                  </w:tcBorders>
                  <w:noWrap w:val="0"/>
                  <w:vAlign w:val="center"/>
                </w:tcPr>
                <w:p w14:paraId="288428BC">
                  <w:pPr>
                    <w:jc w:val="center"/>
                    <w:rPr>
                      <w:rFonts w:hint="default" w:eastAsia="宋体"/>
                      <w:sz w:val="21"/>
                      <w:lang w:val="en-US" w:eastAsia="zh-CN"/>
                    </w:rPr>
                  </w:pPr>
                  <w:r>
                    <w:rPr>
                      <w:rFonts w:hint="eastAsia"/>
                      <w:sz w:val="21"/>
                      <w:lang w:val="en-US" w:eastAsia="zh-CN"/>
                    </w:rPr>
                    <w:t>西北</w:t>
                  </w:r>
                </w:p>
              </w:tc>
              <w:tc>
                <w:tcPr>
                  <w:tcW w:w="635" w:type="pct"/>
                  <w:tcBorders>
                    <w:top w:val="single" w:color="auto" w:sz="4" w:space="0"/>
                    <w:left w:val="single" w:color="auto" w:sz="4" w:space="0"/>
                    <w:bottom w:val="single" w:color="auto" w:sz="4" w:space="0"/>
                    <w:right w:val="single" w:color="auto" w:sz="4" w:space="0"/>
                  </w:tcBorders>
                  <w:noWrap w:val="0"/>
                  <w:vAlign w:val="center"/>
                </w:tcPr>
                <w:p w14:paraId="48530AA6">
                  <w:pPr>
                    <w:jc w:val="center"/>
                    <w:rPr>
                      <w:rFonts w:hint="default" w:eastAsia="宋体"/>
                      <w:sz w:val="21"/>
                      <w:lang w:val="en-US" w:eastAsia="zh-CN"/>
                    </w:rPr>
                  </w:pPr>
                  <w:r>
                    <w:rPr>
                      <w:rFonts w:hint="eastAsia"/>
                      <w:sz w:val="21"/>
                      <w:lang w:val="en-US" w:eastAsia="zh-CN"/>
                    </w:rPr>
                    <w:t>235</w:t>
                  </w:r>
                </w:p>
              </w:tc>
              <w:tc>
                <w:tcPr>
                  <w:tcW w:w="772" w:type="pct"/>
                  <w:tcBorders>
                    <w:top w:val="single" w:color="auto" w:sz="4" w:space="0"/>
                    <w:left w:val="single" w:color="auto" w:sz="4" w:space="0"/>
                    <w:bottom w:val="single" w:color="auto" w:sz="4" w:space="0"/>
                    <w:right w:val="single" w:color="auto" w:sz="4" w:space="0"/>
                  </w:tcBorders>
                  <w:noWrap w:val="0"/>
                  <w:vAlign w:val="center"/>
                </w:tcPr>
                <w:p w14:paraId="1D249E52">
                  <w:pPr>
                    <w:jc w:val="center"/>
                    <w:rPr>
                      <w:rFonts w:hint="eastAsia"/>
                      <w:sz w:val="21"/>
                    </w:rPr>
                  </w:pPr>
                  <w:r>
                    <w:rPr>
                      <w:rFonts w:hint="eastAsia"/>
                      <w:sz w:val="21"/>
                    </w:rPr>
                    <w:t>居民区</w:t>
                  </w:r>
                </w:p>
              </w:tc>
              <w:tc>
                <w:tcPr>
                  <w:tcW w:w="1467" w:type="pct"/>
                  <w:vMerge w:val="continue"/>
                  <w:tcBorders>
                    <w:left w:val="single" w:color="auto" w:sz="4" w:space="0"/>
                  </w:tcBorders>
                  <w:noWrap w:val="0"/>
                  <w:vAlign w:val="center"/>
                </w:tcPr>
                <w:p w14:paraId="0E820E94">
                  <w:pPr>
                    <w:jc w:val="center"/>
                    <w:rPr>
                      <w:sz w:val="21"/>
                    </w:rPr>
                  </w:pPr>
                </w:p>
              </w:tc>
            </w:tr>
            <w:tr w14:paraId="3EF0B64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85" w:type="dxa"/>
                  <w:bottom w:w="0" w:type="dxa"/>
                  <w:right w:w="85" w:type="dxa"/>
                </w:tblCellMar>
              </w:tblPrEx>
              <w:trPr>
                <w:trHeight w:val="64" w:hRule="atLeast"/>
                <w:jc w:val="center"/>
              </w:trPr>
              <w:tc>
                <w:tcPr>
                  <w:tcW w:w="511" w:type="pct"/>
                  <w:vMerge w:val="continue"/>
                  <w:noWrap w:val="0"/>
                  <w:vAlign w:val="center"/>
                </w:tcPr>
                <w:p w14:paraId="6A142C06">
                  <w:pPr>
                    <w:jc w:val="center"/>
                    <w:rPr>
                      <w:sz w:val="21"/>
                    </w:rPr>
                  </w:pPr>
                </w:p>
              </w:tc>
              <w:tc>
                <w:tcPr>
                  <w:tcW w:w="1221" w:type="pct"/>
                  <w:tcBorders>
                    <w:top w:val="single" w:color="auto" w:sz="4" w:space="0"/>
                    <w:bottom w:val="single" w:color="auto" w:sz="4" w:space="0"/>
                    <w:right w:val="single" w:color="auto" w:sz="4" w:space="0"/>
                  </w:tcBorders>
                  <w:noWrap w:val="0"/>
                  <w:vAlign w:val="center"/>
                </w:tcPr>
                <w:p w14:paraId="38AE5846">
                  <w:pPr>
                    <w:jc w:val="center"/>
                    <w:rPr>
                      <w:rFonts w:hint="default" w:eastAsia="宋体"/>
                      <w:sz w:val="21"/>
                      <w:lang w:val="en-US" w:eastAsia="zh-CN"/>
                    </w:rPr>
                  </w:pPr>
                  <w:r>
                    <w:rPr>
                      <w:rFonts w:hint="eastAsia"/>
                      <w:sz w:val="21"/>
                      <w:lang w:val="en-US" w:eastAsia="zh-CN"/>
                    </w:rPr>
                    <w:t>福建第十八中学</w:t>
                  </w:r>
                </w:p>
              </w:tc>
              <w:tc>
                <w:tcPr>
                  <w:tcW w:w="392" w:type="pct"/>
                  <w:tcBorders>
                    <w:top w:val="single" w:color="auto" w:sz="4" w:space="0"/>
                    <w:left w:val="single" w:color="auto" w:sz="4" w:space="0"/>
                    <w:bottom w:val="single" w:color="auto" w:sz="4" w:space="0"/>
                    <w:right w:val="single" w:color="auto" w:sz="4" w:space="0"/>
                  </w:tcBorders>
                  <w:noWrap w:val="0"/>
                  <w:vAlign w:val="center"/>
                </w:tcPr>
                <w:p w14:paraId="6E794435">
                  <w:pPr>
                    <w:jc w:val="center"/>
                    <w:rPr>
                      <w:rFonts w:hint="eastAsia" w:eastAsia="宋体"/>
                      <w:sz w:val="21"/>
                      <w:lang w:val="en-US" w:eastAsia="zh-CN"/>
                    </w:rPr>
                  </w:pPr>
                  <w:r>
                    <w:rPr>
                      <w:rFonts w:hint="eastAsia"/>
                      <w:sz w:val="21"/>
                      <w:lang w:val="en-US" w:eastAsia="zh-CN"/>
                    </w:rPr>
                    <w:t>北</w:t>
                  </w:r>
                </w:p>
              </w:tc>
              <w:tc>
                <w:tcPr>
                  <w:tcW w:w="635" w:type="pct"/>
                  <w:tcBorders>
                    <w:top w:val="single" w:color="auto" w:sz="4" w:space="0"/>
                    <w:left w:val="single" w:color="auto" w:sz="4" w:space="0"/>
                    <w:bottom w:val="single" w:color="auto" w:sz="4" w:space="0"/>
                    <w:right w:val="single" w:color="auto" w:sz="4" w:space="0"/>
                  </w:tcBorders>
                  <w:noWrap w:val="0"/>
                  <w:vAlign w:val="center"/>
                </w:tcPr>
                <w:p w14:paraId="443956C5">
                  <w:pPr>
                    <w:jc w:val="center"/>
                    <w:rPr>
                      <w:rFonts w:hint="default" w:eastAsia="宋体"/>
                      <w:sz w:val="21"/>
                      <w:lang w:val="en-US" w:eastAsia="zh-CN"/>
                    </w:rPr>
                  </w:pPr>
                  <w:r>
                    <w:rPr>
                      <w:rFonts w:hint="eastAsia"/>
                      <w:sz w:val="21"/>
                      <w:lang w:val="en-US" w:eastAsia="zh-CN"/>
                    </w:rPr>
                    <w:t>150</w:t>
                  </w:r>
                </w:p>
              </w:tc>
              <w:tc>
                <w:tcPr>
                  <w:tcW w:w="772" w:type="pct"/>
                  <w:tcBorders>
                    <w:top w:val="single" w:color="auto" w:sz="4" w:space="0"/>
                    <w:left w:val="single" w:color="auto" w:sz="4" w:space="0"/>
                    <w:bottom w:val="single" w:color="auto" w:sz="4" w:space="0"/>
                    <w:right w:val="single" w:color="auto" w:sz="4" w:space="0"/>
                  </w:tcBorders>
                  <w:noWrap w:val="0"/>
                  <w:vAlign w:val="center"/>
                </w:tcPr>
                <w:p w14:paraId="7D681E8A">
                  <w:pPr>
                    <w:jc w:val="center"/>
                    <w:rPr>
                      <w:sz w:val="21"/>
                    </w:rPr>
                  </w:pPr>
                  <w:r>
                    <w:rPr>
                      <w:rFonts w:hint="eastAsia"/>
                      <w:sz w:val="21"/>
                    </w:rPr>
                    <w:t>学校</w:t>
                  </w:r>
                </w:p>
              </w:tc>
              <w:tc>
                <w:tcPr>
                  <w:tcW w:w="1467" w:type="pct"/>
                  <w:vMerge w:val="continue"/>
                  <w:tcBorders>
                    <w:left w:val="single" w:color="auto" w:sz="4" w:space="0"/>
                  </w:tcBorders>
                  <w:noWrap w:val="0"/>
                  <w:vAlign w:val="center"/>
                </w:tcPr>
                <w:p w14:paraId="67F654EC">
                  <w:pPr>
                    <w:jc w:val="center"/>
                    <w:rPr>
                      <w:sz w:val="21"/>
                    </w:rPr>
                  </w:pPr>
                </w:p>
              </w:tc>
            </w:tr>
            <w:tr w14:paraId="0D10832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85" w:type="dxa"/>
                  <w:bottom w:w="0" w:type="dxa"/>
                  <w:right w:w="85" w:type="dxa"/>
                </w:tblCellMar>
              </w:tblPrEx>
              <w:trPr>
                <w:trHeight w:val="159" w:hRule="atLeast"/>
                <w:jc w:val="center"/>
              </w:trPr>
              <w:tc>
                <w:tcPr>
                  <w:tcW w:w="511" w:type="pct"/>
                  <w:vMerge w:val="continue"/>
                  <w:noWrap w:val="0"/>
                  <w:vAlign w:val="center"/>
                </w:tcPr>
                <w:p w14:paraId="281F133C">
                  <w:pPr>
                    <w:jc w:val="center"/>
                    <w:rPr>
                      <w:sz w:val="21"/>
                    </w:rPr>
                  </w:pPr>
                </w:p>
              </w:tc>
              <w:tc>
                <w:tcPr>
                  <w:tcW w:w="1221" w:type="pct"/>
                  <w:tcBorders>
                    <w:top w:val="single" w:color="auto" w:sz="4" w:space="0"/>
                    <w:bottom w:val="single" w:color="auto" w:sz="4" w:space="0"/>
                    <w:right w:val="single" w:color="auto" w:sz="4" w:space="0"/>
                  </w:tcBorders>
                  <w:noWrap w:val="0"/>
                  <w:vAlign w:val="center"/>
                </w:tcPr>
                <w:p w14:paraId="6B5008F7">
                  <w:pPr>
                    <w:jc w:val="center"/>
                    <w:rPr>
                      <w:rFonts w:hint="default" w:eastAsia="宋体"/>
                      <w:sz w:val="21"/>
                      <w:lang w:val="en-US" w:eastAsia="zh-CN"/>
                    </w:rPr>
                  </w:pPr>
                  <w:r>
                    <w:rPr>
                      <w:rFonts w:hint="eastAsia"/>
                      <w:sz w:val="21"/>
                      <w:lang w:val="en-US" w:eastAsia="zh-CN"/>
                    </w:rPr>
                    <w:t>保定小区</w:t>
                  </w:r>
                </w:p>
              </w:tc>
              <w:tc>
                <w:tcPr>
                  <w:tcW w:w="392" w:type="pct"/>
                  <w:tcBorders>
                    <w:top w:val="single" w:color="auto" w:sz="4" w:space="0"/>
                    <w:left w:val="single" w:color="auto" w:sz="4" w:space="0"/>
                    <w:bottom w:val="single" w:color="auto" w:sz="4" w:space="0"/>
                    <w:right w:val="single" w:color="auto" w:sz="4" w:space="0"/>
                  </w:tcBorders>
                  <w:noWrap w:val="0"/>
                  <w:vAlign w:val="center"/>
                </w:tcPr>
                <w:p w14:paraId="16FCE041">
                  <w:pPr>
                    <w:jc w:val="center"/>
                    <w:rPr>
                      <w:rFonts w:hint="eastAsia" w:eastAsia="宋体"/>
                      <w:sz w:val="21"/>
                      <w:lang w:val="en-US" w:eastAsia="zh-CN"/>
                    </w:rPr>
                  </w:pPr>
                  <w:r>
                    <w:rPr>
                      <w:rFonts w:hint="eastAsia"/>
                      <w:sz w:val="21"/>
                      <w:lang w:val="en-US" w:eastAsia="zh-CN"/>
                    </w:rPr>
                    <w:t>北</w:t>
                  </w:r>
                </w:p>
              </w:tc>
              <w:tc>
                <w:tcPr>
                  <w:tcW w:w="635" w:type="pct"/>
                  <w:tcBorders>
                    <w:top w:val="single" w:color="auto" w:sz="4" w:space="0"/>
                    <w:left w:val="single" w:color="auto" w:sz="4" w:space="0"/>
                    <w:bottom w:val="single" w:color="auto" w:sz="4" w:space="0"/>
                    <w:right w:val="single" w:color="auto" w:sz="4" w:space="0"/>
                  </w:tcBorders>
                  <w:noWrap w:val="0"/>
                  <w:vAlign w:val="center"/>
                </w:tcPr>
                <w:p w14:paraId="4CCD68DD">
                  <w:pPr>
                    <w:jc w:val="center"/>
                    <w:rPr>
                      <w:rFonts w:hint="default" w:eastAsia="宋体"/>
                      <w:sz w:val="21"/>
                      <w:lang w:val="en-US" w:eastAsia="zh-CN"/>
                    </w:rPr>
                  </w:pPr>
                  <w:r>
                    <w:rPr>
                      <w:rFonts w:hint="eastAsia"/>
                      <w:sz w:val="21"/>
                      <w:lang w:val="en-US" w:eastAsia="zh-CN"/>
                    </w:rPr>
                    <w:t>150</w:t>
                  </w:r>
                </w:p>
              </w:tc>
              <w:tc>
                <w:tcPr>
                  <w:tcW w:w="772" w:type="pct"/>
                  <w:tcBorders>
                    <w:top w:val="single" w:color="auto" w:sz="4" w:space="0"/>
                    <w:left w:val="single" w:color="auto" w:sz="4" w:space="0"/>
                    <w:bottom w:val="single" w:color="auto" w:sz="4" w:space="0"/>
                    <w:right w:val="single" w:color="auto" w:sz="4" w:space="0"/>
                  </w:tcBorders>
                  <w:noWrap w:val="0"/>
                  <w:vAlign w:val="center"/>
                </w:tcPr>
                <w:p w14:paraId="79EC243B">
                  <w:pPr>
                    <w:jc w:val="center"/>
                    <w:rPr>
                      <w:sz w:val="21"/>
                    </w:rPr>
                  </w:pPr>
                  <w:r>
                    <w:rPr>
                      <w:rFonts w:hint="eastAsia"/>
                      <w:sz w:val="21"/>
                    </w:rPr>
                    <w:t>居民区</w:t>
                  </w:r>
                </w:p>
              </w:tc>
              <w:tc>
                <w:tcPr>
                  <w:tcW w:w="1467" w:type="pct"/>
                  <w:vMerge w:val="continue"/>
                  <w:tcBorders>
                    <w:left w:val="single" w:color="auto" w:sz="4" w:space="0"/>
                  </w:tcBorders>
                  <w:noWrap w:val="0"/>
                  <w:vAlign w:val="center"/>
                </w:tcPr>
                <w:p w14:paraId="5CCC7713">
                  <w:pPr>
                    <w:jc w:val="center"/>
                    <w:rPr>
                      <w:sz w:val="21"/>
                    </w:rPr>
                  </w:pPr>
                </w:p>
              </w:tc>
            </w:tr>
            <w:tr w14:paraId="553708A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85" w:type="dxa"/>
                  <w:bottom w:w="0" w:type="dxa"/>
                  <w:right w:w="85" w:type="dxa"/>
                </w:tblCellMar>
              </w:tblPrEx>
              <w:trPr>
                <w:trHeight w:val="87" w:hRule="atLeast"/>
                <w:jc w:val="center"/>
              </w:trPr>
              <w:tc>
                <w:tcPr>
                  <w:tcW w:w="511" w:type="pct"/>
                  <w:vMerge w:val="continue"/>
                  <w:noWrap w:val="0"/>
                  <w:vAlign w:val="center"/>
                </w:tcPr>
                <w:p w14:paraId="0F450435">
                  <w:pPr>
                    <w:jc w:val="center"/>
                    <w:rPr>
                      <w:sz w:val="21"/>
                    </w:rPr>
                  </w:pPr>
                </w:p>
              </w:tc>
              <w:tc>
                <w:tcPr>
                  <w:tcW w:w="1221" w:type="pct"/>
                  <w:tcBorders>
                    <w:top w:val="single" w:color="auto" w:sz="4" w:space="0"/>
                    <w:bottom w:val="single" w:color="auto" w:sz="4" w:space="0"/>
                    <w:right w:val="single" w:color="auto" w:sz="4" w:space="0"/>
                  </w:tcBorders>
                  <w:noWrap w:val="0"/>
                  <w:vAlign w:val="center"/>
                </w:tcPr>
                <w:p w14:paraId="523C6F4F">
                  <w:pPr>
                    <w:jc w:val="center"/>
                    <w:rPr>
                      <w:sz w:val="21"/>
                    </w:rPr>
                  </w:pPr>
                  <w:r>
                    <w:rPr>
                      <w:rFonts w:hint="eastAsia"/>
                      <w:sz w:val="21"/>
                    </w:rPr>
                    <w:t>福州市花巷幼儿园</w:t>
                  </w:r>
                </w:p>
              </w:tc>
              <w:tc>
                <w:tcPr>
                  <w:tcW w:w="392" w:type="pct"/>
                  <w:tcBorders>
                    <w:top w:val="single" w:color="auto" w:sz="4" w:space="0"/>
                    <w:left w:val="single" w:color="auto" w:sz="4" w:space="0"/>
                    <w:bottom w:val="single" w:color="auto" w:sz="4" w:space="0"/>
                    <w:right w:val="single" w:color="auto" w:sz="4" w:space="0"/>
                  </w:tcBorders>
                  <w:noWrap w:val="0"/>
                  <w:vAlign w:val="center"/>
                </w:tcPr>
                <w:p w14:paraId="665021A5">
                  <w:pPr>
                    <w:jc w:val="center"/>
                    <w:rPr>
                      <w:rFonts w:hint="eastAsia" w:eastAsia="宋体"/>
                      <w:sz w:val="21"/>
                      <w:lang w:val="en-US" w:eastAsia="zh-CN"/>
                    </w:rPr>
                  </w:pPr>
                  <w:r>
                    <w:rPr>
                      <w:rFonts w:hint="eastAsia"/>
                      <w:sz w:val="21"/>
                      <w:lang w:val="en-US" w:eastAsia="zh-CN"/>
                    </w:rPr>
                    <w:t>北</w:t>
                  </w:r>
                </w:p>
              </w:tc>
              <w:tc>
                <w:tcPr>
                  <w:tcW w:w="635" w:type="pct"/>
                  <w:tcBorders>
                    <w:top w:val="single" w:color="auto" w:sz="4" w:space="0"/>
                    <w:left w:val="single" w:color="auto" w:sz="4" w:space="0"/>
                    <w:bottom w:val="single" w:color="auto" w:sz="4" w:space="0"/>
                    <w:right w:val="single" w:color="auto" w:sz="4" w:space="0"/>
                  </w:tcBorders>
                  <w:noWrap w:val="0"/>
                  <w:vAlign w:val="center"/>
                </w:tcPr>
                <w:p w14:paraId="3AD06198">
                  <w:pPr>
                    <w:jc w:val="center"/>
                    <w:rPr>
                      <w:rFonts w:hint="default" w:eastAsia="宋体"/>
                      <w:sz w:val="21"/>
                      <w:lang w:val="en-US" w:eastAsia="zh-CN"/>
                    </w:rPr>
                  </w:pPr>
                  <w:r>
                    <w:rPr>
                      <w:rFonts w:hint="eastAsia"/>
                      <w:sz w:val="21"/>
                      <w:lang w:val="en-US" w:eastAsia="zh-CN"/>
                    </w:rPr>
                    <w:t>200</w:t>
                  </w:r>
                </w:p>
              </w:tc>
              <w:tc>
                <w:tcPr>
                  <w:tcW w:w="772" w:type="pct"/>
                  <w:tcBorders>
                    <w:top w:val="single" w:color="auto" w:sz="4" w:space="0"/>
                    <w:left w:val="single" w:color="auto" w:sz="4" w:space="0"/>
                    <w:bottom w:val="single" w:color="auto" w:sz="4" w:space="0"/>
                    <w:right w:val="single" w:color="auto" w:sz="4" w:space="0"/>
                  </w:tcBorders>
                  <w:noWrap w:val="0"/>
                  <w:vAlign w:val="center"/>
                </w:tcPr>
                <w:p w14:paraId="35B60694">
                  <w:pPr>
                    <w:jc w:val="center"/>
                    <w:rPr>
                      <w:rFonts w:hint="eastAsia"/>
                      <w:sz w:val="21"/>
                    </w:rPr>
                  </w:pPr>
                  <w:r>
                    <w:rPr>
                      <w:rFonts w:hint="eastAsia"/>
                      <w:sz w:val="21"/>
                    </w:rPr>
                    <w:t>学校</w:t>
                  </w:r>
                </w:p>
              </w:tc>
              <w:tc>
                <w:tcPr>
                  <w:tcW w:w="1467" w:type="pct"/>
                  <w:vMerge w:val="continue"/>
                  <w:tcBorders>
                    <w:left w:val="single" w:color="auto" w:sz="4" w:space="0"/>
                  </w:tcBorders>
                  <w:noWrap w:val="0"/>
                  <w:vAlign w:val="center"/>
                </w:tcPr>
                <w:p w14:paraId="3065D0CD">
                  <w:pPr>
                    <w:jc w:val="center"/>
                    <w:rPr>
                      <w:sz w:val="21"/>
                    </w:rPr>
                  </w:pPr>
                </w:p>
              </w:tc>
            </w:tr>
            <w:tr w14:paraId="0B7581B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85" w:type="dxa"/>
                  <w:bottom w:w="0" w:type="dxa"/>
                  <w:right w:w="85" w:type="dxa"/>
                </w:tblCellMar>
              </w:tblPrEx>
              <w:trPr>
                <w:trHeight w:val="141" w:hRule="atLeast"/>
                <w:jc w:val="center"/>
              </w:trPr>
              <w:tc>
                <w:tcPr>
                  <w:tcW w:w="511" w:type="pct"/>
                  <w:vMerge w:val="continue"/>
                  <w:noWrap w:val="0"/>
                  <w:vAlign w:val="center"/>
                </w:tcPr>
                <w:p w14:paraId="6F333BEA">
                  <w:pPr>
                    <w:jc w:val="center"/>
                    <w:rPr>
                      <w:sz w:val="21"/>
                    </w:rPr>
                  </w:pPr>
                </w:p>
              </w:tc>
              <w:tc>
                <w:tcPr>
                  <w:tcW w:w="1221" w:type="pct"/>
                  <w:tcBorders>
                    <w:top w:val="single" w:color="auto" w:sz="4" w:space="0"/>
                    <w:bottom w:val="single" w:color="auto" w:sz="4" w:space="0"/>
                    <w:right w:val="single" w:color="auto" w:sz="4" w:space="0"/>
                  </w:tcBorders>
                  <w:noWrap w:val="0"/>
                  <w:vAlign w:val="center"/>
                </w:tcPr>
                <w:p w14:paraId="52BEEABB">
                  <w:pPr>
                    <w:jc w:val="center"/>
                    <w:rPr>
                      <w:sz w:val="21"/>
                    </w:rPr>
                  </w:pPr>
                  <w:r>
                    <w:rPr>
                      <w:rFonts w:hint="eastAsia"/>
                      <w:sz w:val="21"/>
                    </w:rPr>
                    <w:t>航龙花园</w:t>
                  </w:r>
                </w:p>
              </w:tc>
              <w:tc>
                <w:tcPr>
                  <w:tcW w:w="392" w:type="pct"/>
                  <w:tcBorders>
                    <w:top w:val="single" w:color="auto" w:sz="4" w:space="0"/>
                    <w:left w:val="single" w:color="auto" w:sz="4" w:space="0"/>
                    <w:bottom w:val="single" w:color="auto" w:sz="4" w:space="0"/>
                    <w:right w:val="single" w:color="auto" w:sz="4" w:space="0"/>
                  </w:tcBorders>
                  <w:noWrap w:val="0"/>
                  <w:vAlign w:val="center"/>
                </w:tcPr>
                <w:p w14:paraId="6E1DC4E7">
                  <w:pPr>
                    <w:jc w:val="center"/>
                    <w:rPr>
                      <w:rFonts w:hint="default" w:eastAsia="宋体"/>
                      <w:sz w:val="21"/>
                      <w:lang w:val="en-US" w:eastAsia="zh-CN"/>
                    </w:rPr>
                  </w:pPr>
                  <w:r>
                    <w:rPr>
                      <w:rFonts w:hint="eastAsia"/>
                      <w:sz w:val="21"/>
                      <w:lang w:val="en-US" w:eastAsia="zh-CN"/>
                    </w:rPr>
                    <w:t>东北</w:t>
                  </w:r>
                </w:p>
              </w:tc>
              <w:tc>
                <w:tcPr>
                  <w:tcW w:w="635" w:type="pct"/>
                  <w:tcBorders>
                    <w:top w:val="single" w:color="auto" w:sz="4" w:space="0"/>
                    <w:left w:val="single" w:color="auto" w:sz="4" w:space="0"/>
                    <w:bottom w:val="single" w:color="auto" w:sz="4" w:space="0"/>
                    <w:right w:val="single" w:color="auto" w:sz="4" w:space="0"/>
                  </w:tcBorders>
                  <w:noWrap w:val="0"/>
                  <w:vAlign w:val="center"/>
                </w:tcPr>
                <w:p w14:paraId="61B41278">
                  <w:pPr>
                    <w:jc w:val="center"/>
                    <w:rPr>
                      <w:rFonts w:hint="default" w:eastAsia="宋体"/>
                      <w:sz w:val="21"/>
                      <w:lang w:val="en-US" w:eastAsia="zh-CN"/>
                    </w:rPr>
                  </w:pPr>
                  <w:r>
                    <w:rPr>
                      <w:rFonts w:hint="eastAsia"/>
                      <w:sz w:val="21"/>
                      <w:lang w:val="en-US" w:eastAsia="zh-CN"/>
                    </w:rPr>
                    <w:t>220</w:t>
                  </w:r>
                </w:p>
              </w:tc>
              <w:tc>
                <w:tcPr>
                  <w:tcW w:w="772" w:type="pct"/>
                  <w:tcBorders>
                    <w:top w:val="single" w:color="auto" w:sz="4" w:space="0"/>
                    <w:left w:val="single" w:color="auto" w:sz="4" w:space="0"/>
                    <w:bottom w:val="single" w:color="auto" w:sz="4" w:space="0"/>
                    <w:right w:val="single" w:color="auto" w:sz="4" w:space="0"/>
                  </w:tcBorders>
                  <w:noWrap w:val="0"/>
                  <w:vAlign w:val="center"/>
                </w:tcPr>
                <w:p w14:paraId="778E5F6C">
                  <w:pPr>
                    <w:jc w:val="center"/>
                    <w:rPr>
                      <w:rFonts w:hint="eastAsia"/>
                      <w:sz w:val="21"/>
                    </w:rPr>
                  </w:pPr>
                  <w:r>
                    <w:rPr>
                      <w:rFonts w:hint="eastAsia"/>
                      <w:sz w:val="21"/>
                    </w:rPr>
                    <w:t>居民区</w:t>
                  </w:r>
                </w:p>
              </w:tc>
              <w:tc>
                <w:tcPr>
                  <w:tcW w:w="1467" w:type="pct"/>
                  <w:vMerge w:val="continue"/>
                  <w:tcBorders>
                    <w:left w:val="single" w:color="auto" w:sz="4" w:space="0"/>
                  </w:tcBorders>
                  <w:noWrap w:val="0"/>
                  <w:vAlign w:val="center"/>
                </w:tcPr>
                <w:p w14:paraId="328FB588">
                  <w:pPr>
                    <w:jc w:val="center"/>
                    <w:rPr>
                      <w:sz w:val="21"/>
                    </w:rPr>
                  </w:pPr>
                </w:p>
              </w:tc>
            </w:tr>
            <w:tr w14:paraId="547AEB3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85" w:type="dxa"/>
                  <w:bottom w:w="0" w:type="dxa"/>
                  <w:right w:w="85" w:type="dxa"/>
                </w:tblCellMar>
              </w:tblPrEx>
              <w:trPr>
                <w:trHeight w:val="197" w:hRule="atLeast"/>
                <w:jc w:val="center"/>
              </w:trPr>
              <w:tc>
                <w:tcPr>
                  <w:tcW w:w="511" w:type="pct"/>
                  <w:vMerge w:val="continue"/>
                  <w:noWrap w:val="0"/>
                  <w:vAlign w:val="center"/>
                </w:tcPr>
                <w:p w14:paraId="13627811">
                  <w:pPr>
                    <w:jc w:val="center"/>
                    <w:rPr>
                      <w:sz w:val="21"/>
                    </w:rPr>
                  </w:pPr>
                </w:p>
              </w:tc>
              <w:tc>
                <w:tcPr>
                  <w:tcW w:w="1221" w:type="pct"/>
                  <w:tcBorders>
                    <w:top w:val="single" w:color="auto" w:sz="4" w:space="0"/>
                    <w:bottom w:val="single" w:color="auto" w:sz="4" w:space="0"/>
                    <w:right w:val="single" w:color="auto" w:sz="4" w:space="0"/>
                  </w:tcBorders>
                  <w:noWrap w:val="0"/>
                  <w:vAlign w:val="center"/>
                </w:tcPr>
                <w:p w14:paraId="05FF2A43">
                  <w:pPr>
                    <w:jc w:val="center"/>
                    <w:rPr>
                      <w:rFonts w:hint="default" w:eastAsia="宋体"/>
                      <w:sz w:val="21"/>
                      <w:lang w:val="en-US" w:eastAsia="zh-CN"/>
                    </w:rPr>
                  </w:pPr>
                  <w:r>
                    <w:rPr>
                      <w:rFonts w:hint="eastAsia"/>
                      <w:sz w:val="21"/>
                      <w:lang w:val="en-US" w:eastAsia="zh-CN"/>
                    </w:rPr>
                    <w:t>银都花园</w:t>
                  </w:r>
                </w:p>
              </w:tc>
              <w:tc>
                <w:tcPr>
                  <w:tcW w:w="392" w:type="pct"/>
                  <w:tcBorders>
                    <w:top w:val="single" w:color="auto" w:sz="4" w:space="0"/>
                    <w:left w:val="single" w:color="auto" w:sz="4" w:space="0"/>
                    <w:bottom w:val="single" w:color="auto" w:sz="4" w:space="0"/>
                    <w:right w:val="single" w:color="auto" w:sz="4" w:space="0"/>
                  </w:tcBorders>
                  <w:noWrap w:val="0"/>
                  <w:vAlign w:val="center"/>
                </w:tcPr>
                <w:p w14:paraId="2ECA837E">
                  <w:pPr>
                    <w:jc w:val="center"/>
                    <w:rPr>
                      <w:rFonts w:hint="eastAsia" w:eastAsia="宋体"/>
                      <w:sz w:val="21"/>
                      <w:lang w:val="en-US" w:eastAsia="zh-CN"/>
                    </w:rPr>
                  </w:pPr>
                  <w:r>
                    <w:rPr>
                      <w:rFonts w:hint="eastAsia"/>
                      <w:sz w:val="21"/>
                      <w:lang w:val="en-US" w:eastAsia="zh-CN"/>
                    </w:rPr>
                    <w:t>东北</w:t>
                  </w:r>
                </w:p>
              </w:tc>
              <w:tc>
                <w:tcPr>
                  <w:tcW w:w="635" w:type="pct"/>
                  <w:tcBorders>
                    <w:top w:val="single" w:color="auto" w:sz="4" w:space="0"/>
                    <w:left w:val="single" w:color="auto" w:sz="4" w:space="0"/>
                    <w:bottom w:val="single" w:color="auto" w:sz="4" w:space="0"/>
                    <w:right w:val="single" w:color="auto" w:sz="4" w:space="0"/>
                  </w:tcBorders>
                  <w:noWrap w:val="0"/>
                  <w:vAlign w:val="center"/>
                </w:tcPr>
                <w:p w14:paraId="17C6A9D7">
                  <w:pPr>
                    <w:jc w:val="center"/>
                    <w:rPr>
                      <w:rFonts w:hint="default" w:eastAsia="宋体"/>
                      <w:sz w:val="21"/>
                      <w:lang w:val="en-US" w:eastAsia="zh-CN"/>
                    </w:rPr>
                  </w:pPr>
                  <w:r>
                    <w:rPr>
                      <w:rFonts w:hint="eastAsia"/>
                      <w:sz w:val="21"/>
                      <w:lang w:val="en-US" w:eastAsia="zh-CN"/>
                    </w:rPr>
                    <w:t>320</w:t>
                  </w:r>
                </w:p>
              </w:tc>
              <w:tc>
                <w:tcPr>
                  <w:tcW w:w="772" w:type="pct"/>
                  <w:tcBorders>
                    <w:top w:val="single" w:color="auto" w:sz="4" w:space="0"/>
                    <w:left w:val="single" w:color="auto" w:sz="4" w:space="0"/>
                    <w:bottom w:val="single" w:color="auto" w:sz="4" w:space="0"/>
                    <w:right w:val="single" w:color="auto" w:sz="4" w:space="0"/>
                  </w:tcBorders>
                  <w:noWrap w:val="0"/>
                  <w:vAlign w:val="center"/>
                </w:tcPr>
                <w:p w14:paraId="3510222D">
                  <w:pPr>
                    <w:jc w:val="center"/>
                    <w:rPr>
                      <w:rFonts w:hint="eastAsia"/>
                      <w:sz w:val="21"/>
                    </w:rPr>
                  </w:pPr>
                  <w:r>
                    <w:rPr>
                      <w:rFonts w:hint="eastAsia"/>
                      <w:sz w:val="21"/>
                    </w:rPr>
                    <w:t>居民区</w:t>
                  </w:r>
                </w:p>
              </w:tc>
              <w:tc>
                <w:tcPr>
                  <w:tcW w:w="1467" w:type="pct"/>
                  <w:vMerge w:val="continue"/>
                  <w:tcBorders>
                    <w:left w:val="single" w:color="auto" w:sz="4" w:space="0"/>
                  </w:tcBorders>
                  <w:noWrap w:val="0"/>
                  <w:vAlign w:val="center"/>
                </w:tcPr>
                <w:p w14:paraId="467A4803">
                  <w:pPr>
                    <w:jc w:val="center"/>
                    <w:rPr>
                      <w:sz w:val="21"/>
                    </w:rPr>
                  </w:pPr>
                </w:p>
              </w:tc>
            </w:tr>
            <w:tr w14:paraId="1A159FB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85" w:type="dxa"/>
                  <w:bottom w:w="0" w:type="dxa"/>
                  <w:right w:w="85" w:type="dxa"/>
                </w:tblCellMar>
              </w:tblPrEx>
              <w:trPr>
                <w:trHeight w:val="466" w:hRule="atLeast"/>
                <w:jc w:val="center"/>
              </w:trPr>
              <w:tc>
                <w:tcPr>
                  <w:tcW w:w="511" w:type="pct"/>
                  <w:vMerge w:val="continue"/>
                  <w:noWrap w:val="0"/>
                  <w:vAlign w:val="center"/>
                </w:tcPr>
                <w:p w14:paraId="5B337E88">
                  <w:pPr>
                    <w:jc w:val="center"/>
                    <w:rPr>
                      <w:sz w:val="21"/>
                    </w:rPr>
                  </w:pPr>
                </w:p>
              </w:tc>
              <w:tc>
                <w:tcPr>
                  <w:tcW w:w="1221" w:type="pct"/>
                  <w:tcBorders>
                    <w:top w:val="single" w:color="auto" w:sz="4" w:space="0"/>
                    <w:bottom w:val="single" w:color="auto" w:sz="4" w:space="0"/>
                    <w:right w:val="single" w:color="auto" w:sz="4" w:space="0"/>
                  </w:tcBorders>
                  <w:noWrap w:val="0"/>
                  <w:vAlign w:val="center"/>
                </w:tcPr>
                <w:p w14:paraId="41A126B4">
                  <w:pPr>
                    <w:jc w:val="center"/>
                    <w:rPr>
                      <w:rFonts w:hint="default" w:eastAsia="宋体"/>
                      <w:sz w:val="21"/>
                      <w:lang w:val="en-US" w:eastAsia="zh-CN"/>
                    </w:rPr>
                  </w:pPr>
                  <w:r>
                    <w:rPr>
                      <w:rFonts w:hint="eastAsia"/>
                      <w:sz w:val="21"/>
                      <w:lang w:val="en-US" w:eastAsia="zh-CN"/>
                    </w:rPr>
                    <w:t>西园二小区</w:t>
                  </w:r>
                </w:p>
              </w:tc>
              <w:tc>
                <w:tcPr>
                  <w:tcW w:w="392" w:type="pct"/>
                  <w:tcBorders>
                    <w:top w:val="single" w:color="auto" w:sz="4" w:space="0"/>
                    <w:left w:val="single" w:color="auto" w:sz="4" w:space="0"/>
                    <w:bottom w:val="single" w:color="auto" w:sz="4" w:space="0"/>
                    <w:right w:val="single" w:color="auto" w:sz="4" w:space="0"/>
                  </w:tcBorders>
                  <w:noWrap w:val="0"/>
                  <w:vAlign w:val="center"/>
                </w:tcPr>
                <w:p w14:paraId="39537C58">
                  <w:pPr>
                    <w:jc w:val="center"/>
                    <w:rPr>
                      <w:rFonts w:hint="eastAsia" w:eastAsia="宋体"/>
                      <w:sz w:val="21"/>
                      <w:lang w:val="en-US" w:eastAsia="zh-CN"/>
                    </w:rPr>
                  </w:pPr>
                  <w:r>
                    <w:rPr>
                      <w:rFonts w:hint="eastAsia"/>
                      <w:sz w:val="21"/>
                      <w:lang w:val="en-US" w:eastAsia="zh-CN"/>
                    </w:rPr>
                    <w:t>东北</w:t>
                  </w:r>
                </w:p>
              </w:tc>
              <w:tc>
                <w:tcPr>
                  <w:tcW w:w="635" w:type="pct"/>
                  <w:tcBorders>
                    <w:top w:val="single" w:color="auto" w:sz="4" w:space="0"/>
                    <w:left w:val="single" w:color="auto" w:sz="4" w:space="0"/>
                    <w:bottom w:val="single" w:color="auto" w:sz="4" w:space="0"/>
                    <w:right w:val="single" w:color="auto" w:sz="4" w:space="0"/>
                  </w:tcBorders>
                  <w:noWrap w:val="0"/>
                  <w:vAlign w:val="center"/>
                </w:tcPr>
                <w:p w14:paraId="27CD12BC">
                  <w:pPr>
                    <w:jc w:val="center"/>
                    <w:rPr>
                      <w:rFonts w:hint="default" w:eastAsia="宋体"/>
                      <w:sz w:val="21"/>
                      <w:lang w:val="en-US" w:eastAsia="zh-CN"/>
                    </w:rPr>
                  </w:pPr>
                  <w:r>
                    <w:rPr>
                      <w:rFonts w:hint="eastAsia"/>
                      <w:sz w:val="21"/>
                      <w:lang w:val="en-US" w:eastAsia="zh-CN"/>
                    </w:rPr>
                    <w:t>360</w:t>
                  </w:r>
                </w:p>
              </w:tc>
              <w:tc>
                <w:tcPr>
                  <w:tcW w:w="772" w:type="pct"/>
                  <w:tcBorders>
                    <w:top w:val="single" w:color="auto" w:sz="4" w:space="0"/>
                    <w:left w:val="single" w:color="auto" w:sz="4" w:space="0"/>
                    <w:bottom w:val="single" w:color="auto" w:sz="4" w:space="0"/>
                    <w:right w:val="single" w:color="auto" w:sz="4" w:space="0"/>
                  </w:tcBorders>
                  <w:noWrap w:val="0"/>
                  <w:vAlign w:val="center"/>
                </w:tcPr>
                <w:p w14:paraId="02AF1987">
                  <w:pPr>
                    <w:jc w:val="center"/>
                    <w:rPr>
                      <w:rFonts w:hint="eastAsia"/>
                      <w:sz w:val="21"/>
                    </w:rPr>
                  </w:pPr>
                  <w:r>
                    <w:rPr>
                      <w:rFonts w:hint="eastAsia"/>
                      <w:sz w:val="21"/>
                    </w:rPr>
                    <w:t>居民区</w:t>
                  </w:r>
                </w:p>
              </w:tc>
              <w:tc>
                <w:tcPr>
                  <w:tcW w:w="1467" w:type="pct"/>
                  <w:vMerge w:val="continue"/>
                  <w:tcBorders>
                    <w:left w:val="single" w:color="auto" w:sz="4" w:space="0"/>
                  </w:tcBorders>
                  <w:noWrap w:val="0"/>
                  <w:vAlign w:val="center"/>
                </w:tcPr>
                <w:p w14:paraId="1D229A6C">
                  <w:pPr>
                    <w:jc w:val="center"/>
                    <w:rPr>
                      <w:sz w:val="21"/>
                    </w:rPr>
                  </w:pPr>
                </w:p>
              </w:tc>
            </w:tr>
            <w:tr w14:paraId="608DFDC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85" w:type="dxa"/>
                  <w:bottom w:w="0" w:type="dxa"/>
                  <w:right w:w="85" w:type="dxa"/>
                </w:tblCellMar>
              </w:tblPrEx>
              <w:trPr>
                <w:trHeight w:val="133" w:hRule="atLeast"/>
                <w:jc w:val="center"/>
              </w:trPr>
              <w:tc>
                <w:tcPr>
                  <w:tcW w:w="511" w:type="pct"/>
                  <w:vMerge w:val="continue"/>
                  <w:noWrap w:val="0"/>
                  <w:vAlign w:val="center"/>
                </w:tcPr>
                <w:p w14:paraId="6D1B325B">
                  <w:pPr>
                    <w:jc w:val="center"/>
                    <w:rPr>
                      <w:sz w:val="21"/>
                    </w:rPr>
                  </w:pPr>
                </w:p>
              </w:tc>
              <w:tc>
                <w:tcPr>
                  <w:tcW w:w="1221" w:type="pct"/>
                  <w:tcBorders>
                    <w:top w:val="single" w:color="auto" w:sz="4" w:space="0"/>
                    <w:bottom w:val="single" w:color="auto" w:sz="4" w:space="0"/>
                    <w:right w:val="single" w:color="auto" w:sz="4" w:space="0"/>
                  </w:tcBorders>
                  <w:noWrap w:val="0"/>
                  <w:vAlign w:val="center"/>
                </w:tcPr>
                <w:p w14:paraId="1ACDFDCC">
                  <w:pPr>
                    <w:jc w:val="center"/>
                    <w:rPr>
                      <w:rFonts w:hint="default" w:eastAsia="宋体"/>
                      <w:sz w:val="21"/>
                      <w:lang w:val="en-US" w:eastAsia="zh-CN"/>
                    </w:rPr>
                  </w:pPr>
                  <w:r>
                    <w:rPr>
                      <w:rFonts w:hint="eastAsia"/>
                      <w:sz w:val="21"/>
                      <w:lang w:val="en-US" w:eastAsia="zh-CN"/>
                    </w:rPr>
                    <w:t>联湖花园</w:t>
                  </w:r>
                </w:p>
              </w:tc>
              <w:tc>
                <w:tcPr>
                  <w:tcW w:w="392" w:type="pct"/>
                  <w:tcBorders>
                    <w:top w:val="single" w:color="auto" w:sz="4" w:space="0"/>
                    <w:left w:val="single" w:color="auto" w:sz="4" w:space="0"/>
                    <w:bottom w:val="single" w:color="auto" w:sz="4" w:space="0"/>
                    <w:right w:val="single" w:color="auto" w:sz="4" w:space="0"/>
                  </w:tcBorders>
                  <w:noWrap w:val="0"/>
                  <w:vAlign w:val="center"/>
                </w:tcPr>
                <w:p w14:paraId="40795A13">
                  <w:pPr>
                    <w:jc w:val="center"/>
                    <w:rPr>
                      <w:rFonts w:hint="eastAsia" w:eastAsia="宋体"/>
                      <w:sz w:val="21"/>
                      <w:lang w:val="en-US" w:eastAsia="zh-CN"/>
                    </w:rPr>
                  </w:pPr>
                  <w:r>
                    <w:rPr>
                      <w:rFonts w:hint="eastAsia"/>
                      <w:sz w:val="21"/>
                      <w:lang w:val="en-US" w:eastAsia="zh-CN"/>
                    </w:rPr>
                    <w:t>东北</w:t>
                  </w:r>
                </w:p>
              </w:tc>
              <w:tc>
                <w:tcPr>
                  <w:tcW w:w="635" w:type="pct"/>
                  <w:tcBorders>
                    <w:top w:val="single" w:color="auto" w:sz="4" w:space="0"/>
                    <w:left w:val="single" w:color="auto" w:sz="4" w:space="0"/>
                    <w:bottom w:val="single" w:color="auto" w:sz="4" w:space="0"/>
                    <w:right w:val="single" w:color="auto" w:sz="4" w:space="0"/>
                  </w:tcBorders>
                  <w:noWrap w:val="0"/>
                  <w:vAlign w:val="center"/>
                </w:tcPr>
                <w:p w14:paraId="7DC37CD1">
                  <w:pPr>
                    <w:jc w:val="center"/>
                    <w:rPr>
                      <w:rFonts w:hint="default" w:eastAsia="宋体"/>
                      <w:sz w:val="21"/>
                      <w:lang w:val="en-US" w:eastAsia="zh-CN"/>
                    </w:rPr>
                  </w:pPr>
                  <w:r>
                    <w:rPr>
                      <w:rFonts w:hint="eastAsia"/>
                      <w:sz w:val="21"/>
                      <w:lang w:val="en-US" w:eastAsia="zh-CN"/>
                    </w:rPr>
                    <w:t>430</w:t>
                  </w:r>
                </w:p>
              </w:tc>
              <w:tc>
                <w:tcPr>
                  <w:tcW w:w="772" w:type="pct"/>
                  <w:tcBorders>
                    <w:top w:val="single" w:color="auto" w:sz="4" w:space="0"/>
                    <w:left w:val="single" w:color="auto" w:sz="4" w:space="0"/>
                    <w:bottom w:val="single" w:color="auto" w:sz="4" w:space="0"/>
                    <w:right w:val="single" w:color="auto" w:sz="4" w:space="0"/>
                  </w:tcBorders>
                  <w:noWrap w:val="0"/>
                  <w:vAlign w:val="center"/>
                </w:tcPr>
                <w:p w14:paraId="7BAC829A">
                  <w:pPr>
                    <w:jc w:val="center"/>
                    <w:rPr>
                      <w:rFonts w:hint="eastAsia"/>
                      <w:sz w:val="21"/>
                    </w:rPr>
                  </w:pPr>
                  <w:r>
                    <w:rPr>
                      <w:rFonts w:hint="eastAsia"/>
                      <w:sz w:val="21"/>
                    </w:rPr>
                    <w:t>居民区</w:t>
                  </w:r>
                </w:p>
              </w:tc>
              <w:tc>
                <w:tcPr>
                  <w:tcW w:w="1467" w:type="pct"/>
                  <w:vMerge w:val="continue"/>
                  <w:tcBorders>
                    <w:left w:val="single" w:color="auto" w:sz="4" w:space="0"/>
                  </w:tcBorders>
                  <w:noWrap w:val="0"/>
                  <w:vAlign w:val="center"/>
                </w:tcPr>
                <w:p w14:paraId="7B044C9E">
                  <w:pPr>
                    <w:jc w:val="center"/>
                    <w:rPr>
                      <w:sz w:val="21"/>
                    </w:rPr>
                  </w:pPr>
                </w:p>
              </w:tc>
            </w:tr>
            <w:tr w14:paraId="2B81862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85" w:type="dxa"/>
                  <w:bottom w:w="0" w:type="dxa"/>
                  <w:right w:w="85" w:type="dxa"/>
                </w:tblCellMar>
              </w:tblPrEx>
              <w:trPr>
                <w:trHeight w:val="123" w:hRule="atLeast"/>
                <w:jc w:val="center"/>
              </w:trPr>
              <w:tc>
                <w:tcPr>
                  <w:tcW w:w="511" w:type="pct"/>
                  <w:vMerge w:val="continue"/>
                  <w:noWrap w:val="0"/>
                  <w:vAlign w:val="center"/>
                </w:tcPr>
                <w:p w14:paraId="6C08D852">
                  <w:pPr>
                    <w:jc w:val="center"/>
                    <w:rPr>
                      <w:sz w:val="21"/>
                    </w:rPr>
                  </w:pPr>
                </w:p>
              </w:tc>
              <w:tc>
                <w:tcPr>
                  <w:tcW w:w="1221" w:type="pct"/>
                  <w:tcBorders>
                    <w:top w:val="single" w:color="auto" w:sz="4" w:space="0"/>
                    <w:bottom w:val="single" w:color="auto" w:sz="4" w:space="0"/>
                    <w:right w:val="single" w:color="auto" w:sz="4" w:space="0"/>
                  </w:tcBorders>
                  <w:noWrap w:val="0"/>
                  <w:vAlign w:val="center"/>
                </w:tcPr>
                <w:p w14:paraId="57DCB288">
                  <w:pPr>
                    <w:jc w:val="center"/>
                    <w:rPr>
                      <w:rFonts w:hint="default" w:eastAsia="宋体"/>
                      <w:sz w:val="21"/>
                      <w:lang w:val="en-US" w:eastAsia="zh-CN"/>
                    </w:rPr>
                  </w:pPr>
                  <w:r>
                    <w:rPr>
                      <w:rFonts w:hint="eastAsia"/>
                      <w:sz w:val="21"/>
                      <w:lang w:val="en-US" w:eastAsia="zh-CN"/>
                    </w:rPr>
                    <w:t>互爱新村</w:t>
                  </w:r>
                </w:p>
              </w:tc>
              <w:tc>
                <w:tcPr>
                  <w:tcW w:w="392" w:type="pct"/>
                  <w:tcBorders>
                    <w:top w:val="single" w:color="auto" w:sz="4" w:space="0"/>
                    <w:left w:val="single" w:color="auto" w:sz="4" w:space="0"/>
                    <w:bottom w:val="single" w:color="auto" w:sz="4" w:space="0"/>
                    <w:right w:val="single" w:color="auto" w:sz="4" w:space="0"/>
                  </w:tcBorders>
                  <w:noWrap w:val="0"/>
                  <w:vAlign w:val="center"/>
                </w:tcPr>
                <w:p w14:paraId="219B019C">
                  <w:pPr>
                    <w:jc w:val="center"/>
                    <w:rPr>
                      <w:rFonts w:hint="eastAsia" w:eastAsia="宋体"/>
                      <w:sz w:val="21"/>
                      <w:lang w:val="en-US" w:eastAsia="zh-CN"/>
                    </w:rPr>
                  </w:pPr>
                  <w:r>
                    <w:rPr>
                      <w:rFonts w:hint="eastAsia"/>
                      <w:sz w:val="21"/>
                      <w:lang w:val="en-US" w:eastAsia="zh-CN"/>
                    </w:rPr>
                    <w:t>东北</w:t>
                  </w:r>
                </w:p>
              </w:tc>
              <w:tc>
                <w:tcPr>
                  <w:tcW w:w="635" w:type="pct"/>
                  <w:tcBorders>
                    <w:top w:val="single" w:color="auto" w:sz="4" w:space="0"/>
                    <w:left w:val="single" w:color="auto" w:sz="4" w:space="0"/>
                    <w:bottom w:val="single" w:color="auto" w:sz="4" w:space="0"/>
                    <w:right w:val="single" w:color="auto" w:sz="4" w:space="0"/>
                  </w:tcBorders>
                  <w:noWrap w:val="0"/>
                  <w:vAlign w:val="center"/>
                </w:tcPr>
                <w:p w14:paraId="20DE799D">
                  <w:pPr>
                    <w:jc w:val="center"/>
                    <w:rPr>
                      <w:rFonts w:hint="default" w:eastAsia="宋体"/>
                      <w:sz w:val="21"/>
                      <w:lang w:val="en-US" w:eastAsia="zh-CN"/>
                    </w:rPr>
                  </w:pPr>
                  <w:r>
                    <w:rPr>
                      <w:rFonts w:hint="eastAsia"/>
                      <w:sz w:val="21"/>
                      <w:lang w:val="en-US" w:eastAsia="zh-CN"/>
                    </w:rPr>
                    <w:t>390</w:t>
                  </w:r>
                </w:p>
              </w:tc>
              <w:tc>
                <w:tcPr>
                  <w:tcW w:w="772" w:type="pct"/>
                  <w:tcBorders>
                    <w:top w:val="single" w:color="auto" w:sz="4" w:space="0"/>
                    <w:left w:val="single" w:color="auto" w:sz="4" w:space="0"/>
                    <w:bottom w:val="single" w:color="auto" w:sz="4" w:space="0"/>
                    <w:right w:val="single" w:color="auto" w:sz="4" w:space="0"/>
                  </w:tcBorders>
                  <w:noWrap w:val="0"/>
                  <w:vAlign w:val="center"/>
                </w:tcPr>
                <w:p w14:paraId="70E12145">
                  <w:pPr>
                    <w:jc w:val="center"/>
                    <w:rPr>
                      <w:rFonts w:hint="eastAsia"/>
                      <w:sz w:val="21"/>
                    </w:rPr>
                  </w:pPr>
                  <w:r>
                    <w:rPr>
                      <w:rFonts w:hint="eastAsia"/>
                      <w:sz w:val="21"/>
                    </w:rPr>
                    <w:t>居民区</w:t>
                  </w:r>
                </w:p>
              </w:tc>
              <w:tc>
                <w:tcPr>
                  <w:tcW w:w="1467" w:type="pct"/>
                  <w:vMerge w:val="continue"/>
                  <w:tcBorders>
                    <w:left w:val="single" w:color="auto" w:sz="4" w:space="0"/>
                  </w:tcBorders>
                  <w:noWrap w:val="0"/>
                  <w:vAlign w:val="center"/>
                </w:tcPr>
                <w:p w14:paraId="394E58D2">
                  <w:pPr>
                    <w:jc w:val="center"/>
                    <w:rPr>
                      <w:sz w:val="21"/>
                    </w:rPr>
                  </w:pPr>
                </w:p>
              </w:tc>
            </w:tr>
            <w:tr w14:paraId="7E9D0E6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85" w:type="dxa"/>
                  <w:bottom w:w="0" w:type="dxa"/>
                  <w:right w:w="85" w:type="dxa"/>
                </w:tblCellMar>
              </w:tblPrEx>
              <w:trPr>
                <w:trHeight w:val="115" w:hRule="atLeast"/>
                <w:jc w:val="center"/>
              </w:trPr>
              <w:tc>
                <w:tcPr>
                  <w:tcW w:w="511" w:type="pct"/>
                  <w:vMerge w:val="continue"/>
                  <w:noWrap w:val="0"/>
                  <w:vAlign w:val="center"/>
                </w:tcPr>
                <w:p w14:paraId="54F6A762">
                  <w:pPr>
                    <w:jc w:val="center"/>
                    <w:rPr>
                      <w:sz w:val="21"/>
                    </w:rPr>
                  </w:pPr>
                </w:p>
              </w:tc>
              <w:tc>
                <w:tcPr>
                  <w:tcW w:w="1221" w:type="pct"/>
                  <w:tcBorders>
                    <w:top w:val="single" w:color="auto" w:sz="4" w:space="0"/>
                    <w:bottom w:val="single" w:color="auto" w:sz="4" w:space="0"/>
                    <w:right w:val="single" w:color="auto" w:sz="4" w:space="0"/>
                  </w:tcBorders>
                  <w:noWrap w:val="0"/>
                  <w:vAlign w:val="center"/>
                </w:tcPr>
                <w:p w14:paraId="12B7CA26">
                  <w:pPr>
                    <w:jc w:val="center"/>
                    <w:rPr>
                      <w:rFonts w:hint="default" w:eastAsia="宋体"/>
                      <w:sz w:val="21"/>
                      <w:lang w:val="en-US" w:eastAsia="zh-CN"/>
                    </w:rPr>
                  </w:pPr>
                  <w:r>
                    <w:rPr>
                      <w:rFonts w:hint="eastAsia"/>
                      <w:sz w:val="21"/>
                      <w:lang w:val="en-US" w:eastAsia="zh-CN"/>
                    </w:rPr>
                    <w:t>雅颂佳园</w:t>
                  </w:r>
                </w:p>
              </w:tc>
              <w:tc>
                <w:tcPr>
                  <w:tcW w:w="392" w:type="pct"/>
                  <w:tcBorders>
                    <w:top w:val="single" w:color="auto" w:sz="4" w:space="0"/>
                    <w:left w:val="single" w:color="auto" w:sz="4" w:space="0"/>
                    <w:bottom w:val="single" w:color="auto" w:sz="4" w:space="0"/>
                    <w:right w:val="single" w:color="auto" w:sz="4" w:space="0"/>
                  </w:tcBorders>
                  <w:noWrap w:val="0"/>
                  <w:vAlign w:val="center"/>
                </w:tcPr>
                <w:p w14:paraId="3CA0F379">
                  <w:pPr>
                    <w:jc w:val="center"/>
                    <w:rPr>
                      <w:rFonts w:hint="eastAsia" w:eastAsia="宋体"/>
                      <w:sz w:val="21"/>
                      <w:lang w:val="en-US" w:eastAsia="zh-CN"/>
                    </w:rPr>
                  </w:pPr>
                  <w:r>
                    <w:rPr>
                      <w:rFonts w:hint="eastAsia"/>
                      <w:sz w:val="21"/>
                      <w:lang w:val="en-US" w:eastAsia="zh-CN"/>
                    </w:rPr>
                    <w:t>西</w:t>
                  </w:r>
                </w:p>
              </w:tc>
              <w:tc>
                <w:tcPr>
                  <w:tcW w:w="635" w:type="pct"/>
                  <w:tcBorders>
                    <w:top w:val="single" w:color="auto" w:sz="4" w:space="0"/>
                    <w:left w:val="single" w:color="auto" w:sz="4" w:space="0"/>
                    <w:bottom w:val="single" w:color="auto" w:sz="4" w:space="0"/>
                    <w:right w:val="single" w:color="auto" w:sz="4" w:space="0"/>
                  </w:tcBorders>
                  <w:noWrap w:val="0"/>
                  <w:vAlign w:val="center"/>
                </w:tcPr>
                <w:p w14:paraId="2C690BCB">
                  <w:pPr>
                    <w:jc w:val="center"/>
                    <w:rPr>
                      <w:rFonts w:hint="default" w:eastAsia="宋体"/>
                      <w:sz w:val="21"/>
                      <w:lang w:val="en-US" w:eastAsia="zh-CN"/>
                    </w:rPr>
                  </w:pPr>
                  <w:r>
                    <w:rPr>
                      <w:rFonts w:hint="eastAsia"/>
                      <w:sz w:val="21"/>
                      <w:lang w:val="en-US" w:eastAsia="zh-CN"/>
                    </w:rPr>
                    <w:t>370</w:t>
                  </w:r>
                </w:p>
              </w:tc>
              <w:tc>
                <w:tcPr>
                  <w:tcW w:w="772" w:type="pct"/>
                  <w:tcBorders>
                    <w:top w:val="single" w:color="auto" w:sz="4" w:space="0"/>
                    <w:left w:val="single" w:color="auto" w:sz="4" w:space="0"/>
                    <w:bottom w:val="single" w:color="auto" w:sz="4" w:space="0"/>
                    <w:right w:val="single" w:color="auto" w:sz="4" w:space="0"/>
                  </w:tcBorders>
                  <w:noWrap w:val="0"/>
                  <w:vAlign w:val="center"/>
                </w:tcPr>
                <w:p w14:paraId="5603DF57">
                  <w:pPr>
                    <w:jc w:val="center"/>
                    <w:rPr>
                      <w:rFonts w:hint="eastAsia"/>
                      <w:sz w:val="21"/>
                    </w:rPr>
                  </w:pPr>
                  <w:r>
                    <w:rPr>
                      <w:rFonts w:hint="eastAsia"/>
                      <w:sz w:val="21"/>
                    </w:rPr>
                    <w:t>居民区</w:t>
                  </w:r>
                </w:p>
              </w:tc>
              <w:tc>
                <w:tcPr>
                  <w:tcW w:w="1467" w:type="pct"/>
                  <w:vMerge w:val="continue"/>
                  <w:tcBorders>
                    <w:left w:val="single" w:color="auto" w:sz="4" w:space="0"/>
                  </w:tcBorders>
                  <w:noWrap w:val="0"/>
                  <w:vAlign w:val="center"/>
                </w:tcPr>
                <w:p w14:paraId="6523CF44">
                  <w:pPr>
                    <w:jc w:val="center"/>
                    <w:rPr>
                      <w:sz w:val="21"/>
                    </w:rPr>
                  </w:pPr>
                </w:p>
              </w:tc>
            </w:tr>
            <w:tr w14:paraId="18CFF14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85" w:type="dxa"/>
                  <w:bottom w:w="0" w:type="dxa"/>
                  <w:right w:w="85" w:type="dxa"/>
                </w:tblCellMar>
              </w:tblPrEx>
              <w:trPr>
                <w:trHeight w:val="145" w:hRule="atLeast"/>
                <w:jc w:val="center"/>
              </w:trPr>
              <w:tc>
                <w:tcPr>
                  <w:tcW w:w="511" w:type="pct"/>
                  <w:vMerge w:val="continue"/>
                  <w:noWrap w:val="0"/>
                  <w:vAlign w:val="center"/>
                </w:tcPr>
                <w:p w14:paraId="59E42E00">
                  <w:pPr>
                    <w:jc w:val="center"/>
                    <w:rPr>
                      <w:sz w:val="21"/>
                    </w:rPr>
                  </w:pPr>
                </w:p>
              </w:tc>
              <w:tc>
                <w:tcPr>
                  <w:tcW w:w="1221" w:type="pct"/>
                  <w:tcBorders>
                    <w:top w:val="single" w:color="auto" w:sz="4" w:space="0"/>
                    <w:bottom w:val="single" w:color="auto" w:sz="4" w:space="0"/>
                    <w:right w:val="single" w:color="auto" w:sz="4" w:space="0"/>
                  </w:tcBorders>
                  <w:noWrap w:val="0"/>
                  <w:vAlign w:val="center"/>
                </w:tcPr>
                <w:p w14:paraId="2E0E387F">
                  <w:pPr>
                    <w:jc w:val="center"/>
                    <w:rPr>
                      <w:rFonts w:hint="default" w:eastAsia="宋体"/>
                      <w:sz w:val="21"/>
                      <w:lang w:val="en-US" w:eastAsia="zh-CN"/>
                    </w:rPr>
                  </w:pPr>
                  <w:r>
                    <w:rPr>
                      <w:rFonts w:hint="eastAsia"/>
                      <w:sz w:val="21"/>
                      <w:lang w:val="en-US" w:eastAsia="zh-CN"/>
                    </w:rPr>
                    <w:t>西城公寓</w:t>
                  </w:r>
                </w:p>
              </w:tc>
              <w:tc>
                <w:tcPr>
                  <w:tcW w:w="392" w:type="pct"/>
                  <w:tcBorders>
                    <w:top w:val="single" w:color="auto" w:sz="4" w:space="0"/>
                    <w:left w:val="single" w:color="auto" w:sz="4" w:space="0"/>
                    <w:bottom w:val="single" w:color="auto" w:sz="4" w:space="0"/>
                    <w:right w:val="single" w:color="auto" w:sz="4" w:space="0"/>
                  </w:tcBorders>
                  <w:noWrap w:val="0"/>
                  <w:vAlign w:val="center"/>
                </w:tcPr>
                <w:p w14:paraId="457DD97F">
                  <w:pPr>
                    <w:jc w:val="center"/>
                    <w:rPr>
                      <w:rFonts w:hint="eastAsia" w:eastAsia="宋体"/>
                      <w:sz w:val="21"/>
                      <w:lang w:val="en-US" w:eastAsia="zh-CN"/>
                    </w:rPr>
                  </w:pPr>
                  <w:r>
                    <w:rPr>
                      <w:rFonts w:hint="eastAsia"/>
                      <w:sz w:val="21"/>
                      <w:lang w:val="en-US" w:eastAsia="zh-CN"/>
                    </w:rPr>
                    <w:t>西</w:t>
                  </w:r>
                </w:p>
              </w:tc>
              <w:tc>
                <w:tcPr>
                  <w:tcW w:w="635" w:type="pct"/>
                  <w:tcBorders>
                    <w:top w:val="single" w:color="auto" w:sz="4" w:space="0"/>
                    <w:left w:val="single" w:color="auto" w:sz="4" w:space="0"/>
                    <w:bottom w:val="single" w:color="auto" w:sz="4" w:space="0"/>
                    <w:right w:val="single" w:color="auto" w:sz="4" w:space="0"/>
                  </w:tcBorders>
                  <w:noWrap w:val="0"/>
                  <w:vAlign w:val="center"/>
                </w:tcPr>
                <w:p w14:paraId="7CC211B2">
                  <w:pPr>
                    <w:jc w:val="center"/>
                    <w:rPr>
                      <w:rFonts w:hint="default" w:eastAsia="宋体"/>
                      <w:sz w:val="21"/>
                      <w:lang w:val="en-US" w:eastAsia="zh-CN"/>
                    </w:rPr>
                  </w:pPr>
                  <w:r>
                    <w:rPr>
                      <w:rFonts w:hint="eastAsia"/>
                      <w:sz w:val="21"/>
                      <w:lang w:val="en-US" w:eastAsia="zh-CN"/>
                    </w:rPr>
                    <w:t>280</w:t>
                  </w:r>
                </w:p>
              </w:tc>
              <w:tc>
                <w:tcPr>
                  <w:tcW w:w="772" w:type="pct"/>
                  <w:tcBorders>
                    <w:top w:val="single" w:color="auto" w:sz="4" w:space="0"/>
                    <w:left w:val="single" w:color="auto" w:sz="4" w:space="0"/>
                    <w:bottom w:val="single" w:color="auto" w:sz="4" w:space="0"/>
                    <w:right w:val="single" w:color="auto" w:sz="4" w:space="0"/>
                  </w:tcBorders>
                  <w:noWrap w:val="0"/>
                  <w:vAlign w:val="center"/>
                </w:tcPr>
                <w:p w14:paraId="019B248F">
                  <w:pPr>
                    <w:jc w:val="center"/>
                    <w:rPr>
                      <w:rFonts w:hint="eastAsia"/>
                      <w:sz w:val="21"/>
                    </w:rPr>
                  </w:pPr>
                  <w:r>
                    <w:rPr>
                      <w:rFonts w:hint="eastAsia"/>
                      <w:sz w:val="21"/>
                    </w:rPr>
                    <w:t>居民区</w:t>
                  </w:r>
                </w:p>
              </w:tc>
              <w:tc>
                <w:tcPr>
                  <w:tcW w:w="1467" w:type="pct"/>
                  <w:vMerge w:val="continue"/>
                  <w:tcBorders>
                    <w:left w:val="single" w:color="auto" w:sz="4" w:space="0"/>
                  </w:tcBorders>
                  <w:noWrap w:val="0"/>
                  <w:vAlign w:val="center"/>
                </w:tcPr>
                <w:p w14:paraId="33457774">
                  <w:pPr>
                    <w:jc w:val="center"/>
                    <w:rPr>
                      <w:sz w:val="21"/>
                    </w:rPr>
                  </w:pPr>
                </w:p>
              </w:tc>
            </w:tr>
            <w:tr w14:paraId="247EDCF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85" w:type="dxa"/>
                  <w:bottom w:w="0" w:type="dxa"/>
                  <w:right w:w="85" w:type="dxa"/>
                </w:tblCellMar>
              </w:tblPrEx>
              <w:trPr>
                <w:trHeight w:val="145" w:hRule="atLeast"/>
                <w:jc w:val="center"/>
              </w:trPr>
              <w:tc>
                <w:tcPr>
                  <w:tcW w:w="511" w:type="pct"/>
                  <w:vMerge w:val="continue"/>
                  <w:noWrap w:val="0"/>
                  <w:vAlign w:val="center"/>
                </w:tcPr>
                <w:p w14:paraId="06A50F40">
                  <w:pPr>
                    <w:jc w:val="center"/>
                    <w:rPr>
                      <w:sz w:val="21"/>
                    </w:rPr>
                  </w:pPr>
                </w:p>
              </w:tc>
              <w:tc>
                <w:tcPr>
                  <w:tcW w:w="1221" w:type="pct"/>
                  <w:tcBorders>
                    <w:top w:val="single" w:color="auto" w:sz="4" w:space="0"/>
                    <w:bottom w:val="single" w:color="auto" w:sz="4" w:space="0"/>
                    <w:right w:val="single" w:color="auto" w:sz="4" w:space="0"/>
                  </w:tcBorders>
                  <w:noWrap w:val="0"/>
                  <w:vAlign w:val="center"/>
                </w:tcPr>
                <w:p w14:paraId="59B8688D">
                  <w:pPr>
                    <w:jc w:val="center"/>
                    <w:rPr>
                      <w:rFonts w:hint="default"/>
                      <w:sz w:val="21"/>
                      <w:lang w:val="en-US" w:eastAsia="zh-CN"/>
                    </w:rPr>
                  </w:pPr>
                  <w:r>
                    <w:rPr>
                      <w:rFonts w:hint="eastAsia"/>
                      <w:sz w:val="21"/>
                      <w:lang w:val="en-US" w:eastAsia="zh-CN"/>
                    </w:rPr>
                    <w:t>白马河公园</w:t>
                  </w:r>
                </w:p>
              </w:tc>
              <w:tc>
                <w:tcPr>
                  <w:tcW w:w="392" w:type="pct"/>
                  <w:tcBorders>
                    <w:top w:val="single" w:color="auto" w:sz="4" w:space="0"/>
                    <w:left w:val="single" w:color="auto" w:sz="4" w:space="0"/>
                    <w:bottom w:val="single" w:color="auto" w:sz="4" w:space="0"/>
                    <w:right w:val="single" w:color="auto" w:sz="4" w:space="0"/>
                  </w:tcBorders>
                  <w:noWrap w:val="0"/>
                  <w:vAlign w:val="center"/>
                </w:tcPr>
                <w:p w14:paraId="2EBCD5D8">
                  <w:pPr>
                    <w:jc w:val="center"/>
                    <w:rPr>
                      <w:rFonts w:hint="default"/>
                      <w:sz w:val="21"/>
                      <w:lang w:val="en-US" w:eastAsia="zh-CN"/>
                    </w:rPr>
                  </w:pPr>
                  <w:r>
                    <w:rPr>
                      <w:rFonts w:hint="eastAsia"/>
                      <w:sz w:val="21"/>
                      <w:lang w:val="en-US" w:eastAsia="zh-CN"/>
                    </w:rPr>
                    <w:t>西南</w:t>
                  </w:r>
                </w:p>
              </w:tc>
              <w:tc>
                <w:tcPr>
                  <w:tcW w:w="635" w:type="pct"/>
                  <w:tcBorders>
                    <w:top w:val="single" w:color="auto" w:sz="4" w:space="0"/>
                    <w:left w:val="single" w:color="auto" w:sz="4" w:space="0"/>
                    <w:bottom w:val="single" w:color="auto" w:sz="4" w:space="0"/>
                    <w:right w:val="single" w:color="auto" w:sz="4" w:space="0"/>
                  </w:tcBorders>
                  <w:noWrap w:val="0"/>
                  <w:vAlign w:val="center"/>
                </w:tcPr>
                <w:p w14:paraId="327E05A0">
                  <w:pPr>
                    <w:jc w:val="center"/>
                    <w:rPr>
                      <w:rFonts w:hint="default"/>
                      <w:sz w:val="21"/>
                      <w:lang w:val="en-US" w:eastAsia="zh-CN"/>
                    </w:rPr>
                  </w:pPr>
                  <w:r>
                    <w:rPr>
                      <w:rFonts w:hint="eastAsia"/>
                      <w:sz w:val="21"/>
                      <w:lang w:val="en-US" w:eastAsia="zh-CN"/>
                    </w:rPr>
                    <w:t>230</w:t>
                  </w:r>
                </w:p>
              </w:tc>
              <w:tc>
                <w:tcPr>
                  <w:tcW w:w="772" w:type="pct"/>
                  <w:tcBorders>
                    <w:top w:val="single" w:color="auto" w:sz="4" w:space="0"/>
                    <w:left w:val="single" w:color="auto" w:sz="4" w:space="0"/>
                    <w:bottom w:val="single" w:color="auto" w:sz="4" w:space="0"/>
                    <w:right w:val="single" w:color="auto" w:sz="4" w:space="0"/>
                  </w:tcBorders>
                  <w:noWrap w:val="0"/>
                  <w:vAlign w:val="center"/>
                </w:tcPr>
                <w:p w14:paraId="37161CB1">
                  <w:pPr>
                    <w:jc w:val="center"/>
                    <w:rPr>
                      <w:rFonts w:hint="eastAsia"/>
                      <w:sz w:val="21"/>
                    </w:rPr>
                  </w:pPr>
                  <w:r>
                    <w:rPr>
                      <w:rFonts w:hint="eastAsia"/>
                      <w:sz w:val="21"/>
                    </w:rPr>
                    <w:t>风景名胜区</w:t>
                  </w:r>
                </w:p>
              </w:tc>
              <w:tc>
                <w:tcPr>
                  <w:tcW w:w="1467" w:type="pct"/>
                  <w:vMerge w:val="continue"/>
                  <w:tcBorders>
                    <w:left w:val="single" w:color="auto" w:sz="4" w:space="0"/>
                  </w:tcBorders>
                  <w:noWrap w:val="0"/>
                  <w:vAlign w:val="center"/>
                </w:tcPr>
                <w:p w14:paraId="65899E5E">
                  <w:pPr>
                    <w:jc w:val="center"/>
                    <w:rPr>
                      <w:sz w:val="21"/>
                    </w:rPr>
                  </w:pPr>
                </w:p>
              </w:tc>
            </w:tr>
            <w:tr w14:paraId="6D4A6CD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85" w:type="dxa"/>
                  <w:bottom w:w="0" w:type="dxa"/>
                  <w:right w:w="85" w:type="dxa"/>
                </w:tblCellMar>
              </w:tblPrEx>
              <w:trPr>
                <w:trHeight w:val="336" w:hRule="atLeast"/>
                <w:jc w:val="center"/>
              </w:trPr>
              <w:tc>
                <w:tcPr>
                  <w:tcW w:w="511" w:type="pct"/>
                  <w:vMerge w:val="continue"/>
                  <w:noWrap w:val="0"/>
                  <w:vAlign w:val="center"/>
                </w:tcPr>
                <w:p w14:paraId="7EA4497B">
                  <w:pPr>
                    <w:jc w:val="center"/>
                    <w:rPr>
                      <w:sz w:val="21"/>
                    </w:rPr>
                  </w:pPr>
                </w:p>
              </w:tc>
              <w:tc>
                <w:tcPr>
                  <w:tcW w:w="1221" w:type="pct"/>
                  <w:tcBorders>
                    <w:top w:val="single" w:color="auto" w:sz="4" w:space="0"/>
                    <w:bottom w:val="single" w:color="auto" w:sz="4" w:space="0"/>
                    <w:right w:val="single" w:color="auto" w:sz="4" w:space="0"/>
                  </w:tcBorders>
                  <w:noWrap w:val="0"/>
                  <w:vAlign w:val="center"/>
                </w:tcPr>
                <w:p w14:paraId="5C67C133">
                  <w:pPr>
                    <w:jc w:val="center"/>
                    <w:rPr>
                      <w:rFonts w:hint="default" w:eastAsia="宋体"/>
                      <w:sz w:val="21"/>
                      <w:lang w:val="en-US" w:eastAsia="zh-CN"/>
                    </w:rPr>
                  </w:pPr>
                  <w:r>
                    <w:rPr>
                      <w:rFonts w:hint="eastAsia"/>
                      <w:sz w:val="21"/>
                      <w:lang w:val="en-US" w:eastAsia="zh-CN"/>
                    </w:rPr>
                    <w:t>善化新村</w:t>
                  </w:r>
                </w:p>
              </w:tc>
              <w:tc>
                <w:tcPr>
                  <w:tcW w:w="392" w:type="pct"/>
                  <w:tcBorders>
                    <w:top w:val="single" w:color="auto" w:sz="4" w:space="0"/>
                    <w:left w:val="single" w:color="auto" w:sz="4" w:space="0"/>
                    <w:bottom w:val="single" w:color="auto" w:sz="4" w:space="0"/>
                    <w:right w:val="single" w:color="auto" w:sz="4" w:space="0"/>
                  </w:tcBorders>
                  <w:noWrap w:val="0"/>
                  <w:vAlign w:val="center"/>
                </w:tcPr>
                <w:p w14:paraId="740E0C97">
                  <w:pPr>
                    <w:jc w:val="center"/>
                    <w:rPr>
                      <w:rFonts w:hint="eastAsia" w:eastAsia="宋体"/>
                      <w:sz w:val="21"/>
                      <w:lang w:val="en-US" w:eastAsia="zh-CN"/>
                    </w:rPr>
                  </w:pPr>
                  <w:r>
                    <w:rPr>
                      <w:rFonts w:hint="eastAsia"/>
                      <w:sz w:val="21"/>
                      <w:lang w:val="en-US" w:eastAsia="zh-CN"/>
                    </w:rPr>
                    <w:t>相邻</w:t>
                  </w:r>
                </w:p>
              </w:tc>
              <w:tc>
                <w:tcPr>
                  <w:tcW w:w="635" w:type="pct"/>
                  <w:tcBorders>
                    <w:top w:val="single" w:color="auto" w:sz="4" w:space="0"/>
                    <w:left w:val="single" w:color="auto" w:sz="4" w:space="0"/>
                    <w:bottom w:val="single" w:color="auto" w:sz="4" w:space="0"/>
                    <w:right w:val="single" w:color="auto" w:sz="4" w:space="0"/>
                  </w:tcBorders>
                  <w:noWrap w:val="0"/>
                  <w:vAlign w:val="center"/>
                </w:tcPr>
                <w:p w14:paraId="1B8227E9">
                  <w:pPr>
                    <w:jc w:val="center"/>
                    <w:rPr>
                      <w:rFonts w:hint="eastAsia" w:eastAsia="宋体"/>
                      <w:sz w:val="21"/>
                      <w:lang w:eastAsia="zh-CN"/>
                    </w:rPr>
                  </w:pPr>
                  <w:r>
                    <w:rPr>
                      <w:rFonts w:hint="eastAsia"/>
                      <w:sz w:val="21"/>
                      <w:lang w:val="en-US" w:eastAsia="zh-CN"/>
                    </w:rPr>
                    <w:t>相邻</w:t>
                  </w:r>
                </w:p>
              </w:tc>
              <w:tc>
                <w:tcPr>
                  <w:tcW w:w="772" w:type="pct"/>
                  <w:tcBorders>
                    <w:top w:val="single" w:color="auto" w:sz="4" w:space="0"/>
                    <w:left w:val="single" w:color="auto" w:sz="4" w:space="0"/>
                    <w:bottom w:val="single" w:color="auto" w:sz="4" w:space="0"/>
                    <w:right w:val="single" w:color="auto" w:sz="4" w:space="0"/>
                  </w:tcBorders>
                  <w:noWrap w:val="0"/>
                  <w:vAlign w:val="center"/>
                </w:tcPr>
                <w:p w14:paraId="0DFEB2FC">
                  <w:pPr>
                    <w:jc w:val="center"/>
                    <w:rPr>
                      <w:rFonts w:hint="eastAsia"/>
                      <w:sz w:val="21"/>
                    </w:rPr>
                  </w:pPr>
                  <w:r>
                    <w:rPr>
                      <w:rFonts w:hint="eastAsia"/>
                      <w:sz w:val="21"/>
                    </w:rPr>
                    <w:t>居民区</w:t>
                  </w:r>
                </w:p>
              </w:tc>
              <w:tc>
                <w:tcPr>
                  <w:tcW w:w="1467" w:type="pct"/>
                  <w:vMerge w:val="continue"/>
                  <w:tcBorders>
                    <w:left w:val="single" w:color="auto" w:sz="4" w:space="0"/>
                  </w:tcBorders>
                  <w:noWrap w:val="0"/>
                  <w:vAlign w:val="center"/>
                </w:tcPr>
                <w:p w14:paraId="5D064D46">
                  <w:pPr>
                    <w:jc w:val="center"/>
                    <w:rPr>
                      <w:sz w:val="21"/>
                    </w:rPr>
                  </w:pPr>
                </w:p>
              </w:tc>
            </w:tr>
            <w:tr w14:paraId="74E9039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85" w:type="dxa"/>
                  <w:bottom w:w="0" w:type="dxa"/>
                  <w:right w:w="85" w:type="dxa"/>
                </w:tblCellMar>
              </w:tblPrEx>
              <w:trPr>
                <w:trHeight w:val="162" w:hRule="atLeast"/>
                <w:jc w:val="center"/>
              </w:trPr>
              <w:tc>
                <w:tcPr>
                  <w:tcW w:w="511" w:type="pct"/>
                  <w:vMerge w:val="continue"/>
                  <w:noWrap w:val="0"/>
                  <w:vAlign w:val="center"/>
                </w:tcPr>
                <w:p w14:paraId="4B881ACB">
                  <w:pPr>
                    <w:jc w:val="center"/>
                    <w:rPr>
                      <w:sz w:val="21"/>
                    </w:rPr>
                  </w:pPr>
                </w:p>
              </w:tc>
              <w:tc>
                <w:tcPr>
                  <w:tcW w:w="1221" w:type="pct"/>
                  <w:tcBorders>
                    <w:top w:val="single" w:color="auto" w:sz="4" w:space="0"/>
                    <w:bottom w:val="single" w:color="auto" w:sz="4" w:space="0"/>
                    <w:right w:val="single" w:color="auto" w:sz="4" w:space="0"/>
                  </w:tcBorders>
                  <w:noWrap w:val="0"/>
                  <w:vAlign w:val="center"/>
                </w:tcPr>
                <w:p w14:paraId="0CF79841">
                  <w:pPr>
                    <w:jc w:val="center"/>
                    <w:rPr>
                      <w:rFonts w:hint="default" w:eastAsia="宋体"/>
                      <w:sz w:val="21"/>
                      <w:lang w:val="en-US" w:eastAsia="zh-CN"/>
                    </w:rPr>
                  </w:pPr>
                  <w:r>
                    <w:rPr>
                      <w:rFonts w:hint="eastAsia"/>
                      <w:sz w:val="21"/>
                      <w:lang w:val="en-US" w:eastAsia="zh-CN"/>
                    </w:rPr>
                    <w:t>保定新村</w:t>
                  </w:r>
                </w:p>
              </w:tc>
              <w:tc>
                <w:tcPr>
                  <w:tcW w:w="392" w:type="pct"/>
                  <w:tcBorders>
                    <w:top w:val="single" w:color="auto" w:sz="4" w:space="0"/>
                    <w:left w:val="single" w:color="auto" w:sz="4" w:space="0"/>
                    <w:bottom w:val="single" w:color="auto" w:sz="4" w:space="0"/>
                    <w:right w:val="single" w:color="auto" w:sz="4" w:space="0"/>
                  </w:tcBorders>
                  <w:noWrap w:val="0"/>
                  <w:vAlign w:val="center"/>
                </w:tcPr>
                <w:p w14:paraId="4A4785AE">
                  <w:pPr>
                    <w:jc w:val="center"/>
                    <w:rPr>
                      <w:rFonts w:hint="eastAsia" w:eastAsia="宋体"/>
                      <w:sz w:val="21"/>
                      <w:lang w:val="en-US" w:eastAsia="zh-CN"/>
                    </w:rPr>
                  </w:pPr>
                  <w:r>
                    <w:rPr>
                      <w:rFonts w:hint="eastAsia"/>
                      <w:sz w:val="21"/>
                      <w:lang w:val="en-US" w:eastAsia="zh-CN"/>
                    </w:rPr>
                    <w:t>相邻</w:t>
                  </w:r>
                </w:p>
              </w:tc>
              <w:tc>
                <w:tcPr>
                  <w:tcW w:w="635" w:type="pct"/>
                  <w:tcBorders>
                    <w:top w:val="single" w:color="auto" w:sz="4" w:space="0"/>
                    <w:left w:val="single" w:color="auto" w:sz="4" w:space="0"/>
                    <w:bottom w:val="single" w:color="auto" w:sz="4" w:space="0"/>
                    <w:right w:val="single" w:color="auto" w:sz="4" w:space="0"/>
                  </w:tcBorders>
                  <w:noWrap w:val="0"/>
                  <w:vAlign w:val="center"/>
                </w:tcPr>
                <w:p w14:paraId="78C4A109">
                  <w:pPr>
                    <w:jc w:val="center"/>
                    <w:rPr>
                      <w:rFonts w:hint="eastAsia" w:eastAsia="宋体"/>
                      <w:sz w:val="21"/>
                      <w:lang w:eastAsia="zh-CN"/>
                    </w:rPr>
                  </w:pPr>
                  <w:r>
                    <w:rPr>
                      <w:rFonts w:hint="eastAsia"/>
                      <w:sz w:val="21"/>
                      <w:lang w:val="en-US" w:eastAsia="zh-CN"/>
                    </w:rPr>
                    <w:t>相邻</w:t>
                  </w:r>
                </w:p>
              </w:tc>
              <w:tc>
                <w:tcPr>
                  <w:tcW w:w="772" w:type="pct"/>
                  <w:tcBorders>
                    <w:top w:val="single" w:color="auto" w:sz="4" w:space="0"/>
                    <w:left w:val="single" w:color="auto" w:sz="4" w:space="0"/>
                    <w:bottom w:val="single" w:color="auto" w:sz="4" w:space="0"/>
                    <w:right w:val="single" w:color="auto" w:sz="4" w:space="0"/>
                  </w:tcBorders>
                  <w:noWrap w:val="0"/>
                  <w:vAlign w:val="center"/>
                </w:tcPr>
                <w:p w14:paraId="456587D8">
                  <w:pPr>
                    <w:jc w:val="center"/>
                    <w:rPr>
                      <w:rFonts w:hint="default" w:eastAsia="宋体"/>
                      <w:sz w:val="21"/>
                      <w:lang w:val="en-US" w:eastAsia="zh-CN"/>
                    </w:rPr>
                  </w:pPr>
                  <w:r>
                    <w:rPr>
                      <w:rFonts w:hint="eastAsia"/>
                      <w:sz w:val="21"/>
                      <w:lang w:val="en-US" w:eastAsia="zh-CN"/>
                    </w:rPr>
                    <w:t>居民区</w:t>
                  </w:r>
                </w:p>
              </w:tc>
              <w:tc>
                <w:tcPr>
                  <w:tcW w:w="1467" w:type="pct"/>
                  <w:vMerge w:val="continue"/>
                  <w:tcBorders>
                    <w:left w:val="single" w:color="auto" w:sz="4" w:space="0"/>
                  </w:tcBorders>
                  <w:noWrap w:val="0"/>
                  <w:vAlign w:val="center"/>
                </w:tcPr>
                <w:p w14:paraId="76397A77">
                  <w:pPr>
                    <w:jc w:val="center"/>
                    <w:rPr>
                      <w:sz w:val="21"/>
                    </w:rPr>
                  </w:pPr>
                </w:p>
              </w:tc>
            </w:tr>
            <w:tr w14:paraId="38BE1E1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85" w:type="dxa"/>
                  <w:bottom w:w="0" w:type="dxa"/>
                  <w:right w:w="85" w:type="dxa"/>
                </w:tblCellMar>
              </w:tblPrEx>
              <w:trPr>
                <w:trHeight w:val="154" w:hRule="atLeast"/>
                <w:jc w:val="center"/>
              </w:trPr>
              <w:tc>
                <w:tcPr>
                  <w:tcW w:w="511" w:type="pct"/>
                  <w:vMerge w:val="continue"/>
                  <w:noWrap w:val="0"/>
                  <w:vAlign w:val="center"/>
                </w:tcPr>
                <w:p w14:paraId="775BA9DA">
                  <w:pPr>
                    <w:jc w:val="center"/>
                    <w:rPr>
                      <w:sz w:val="21"/>
                    </w:rPr>
                  </w:pPr>
                </w:p>
              </w:tc>
              <w:tc>
                <w:tcPr>
                  <w:tcW w:w="1221" w:type="pct"/>
                  <w:tcBorders>
                    <w:top w:val="single" w:color="auto" w:sz="4" w:space="0"/>
                    <w:bottom w:val="single" w:color="auto" w:sz="4" w:space="0"/>
                    <w:right w:val="single" w:color="auto" w:sz="4" w:space="0"/>
                  </w:tcBorders>
                  <w:noWrap w:val="0"/>
                  <w:vAlign w:val="center"/>
                </w:tcPr>
                <w:p w14:paraId="3E5CDDAB">
                  <w:pPr>
                    <w:jc w:val="center"/>
                    <w:rPr>
                      <w:rFonts w:hint="default" w:eastAsia="宋体"/>
                      <w:sz w:val="21"/>
                      <w:lang w:val="en-US" w:eastAsia="zh-CN"/>
                    </w:rPr>
                  </w:pPr>
                  <w:r>
                    <w:rPr>
                      <w:rFonts w:hint="eastAsia"/>
                      <w:sz w:val="21"/>
                      <w:lang w:val="en-US" w:eastAsia="zh-CN"/>
                    </w:rPr>
                    <w:t>双抛桥一里小区</w:t>
                  </w:r>
                </w:p>
              </w:tc>
              <w:tc>
                <w:tcPr>
                  <w:tcW w:w="392" w:type="pct"/>
                  <w:tcBorders>
                    <w:top w:val="single" w:color="auto" w:sz="4" w:space="0"/>
                    <w:left w:val="single" w:color="auto" w:sz="4" w:space="0"/>
                    <w:bottom w:val="single" w:color="auto" w:sz="4" w:space="0"/>
                    <w:right w:val="single" w:color="auto" w:sz="4" w:space="0"/>
                  </w:tcBorders>
                  <w:noWrap w:val="0"/>
                  <w:vAlign w:val="center"/>
                </w:tcPr>
                <w:p w14:paraId="01E7143E">
                  <w:pPr>
                    <w:jc w:val="center"/>
                    <w:rPr>
                      <w:rFonts w:hint="eastAsia" w:eastAsia="宋体"/>
                      <w:sz w:val="21"/>
                      <w:lang w:val="en-US" w:eastAsia="zh-CN"/>
                    </w:rPr>
                  </w:pPr>
                  <w:r>
                    <w:rPr>
                      <w:rFonts w:hint="eastAsia"/>
                      <w:sz w:val="21"/>
                      <w:lang w:val="en-US" w:eastAsia="zh-CN"/>
                    </w:rPr>
                    <w:t>东</w:t>
                  </w:r>
                </w:p>
              </w:tc>
              <w:tc>
                <w:tcPr>
                  <w:tcW w:w="635" w:type="pct"/>
                  <w:tcBorders>
                    <w:top w:val="single" w:color="auto" w:sz="4" w:space="0"/>
                    <w:left w:val="single" w:color="auto" w:sz="4" w:space="0"/>
                    <w:bottom w:val="single" w:color="auto" w:sz="4" w:space="0"/>
                    <w:right w:val="single" w:color="auto" w:sz="4" w:space="0"/>
                  </w:tcBorders>
                  <w:noWrap w:val="0"/>
                  <w:vAlign w:val="center"/>
                </w:tcPr>
                <w:p w14:paraId="4D7396F0">
                  <w:pPr>
                    <w:jc w:val="center"/>
                    <w:rPr>
                      <w:rFonts w:hint="default" w:eastAsia="宋体"/>
                      <w:sz w:val="21"/>
                      <w:lang w:val="en-US" w:eastAsia="zh-CN"/>
                    </w:rPr>
                  </w:pPr>
                  <w:r>
                    <w:rPr>
                      <w:rFonts w:hint="eastAsia"/>
                      <w:sz w:val="21"/>
                      <w:lang w:val="en-US" w:eastAsia="zh-CN"/>
                    </w:rPr>
                    <w:t>470</w:t>
                  </w:r>
                </w:p>
              </w:tc>
              <w:tc>
                <w:tcPr>
                  <w:tcW w:w="772" w:type="pct"/>
                  <w:tcBorders>
                    <w:top w:val="single" w:color="auto" w:sz="4" w:space="0"/>
                    <w:left w:val="single" w:color="auto" w:sz="4" w:space="0"/>
                    <w:bottom w:val="single" w:color="auto" w:sz="4" w:space="0"/>
                    <w:right w:val="single" w:color="auto" w:sz="4" w:space="0"/>
                  </w:tcBorders>
                  <w:noWrap w:val="0"/>
                  <w:vAlign w:val="center"/>
                </w:tcPr>
                <w:p w14:paraId="5DFC309D">
                  <w:pPr>
                    <w:jc w:val="center"/>
                    <w:rPr>
                      <w:rFonts w:hint="eastAsia"/>
                      <w:sz w:val="21"/>
                    </w:rPr>
                  </w:pPr>
                  <w:r>
                    <w:rPr>
                      <w:rFonts w:hint="eastAsia"/>
                      <w:sz w:val="21"/>
                    </w:rPr>
                    <w:t>居民区</w:t>
                  </w:r>
                </w:p>
              </w:tc>
              <w:tc>
                <w:tcPr>
                  <w:tcW w:w="1467" w:type="pct"/>
                  <w:vMerge w:val="continue"/>
                  <w:tcBorders>
                    <w:left w:val="single" w:color="auto" w:sz="4" w:space="0"/>
                  </w:tcBorders>
                  <w:noWrap w:val="0"/>
                  <w:vAlign w:val="center"/>
                </w:tcPr>
                <w:p w14:paraId="610A565A">
                  <w:pPr>
                    <w:jc w:val="center"/>
                    <w:rPr>
                      <w:sz w:val="21"/>
                    </w:rPr>
                  </w:pPr>
                </w:p>
              </w:tc>
            </w:tr>
            <w:tr w14:paraId="3BAE278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85" w:type="dxa"/>
                  <w:bottom w:w="0" w:type="dxa"/>
                  <w:right w:w="85" w:type="dxa"/>
                </w:tblCellMar>
              </w:tblPrEx>
              <w:trPr>
                <w:trHeight w:val="167" w:hRule="atLeast"/>
                <w:jc w:val="center"/>
              </w:trPr>
              <w:tc>
                <w:tcPr>
                  <w:tcW w:w="511" w:type="pct"/>
                  <w:vMerge w:val="continue"/>
                  <w:noWrap w:val="0"/>
                  <w:vAlign w:val="center"/>
                </w:tcPr>
                <w:p w14:paraId="076D6014">
                  <w:pPr>
                    <w:jc w:val="center"/>
                    <w:rPr>
                      <w:sz w:val="21"/>
                    </w:rPr>
                  </w:pPr>
                </w:p>
              </w:tc>
              <w:tc>
                <w:tcPr>
                  <w:tcW w:w="1221" w:type="pct"/>
                  <w:tcBorders>
                    <w:top w:val="single" w:color="auto" w:sz="4" w:space="0"/>
                    <w:bottom w:val="single" w:color="auto" w:sz="4" w:space="0"/>
                    <w:right w:val="single" w:color="auto" w:sz="4" w:space="0"/>
                  </w:tcBorders>
                  <w:noWrap w:val="0"/>
                  <w:vAlign w:val="center"/>
                </w:tcPr>
                <w:p w14:paraId="6EC139A8">
                  <w:pPr>
                    <w:jc w:val="center"/>
                    <w:rPr>
                      <w:rFonts w:hint="default" w:eastAsia="宋体"/>
                      <w:sz w:val="21"/>
                      <w:lang w:val="en-US" w:eastAsia="zh-CN"/>
                    </w:rPr>
                  </w:pPr>
                  <w:r>
                    <w:rPr>
                      <w:rFonts w:hint="eastAsia"/>
                      <w:sz w:val="21"/>
                      <w:lang w:val="en-US" w:eastAsia="zh-CN"/>
                    </w:rPr>
                    <w:t>闽赋苑</w:t>
                  </w:r>
                </w:p>
              </w:tc>
              <w:tc>
                <w:tcPr>
                  <w:tcW w:w="392" w:type="pct"/>
                  <w:tcBorders>
                    <w:top w:val="single" w:color="auto" w:sz="4" w:space="0"/>
                    <w:left w:val="single" w:color="auto" w:sz="4" w:space="0"/>
                    <w:bottom w:val="single" w:color="auto" w:sz="4" w:space="0"/>
                    <w:right w:val="single" w:color="auto" w:sz="4" w:space="0"/>
                  </w:tcBorders>
                  <w:noWrap w:val="0"/>
                  <w:vAlign w:val="center"/>
                </w:tcPr>
                <w:p w14:paraId="3F11395E">
                  <w:pPr>
                    <w:jc w:val="center"/>
                    <w:rPr>
                      <w:rFonts w:hint="eastAsia" w:eastAsia="宋体"/>
                      <w:sz w:val="21"/>
                      <w:lang w:val="en-US" w:eastAsia="zh-CN"/>
                    </w:rPr>
                  </w:pPr>
                  <w:r>
                    <w:rPr>
                      <w:rFonts w:hint="eastAsia"/>
                      <w:sz w:val="21"/>
                      <w:lang w:val="en-US" w:eastAsia="zh-CN"/>
                    </w:rPr>
                    <w:t>西</w:t>
                  </w:r>
                </w:p>
              </w:tc>
              <w:tc>
                <w:tcPr>
                  <w:tcW w:w="635" w:type="pct"/>
                  <w:tcBorders>
                    <w:top w:val="single" w:color="auto" w:sz="4" w:space="0"/>
                    <w:left w:val="single" w:color="auto" w:sz="4" w:space="0"/>
                    <w:bottom w:val="single" w:color="auto" w:sz="4" w:space="0"/>
                    <w:right w:val="single" w:color="auto" w:sz="4" w:space="0"/>
                  </w:tcBorders>
                  <w:noWrap w:val="0"/>
                  <w:vAlign w:val="center"/>
                </w:tcPr>
                <w:p w14:paraId="5EFA8E78">
                  <w:pPr>
                    <w:jc w:val="center"/>
                    <w:rPr>
                      <w:rFonts w:hint="default" w:eastAsia="宋体"/>
                      <w:sz w:val="21"/>
                      <w:lang w:val="en-US" w:eastAsia="zh-CN"/>
                    </w:rPr>
                  </w:pPr>
                  <w:r>
                    <w:rPr>
                      <w:rFonts w:hint="eastAsia"/>
                      <w:sz w:val="21"/>
                      <w:lang w:val="en-US" w:eastAsia="zh-CN"/>
                    </w:rPr>
                    <w:t>370</w:t>
                  </w:r>
                </w:p>
              </w:tc>
              <w:tc>
                <w:tcPr>
                  <w:tcW w:w="772" w:type="pct"/>
                  <w:tcBorders>
                    <w:top w:val="single" w:color="auto" w:sz="4" w:space="0"/>
                    <w:left w:val="single" w:color="auto" w:sz="4" w:space="0"/>
                    <w:bottom w:val="single" w:color="auto" w:sz="4" w:space="0"/>
                    <w:right w:val="single" w:color="auto" w:sz="4" w:space="0"/>
                  </w:tcBorders>
                  <w:noWrap w:val="0"/>
                  <w:vAlign w:val="center"/>
                </w:tcPr>
                <w:p w14:paraId="0BEC4369">
                  <w:pPr>
                    <w:jc w:val="center"/>
                    <w:rPr>
                      <w:rFonts w:hint="eastAsia"/>
                      <w:sz w:val="21"/>
                    </w:rPr>
                  </w:pPr>
                  <w:r>
                    <w:rPr>
                      <w:rFonts w:hint="eastAsia"/>
                      <w:sz w:val="21"/>
                    </w:rPr>
                    <w:t>居民区</w:t>
                  </w:r>
                </w:p>
              </w:tc>
              <w:tc>
                <w:tcPr>
                  <w:tcW w:w="1467" w:type="pct"/>
                  <w:vMerge w:val="continue"/>
                  <w:tcBorders>
                    <w:left w:val="single" w:color="auto" w:sz="4" w:space="0"/>
                  </w:tcBorders>
                  <w:noWrap w:val="0"/>
                  <w:vAlign w:val="center"/>
                </w:tcPr>
                <w:p w14:paraId="60EDB310">
                  <w:pPr>
                    <w:jc w:val="center"/>
                    <w:rPr>
                      <w:sz w:val="21"/>
                    </w:rPr>
                  </w:pPr>
                </w:p>
              </w:tc>
            </w:tr>
            <w:tr w14:paraId="1CD7C60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85" w:type="dxa"/>
                  <w:bottom w:w="0" w:type="dxa"/>
                  <w:right w:w="85" w:type="dxa"/>
                </w:tblCellMar>
              </w:tblPrEx>
              <w:trPr>
                <w:trHeight w:val="167" w:hRule="atLeast"/>
                <w:jc w:val="center"/>
              </w:trPr>
              <w:tc>
                <w:tcPr>
                  <w:tcW w:w="511" w:type="pct"/>
                  <w:vMerge w:val="continue"/>
                  <w:noWrap w:val="0"/>
                  <w:vAlign w:val="center"/>
                </w:tcPr>
                <w:p w14:paraId="17C61035">
                  <w:pPr>
                    <w:jc w:val="center"/>
                    <w:rPr>
                      <w:sz w:val="21"/>
                    </w:rPr>
                  </w:pPr>
                </w:p>
              </w:tc>
              <w:tc>
                <w:tcPr>
                  <w:tcW w:w="1221" w:type="pct"/>
                  <w:tcBorders>
                    <w:top w:val="single" w:color="auto" w:sz="4" w:space="0"/>
                    <w:bottom w:val="single" w:color="auto" w:sz="4" w:space="0"/>
                    <w:right w:val="single" w:color="auto" w:sz="4" w:space="0"/>
                  </w:tcBorders>
                  <w:noWrap w:val="0"/>
                  <w:vAlign w:val="center"/>
                </w:tcPr>
                <w:p w14:paraId="4D81A306">
                  <w:pPr>
                    <w:jc w:val="center"/>
                    <w:rPr>
                      <w:rFonts w:hint="eastAsia"/>
                      <w:sz w:val="21"/>
                      <w:lang w:val="en-US" w:eastAsia="zh-CN"/>
                    </w:rPr>
                  </w:pPr>
                  <w:r>
                    <w:rPr>
                      <w:rFonts w:hint="eastAsia"/>
                      <w:sz w:val="21"/>
                      <w:lang w:val="en-US" w:eastAsia="zh-CN"/>
                    </w:rPr>
                    <w:t>名湖豪门</w:t>
                  </w:r>
                </w:p>
              </w:tc>
              <w:tc>
                <w:tcPr>
                  <w:tcW w:w="392" w:type="pct"/>
                  <w:tcBorders>
                    <w:top w:val="single" w:color="auto" w:sz="4" w:space="0"/>
                    <w:left w:val="single" w:color="auto" w:sz="4" w:space="0"/>
                    <w:bottom w:val="single" w:color="auto" w:sz="4" w:space="0"/>
                    <w:right w:val="single" w:color="auto" w:sz="4" w:space="0"/>
                  </w:tcBorders>
                  <w:noWrap w:val="0"/>
                  <w:vAlign w:val="center"/>
                </w:tcPr>
                <w:p w14:paraId="71FB87DC">
                  <w:pPr>
                    <w:jc w:val="center"/>
                    <w:rPr>
                      <w:rFonts w:hint="default"/>
                      <w:sz w:val="21"/>
                      <w:lang w:val="en-US" w:eastAsia="zh-CN"/>
                    </w:rPr>
                  </w:pPr>
                  <w:r>
                    <w:rPr>
                      <w:rFonts w:hint="eastAsia"/>
                      <w:sz w:val="21"/>
                      <w:lang w:val="en-US" w:eastAsia="zh-CN"/>
                    </w:rPr>
                    <w:t>西</w:t>
                  </w:r>
                </w:p>
              </w:tc>
              <w:tc>
                <w:tcPr>
                  <w:tcW w:w="635" w:type="pct"/>
                  <w:tcBorders>
                    <w:top w:val="single" w:color="auto" w:sz="4" w:space="0"/>
                    <w:left w:val="single" w:color="auto" w:sz="4" w:space="0"/>
                    <w:bottom w:val="single" w:color="auto" w:sz="4" w:space="0"/>
                    <w:right w:val="single" w:color="auto" w:sz="4" w:space="0"/>
                  </w:tcBorders>
                  <w:noWrap w:val="0"/>
                  <w:vAlign w:val="center"/>
                </w:tcPr>
                <w:p w14:paraId="1DDE9621">
                  <w:pPr>
                    <w:jc w:val="center"/>
                    <w:rPr>
                      <w:rFonts w:hint="default"/>
                      <w:sz w:val="21"/>
                      <w:lang w:val="en-US" w:eastAsia="zh-CN"/>
                    </w:rPr>
                  </w:pPr>
                  <w:r>
                    <w:rPr>
                      <w:rFonts w:hint="eastAsia"/>
                      <w:sz w:val="21"/>
                      <w:lang w:val="en-US" w:eastAsia="zh-CN"/>
                    </w:rPr>
                    <w:t>330</w:t>
                  </w:r>
                </w:p>
              </w:tc>
              <w:tc>
                <w:tcPr>
                  <w:tcW w:w="772" w:type="pct"/>
                  <w:tcBorders>
                    <w:top w:val="single" w:color="auto" w:sz="4" w:space="0"/>
                    <w:left w:val="single" w:color="auto" w:sz="4" w:space="0"/>
                    <w:bottom w:val="single" w:color="auto" w:sz="4" w:space="0"/>
                    <w:right w:val="single" w:color="auto" w:sz="4" w:space="0"/>
                  </w:tcBorders>
                  <w:noWrap w:val="0"/>
                  <w:vAlign w:val="center"/>
                </w:tcPr>
                <w:p w14:paraId="4783E2B3">
                  <w:pPr>
                    <w:jc w:val="center"/>
                    <w:rPr>
                      <w:rFonts w:hint="default" w:eastAsia="宋体"/>
                      <w:sz w:val="21"/>
                      <w:lang w:val="en-US" w:eastAsia="zh-CN"/>
                    </w:rPr>
                  </w:pPr>
                  <w:r>
                    <w:rPr>
                      <w:rFonts w:hint="eastAsia"/>
                      <w:sz w:val="21"/>
                      <w:lang w:val="en-US" w:eastAsia="zh-CN"/>
                    </w:rPr>
                    <w:t>居民区</w:t>
                  </w:r>
                </w:p>
              </w:tc>
              <w:tc>
                <w:tcPr>
                  <w:tcW w:w="1467" w:type="pct"/>
                  <w:vMerge w:val="continue"/>
                  <w:tcBorders>
                    <w:left w:val="single" w:color="auto" w:sz="4" w:space="0"/>
                  </w:tcBorders>
                  <w:noWrap w:val="0"/>
                  <w:vAlign w:val="center"/>
                </w:tcPr>
                <w:p w14:paraId="292B0EEC">
                  <w:pPr>
                    <w:jc w:val="center"/>
                    <w:rPr>
                      <w:sz w:val="21"/>
                    </w:rPr>
                  </w:pPr>
                </w:p>
              </w:tc>
            </w:tr>
            <w:tr w14:paraId="002C04C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85" w:type="dxa"/>
                  <w:bottom w:w="0" w:type="dxa"/>
                  <w:right w:w="85" w:type="dxa"/>
                </w:tblCellMar>
              </w:tblPrEx>
              <w:trPr>
                <w:trHeight w:val="120" w:hRule="atLeast"/>
                <w:jc w:val="center"/>
              </w:trPr>
              <w:tc>
                <w:tcPr>
                  <w:tcW w:w="511" w:type="pct"/>
                  <w:vMerge w:val="continue"/>
                  <w:noWrap w:val="0"/>
                  <w:vAlign w:val="center"/>
                </w:tcPr>
                <w:p w14:paraId="005D460B">
                  <w:pPr>
                    <w:jc w:val="center"/>
                    <w:rPr>
                      <w:sz w:val="21"/>
                    </w:rPr>
                  </w:pPr>
                </w:p>
              </w:tc>
              <w:tc>
                <w:tcPr>
                  <w:tcW w:w="1221" w:type="pct"/>
                  <w:tcBorders>
                    <w:top w:val="single" w:color="auto" w:sz="4" w:space="0"/>
                    <w:bottom w:val="single" w:color="auto" w:sz="4" w:space="0"/>
                    <w:right w:val="single" w:color="auto" w:sz="4" w:space="0"/>
                  </w:tcBorders>
                  <w:noWrap w:val="0"/>
                  <w:vAlign w:val="center"/>
                </w:tcPr>
                <w:p w14:paraId="6897C97D">
                  <w:pPr>
                    <w:jc w:val="center"/>
                    <w:rPr>
                      <w:rFonts w:hint="default" w:eastAsia="宋体"/>
                      <w:sz w:val="21"/>
                      <w:lang w:val="en-US" w:eastAsia="zh-CN"/>
                    </w:rPr>
                  </w:pPr>
                  <w:r>
                    <w:rPr>
                      <w:rFonts w:hint="eastAsia"/>
                      <w:sz w:val="21"/>
                      <w:lang w:val="en-US" w:eastAsia="zh-CN"/>
                    </w:rPr>
                    <w:t>省林业厅宿舍</w:t>
                  </w:r>
                </w:p>
              </w:tc>
              <w:tc>
                <w:tcPr>
                  <w:tcW w:w="392" w:type="pct"/>
                  <w:tcBorders>
                    <w:top w:val="single" w:color="auto" w:sz="4" w:space="0"/>
                    <w:left w:val="single" w:color="auto" w:sz="4" w:space="0"/>
                    <w:bottom w:val="single" w:color="auto" w:sz="4" w:space="0"/>
                    <w:right w:val="single" w:color="auto" w:sz="4" w:space="0"/>
                  </w:tcBorders>
                  <w:noWrap w:val="0"/>
                  <w:vAlign w:val="center"/>
                </w:tcPr>
                <w:p w14:paraId="44BE3F2D">
                  <w:pPr>
                    <w:jc w:val="center"/>
                    <w:rPr>
                      <w:rFonts w:hint="eastAsia" w:eastAsia="宋体"/>
                      <w:sz w:val="21"/>
                      <w:lang w:val="en-US" w:eastAsia="zh-CN"/>
                    </w:rPr>
                  </w:pPr>
                  <w:r>
                    <w:rPr>
                      <w:rFonts w:hint="eastAsia"/>
                      <w:sz w:val="21"/>
                      <w:lang w:val="en-US" w:eastAsia="zh-CN"/>
                    </w:rPr>
                    <w:t>西南</w:t>
                  </w:r>
                </w:p>
              </w:tc>
              <w:tc>
                <w:tcPr>
                  <w:tcW w:w="635" w:type="pct"/>
                  <w:tcBorders>
                    <w:top w:val="single" w:color="auto" w:sz="4" w:space="0"/>
                    <w:left w:val="single" w:color="auto" w:sz="4" w:space="0"/>
                    <w:bottom w:val="single" w:color="auto" w:sz="4" w:space="0"/>
                    <w:right w:val="single" w:color="auto" w:sz="4" w:space="0"/>
                  </w:tcBorders>
                  <w:noWrap w:val="0"/>
                  <w:vAlign w:val="center"/>
                </w:tcPr>
                <w:p w14:paraId="18FFD361">
                  <w:pPr>
                    <w:jc w:val="center"/>
                    <w:rPr>
                      <w:rFonts w:hint="default" w:eastAsia="宋体"/>
                      <w:sz w:val="21"/>
                      <w:lang w:val="en-US" w:eastAsia="zh-CN"/>
                    </w:rPr>
                  </w:pPr>
                  <w:r>
                    <w:rPr>
                      <w:rFonts w:hint="eastAsia"/>
                      <w:sz w:val="21"/>
                      <w:lang w:val="en-US" w:eastAsia="zh-CN"/>
                    </w:rPr>
                    <w:t>150</w:t>
                  </w:r>
                </w:p>
              </w:tc>
              <w:tc>
                <w:tcPr>
                  <w:tcW w:w="772" w:type="pct"/>
                  <w:tcBorders>
                    <w:top w:val="single" w:color="auto" w:sz="4" w:space="0"/>
                    <w:left w:val="single" w:color="auto" w:sz="4" w:space="0"/>
                    <w:bottom w:val="single" w:color="auto" w:sz="4" w:space="0"/>
                    <w:right w:val="single" w:color="auto" w:sz="4" w:space="0"/>
                  </w:tcBorders>
                  <w:noWrap w:val="0"/>
                  <w:vAlign w:val="center"/>
                </w:tcPr>
                <w:p w14:paraId="415F9BE8">
                  <w:pPr>
                    <w:jc w:val="center"/>
                    <w:rPr>
                      <w:rFonts w:hint="default" w:eastAsia="宋体"/>
                      <w:sz w:val="21"/>
                      <w:lang w:val="en-US" w:eastAsia="zh-CN"/>
                    </w:rPr>
                  </w:pPr>
                  <w:r>
                    <w:rPr>
                      <w:rFonts w:hint="eastAsia"/>
                      <w:sz w:val="21"/>
                      <w:lang w:val="en-US" w:eastAsia="zh-CN"/>
                    </w:rPr>
                    <w:t>居民区</w:t>
                  </w:r>
                </w:p>
              </w:tc>
              <w:tc>
                <w:tcPr>
                  <w:tcW w:w="1467" w:type="pct"/>
                  <w:vMerge w:val="continue"/>
                  <w:tcBorders>
                    <w:left w:val="single" w:color="auto" w:sz="4" w:space="0"/>
                  </w:tcBorders>
                  <w:noWrap w:val="0"/>
                  <w:vAlign w:val="center"/>
                </w:tcPr>
                <w:p w14:paraId="0DF9D512">
                  <w:pPr>
                    <w:jc w:val="center"/>
                    <w:rPr>
                      <w:sz w:val="21"/>
                    </w:rPr>
                  </w:pPr>
                </w:p>
              </w:tc>
            </w:tr>
            <w:tr w14:paraId="5B2719D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85" w:type="dxa"/>
                  <w:bottom w:w="0" w:type="dxa"/>
                  <w:right w:w="85" w:type="dxa"/>
                </w:tblCellMar>
              </w:tblPrEx>
              <w:trPr>
                <w:trHeight w:val="120" w:hRule="atLeast"/>
                <w:jc w:val="center"/>
              </w:trPr>
              <w:tc>
                <w:tcPr>
                  <w:tcW w:w="511" w:type="pct"/>
                  <w:vMerge w:val="continue"/>
                  <w:noWrap w:val="0"/>
                  <w:vAlign w:val="center"/>
                </w:tcPr>
                <w:p w14:paraId="40488582">
                  <w:pPr>
                    <w:jc w:val="center"/>
                    <w:rPr>
                      <w:sz w:val="21"/>
                    </w:rPr>
                  </w:pPr>
                </w:p>
              </w:tc>
              <w:tc>
                <w:tcPr>
                  <w:tcW w:w="1221" w:type="pct"/>
                  <w:tcBorders>
                    <w:top w:val="single" w:color="auto" w:sz="4" w:space="0"/>
                    <w:bottom w:val="single" w:color="auto" w:sz="4" w:space="0"/>
                    <w:right w:val="single" w:color="auto" w:sz="4" w:space="0"/>
                  </w:tcBorders>
                  <w:noWrap w:val="0"/>
                  <w:vAlign w:val="center"/>
                </w:tcPr>
                <w:p w14:paraId="62F3AA3F">
                  <w:pPr>
                    <w:jc w:val="center"/>
                    <w:rPr>
                      <w:rFonts w:hint="default"/>
                      <w:sz w:val="21"/>
                      <w:lang w:val="en-US" w:eastAsia="zh-CN"/>
                    </w:rPr>
                  </w:pPr>
                  <w:r>
                    <w:rPr>
                      <w:rFonts w:hint="eastAsia"/>
                      <w:sz w:val="21"/>
                      <w:lang w:val="en-US" w:eastAsia="zh-CN"/>
                    </w:rPr>
                    <w:t>武夷花园</w:t>
                  </w:r>
                </w:p>
              </w:tc>
              <w:tc>
                <w:tcPr>
                  <w:tcW w:w="392" w:type="pct"/>
                  <w:tcBorders>
                    <w:top w:val="single" w:color="auto" w:sz="4" w:space="0"/>
                    <w:left w:val="single" w:color="auto" w:sz="4" w:space="0"/>
                    <w:bottom w:val="single" w:color="auto" w:sz="4" w:space="0"/>
                    <w:right w:val="single" w:color="auto" w:sz="4" w:space="0"/>
                  </w:tcBorders>
                  <w:noWrap w:val="0"/>
                  <w:vAlign w:val="center"/>
                </w:tcPr>
                <w:p w14:paraId="77897ECF">
                  <w:pPr>
                    <w:jc w:val="center"/>
                    <w:rPr>
                      <w:rFonts w:hint="default"/>
                      <w:sz w:val="21"/>
                      <w:lang w:val="en-US" w:eastAsia="zh-CN"/>
                    </w:rPr>
                  </w:pPr>
                  <w:r>
                    <w:rPr>
                      <w:rFonts w:hint="eastAsia"/>
                      <w:sz w:val="21"/>
                      <w:lang w:val="en-US" w:eastAsia="zh-CN"/>
                    </w:rPr>
                    <w:t>南</w:t>
                  </w:r>
                </w:p>
              </w:tc>
              <w:tc>
                <w:tcPr>
                  <w:tcW w:w="635" w:type="pct"/>
                  <w:tcBorders>
                    <w:top w:val="single" w:color="auto" w:sz="4" w:space="0"/>
                    <w:left w:val="single" w:color="auto" w:sz="4" w:space="0"/>
                    <w:bottom w:val="single" w:color="auto" w:sz="4" w:space="0"/>
                    <w:right w:val="single" w:color="auto" w:sz="4" w:space="0"/>
                  </w:tcBorders>
                  <w:noWrap w:val="0"/>
                  <w:vAlign w:val="center"/>
                </w:tcPr>
                <w:p w14:paraId="2EEF0D59">
                  <w:pPr>
                    <w:jc w:val="center"/>
                    <w:rPr>
                      <w:rFonts w:hint="default"/>
                      <w:sz w:val="21"/>
                      <w:lang w:val="en-US" w:eastAsia="zh-CN"/>
                    </w:rPr>
                  </w:pPr>
                  <w:r>
                    <w:rPr>
                      <w:rFonts w:hint="eastAsia"/>
                      <w:sz w:val="21"/>
                      <w:lang w:val="en-US" w:eastAsia="zh-CN"/>
                    </w:rPr>
                    <w:t>33</w:t>
                  </w:r>
                </w:p>
              </w:tc>
              <w:tc>
                <w:tcPr>
                  <w:tcW w:w="772" w:type="pct"/>
                  <w:tcBorders>
                    <w:top w:val="single" w:color="auto" w:sz="4" w:space="0"/>
                    <w:left w:val="single" w:color="auto" w:sz="4" w:space="0"/>
                    <w:bottom w:val="single" w:color="auto" w:sz="4" w:space="0"/>
                    <w:right w:val="single" w:color="auto" w:sz="4" w:space="0"/>
                  </w:tcBorders>
                  <w:noWrap w:val="0"/>
                  <w:vAlign w:val="center"/>
                </w:tcPr>
                <w:p w14:paraId="513CA79A">
                  <w:pPr>
                    <w:jc w:val="center"/>
                    <w:rPr>
                      <w:rFonts w:hint="default"/>
                      <w:sz w:val="21"/>
                      <w:lang w:val="en-US" w:eastAsia="zh-CN"/>
                    </w:rPr>
                  </w:pPr>
                  <w:r>
                    <w:rPr>
                      <w:rFonts w:hint="eastAsia"/>
                      <w:sz w:val="21"/>
                      <w:lang w:val="en-US" w:eastAsia="zh-CN"/>
                    </w:rPr>
                    <w:t>居民区</w:t>
                  </w:r>
                </w:p>
              </w:tc>
              <w:tc>
                <w:tcPr>
                  <w:tcW w:w="1467" w:type="pct"/>
                  <w:vMerge w:val="continue"/>
                  <w:tcBorders>
                    <w:left w:val="single" w:color="auto" w:sz="4" w:space="0"/>
                  </w:tcBorders>
                  <w:noWrap w:val="0"/>
                  <w:vAlign w:val="center"/>
                </w:tcPr>
                <w:p w14:paraId="7E0CEA93">
                  <w:pPr>
                    <w:jc w:val="center"/>
                    <w:rPr>
                      <w:sz w:val="21"/>
                    </w:rPr>
                  </w:pPr>
                </w:p>
              </w:tc>
            </w:tr>
            <w:tr w14:paraId="7F6D606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85" w:type="dxa"/>
                  <w:bottom w:w="0" w:type="dxa"/>
                  <w:right w:w="85" w:type="dxa"/>
                </w:tblCellMar>
              </w:tblPrEx>
              <w:trPr>
                <w:trHeight w:val="120" w:hRule="atLeast"/>
                <w:jc w:val="center"/>
              </w:trPr>
              <w:tc>
                <w:tcPr>
                  <w:tcW w:w="511" w:type="pct"/>
                  <w:vMerge w:val="continue"/>
                  <w:noWrap w:val="0"/>
                  <w:vAlign w:val="center"/>
                </w:tcPr>
                <w:p w14:paraId="7F24CB2E">
                  <w:pPr>
                    <w:jc w:val="center"/>
                    <w:rPr>
                      <w:sz w:val="21"/>
                    </w:rPr>
                  </w:pPr>
                </w:p>
              </w:tc>
              <w:tc>
                <w:tcPr>
                  <w:tcW w:w="1221" w:type="pct"/>
                  <w:tcBorders>
                    <w:top w:val="single" w:color="auto" w:sz="4" w:space="0"/>
                    <w:bottom w:val="single" w:color="auto" w:sz="4" w:space="0"/>
                    <w:right w:val="single" w:color="auto" w:sz="4" w:space="0"/>
                  </w:tcBorders>
                  <w:noWrap w:val="0"/>
                  <w:vAlign w:val="center"/>
                </w:tcPr>
                <w:p w14:paraId="54F1C112">
                  <w:pPr>
                    <w:jc w:val="center"/>
                    <w:rPr>
                      <w:rFonts w:hint="default" w:eastAsia="宋体"/>
                      <w:sz w:val="21"/>
                      <w:lang w:val="en-US" w:eastAsia="zh-CN"/>
                    </w:rPr>
                  </w:pPr>
                  <w:r>
                    <w:rPr>
                      <w:rFonts w:hint="eastAsia"/>
                      <w:sz w:val="21"/>
                      <w:lang w:val="en-US" w:eastAsia="zh-CN"/>
                    </w:rPr>
                    <w:t>尚林苑</w:t>
                  </w:r>
                </w:p>
              </w:tc>
              <w:tc>
                <w:tcPr>
                  <w:tcW w:w="392" w:type="pct"/>
                  <w:tcBorders>
                    <w:top w:val="single" w:color="auto" w:sz="4" w:space="0"/>
                    <w:left w:val="single" w:color="auto" w:sz="4" w:space="0"/>
                    <w:bottom w:val="single" w:color="auto" w:sz="4" w:space="0"/>
                    <w:right w:val="single" w:color="auto" w:sz="4" w:space="0"/>
                  </w:tcBorders>
                  <w:noWrap w:val="0"/>
                  <w:vAlign w:val="center"/>
                </w:tcPr>
                <w:p w14:paraId="544C0419">
                  <w:pPr>
                    <w:jc w:val="center"/>
                    <w:rPr>
                      <w:rFonts w:hint="eastAsia" w:eastAsia="宋体"/>
                      <w:sz w:val="21"/>
                      <w:lang w:val="en-US" w:eastAsia="zh-CN"/>
                    </w:rPr>
                  </w:pPr>
                  <w:r>
                    <w:rPr>
                      <w:rFonts w:hint="eastAsia"/>
                      <w:sz w:val="21"/>
                      <w:lang w:val="en-US" w:eastAsia="zh-CN"/>
                    </w:rPr>
                    <w:t>东南</w:t>
                  </w:r>
                </w:p>
              </w:tc>
              <w:tc>
                <w:tcPr>
                  <w:tcW w:w="635" w:type="pct"/>
                  <w:tcBorders>
                    <w:top w:val="single" w:color="auto" w:sz="4" w:space="0"/>
                    <w:left w:val="single" w:color="auto" w:sz="4" w:space="0"/>
                    <w:bottom w:val="single" w:color="auto" w:sz="4" w:space="0"/>
                    <w:right w:val="single" w:color="auto" w:sz="4" w:space="0"/>
                  </w:tcBorders>
                  <w:noWrap w:val="0"/>
                  <w:vAlign w:val="center"/>
                </w:tcPr>
                <w:p w14:paraId="408A96F3">
                  <w:pPr>
                    <w:jc w:val="center"/>
                    <w:rPr>
                      <w:rFonts w:hint="default" w:eastAsia="宋体"/>
                      <w:sz w:val="21"/>
                      <w:lang w:val="en-US" w:eastAsia="zh-CN"/>
                    </w:rPr>
                  </w:pPr>
                  <w:r>
                    <w:rPr>
                      <w:rFonts w:hint="eastAsia"/>
                      <w:sz w:val="21"/>
                      <w:lang w:val="en-US" w:eastAsia="zh-CN"/>
                    </w:rPr>
                    <w:t>290</w:t>
                  </w:r>
                </w:p>
              </w:tc>
              <w:tc>
                <w:tcPr>
                  <w:tcW w:w="772" w:type="pct"/>
                  <w:tcBorders>
                    <w:top w:val="single" w:color="auto" w:sz="4" w:space="0"/>
                    <w:left w:val="single" w:color="auto" w:sz="4" w:space="0"/>
                    <w:bottom w:val="single" w:color="auto" w:sz="4" w:space="0"/>
                    <w:right w:val="single" w:color="auto" w:sz="4" w:space="0"/>
                  </w:tcBorders>
                  <w:noWrap w:val="0"/>
                  <w:vAlign w:val="center"/>
                </w:tcPr>
                <w:p w14:paraId="5BF75F14">
                  <w:pPr>
                    <w:jc w:val="center"/>
                    <w:rPr>
                      <w:rFonts w:hint="default" w:eastAsia="宋体"/>
                      <w:sz w:val="21"/>
                      <w:lang w:val="en-US" w:eastAsia="zh-CN"/>
                    </w:rPr>
                  </w:pPr>
                  <w:r>
                    <w:rPr>
                      <w:rFonts w:hint="eastAsia"/>
                      <w:sz w:val="21"/>
                      <w:lang w:val="en-US" w:eastAsia="zh-CN"/>
                    </w:rPr>
                    <w:t>居民区</w:t>
                  </w:r>
                </w:p>
              </w:tc>
              <w:tc>
                <w:tcPr>
                  <w:tcW w:w="1467" w:type="pct"/>
                  <w:vMerge w:val="continue"/>
                  <w:tcBorders>
                    <w:left w:val="single" w:color="auto" w:sz="4" w:space="0"/>
                  </w:tcBorders>
                  <w:noWrap w:val="0"/>
                  <w:vAlign w:val="center"/>
                </w:tcPr>
                <w:p w14:paraId="1F08848B">
                  <w:pPr>
                    <w:jc w:val="center"/>
                    <w:rPr>
                      <w:sz w:val="21"/>
                    </w:rPr>
                  </w:pPr>
                </w:p>
              </w:tc>
            </w:tr>
            <w:tr w14:paraId="538962F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85" w:type="dxa"/>
                  <w:bottom w:w="0" w:type="dxa"/>
                  <w:right w:w="85" w:type="dxa"/>
                </w:tblCellMar>
              </w:tblPrEx>
              <w:trPr>
                <w:trHeight w:val="120" w:hRule="atLeast"/>
                <w:jc w:val="center"/>
              </w:trPr>
              <w:tc>
                <w:tcPr>
                  <w:tcW w:w="511" w:type="pct"/>
                  <w:vMerge w:val="continue"/>
                  <w:noWrap w:val="0"/>
                  <w:vAlign w:val="center"/>
                </w:tcPr>
                <w:p w14:paraId="3160EC25">
                  <w:pPr>
                    <w:jc w:val="center"/>
                    <w:rPr>
                      <w:sz w:val="21"/>
                    </w:rPr>
                  </w:pPr>
                </w:p>
              </w:tc>
              <w:tc>
                <w:tcPr>
                  <w:tcW w:w="1221" w:type="pct"/>
                  <w:tcBorders>
                    <w:top w:val="single" w:color="auto" w:sz="4" w:space="0"/>
                    <w:bottom w:val="single" w:color="auto" w:sz="4" w:space="0"/>
                    <w:right w:val="single" w:color="auto" w:sz="4" w:space="0"/>
                  </w:tcBorders>
                  <w:noWrap w:val="0"/>
                  <w:vAlign w:val="center"/>
                </w:tcPr>
                <w:p w14:paraId="2192A45F">
                  <w:pPr>
                    <w:jc w:val="center"/>
                    <w:rPr>
                      <w:rFonts w:hint="default" w:eastAsia="宋体"/>
                      <w:sz w:val="21"/>
                      <w:lang w:val="en-US" w:eastAsia="zh-CN"/>
                    </w:rPr>
                  </w:pPr>
                  <w:r>
                    <w:rPr>
                      <w:rFonts w:hint="eastAsia"/>
                      <w:sz w:val="21"/>
                      <w:lang w:val="en-US" w:eastAsia="zh-CN"/>
                    </w:rPr>
                    <w:t>天盛小区</w:t>
                  </w:r>
                </w:p>
              </w:tc>
              <w:tc>
                <w:tcPr>
                  <w:tcW w:w="392" w:type="pct"/>
                  <w:tcBorders>
                    <w:top w:val="single" w:color="auto" w:sz="4" w:space="0"/>
                    <w:left w:val="single" w:color="auto" w:sz="4" w:space="0"/>
                    <w:bottom w:val="single" w:color="auto" w:sz="4" w:space="0"/>
                    <w:right w:val="single" w:color="auto" w:sz="4" w:space="0"/>
                  </w:tcBorders>
                  <w:noWrap w:val="0"/>
                  <w:vAlign w:val="center"/>
                </w:tcPr>
                <w:p w14:paraId="124E0893">
                  <w:pPr>
                    <w:jc w:val="center"/>
                    <w:rPr>
                      <w:rFonts w:hint="eastAsia" w:eastAsia="宋体"/>
                      <w:sz w:val="21"/>
                      <w:lang w:val="en-US" w:eastAsia="zh-CN"/>
                    </w:rPr>
                  </w:pPr>
                  <w:r>
                    <w:rPr>
                      <w:rFonts w:hint="eastAsia"/>
                      <w:sz w:val="21"/>
                      <w:lang w:val="en-US" w:eastAsia="zh-CN"/>
                    </w:rPr>
                    <w:t>南</w:t>
                  </w:r>
                </w:p>
              </w:tc>
              <w:tc>
                <w:tcPr>
                  <w:tcW w:w="635" w:type="pct"/>
                  <w:tcBorders>
                    <w:top w:val="single" w:color="auto" w:sz="4" w:space="0"/>
                    <w:left w:val="single" w:color="auto" w:sz="4" w:space="0"/>
                    <w:bottom w:val="single" w:color="auto" w:sz="4" w:space="0"/>
                    <w:right w:val="single" w:color="auto" w:sz="4" w:space="0"/>
                  </w:tcBorders>
                  <w:noWrap w:val="0"/>
                  <w:vAlign w:val="center"/>
                </w:tcPr>
                <w:p w14:paraId="015FE39C">
                  <w:pPr>
                    <w:jc w:val="center"/>
                    <w:rPr>
                      <w:rFonts w:hint="default" w:eastAsia="宋体"/>
                      <w:sz w:val="21"/>
                      <w:lang w:val="en-US" w:eastAsia="zh-CN"/>
                    </w:rPr>
                  </w:pPr>
                  <w:r>
                    <w:rPr>
                      <w:rFonts w:hint="eastAsia"/>
                      <w:sz w:val="21"/>
                      <w:lang w:val="en-US" w:eastAsia="zh-CN"/>
                    </w:rPr>
                    <w:t>205</w:t>
                  </w:r>
                </w:p>
              </w:tc>
              <w:tc>
                <w:tcPr>
                  <w:tcW w:w="772" w:type="pct"/>
                  <w:tcBorders>
                    <w:top w:val="single" w:color="auto" w:sz="4" w:space="0"/>
                    <w:left w:val="single" w:color="auto" w:sz="4" w:space="0"/>
                    <w:bottom w:val="single" w:color="auto" w:sz="4" w:space="0"/>
                    <w:right w:val="single" w:color="auto" w:sz="4" w:space="0"/>
                  </w:tcBorders>
                  <w:noWrap w:val="0"/>
                  <w:vAlign w:val="center"/>
                </w:tcPr>
                <w:p w14:paraId="3B3B7A44">
                  <w:pPr>
                    <w:jc w:val="center"/>
                    <w:rPr>
                      <w:rFonts w:hint="default" w:eastAsia="宋体"/>
                      <w:sz w:val="21"/>
                      <w:lang w:val="en-US" w:eastAsia="zh-CN"/>
                    </w:rPr>
                  </w:pPr>
                  <w:r>
                    <w:rPr>
                      <w:rFonts w:hint="eastAsia"/>
                      <w:sz w:val="21"/>
                      <w:lang w:val="en-US" w:eastAsia="zh-CN"/>
                    </w:rPr>
                    <w:t>居民区</w:t>
                  </w:r>
                </w:p>
              </w:tc>
              <w:tc>
                <w:tcPr>
                  <w:tcW w:w="1467" w:type="pct"/>
                  <w:vMerge w:val="continue"/>
                  <w:tcBorders>
                    <w:left w:val="single" w:color="auto" w:sz="4" w:space="0"/>
                  </w:tcBorders>
                  <w:noWrap w:val="0"/>
                  <w:vAlign w:val="center"/>
                </w:tcPr>
                <w:p w14:paraId="25998D1D">
                  <w:pPr>
                    <w:jc w:val="center"/>
                    <w:rPr>
                      <w:sz w:val="21"/>
                    </w:rPr>
                  </w:pPr>
                </w:p>
              </w:tc>
            </w:tr>
            <w:tr w14:paraId="26B1228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85" w:type="dxa"/>
                  <w:bottom w:w="0" w:type="dxa"/>
                  <w:right w:w="85" w:type="dxa"/>
                </w:tblCellMar>
              </w:tblPrEx>
              <w:trPr>
                <w:trHeight w:val="120" w:hRule="atLeast"/>
                <w:jc w:val="center"/>
              </w:trPr>
              <w:tc>
                <w:tcPr>
                  <w:tcW w:w="511" w:type="pct"/>
                  <w:vMerge w:val="continue"/>
                  <w:noWrap w:val="0"/>
                  <w:vAlign w:val="center"/>
                </w:tcPr>
                <w:p w14:paraId="7EB9798F">
                  <w:pPr>
                    <w:jc w:val="center"/>
                    <w:rPr>
                      <w:sz w:val="21"/>
                    </w:rPr>
                  </w:pPr>
                </w:p>
              </w:tc>
              <w:tc>
                <w:tcPr>
                  <w:tcW w:w="1221" w:type="pct"/>
                  <w:tcBorders>
                    <w:top w:val="single" w:color="auto" w:sz="4" w:space="0"/>
                    <w:bottom w:val="single" w:color="auto" w:sz="4" w:space="0"/>
                    <w:right w:val="single" w:color="auto" w:sz="4" w:space="0"/>
                  </w:tcBorders>
                  <w:noWrap w:val="0"/>
                  <w:vAlign w:val="center"/>
                </w:tcPr>
                <w:p w14:paraId="27075531">
                  <w:pPr>
                    <w:jc w:val="center"/>
                    <w:rPr>
                      <w:rFonts w:hint="default" w:eastAsia="宋体"/>
                      <w:sz w:val="21"/>
                      <w:lang w:val="en-US" w:eastAsia="zh-CN"/>
                    </w:rPr>
                  </w:pPr>
                  <w:r>
                    <w:rPr>
                      <w:rFonts w:hint="eastAsia"/>
                      <w:sz w:val="21"/>
                      <w:lang w:val="en-US" w:eastAsia="zh-CN"/>
                    </w:rPr>
                    <w:t>衣锦华庭一期</w:t>
                  </w:r>
                </w:p>
              </w:tc>
              <w:tc>
                <w:tcPr>
                  <w:tcW w:w="392" w:type="pct"/>
                  <w:tcBorders>
                    <w:top w:val="single" w:color="auto" w:sz="4" w:space="0"/>
                    <w:left w:val="single" w:color="auto" w:sz="4" w:space="0"/>
                    <w:bottom w:val="single" w:color="auto" w:sz="4" w:space="0"/>
                    <w:right w:val="single" w:color="auto" w:sz="4" w:space="0"/>
                  </w:tcBorders>
                  <w:noWrap w:val="0"/>
                  <w:vAlign w:val="center"/>
                </w:tcPr>
                <w:p w14:paraId="7E0AD605">
                  <w:pPr>
                    <w:jc w:val="center"/>
                    <w:rPr>
                      <w:rFonts w:hint="eastAsia" w:eastAsia="宋体"/>
                      <w:sz w:val="21"/>
                      <w:lang w:val="en-US" w:eastAsia="zh-CN"/>
                    </w:rPr>
                  </w:pPr>
                  <w:r>
                    <w:rPr>
                      <w:rFonts w:hint="eastAsia"/>
                      <w:sz w:val="21"/>
                      <w:lang w:val="en-US" w:eastAsia="zh-CN"/>
                    </w:rPr>
                    <w:t>东南</w:t>
                  </w:r>
                </w:p>
              </w:tc>
              <w:tc>
                <w:tcPr>
                  <w:tcW w:w="635" w:type="pct"/>
                  <w:tcBorders>
                    <w:top w:val="single" w:color="auto" w:sz="4" w:space="0"/>
                    <w:left w:val="single" w:color="auto" w:sz="4" w:space="0"/>
                    <w:bottom w:val="single" w:color="auto" w:sz="4" w:space="0"/>
                    <w:right w:val="single" w:color="auto" w:sz="4" w:space="0"/>
                  </w:tcBorders>
                  <w:noWrap w:val="0"/>
                  <w:vAlign w:val="center"/>
                </w:tcPr>
                <w:p w14:paraId="14DDA7E4">
                  <w:pPr>
                    <w:jc w:val="center"/>
                    <w:rPr>
                      <w:rFonts w:hint="default" w:eastAsia="宋体"/>
                      <w:sz w:val="21"/>
                      <w:lang w:val="en-US" w:eastAsia="zh-CN"/>
                    </w:rPr>
                  </w:pPr>
                  <w:r>
                    <w:rPr>
                      <w:rFonts w:hint="eastAsia"/>
                      <w:sz w:val="21"/>
                      <w:lang w:val="en-US" w:eastAsia="zh-CN"/>
                    </w:rPr>
                    <w:t>400</w:t>
                  </w:r>
                </w:p>
              </w:tc>
              <w:tc>
                <w:tcPr>
                  <w:tcW w:w="772" w:type="pct"/>
                  <w:tcBorders>
                    <w:top w:val="single" w:color="auto" w:sz="4" w:space="0"/>
                    <w:left w:val="single" w:color="auto" w:sz="4" w:space="0"/>
                    <w:bottom w:val="single" w:color="auto" w:sz="4" w:space="0"/>
                    <w:right w:val="single" w:color="auto" w:sz="4" w:space="0"/>
                  </w:tcBorders>
                  <w:noWrap w:val="0"/>
                  <w:vAlign w:val="center"/>
                </w:tcPr>
                <w:p w14:paraId="6C67245E">
                  <w:pPr>
                    <w:jc w:val="center"/>
                    <w:rPr>
                      <w:rFonts w:hint="default" w:eastAsia="宋体"/>
                      <w:sz w:val="21"/>
                      <w:lang w:val="en-US" w:eastAsia="zh-CN"/>
                    </w:rPr>
                  </w:pPr>
                  <w:r>
                    <w:rPr>
                      <w:rFonts w:hint="eastAsia"/>
                      <w:sz w:val="21"/>
                      <w:lang w:val="en-US" w:eastAsia="zh-CN"/>
                    </w:rPr>
                    <w:t>居民区</w:t>
                  </w:r>
                </w:p>
              </w:tc>
              <w:tc>
                <w:tcPr>
                  <w:tcW w:w="1467" w:type="pct"/>
                  <w:vMerge w:val="continue"/>
                  <w:tcBorders>
                    <w:left w:val="single" w:color="auto" w:sz="4" w:space="0"/>
                  </w:tcBorders>
                  <w:noWrap w:val="0"/>
                  <w:vAlign w:val="center"/>
                </w:tcPr>
                <w:p w14:paraId="197F3762">
                  <w:pPr>
                    <w:jc w:val="center"/>
                    <w:rPr>
                      <w:sz w:val="21"/>
                    </w:rPr>
                  </w:pPr>
                </w:p>
              </w:tc>
            </w:tr>
            <w:tr w14:paraId="3D7CF08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85" w:type="dxa"/>
                  <w:bottom w:w="0" w:type="dxa"/>
                  <w:right w:w="85" w:type="dxa"/>
                </w:tblCellMar>
              </w:tblPrEx>
              <w:trPr>
                <w:trHeight w:val="120" w:hRule="atLeast"/>
                <w:jc w:val="center"/>
              </w:trPr>
              <w:tc>
                <w:tcPr>
                  <w:tcW w:w="511" w:type="pct"/>
                  <w:vMerge w:val="continue"/>
                  <w:noWrap w:val="0"/>
                  <w:vAlign w:val="center"/>
                </w:tcPr>
                <w:p w14:paraId="76E86204">
                  <w:pPr>
                    <w:jc w:val="center"/>
                    <w:rPr>
                      <w:sz w:val="21"/>
                    </w:rPr>
                  </w:pPr>
                </w:p>
              </w:tc>
              <w:tc>
                <w:tcPr>
                  <w:tcW w:w="1221" w:type="pct"/>
                  <w:tcBorders>
                    <w:top w:val="single" w:color="auto" w:sz="4" w:space="0"/>
                    <w:bottom w:val="single" w:color="auto" w:sz="4" w:space="0"/>
                    <w:right w:val="single" w:color="auto" w:sz="4" w:space="0"/>
                  </w:tcBorders>
                  <w:noWrap w:val="0"/>
                  <w:vAlign w:val="center"/>
                </w:tcPr>
                <w:p w14:paraId="164C6250">
                  <w:pPr>
                    <w:jc w:val="center"/>
                    <w:rPr>
                      <w:rFonts w:hint="default" w:eastAsia="宋体"/>
                      <w:sz w:val="21"/>
                      <w:lang w:val="en-US" w:eastAsia="zh-CN"/>
                    </w:rPr>
                  </w:pPr>
                  <w:r>
                    <w:rPr>
                      <w:rFonts w:hint="eastAsia"/>
                      <w:sz w:val="21"/>
                      <w:lang w:val="en-US" w:eastAsia="zh-CN"/>
                    </w:rPr>
                    <w:t>芍园公寓</w:t>
                  </w:r>
                </w:p>
              </w:tc>
              <w:tc>
                <w:tcPr>
                  <w:tcW w:w="392" w:type="pct"/>
                  <w:tcBorders>
                    <w:top w:val="single" w:color="auto" w:sz="4" w:space="0"/>
                    <w:left w:val="single" w:color="auto" w:sz="4" w:space="0"/>
                    <w:bottom w:val="single" w:color="auto" w:sz="4" w:space="0"/>
                    <w:right w:val="single" w:color="auto" w:sz="4" w:space="0"/>
                  </w:tcBorders>
                  <w:noWrap w:val="0"/>
                  <w:vAlign w:val="center"/>
                </w:tcPr>
                <w:p w14:paraId="52E929E7">
                  <w:pPr>
                    <w:jc w:val="center"/>
                    <w:rPr>
                      <w:rFonts w:hint="eastAsia" w:eastAsia="宋体"/>
                      <w:sz w:val="21"/>
                      <w:lang w:val="en-US" w:eastAsia="zh-CN"/>
                    </w:rPr>
                  </w:pPr>
                  <w:r>
                    <w:rPr>
                      <w:rFonts w:hint="eastAsia"/>
                      <w:sz w:val="21"/>
                      <w:lang w:val="en-US" w:eastAsia="zh-CN"/>
                    </w:rPr>
                    <w:t>西南</w:t>
                  </w:r>
                </w:p>
              </w:tc>
              <w:tc>
                <w:tcPr>
                  <w:tcW w:w="635" w:type="pct"/>
                  <w:tcBorders>
                    <w:top w:val="single" w:color="auto" w:sz="4" w:space="0"/>
                    <w:left w:val="single" w:color="auto" w:sz="4" w:space="0"/>
                    <w:bottom w:val="single" w:color="auto" w:sz="4" w:space="0"/>
                    <w:right w:val="single" w:color="auto" w:sz="4" w:space="0"/>
                  </w:tcBorders>
                  <w:noWrap w:val="0"/>
                  <w:vAlign w:val="center"/>
                </w:tcPr>
                <w:p w14:paraId="6D570888">
                  <w:pPr>
                    <w:jc w:val="center"/>
                    <w:rPr>
                      <w:rFonts w:hint="default" w:eastAsia="宋体"/>
                      <w:sz w:val="21"/>
                      <w:lang w:val="en-US" w:eastAsia="zh-CN"/>
                    </w:rPr>
                  </w:pPr>
                  <w:r>
                    <w:rPr>
                      <w:rFonts w:hint="eastAsia"/>
                      <w:sz w:val="21"/>
                      <w:lang w:val="en-US" w:eastAsia="zh-CN"/>
                    </w:rPr>
                    <w:t>440</w:t>
                  </w:r>
                </w:p>
              </w:tc>
              <w:tc>
                <w:tcPr>
                  <w:tcW w:w="772" w:type="pct"/>
                  <w:tcBorders>
                    <w:top w:val="single" w:color="auto" w:sz="4" w:space="0"/>
                    <w:left w:val="single" w:color="auto" w:sz="4" w:space="0"/>
                    <w:bottom w:val="single" w:color="auto" w:sz="4" w:space="0"/>
                    <w:right w:val="single" w:color="auto" w:sz="4" w:space="0"/>
                  </w:tcBorders>
                  <w:noWrap w:val="0"/>
                  <w:vAlign w:val="center"/>
                </w:tcPr>
                <w:p w14:paraId="4065DA78">
                  <w:pPr>
                    <w:jc w:val="center"/>
                    <w:rPr>
                      <w:rFonts w:hint="default" w:eastAsia="宋体"/>
                      <w:sz w:val="21"/>
                      <w:lang w:val="en-US" w:eastAsia="zh-CN"/>
                    </w:rPr>
                  </w:pPr>
                  <w:r>
                    <w:rPr>
                      <w:rFonts w:hint="eastAsia"/>
                      <w:sz w:val="21"/>
                      <w:lang w:val="en-US" w:eastAsia="zh-CN"/>
                    </w:rPr>
                    <w:t>居民区</w:t>
                  </w:r>
                </w:p>
              </w:tc>
              <w:tc>
                <w:tcPr>
                  <w:tcW w:w="1467" w:type="pct"/>
                  <w:vMerge w:val="continue"/>
                  <w:tcBorders>
                    <w:left w:val="single" w:color="auto" w:sz="4" w:space="0"/>
                  </w:tcBorders>
                  <w:noWrap w:val="0"/>
                  <w:vAlign w:val="center"/>
                </w:tcPr>
                <w:p w14:paraId="2B3674E3">
                  <w:pPr>
                    <w:jc w:val="center"/>
                    <w:rPr>
                      <w:sz w:val="21"/>
                    </w:rPr>
                  </w:pPr>
                </w:p>
              </w:tc>
            </w:tr>
            <w:tr w14:paraId="4116A56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85" w:type="dxa"/>
                  <w:bottom w:w="0" w:type="dxa"/>
                  <w:right w:w="85" w:type="dxa"/>
                </w:tblCellMar>
              </w:tblPrEx>
              <w:trPr>
                <w:trHeight w:val="120" w:hRule="atLeast"/>
                <w:jc w:val="center"/>
              </w:trPr>
              <w:tc>
                <w:tcPr>
                  <w:tcW w:w="511" w:type="pct"/>
                  <w:vMerge w:val="continue"/>
                  <w:noWrap w:val="0"/>
                  <w:vAlign w:val="center"/>
                </w:tcPr>
                <w:p w14:paraId="5C80A31E">
                  <w:pPr>
                    <w:jc w:val="center"/>
                    <w:rPr>
                      <w:sz w:val="21"/>
                    </w:rPr>
                  </w:pPr>
                </w:p>
              </w:tc>
              <w:tc>
                <w:tcPr>
                  <w:tcW w:w="1221" w:type="pct"/>
                  <w:tcBorders>
                    <w:top w:val="single" w:color="auto" w:sz="4" w:space="0"/>
                    <w:bottom w:val="single" w:color="auto" w:sz="4" w:space="0"/>
                    <w:right w:val="single" w:color="auto" w:sz="4" w:space="0"/>
                  </w:tcBorders>
                  <w:noWrap w:val="0"/>
                  <w:vAlign w:val="center"/>
                </w:tcPr>
                <w:p w14:paraId="256B1160">
                  <w:pPr>
                    <w:jc w:val="center"/>
                    <w:rPr>
                      <w:rFonts w:hint="default" w:eastAsia="宋体"/>
                      <w:sz w:val="21"/>
                      <w:lang w:val="en-US" w:eastAsia="zh-CN"/>
                    </w:rPr>
                  </w:pPr>
                  <w:r>
                    <w:rPr>
                      <w:rFonts w:hint="default" w:eastAsia="宋体"/>
                      <w:sz w:val="21"/>
                      <w:lang w:val="en-US" w:eastAsia="zh-CN"/>
                    </w:rPr>
                    <w:t>通湖公寓</w:t>
                  </w:r>
                </w:p>
              </w:tc>
              <w:tc>
                <w:tcPr>
                  <w:tcW w:w="392" w:type="pct"/>
                  <w:tcBorders>
                    <w:top w:val="single" w:color="auto" w:sz="4" w:space="0"/>
                    <w:left w:val="single" w:color="auto" w:sz="4" w:space="0"/>
                    <w:bottom w:val="single" w:color="auto" w:sz="4" w:space="0"/>
                    <w:right w:val="single" w:color="auto" w:sz="4" w:space="0"/>
                  </w:tcBorders>
                  <w:noWrap w:val="0"/>
                  <w:vAlign w:val="center"/>
                </w:tcPr>
                <w:p w14:paraId="3323A9F0">
                  <w:pPr>
                    <w:jc w:val="center"/>
                    <w:rPr>
                      <w:rFonts w:hint="eastAsia" w:eastAsia="宋体"/>
                      <w:sz w:val="21"/>
                      <w:lang w:val="en-US" w:eastAsia="zh-CN"/>
                    </w:rPr>
                  </w:pPr>
                  <w:r>
                    <w:rPr>
                      <w:rFonts w:hint="eastAsia"/>
                      <w:sz w:val="21"/>
                      <w:lang w:val="en-US" w:eastAsia="zh-CN"/>
                    </w:rPr>
                    <w:t>南</w:t>
                  </w:r>
                </w:p>
              </w:tc>
              <w:tc>
                <w:tcPr>
                  <w:tcW w:w="635" w:type="pct"/>
                  <w:tcBorders>
                    <w:top w:val="single" w:color="auto" w:sz="4" w:space="0"/>
                    <w:left w:val="single" w:color="auto" w:sz="4" w:space="0"/>
                    <w:bottom w:val="single" w:color="auto" w:sz="4" w:space="0"/>
                    <w:right w:val="single" w:color="auto" w:sz="4" w:space="0"/>
                  </w:tcBorders>
                  <w:noWrap w:val="0"/>
                  <w:vAlign w:val="center"/>
                </w:tcPr>
                <w:p w14:paraId="4C4186A0">
                  <w:pPr>
                    <w:jc w:val="center"/>
                    <w:rPr>
                      <w:rFonts w:hint="default" w:eastAsia="宋体"/>
                      <w:sz w:val="21"/>
                      <w:lang w:val="en-US" w:eastAsia="zh-CN"/>
                    </w:rPr>
                  </w:pPr>
                  <w:r>
                    <w:rPr>
                      <w:rFonts w:hint="eastAsia"/>
                      <w:sz w:val="21"/>
                      <w:lang w:val="en-US" w:eastAsia="zh-CN"/>
                    </w:rPr>
                    <w:t>405</w:t>
                  </w:r>
                </w:p>
              </w:tc>
              <w:tc>
                <w:tcPr>
                  <w:tcW w:w="772" w:type="pct"/>
                  <w:tcBorders>
                    <w:top w:val="single" w:color="auto" w:sz="4" w:space="0"/>
                    <w:left w:val="single" w:color="auto" w:sz="4" w:space="0"/>
                    <w:bottom w:val="single" w:color="auto" w:sz="4" w:space="0"/>
                    <w:right w:val="single" w:color="auto" w:sz="4" w:space="0"/>
                  </w:tcBorders>
                  <w:noWrap w:val="0"/>
                  <w:vAlign w:val="center"/>
                </w:tcPr>
                <w:p w14:paraId="6B88378D">
                  <w:pPr>
                    <w:jc w:val="center"/>
                    <w:rPr>
                      <w:rFonts w:hint="default" w:eastAsia="宋体"/>
                      <w:sz w:val="21"/>
                      <w:lang w:val="en-US" w:eastAsia="zh-CN"/>
                    </w:rPr>
                  </w:pPr>
                  <w:r>
                    <w:rPr>
                      <w:rFonts w:hint="eastAsia"/>
                      <w:sz w:val="21"/>
                      <w:lang w:val="en-US" w:eastAsia="zh-CN"/>
                    </w:rPr>
                    <w:t>居民区</w:t>
                  </w:r>
                </w:p>
              </w:tc>
              <w:tc>
                <w:tcPr>
                  <w:tcW w:w="1467" w:type="pct"/>
                  <w:vMerge w:val="continue"/>
                  <w:tcBorders>
                    <w:left w:val="single" w:color="auto" w:sz="4" w:space="0"/>
                  </w:tcBorders>
                  <w:noWrap w:val="0"/>
                  <w:vAlign w:val="center"/>
                </w:tcPr>
                <w:p w14:paraId="5A38F1DC">
                  <w:pPr>
                    <w:jc w:val="center"/>
                    <w:rPr>
                      <w:sz w:val="21"/>
                    </w:rPr>
                  </w:pPr>
                </w:p>
              </w:tc>
            </w:tr>
            <w:tr w14:paraId="03AFE86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85" w:type="dxa"/>
                  <w:bottom w:w="0" w:type="dxa"/>
                  <w:right w:w="85" w:type="dxa"/>
                </w:tblCellMar>
              </w:tblPrEx>
              <w:trPr>
                <w:trHeight w:val="120" w:hRule="atLeast"/>
                <w:jc w:val="center"/>
              </w:trPr>
              <w:tc>
                <w:tcPr>
                  <w:tcW w:w="511" w:type="pct"/>
                  <w:vMerge w:val="continue"/>
                  <w:noWrap w:val="0"/>
                  <w:vAlign w:val="center"/>
                </w:tcPr>
                <w:p w14:paraId="68495E29">
                  <w:pPr>
                    <w:jc w:val="center"/>
                    <w:rPr>
                      <w:sz w:val="21"/>
                    </w:rPr>
                  </w:pPr>
                </w:p>
              </w:tc>
              <w:tc>
                <w:tcPr>
                  <w:tcW w:w="1221" w:type="pct"/>
                  <w:tcBorders>
                    <w:top w:val="single" w:color="auto" w:sz="4" w:space="0"/>
                    <w:bottom w:val="single" w:color="auto" w:sz="4" w:space="0"/>
                    <w:right w:val="single" w:color="auto" w:sz="4" w:space="0"/>
                  </w:tcBorders>
                  <w:noWrap w:val="0"/>
                  <w:vAlign w:val="center"/>
                </w:tcPr>
                <w:p w14:paraId="1CD9B78E">
                  <w:pPr>
                    <w:jc w:val="center"/>
                    <w:rPr>
                      <w:rFonts w:hint="default" w:eastAsia="宋体"/>
                      <w:sz w:val="21"/>
                      <w:lang w:val="en-US" w:eastAsia="zh-CN"/>
                    </w:rPr>
                  </w:pPr>
                  <w:r>
                    <w:rPr>
                      <w:rFonts w:hint="eastAsia"/>
                      <w:sz w:val="21"/>
                      <w:lang w:val="en-US" w:eastAsia="zh-CN"/>
                    </w:rPr>
                    <w:t>正祥望园</w:t>
                  </w:r>
                </w:p>
              </w:tc>
              <w:tc>
                <w:tcPr>
                  <w:tcW w:w="392" w:type="pct"/>
                  <w:tcBorders>
                    <w:top w:val="single" w:color="auto" w:sz="4" w:space="0"/>
                    <w:left w:val="single" w:color="auto" w:sz="4" w:space="0"/>
                    <w:bottom w:val="single" w:color="auto" w:sz="4" w:space="0"/>
                    <w:right w:val="single" w:color="auto" w:sz="4" w:space="0"/>
                  </w:tcBorders>
                  <w:noWrap w:val="0"/>
                  <w:vAlign w:val="center"/>
                </w:tcPr>
                <w:p w14:paraId="5ABA68B0">
                  <w:pPr>
                    <w:jc w:val="center"/>
                    <w:rPr>
                      <w:rFonts w:hint="eastAsia" w:eastAsia="宋体"/>
                      <w:sz w:val="21"/>
                      <w:lang w:val="en-US" w:eastAsia="zh-CN"/>
                    </w:rPr>
                  </w:pPr>
                  <w:r>
                    <w:rPr>
                      <w:rFonts w:hint="eastAsia"/>
                      <w:sz w:val="21"/>
                      <w:lang w:val="en-US" w:eastAsia="zh-CN"/>
                    </w:rPr>
                    <w:t>南</w:t>
                  </w:r>
                </w:p>
              </w:tc>
              <w:tc>
                <w:tcPr>
                  <w:tcW w:w="635" w:type="pct"/>
                  <w:tcBorders>
                    <w:top w:val="single" w:color="auto" w:sz="4" w:space="0"/>
                    <w:left w:val="single" w:color="auto" w:sz="4" w:space="0"/>
                    <w:bottom w:val="single" w:color="auto" w:sz="4" w:space="0"/>
                    <w:right w:val="single" w:color="auto" w:sz="4" w:space="0"/>
                  </w:tcBorders>
                  <w:noWrap w:val="0"/>
                  <w:vAlign w:val="center"/>
                </w:tcPr>
                <w:p w14:paraId="12503AD2">
                  <w:pPr>
                    <w:jc w:val="center"/>
                    <w:rPr>
                      <w:rFonts w:hint="default" w:eastAsia="宋体"/>
                      <w:sz w:val="21"/>
                      <w:lang w:val="en-US" w:eastAsia="zh-CN"/>
                    </w:rPr>
                  </w:pPr>
                  <w:r>
                    <w:rPr>
                      <w:rFonts w:hint="eastAsia"/>
                      <w:sz w:val="21"/>
                      <w:lang w:val="en-US" w:eastAsia="zh-CN"/>
                    </w:rPr>
                    <w:t>410</w:t>
                  </w:r>
                </w:p>
              </w:tc>
              <w:tc>
                <w:tcPr>
                  <w:tcW w:w="772" w:type="pct"/>
                  <w:tcBorders>
                    <w:top w:val="single" w:color="auto" w:sz="4" w:space="0"/>
                    <w:left w:val="single" w:color="auto" w:sz="4" w:space="0"/>
                    <w:bottom w:val="single" w:color="auto" w:sz="4" w:space="0"/>
                    <w:right w:val="single" w:color="auto" w:sz="4" w:space="0"/>
                  </w:tcBorders>
                  <w:noWrap w:val="0"/>
                  <w:vAlign w:val="center"/>
                </w:tcPr>
                <w:p w14:paraId="0107ABE1">
                  <w:pPr>
                    <w:jc w:val="center"/>
                    <w:rPr>
                      <w:rFonts w:hint="default" w:eastAsia="宋体"/>
                      <w:sz w:val="21"/>
                      <w:lang w:val="en-US" w:eastAsia="zh-CN"/>
                    </w:rPr>
                  </w:pPr>
                  <w:r>
                    <w:rPr>
                      <w:rFonts w:hint="eastAsia"/>
                      <w:sz w:val="21"/>
                      <w:lang w:val="en-US" w:eastAsia="zh-CN"/>
                    </w:rPr>
                    <w:t>居民区</w:t>
                  </w:r>
                </w:p>
              </w:tc>
              <w:tc>
                <w:tcPr>
                  <w:tcW w:w="1467" w:type="pct"/>
                  <w:vMerge w:val="continue"/>
                  <w:tcBorders>
                    <w:left w:val="single" w:color="auto" w:sz="4" w:space="0"/>
                  </w:tcBorders>
                  <w:noWrap w:val="0"/>
                  <w:vAlign w:val="center"/>
                </w:tcPr>
                <w:p w14:paraId="57F263A9">
                  <w:pPr>
                    <w:jc w:val="center"/>
                    <w:rPr>
                      <w:sz w:val="21"/>
                    </w:rPr>
                  </w:pPr>
                </w:p>
              </w:tc>
            </w:tr>
            <w:tr w14:paraId="08D9687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85" w:type="dxa"/>
                  <w:bottom w:w="0" w:type="dxa"/>
                  <w:right w:w="85" w:type="dxa"/>
                </w:tblCellMar>
              </w:tblPrEx>
              <w:trPr>
                <w:trHeight w:val="120" w:hRule="atLeast"/>
                <w:jc w:val="center"/>
              </w:trPr>
              <w:tc>
                <w:tcPr>
                  <w:tcW w:w="511" w:type="pct"/>
                  <w:vMerge w:val="continue"/>
                  <w:tcBorders>
                    <w:bottom w:val="single" w:color="auto" w:sz="4" w:space="0"/>
                  </w:tcBorders>
                  <w:noWrap w:val="0"/>
                  <w:vAlign w:val="center"/>
                </w:tcPr>
                <w:p w14:paraId="26862B7B">
                  <w:pPr>
                    <w:jc w:val="center"/>
                    <w:rPr>
                      <w:sz w:val="21"/>
                    </w:rPr>
                  </w:pPr>
                </w:p>
              </w:tc>
              <w:tc>
                <w:tcPr>
                  <w:tcW w:w="1221" w:type="pct"/>
                  <w:tcBorders>
                    <w:top w:val="single" w:color="auto" w:sz="4" w:space="0"/>
                    <w:bottom w:val="single" w:color="auto" w:sz="4" w:space="0"/>
                    <w:right w:val="single" w:color="auto" w:sz="4" w:space="0"/>
                  </w:tcBorders>
                  <w:noWrap w:val="0"/>
                  <w:vAlign w:val="center"/>
                </w:tcPr>
                <w:p w14:paraId="498B6D85">
                  <w:pPr>
                    <w:jc w:val="center"/>
                    <w:rPr>
                      <w:rFonts w:hint="default" w:eastAsia="宋体"/>
                      <w:sz w:val="21"/>
                      <w:lang w:val="en-US" w:eastAsia="zh-CN"/>
                    </w:rPr>
                  </w:pPr>
                  <w:r>
                    <w:rPr>
                      <w:rFonts w:hint="eastAsia"/>
                      <w:sz w:val="21"/>
                      <w:lang w:val="en-US" w:eastAsia="zh-CN"/>
                    </w:rPr>
                    <w:t>三坊七巷</w:t>
                  </w:r>
                </w:p>
              </w:tc>
              <w:tc>
                <w:tcPr>
                  <w:tcW w:w="392" w:type="pct"/>
                  <w:tcBorders>
                    <w:top w:val="single" w:color="auto" w:sz="4" w:space="0"/>
                    <w:left w:val="single" w:color="auto" w:sz="4" w:space="0"/>
                    <w:bottom w:val="single" w:color="auto" w:sz="4" w:space="0"/>
                    <w:right w:val="single" w:color="auto" w:sz="4" w:space="0"/>
                  </w:tcBorders>
                  <w:noWrap w:val="0"/>
                  <w:vAlign w:val="center"/>
                </w:tcPr>
                <w:p w14:paraId="39DE256A">
                  <w:pPr>
                    <w:jc w:val="center"/>
                    <w:rPr>
                      <w:rFonts w:hint="default" w:eastAsia="宋体"/>
                      <w:sz w:val="21"/>
                      <w:lang w:val="en-US" w:eastAsia="zh-CN"/>
                    </w:rPr>
                  </w:pPr>
                  <w:r>
                    <w:rPr>
                      <w:rFonts w:hint="eastAsia"/>
                      <w:sz w:val="21"/>
                      <w:lang w:val="en-US" w:eastAsia="zh-CN"/>
                    </w:rPr>
                    <w:t>东南</w:t>
                  </w:r>
                </w:p>
              </w:tc>
              <w:tc>
                <w:tcPr>
                  <w:tcW w:w="635" w:type="pct"/>
                  <w:tcBorders>
                    <w:top w:val="single" w:color="auto" w:sz="4" w:space="0"/>
                    <w:left w:val="single" w:color="auto" w:sz="4" w:space="0"/>
                    <w:bottom w:val="single" w:color="auto" w:sz="4" w:space="0"/>
                    <w:right w:val="single" w:color="auto" w:sz="4" w:space="0"/>
                  </w:tcBorders>
                  <w:noWrap w:val="0"/>
                  <w:vAlign w:val="center"/>
                </w:tcPr>
                <w:p w14:paraId="0CAA9260">
                  <w:pPr>
                    <w:jc w:val="center"/>
                    <w:rPr>
                      <w:rFonts w:hint="default" w:eastAsia="宋体"/>
                      <w:sz w:val="21"/>
                      <w:lang w:val="en-US" w:eastAsia="zh-CN"/>
                    </w:rPr>
                  </w:pPr>
                  <w:r>
                    <w:rPr>
                      <w:rFonts w:hint="eastAsia"/>
                      <w:sz w:val="21"/>
                      <w:lang w:val="en-US" w:eastAsia="zh-CN"/>
                    </w:rPr>
                    <w:t>380</w:t>
                  </w:r>
                </w:p>
              </w:tc>
              <w:tc>
                <w:tcPr>
                  <w:tcW w:w="772" w:type="pct"/>
                  <w:tcBorders>
                    <w:top w:val="single" w:color="auto" w:sz="4" w:space="0"/>
                    <w:left w:val="single" w:color="auto" w:sz="4" w:space="0"/>
                    <w:bottom w:val="single" w:color="auto" w:sz="4" w:space="0"/>
                    <w:right w:val="single" w:color="auto" w:sz="4" w:space="0"/>
                  </w:tcBorders>
                  <w:noWrap w:val="0"/>
                  <w:vAlign w:val="center"/>
                </w:tcPr>
                <w:p w14:paraId="5744F373">
                  <w:pPr>
                    <w:jc w:val="center"/>
                    <w:rPr>
                      <w:rFonts w:hint="eastAsia" w:eastAsia="宋体"/>
                      <w:sz w:val="21"/>
                      <w:lang w:val="en-US" w:eastAsia="zh-CN"/>
                    </w:rPr>
                  </w:pPr>
                  <w:r>
                    <w:rPr>
                      <w:rFonts w:hint="eastAsia"/>
                      <w:sz w:val="21"/>
                    </w:rPr>
                    <w:t>风景名胜区</w:t>
                  </w:r>
                </w:p>
              </w:tc>
              <w:tc>
                <w:tcPr>
                  <w:tcW w:w="1467" w:type="pct"/>
                  <w:vMerge w:val="continue"/>
                  <w:tcBorders>
                    <w:left w:val="single" w:color="auto" w:sz="4" w:space="0"/>
                    <w:bottom w:val="single" w:color="auto" w:sz="4" w:space="0"/>
                  </w:tcBorders>
                  <w:noWrap w:val="0"/>
                  <w:vAlign w:val="center"/>
                </w:tcPr>
                <w:p w14:paraId="5F064B8E">
                  <w:pPr>
                    <w:jc w:val="center"/>
                    <w:rPr>
                      <w:sz w:val="21"/>
                    </w:rPr>
                  </w:pPr>
                </w:p>
              </w:tc>
            </w:tr>
            <w:tr w14:paraId="3113923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85" w:type="dxa"/>
                  <w:bottom w:w="0" w:type="dxa"/>
                  <w:right w:w="85" w:type="dxa"/>
                </w:tblCellMar>
              </w:tblPrEx>
              <w:trPr>
                <w:trHeight w:val="353" w:hRule="atLeast"/>
                <w:jc w:val="center"/>
              </w:trPr>
              <w:tc>
                <w:tcPr>
                  <w:tcW w:w="511" w:type="pct"/>
                  <w:vMerge w:val="restart"/>
                  <w:noWrap w:val="0"/>
                  <w:vAlign w:val="center"/>
                </w:tcPr>
                <w:p w14:paraId="1DFC77A3">
                  <w:pPr>
                    <w:jc w:val="center"/>
                    <w:rPr>
                      <w:sz w:val="21"/>
                    </w:rPr>
                  </w:pPr>
                  <w:r>
                    <w:rPr>
                      <w:sz w:val="21"/>
                    </w:rPr>
                    <w:t>声环境</w:t>
                  </w:r>
                </w:p>
              </w:tc>
              <w:tc>
                <w:tcPr>
                  <w:tcW w:w="1221" w:type="pct"/>
                  <w:tcBorders>
                    <w:top w:val="single" w:color="auto" w:sz="4" w:space="0"/>
                    <w:bottom w:val="single" w:color="auto" w:sz="4" w:space="0"/>
                    <w:right w:val="single" w:color="auto" w:sz="4" w:space="0"/>
                  </w:tcBorders>
                  <w:noWrap w:val="0"/>
                  <w:vAlign w:val="center"/>
                </w:tcPr>
                <w:p w14:paraId="20A82131">
                  <w:pPr>
                    <w:jc w:val="center"/>
                    <w:rPr>
                      <w:sz w:val="21"/>
                    </w:rPr>
                  </w:pPr>
                  <w:r>
                    <w:rPr>
                      <w:rFonts w:hint="eastAsia"/>
                      <w:sz w:val="21"/>
                      <w:lang w:val="en-US" w:eastAsia="zh-CN"/>
                    </w:rPr>
                    <w:t>善化新村</w:t>
                  </w:r>
                </w:p>
              </w:tc>
              <w:tc>
                <w:tcPr>
                  <w:tcW w:w="392" w:type="pct"/>
                  <w:tcBorders>
                    <w:left w:val="single" w:color="auto" w:sz="4" w:space="0"/>
                    <w:bottom w:val="single" w:color="auto" w:sz="4" w:space="0"/>
                    <w:right w:val="single" w:color="auto" w:sz="4" w:space="0"/>
                  </w:tcBorders>
                  <w:noWrap w:val="0"/>
                  <w:vAlign w:val="center"/>
                </w:tcPr>
                <w:p w14:paraId="64BFF088">
                  <w:pPr>
                    <w:jc w:val="center"/>
                    <w:rPr>
                      <w:sz w:val="21"/>
                    </w:rPr>
                  </w:pPr>
                  <w:r>
                    <w:rPr>
                      <w:rFonts w:hint="eastAsia"/>
                      <w:sz w:val="21"/>
                      <w:lang w:val="en-US" w:eastAsia="zh-CN"/>
                    </w:rPr>
                    <w:t>相邻</w:t>
                  </w:r>
                </w:p>
              </w:tc>
              <w:tc>
                <w:tcPr>
                  <w:tcW w:w="635" w:type="pct"/>
                  <w:tcBorders>
                    <w:left w:val="single" w:color="auto" w:sz="4" w:space="0"/>
                    <w:bottom w:val="single" w:color="auto" w:sz="4" w:space="0"/>
                    <w:right w:val="single" w:color="auto" w:sz="4" w:space="0"/>
                  </w:tcBorders>
                  <w:noWrap w:val="0"/>
                  <w:vAlign w:val="center"/>
                </w:tcPr>
                <w:p w14:paraId="4688BF1D">
                  <w:pPr>
                    <w:jc w:val="center"/>
                    <w:rPr>
                      <w:sz w:val="21"/>
                    </w:rPr>
                  </w:pPr>
                  <w:r>
                    <w:rPr>
                      <w:rFonts w:hint="eastAsia"/>
                      <w:sz w:val="21"/>
                      <w:lang w:val="en-US" w:eastAsia="zh-CN"/>
                    </w:rPr>
                    <w:t>相邻</w:t>
                  </w:r>
                </w:p>
              </w:tc>
              <w:tc>
                <w:tcPr>
                  <w:tcW w:w="772" w:type="pct"/>
                  <w:tcBorders>
                    <w:left w:val="single" w:color="auto" w:sz="4" w:space="0"/>
                    <w:bottom w:val="single" w:color="auto" w:sz="4" w:space="0"/>
                    <w:right w:val="single" w:color="auto" w:sz="4" w:space="0"/>
                  </w:tcBorders>
                  <w:noWrap w:val="0"/>
                  <w:vAlign w:val="center"/>
                </w:tcPr>
                <w:p w14:paraId="0E3E2E5C">
                  <w:pPr>
                    <w:jc w:val="center"/>
                    <w:rPr>
                      <w:rFonts w:hint="eastAsia"/>
                      <w:sz w:val="21"/>
                    </w:rPr>
                  </w:pPr>
                  <w:r>
                    <w:rPr>
                      <w:rFonts w:hint="eastAsia"/>
                      <w:sz w:val="21"/>
                    </w:rPr>
                    <w:t>居民区</w:t>
                  </w:r>
                </w:p>
              </w:tc>
              <w:tc>
                <w:tcPr>
                  <w:tcW w:w="1467" w:type="pct"/>
                  <w:vMerge w:val="restart"/>
                  <w:tcBorders>
                    <w:left w:val="single" w:color="auto" w:sz="4" w:space="0"/>
                  </w:tcBorders>
                  <w:noWrap w:val="0"/>
                  <w:vAlign w:val="center"/>
                </w:tcPr>
                <w:p w14:paraId="59721661">
                  <w:pPr>
                    <w:jc w:val="center"/>
                    <w:rPr>
                      <w:sz w:val="21"/>
                    </w:rPr>
                  </w:pPr>
                  <w:r>
                    <w:rPr>
                      <w:rFonts w:hint="eastAsia"/>
                      <w:sz w:val="21"/>
                      <w:lang w:val="en-US" w:eastAsia="zh-CN"/>
                    </w:rPr>
                    <w:t>杨桥路沿路第一排建筑物执行</w:t>
                  </w:r>
                  <w:r>
                    <w:rPr>
                      <w:sz w:val="21"/>
                    </w:rPr>
                    <w:t>《声环境质量标准》</w:t>
                  </w:r>
                  <w:r>
                    <w:rPr>
                      <w:rFonts w:hint="eastAsia"/>
                      <w:sz w:val="21"/>
                    </w:rPr>
                    <w:t>（</w:t>
                  </w:r>
                  <w:r>
                    <w:rPr>
                      <w:sz w:val="21"/>
                    </w:rPr>
                    <w:t>GB3096-2008</w:t>
                  </w:r>
                  <w:r>
                    <w:rPr>
                      <w:rFonts w:hint="eastAsia"/>
                      <w:sz w:val="21"/>
                    </w:rPr>
                    <w:t>）</w:t>
                  </w:r>
                  <w:r>
                    <w:rPr>
                      <w:rFonts w:hint="eastAsia"/>
                      <w:sz w:val="21"/>
                      <w:lang w:val="en-US" w:eastAsia="zh-CN"/>
                    </w:rPr>
                    <w:t>4a</w:t>
                  </w:r>
                  <w:r>
                    <w:rPr>
                      <w:sz w:val="21"/>
                    </w:rPr>
                    <w:t>类标准</w:t>
                  </w:r>
                  <w:r>
                    <w:rPr>
                      <w:rFonts w:hint="eastAsia"/>
                      <w:sz w:val="21"/>
                      <w:lang w:eastAsia="zh-CN"/>
                    </w:rPr>
                    <w:t>，</w:t>
                  </w:r>
                  <w:r>
                    <w:rPr>
                      <w:rFonts w:hint="eastAsia"/>
                      <w:sz w:val="21"/>
                      <w:lang w:val="en-US" w:eastAsia="zh-CN"/>
                    </w:rPr>
                    <w:t>其余执行</w:t>
                  </w:r>
                  <w:r>
                    <w:rPr>
                      <w:sz w:val="21"/>
                    </w:rPr>
                    <w:t>GB3096-2008</w:t>
                  </w:r>
                  <w:r>
                    <w:rPr>
                      <w:rFonts w:hint="eastAsia"/>
                      <w:sz w:val="21"/>
                      <w:lang w:val="en-US" w:eastAsia="zh-CN"/>
                    </w:rPr>
                    <w:t>中</w:t>
                  </w:r>
                  <w:r>
                    <w:rPr>
                      <w:sz w:val="21"/>
                    </w:rPr>
                    <w:t>2类标准</w:t>
                  </w:r>
                </w:p>
              </w:tc>
            </w:tr>
            <w:tr w14:paraId="3D803FF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85" w:type="dxa"/>
                  <w:bottom w:w="0" w:type="dxa"/>
                  <w:right w:w="85" w:type="dxa"/>
                </w:tblCellMar>
              </w:tblPrEx>
              <w:trPr>
                <w:trHeight w:val="249" w:hRule="atLeast"/>
                <w:jc w:val="center"/>
              </w:trPr>
              <w:tc>
                <w:tcPr>
                  <w:tcW w:w="511" w:type="pct"/>
                  <w:vMerge w:val="continue"/>
                  <w:noWrap w:val="0"/>
                  <w:vAlign w:val="center"/>
                </w:tcPr>
                <w:p w14:paraId="01C97A1D">
                  <w:pPr>
                    <w:jc w:val="center"/>
                    <w:rPr>
                      <w:sz w:val="21"/>
                    </w:rPr>
                  </w:pPr>
                </w:p>
              </w:tc>
              <w:tc>
                <w:tcPr>
                  <w:tcW w:w="1221" w:type="pct"/>
                  <w:tcBorders>
                    <w:top w:val="single" w:color="auto" w:sz="4" w:space="0"/>
                    <w:bottom w:val="single" w:color="auto" w:sz="4" w:space="0"/>
                    <w:right w:val="single" w:color="auto" w:sz="4" w:space="0"/>
                  </w:tcBorders>
                  <w:noWrap w:val="0"/>
                  <w:vAlign w:val="center"/>
                </w:tcPr>
                <w:p w14:paraId="16B6BA31">
                  <w:pPr>
                    <w:jc w:val="center"/>
                    <w:rPr>
                      <w:rFonts w:hint="eastAsia"/>
                      <w:sz w:val="21"/>
                    </w:rPr>
                  </w:pPr>
                  <w:r>
                    <w:rPr>
                      <w:rFonts w:hint="eastAsia"/>
                      <w:sz w:val="21"/>
                      <w:lang w:val="en-US" w:eastAsia="zh-CN"/>
                    </w:rPr>
                    <w:t>保定新村</w:t>
                  </w:r>
                </w:p>
              </w:tc>
              <w:tc>
                <w:tcPr>
                  <w:tcW w:w="392" w:type="pct"/>
                  <w:tcBorders>
                    <w:top w:val="single" w:color="auto" w:sz="4" w:space="0"/>
                    <w:left w:val="single" w:color="auto" w:sz="4" w:space="0"/>
                    <w:bottom w:val="single" w:color="auto" w:sz="4" w:space="0"/>
                    <w:right w:val="single" w:color="auto" w:sz="4" w:space="0"/>
                  </w:tcBorders>
                  <w:noWrap w:val="0"/>
                  <w:vAlign w:val="center"/>
                </w:tcPr>
                <w:p w14:paraId="44F8A31B">
                  <w:pPr>
                    <w:jc w:val="center"/>
                    <w:rPr>
                      <w:rFonts w:hint="eastAsia"/>
                      <w:sz w:val="21"/>
                    </w:rPr>
                  </w:pPr>
                  <w:r>
                    <w:rPr>
                      <w:rFonts w:hint="eastAsia"/>
                      <w:sz w:val="21"/>
                      <w:lang w:val="en-US" w:eastAsia="zh-CN"/>
                    </w:rPr>
                    <w:t>相邻</w:t>
                  </w:r>
                </w:p>
              </w:tc>
              <w:tc>
                <w:tcPr>
                  <w:tcW w:w="635" w:type="pct"/>
                  <w:tcBorders>
                    <w:top w:val="single" w:color="auto" w:sz="4" w:space="0"/>
                    <w:left w:val="single" w:color="auto" w:sz="4" w:space="0"/>
                    <w:bottom w:val="single" w:color="auto" w:sz="4" w:space="0"/>
                    <w:right w:val="single" w:color="auto" w:sz="4" w:space="0"/>
                  </w:tcBorders>
                  <w:noWrap w:val="0"/>
                  <w:vAlign w:val="center"/>
                </w:tcPr>
                <w:p w14:paraId="0A22E9F3">
                  <w:pPr>
                    <w:jc w:val="center"/>
                    <w:rPr>
                      <w:rFonts w:hint="eastAsia"/>
                      <w:sz w:val="21"/>
                    </w:rPr>
                  </w:pPr>
                  <w:r>
                    <w:rPr>
                      <w:rFonts w:hint="eastAsia"/>
                      <w:sz w:val="21"/>
                      <w:lang w:val="en-US" w:eastAsia="zh-CN"/>
                    </w:rPr>
                    <w:t>相邻</w:t>
                  </w:r>
                </w:p>
              </w:tc>
              <w:tc>
                <w:tcPr>
                  <w:tcW w:w="772" w:type="pct"/>
                  <w:tcBorders>
                    <w:top w:val="single" w:color="auto" w:sz="4" w:space="0"/>
                    <w:left w:val="single" w:color="auto" w:sz="4" w:space="0"/>
                    <w:bottom w:val="single" w:color="auto" w:sz="4" w:space="0"/>
                    <w:right w:val="single" w:color="auto" w:sz="4" w:space="0"/>
                  </w:tcBorders>
                  <w:noWrap w:val="0"/>
                  <w:vAlign w:val="center"/>
                </w:tcPr>
                <w:p w14:paraId="28827B3F">
                  <w:pPr>
                    <w:jc w:val="center"/>
                    <w:rPr>
                      <w:rFonts w:hint="eastAsia"/>
                      <w:sz w:val="21"/>
                    </w:rPr>
                  </w:pPr>
                  <w:r>
                    <w:rPr>
                      <w:rFonts w:hint="eastAsia"/>
                      <w:sz w:val="21"/>
                      <w:lang w:val="en-US" w:eastAsia="zh-CN"/>
                    </w:rPr>
                    <w:t>居民区</w:t>
                  </w:r>
                </w:p>
              </w:tc>
              <w:tc>
                <w:tcPr>
                  <w:tcW w:w="1467" w:type="pct"/>
                  <w:vMerge w:val="continue"/>
                  <w:tcBorders>
                    <w:left w:val="single" w:color="auto" w:sz="4" w:space="0"/>
                  </w:tcBorders>
                  <w:noWrap w:val="0"/>
                  <w:vAlign w:val="center"/>
                </w:tcPr>
                <w:p w14:paraId="5A648270">
                  <w:pPr>
                    <w:jc w:val="center"/>
                    <w:rPr>
                      <w:rFonts w:hint="eastAsia"/>
                      <w:sz w:val="21"/>
                    </w:rPr>
                  </w:pPr>
                </w:p>
              </w:tc>
            </w:tr>
            <w:tr w14:paraId="3BE2F22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85" w:type="dxa"/>
                  <w:bottom w:w="0" w:type="dxa"/>
                  <w:right w:w="85" w:type="dxa"/>
                </w:tblCellMar>
              </w:tblPrEx>
              <w:trPr>
                <w:trHeight w:val="249" w:hRule="atLeast"/>
                <w:jc w:val="center"/>
              </w:trPr>
              <w:tc>
                <w:tcPr>
                  <w:tcW w:w="511" w:type="pct"/>
                  <w:vMerge w:val="continue"/>
                  <w:tcBorders>
                    <w:bottom w:val="single" w:color="auto" w:sz="4" w:space="0"/>
                  </w:tcBorders>
                  <w:noWrap w:val="0"/>
                  <w:vAlign w:val="center"/>
                </w:tcPr>
                <w:p w14:paraId="1086B603">
                  <w:pPr>
                    <w:jc w:val="center"/>
                    <w:rPr>
                      <w:sz w:val="21"/>
                    </w:rPr>
                  </w:pPr>
                </w:p>
              </w:tc>
              <w:tc>
                <w:tcPr>
                  <w:tcW w:w="1221" w:type="pct"/>
                  <w:tcBorders>
                    <w:top w:val="single" w:color="auto" w:sz="4" w:space="0"/>
                    <w:bottom w:val="single" w:color="auto" w:sz="4" w:space="0"/>
                    <w:right w:val="single" w:color="auto" w:sz="4" w:space="0"/>
                  </w:tcBorders>
                  <w:noWrap w:val="0"/>
                  <w:vAlign w:val="center"/>
                </w:tcPr>
                <w:p w14:paraId="58D9A3F7">
                  <w:pPr>
                    <w:jc w:val="center"/>
                    <w:rPr>
                      <w:rFonts w:hint="default"/>
                      <w:sz w:val="21"/>
                      <w:lang w:val="en-US" w:eastAsia="zh-CN"/>
                    </w:rPr>
                  </w:pPr>
                  <w:r>
                    <w:rPr>
                      <w:rFonts w:hint="eastAsia"/>
                      <w:sz w:val="21"/>
                      <w:lang w:val="en-US" w:eastAsia="zh-CN"/>
                    </w:rPr>
                    <w:t>武夷花园</w:t>
                  </w:r>
                </w:p>
              </w:tc>
              <w:tc>
                <w:tcPr>
                  <w:tcW w:w="392" w:type="pct"/>
                  <w:tcBorders>
                    <w:top w:val="single" w:color="auto" w:sz="4" w:space="0"/>
                    <w:left w:val="single" w:color="auto" w:sz="4" w:space="0"/>
                    <w:bottom w:val="single" w:color="auto" w:sz="4" w:space="0"/>
                    <w:right w:val="single" w:color="auto" w:sz="4" w:space="0"/>
                  </w:tcBorders>
                  <w:noWrap w:val="0"/>
                  <w:vAlign w:val="center"/>
                </w:tcPr>
                <w:p w14:paraId="6CBB6CCA">
                  <w:pPr>
                    <w:jc w:val="center"/>
                    <w:rPr>
                      <w:rFonts w:hint="eastAsia"/>
                      <w:sz w:val="21"/>
                      <w:lang w:val="en-US" w:eastAsia="zh-CN"/>
                    </w:rPr>
                  </w:pPr>
                  <w:r>
                    <w:rPr>
                      <w:rFonts w:hint="eastAsia"/>
                      <w:sz w:val="21"/>
                      <w:lang w:val="en-US" w:eastAsia="zh-CN"/>
                    </w:rPr>
                    <w:t>南侧</w:t>
                  </w:r>
                </w:p>
              </w:tc>
              <w:tc>
                <w:tcPr>
                  <w:tcW w:w="635" w:type="pct"/>
                  <w:tcBorders>
                    <w:top w:val="single" w:color="auto" w:sz="4" w:space="0"/>
                    <w:left w:val="single" w:color="auto" w:sz="4" w:space="0"/>
                    <w:bottom w:val="single" w:color="auto" w:sz="4" w:space="0"/>
                    <w:right w:val="single" w:color="auto" w:sz="4" w:space="0"/>
                  </w:tcBorders>
                  <w:noWrap w:val="0"/>
                  <w:vAlign w:val="center"/>
                </w:tcPr>
                <w:p w14:paraId="4F26617A">
                  <w:pPr>
                    <w:jc w:val="center"/>
                    <w:rPr>
                      <w:rFonts w:hint="default"/>
                      <w:sz w:val="21"/>
                      <w:lang w:val="en-US" w:eastAsia="zh-CN"/>
                    </w:rPr>
                  </w:pPr>
                  <w:r>
                    <w:rPr>
                      <w:rFonts w:hint="eastAsia"/>
                      <w:sz w:val="21"/>
                      <w:lang w:val="en-US" w:eastAsia="zh-CN"/>
                    </w:rPr>
                    <w:t>33</w:t>
                  </w:r>
                </w:p>
              </w:tc>
              <w:tc>
                <w:tcPr>
                  <w:tcW w:w="772" w:type="pct"/>
                  <w:tcBorders>
                    <w:top w:val="single" w:color="auto" w:sz="4" w:space="0"/>
                    <w:left w:val="single" w:color="auto" w:sz="4" w:space="0"/>
                    <w:bottom w:val="single" w:color="auto" w:sz="4" w:space="0"/>
                    <w:right w:val="single" w:color="auto" w:sz="4" w:space="0"/>
                  </w:tcBorders>
                  <w:noWrap w:val="0"/>
                  <w:vAlign w:val="center"/>
                </w:tcPr>
                <w:p w14:paraId="2936E323">
                  <w:pPr>
                    <w:jc w:val="center"/>
                    <w:rPr>
                      <w:rFonts w:hint="eastAsia"/>
                      <w:sz w:val="21"/>
                      <w:lang w:val="en-US" w:eastAsia="zh-CN"/>
                    </w:rPr>
                  </w:pPr>
                  <w:r>
                    <w:rPr>
                      <w:rFonts w:hint="eastAsia"/>
                      <w:sz w:val="21"/>
                      <w:lang w:val="en-US" w:eastAsia="zh-CN"/>
                    </w:rPr>
                    <w:t>居民区</w:t>
                  </w:r>
                </w:p>
              </w:tc>
              <w:tc>
                <w:tcPr>
                  <w:tcW w:w="1467" w:type="pct"/>
                  <w:vMerge w:val="continue"/>
                  <w:tcBorders>
                    <w:left w:val="single" w:color="auto" w:sz="4" w:space="0"/>
                    <w:bottom w:val="single" w:color="auto" w:sz="4" w:space="0"/>
                  </w:tcBorders>
                  <w:noWrap w:val="0"/>
                  <w:vAlign w:val="center"/>
                </w:tcPr>
                <w:p w14:paraId="39FD14DF">
                  <w:pPr>
                    <w:jc w:val="center"/>
                    <w:rPr>
                      <w:rFonts w:hint="eastAsia"/>
                      <w:sz w:val="21"/>
                    </w:rPr>
                  </w:pPr>
                </w:p>
              </w:tc>
            </w:tr>
            <w:tr w14:paraId="528B6AF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85" w:type="dxa"/>
                  <w:bottom w:w="0" w:type="dxa"/>
                  <w:right w:w="85" w:type="dxa"/>
                </w:tblCellMar>
              </w:tblPrEx>
              <w:trPr>
                <w:trHeight w:val="340" w:hRule="atLeast"/>
                <w:jc w:val="center"/>
              </w:trPr>
              <w:tc>
                <w:tcPr>
                  <w:tcW w:w="511" w:type="pct"/>
                  <w:noWrap w:val="0"/>
                  <w:vAlign w:val="center"/>
                </w:tcPr>
                <w:p w14:paraId="00732F97">
                  <w:pPr>
                    <w:pStyle w:val="66"/>
                  </w:pPr>
                  <w:r>
                    <w:t>地下水环境</w:t>
                  </w:r>
                </w:p>
              </w:tc>
              <w:tc>
                <w:tcPr>
                  <w:tcW w:w="4488" w:type="pct"/>
                  <w:gridSpan w:val="5"/>
                  <w:noWrap w:val="0"/>
                  <w:vAlign w:val="center"/>
                </w:tcPr>
                <w:p w14:paraId="4DE6607E">
                  <w:pPr>
                    <w:pStyle w:val="66"/>
                  </w:pPr>
                  <w:r>
                    <w:rPr>
                      <w:rFonts w:hint="eastAsia"/>
                    </w:rPr>
                    <w:t>项目厂界外500m范围内无地下水集中式饮用水水源和热水、矿泉水、温泉等特殊地下水资源</w:t>
                  </w:r>
                </w:p>
              </w:tc>
            </w:tr>
            <w:tr w14:paraId="1EFC9C4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85" w:type="dxa"/>
                  <w:bottom w:w="0" w:type="dxa"/>
                  <w:right w:w="85" w:type="dxa"/>
                </w:tblCellMar>
              </w:tblPrEx>
              <w:trPr>
                <w:trHeight w:val="340" w:hRule="atLeast"/>
                <w:jc w:val="center"/>
              </w:trPr>
              <w:tc>
                <w:tcPr>
                  <w:tcW w:w="511" w:type="pct"/>
                  <w:noWrap w:val="0"/>
                  <w:vAlign w:val="center"/>
                </w:tcPr>
                <w:p w14:paraId="0B616F24">
                  <w:pPr>
                    <w:pStyle w:val="66"/>
                  </w:pPr>
                  <w:r>
                    <w:t>生态环境</w:t>
                  </w:r>
                </w:p>
              </w:tc>
              <w:tc>
                <w:tcPr>
                  <w:tcW w:w="4488" w:type="pct"/>
                  <w:gridSpan w:val="5"/>
                  <w:noWrap w:val="0"/>
                  <w:vAlign w:val="center"/>
                </w:tcPr>
                <w:p w14:paraId="6DB1CD0C">
                  <w:pPr>
                    <w:pStyle w:val="66"/>
                    <w:rPr>
                      <w:rFonts w:hint="default" w:eastAsia="宋体"/>
                      <w:lang w:val="en-US" w:eastAsia="zh-CN"/>
                    </w:rPr>
                  </w:pPr>
                  <w:r>
                    <w:t>项目位于</w:t>
                  </w:r>
                  <w:r>
                    <w:rPr>
                      <w:rFonts w:hint="eastAsia"/>
                    </w:rPr>
                    <w:t>城市建成区</w:t>
                  </w:r>
                  <w:r>
                    <w:t>，</w:t>
                  </w:r>
                  <w:r>
                    <w:rPr>
                      <w:rFonts w:hint="eastAsia"/>
                    </w:rPr>
                    <w:t>租赁</w:t>
                  </w:r>
                  <w:r>
                    <w:rPr>
                      <w:rFonts w:hint="eastAsia"/>
                      <w:lang w:val="en-US" w:eastAsia="zh-CN"/>
                    </w:rPr>
                    <w:t>善化新村</w:t>
                  </w:r>
                  <w:r>
                    <w:rPr>
                      <w:rFonts w:hint="eastAsia"/>
                    </w:rPr>
                    <w:t>现有商业楼</w:t>
                  </w:r>
                  <w:r>
                    <w:t>，</w:t>
                  </w:r>
                  <w:r>
                    <w:rPr>
                      <w:rFonts w:hint="eastAsia"/>
                    </w:rPr>
                    <w:t>项目地块不涉及</w:t>
                  </w:r>
                  <w:r>
                    <w:t>生态环境保护目标</w:t>
                  </w:r>
                  <w:r>
                    <w:rPr>
                      <w:rFonts w:hint="eastAsia"/>
                      <w:color w:val="auto"/>
                      <w:lang w:eastAsia="zh-CN"/>
                    </w:rPr>
                    <w:t>，</w:t>
                  </w:r>
                  <w:r>
                    <w:rPr>
                      <w:rFonts w:hint="eastAsia"/>
                      <w:color w:val="auto"/>
                      <w:lang w:val="en-US" w:eastAsia="zh-CN"/>
                    </w:rPr>
                    <w:t>污染物排放间接影响涉及项目北侧500米的西湖和东南侧380米的三坊七巷</w:t>
                  </w:r>
                </w:p>
              </w:tc>
            </w:tr>
          </w:tbl>
          <w:p w14:paraId="458CFF48">
            <w:pPr>
              <w:pStyle w:val="85"/>
              <w:rPr>
                <w:color w:val="auto"/>
              </w:rPr>
            </w:pPr>
          </w:p>
        </w:tc>
      </w:tr>
      <w:tr w14:paraId="6896CB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00" w:type="dxa"/>
            <w:noWrap w:val="0"/>
            <w:tcMar>
              <w:left w:w="28" w:type="dxa"/>
              <w:right w:w="28" w:type="dxa"/>
            </w:tcMar>
            <w:vAlign w:val="center"/>
          </w:tcPr>
          <w:p w14:paraId="64D4CF3A">
            <w:pPr>
              <w:adjustRightInd w:val="0"/>
              <w:snapToGrid w:val="0"/>
              <w:jc w:val="center"/>
              <w:rPr>
                <w:kern w:val="0"/>
                <w:szCs w:val="21"/>
              </w:rPr>
            </w:pPr>
            <w:r>
              <w:rPr>
                <w:kern w:val="0"/>
                <w:szCs w:val="21"/>
              </w:rPr>
              <w:t>污染</w:t>
            </w:r>
          </w:p>
          <w:p w14:paraId="7BF696EB">
            <w:pPr>
              <w:adjustRightInd w:val="0"/>
              <w:snapToGrid w:val="0"/>
              <w:jc w:val="center"/>
              <w:rPr>
                <w:kern w:val="0"/>
                <w:szCs w:val="21"/>
              </w:rPr>
            </w:pPr>
            <w:r>
              <w:rPr>
                <w:kern w:val="0"/>
                <w:szCs w:val="21"/>
              </w:rPr>
              <w:t>物排</w:t>
            </w:r>
          </w:p>
          <w:p w14:paraId="090AA6B0">
            <w:pPr>
              <w:adjustRightInd w:val="0"/>
              <w:snapToGrid w:val="0"/>
              <w:jc w:val="center"/>
              <w:rPr>
                <w:kern w:val="0"/>
                <w:szCs w:val="21"/>
              </w:rPr>
            </w:pPr>
            <w:r>
              <w:rPr>
                <w:kern w:val="0"/>
                <w:szCs w:val="21"/>
              </w:rPr>
              <w:t>放控</w:t>
            </w:r>
          </w:p>
          <w:p w14:paraId="3D5042FC">
            <w:pPr>
              <w:adjustRightInd w:val="0"/>
              <w:snapToGrid w:val="0"/>
              <w:jc w:val="center"/>
              <w:rPr>
                <w:kern w:val="0"/>
                <w:szCs w:val="21"/>
              </w:rPr>
            </w:pPr>
            <w:r>
              <w:rPr>
                <w:kern w:val="0"/>
                <w:szCs w:val="21"/>
              </w:rPr>
              <w:t>制标</w:t>
            </w:r>
          </w:p>
          <w:p w14:paraId="0BB6CEEA">
            <w:pPr>
              <w:adjustRightInd w:val="0"/>
              <w:snapToGrid w:val="0"/>
              <w:jc w:val="center"/>
              <w:rPr>
                <w:kern w:val="0"/>
                <w:szCs w:val="21"/>
              </w:rPr>
            </w:pPr>
            <w:r>
              <w:rPr>
                <w:kern w:val="0"/>
                <w:szCs w:val="21"/>
              </w:rPr>
              <w:t>准</w:t>
            </w:r>
          </w:p>
        </w:tc>
        <w:tc>
          <w:tcPr>
            <w:tcW w:w="8190" w:type="dxa"/>
            <w:noWrap w:val="0"/>
            <w:vAlign w:val="center"/>
          </w:tcPr>
          <w:p w14:paraId="28D3CABB">
            <w:pPr>
              <w:pStyle w:val="5"/>
              <w:keepNext/>
              <w:keepLines/>
              <w:pageBreakBefore w:val="0"/>
              <w:widowControl w:val="0"/>
              <w:numPr>
                <w:ilvl w:val="0"/>
                <w:numId w:val="0"/>
              </w:numPr>
              <w:kinsoku/>
              <w:wordWrap/>
              <w:overflowPunct/>
              <w:topLinePunct w:val="0"/>
              <w:autoSpaceDE/>
              <w:autoSpaceDN/>
              <w:bidi w:val="0"/>
              <w:adjustRightInd/>
              <w:snapToGrid/>
              <w:spacing w:before="0" w:beforeLines="0" w:after="0" w:afterLines="0"/>
              <w:ind w:left="0" w:leftChars="0" w:firstLine="0" w:firstLineChars="0"/>
              <w:textAlignment w:val="auto"/>
            </w:pPr>
            <w:bookmarkStart w:id="33" w:name="_Toc519609070"/>
            <w:bookmarkStart w:id="34" w:name="_Toc21829"/>
            <w:r>
              <w:rPr>
                <w:rFonts w:hint="eastAsia" w:ascii="Times New Roman" w:hAnsi="Times New Roman" w:eastAsia="宋体" w:cs="宋体"/>
                <w:b/>
                <w:bCs/>
                <w:color w:val="000000"/>
                <w:kern w:val="44"/>
                <w:sz w:val="30"/>
                <w:szCs w:val="32"/>
                <w:lang w:val="en-US" w:eastAsia="zh-CN" w:bidi="ar-SA"/>
              </w:rPr>
              <w:t>3.3</w:t>
            </w:r>
            <w:r>
              <w:t>污染物排放标准</w:t>
            </w:r>
            <w:bookmarkEnd w:id="33"/>
            <w:bookmarkEnd w:id="34"/>
          </w:p>
          <w:p w14:paraId="23F6C235">
            <w:pPr>
              <w:pStyle w:val="6"/>
              <w:keepNext/>
              <w:keepLines/>
              <w:pageBreakBefore w:val="0"/>
              <w:widowControl w:val="0"/>
              <w:numPr>
                <w:ilvl w:val="0"/>
                <w:numId w:val="0"/>
              </w:numPr>
              <w:tabs>
                <w:tab w:val="left" w:pos="0"/>
              </w:tabs>
              <w:kinsoku/>
              <w:wordWrap/>
              <w:overflowPunct/>
              <w:topLinePunct w:val="0"/>
              <w:autoSpaceDE/>
              <w:autoSpaceDN/>
              <w:bidi w:val="0"/>
              <w:adjustRightInd/>
              <w:snapToGrid/>
              <w:ind w:left="993" w:leftChars="0" w:hanging="993" w:firstLineChars="0"/>
              <w:textAlignment w:val="auto"/>
            </w:pPr>
            <w:bookmarkStart w:id="35" w:name="_Toc32714"/>
            <w:r>
              <w:rPr>
                <w:rFonts w:hint="eastAsia" w:ascii="Times New Roman" w:hAnsi="Times New Roman" w:eastAsia="宋体" w:cs="宋体"/>
                <w:b/>
                <w:bCs/>
                <w:kern w:val="2"/>
                <w:sz w:val="28"/>
                <w:szCs w:val="32"/>
                <w:lang w:val="en-US" w:eastAsia="zh-CN" w:bidi="ar-SA"/>
              </w:rPr>
              <w:t>3.3.1</w:t>
            </w:r>
            <w:r>
              <w:t>废水</w:t>
            </w:r>
            <w:bookmarkEnd w:id="35"/>
          </w:p>
          <w:p w14:paraId="7EC2EEFC">
            <w:pPr>
              <w:pStyle w:val="76"/>
              <w:ind w:firstLine="480"/>
              <w:rPr>
                <w:rFonts w:hint="default"/>
                <w:color w:val="auto"/>
              </w:rPr>
            </w:pPr>
            <w:r>
              <w:rPr>
                <w:rFonts w:hint="default" w:cs="Times New Roman"/>
                <w:color w:val="auto"/>
              </w:rPr>
              <w:t>本项目医疗废水</w:t>
            </w:r>
            <w:r>
              <w:rPr>
                <w:rFonts w:hint="default" w:cs="Times New Roman"/>
                <w:color w:val="auto"/>
                <w:szCs w:val="24"/>
              </w:rPr>
              <w:t>经配套的</w:t>
            </w:r>
            <w:r>
              <w:rPr>
                <w:rFonts w:cs="Times New Roman"/>
                <w:color w:val="auto"/>
                <w:szCs w:val="24"/>
              </w:rPr>
              <w:t>小型一体化医疗废水处理</w:t>
            </w:r>
            <w:r>
              <w:rPr>
                <w:rFonts w:hint="default" w:cs="Times New Roman"/>
                <w:color w:val="auto"/>
                <w:szCs w:val="24"/>
              </w:rPr>
              <w:t>设施处理</w:t>
            </w:r>
            <w:r>
              <w:rPr>
                <w:rFonts w:cs="Times New Roman"/>
                <w:color w:val="auto"/>
                <w:szCs w:val="24"/>
              </w:rPr>
              <w:t>达到</w:t>
            </w:r>
            <w:r>
              <w:rPr>
                <w:rFonts w:hint="default" w:cs="Times New Roman"/>
                <w:color w:val="auto"/>
              </w:rPr>
              <w:t>《医疗机构水污染物排放标准》（GB18466-2005）表2中的预处理标准</w:t>
            </w:r>
            <w:r>
              <w:rPr>
                <w:rFonts w:hint="default" w:cs="Times New Roman"/>
                <w:color w:val="auto"/>
                <w:szCs w:val="24"/>
              </w:rPr>
              <w:t>后与</w:t>
            </w:r>
            <w:r>
              <w:rPr>
                <w:rFonts w:hint="default" w:cs="Times New Roman"/>
                <w:color w:val="auto"/>
              </w:rPr>
              <w:t>生活污水、宠物美容</w:t>
            </w:r>
            <w:r>
              <w:rPr>
                <w:rFonts w:cs="Times New Roman"/>
                <w:color w:val="auto"/>
              </w:rPr>
              <w:t>清洗</w:t>
            </w:r>
            <w:r>
              <w:rPr>
                <w:rFonts w:hint="default" w:cs="Times New Roman"/>
                <w:color w:val="auto"/>
              </w:rPr>
              <w:t>废水一起经化粪池处理达到《污水综合排放标准》（GB8978-1996）表4中的三级标准排放标准（氨氮排放标准参考《污水排入城镇下水道水质标准》（GB/T31962-2015）B等级标准限值）</w:t>
            </w:r>
            <w:r>
              <w:rPr>
                <w:rFonts w:hint="default"/>
                <w:color w:val="auto"/>
              </w:rPr>
              <w:t>排入</w:t>
            </w:r>
            <w:r>
              <w:rPr>
                <w:color w:val="auto"/>
              </w:rPr>
              <w:t>福州市祥坂污水处理厂</w:t>
            </w:r>
            <w:r>
              <w:rPr>
                <w:rFonts w:hint="default"/>
                <w:color w:val="auto"/>
              </w:rPr>
              <w:t>处理。</w:t>
            </w:r>
          </w:p>
          <w:p w14:paraId="6B162B7D">
            <w:pPr>
              <w:pStyle w:val="76"/>
              <w:ind w:firstLine="480"/>
              <w:rPr>
                <w:rFonts w:hint="default"/>
                <w:color w:val="auto"/>
              </w:rPr>
            </w:pPr>
            <w:r>
              <w:rPr>
                <w:rFonts w:hint="default"/>
                <w:color w:val="auto"/>
              </w:rPr>
              <w:t>排放标准</w:t>
            </w:r>
            <w:r>
              <w:rPr>
                <w:color w:val="auto"/>
              </w:rPr>
              <w:t>详</w:t>
            </w:r>
            <w:r>
              <w:rPr>
                <w:rFonts w:hint="default"/>
                <w:color w:val="auto"/>
              </w:rPr>
              <w:t>见表3.</w:t>
            </w:r>
            <w:r>
              <w:rPr>
                <w:color w:val="auto"/>
              </w:rPr>
              <w:t>3</w:t>
            </w:r>
            <w:r>
              <w:rPr>
                <w:rFonts w:hint="default"/>
                <w:color w:val="auto"/>
              </w:rPr>
              <w:t>-1</w:t>
            </w:r>
            <w:r>
              <w:rPr>
                <w:color w:val="auto"/>
              </w:rPr>
              <w:t>~3.3-2</w:t>
            </w:r>
            <w:r>
              <w:rPr>
                <w:rFonts w:hint="default"/>
                <w:color w:val="auto"/>
              </w:rPr>
              <w:t>。</w:t>
            </w:r>
          </w:p>
          <w:p w14:paraId="630765C5">
            <w:pPr>
              <w:pStyle w:val="63"/>
              <w:numPr>
                <w:ilvl w:val="0"/>
                <w:numId w:val="0"/>
              </w:numPr>
              <w:ind w:left="0" w:leftChars="0" w:firstLine="0" w:firstLineChars="0"/>
              <w:rPr>
                <w:color w:val="auto"/>
              </w:rPr>
            </w:pPr>
            <w:r>
              <w:rPr>
                <w:rFonts w:hint="eastAsia" w:ascii="Times New Roman" w:hAnsi="Times New Roman" w:eastAsia="宋体" w:cs="宋体"/>
                <w:b/>
                <w:color w:val="auto"/>
                <w:kern w:val="2"/>
                <w:sz w:val="24"/>
                <w:szCs w:val="24"/>
                <w:lang w:val="en-US" w:eastAsia="zh-CN" w:bidi="ar-SA"/>
              </w:rPr>
              <w:t>表3.3-1</w:t>
            </w:r>
            <w:r>
              <w:rPr>
                <w:color w:val="auto"/>
              </w:rPr>
              <w:t>医疗机构水污染物排放标准（GB18466-2005）</w:t>
            </w:r>
          </w:p>
          <w:tbl>
            <w:tblPr>
              <w:tblStyle w:val="25"/>
              <w:tblW w:w="5000"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981"/>
              <w:gridCol w:w="3515"/>
              <w:gridCol w:w="1565"/>
              <w:gridCol w:w="3059"/>
            </w:tblGrid>
            <w:tr w14:paraId="43EFF38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538" w:type="pct"/>
                  <w:noWrap w:val="0"/>
                  <w:vAlign w:val="center"/>
                </w:tcPr>
                <w:p w14:paraId="19D00FB7">
                  <w:pPr>
                    <w:tabs>
                      <w:tab w:val="center" w:pos="4134"/>
                      <w:tab w:val="left" w:pos="5475"/>
                    </w:tabs>
                    <w:adjustRightInd w:val="0"/>
                    <w:spacing w:line="300" w:lineRule="atLeast"/>
                    <w:jc w:val="center"/>
                    <w:rPr>
                      <w:color w:val="auto"/>
                      <w:sz w:val="21"/>
                      <w:szCs w:val="21"/>
                    </w:rPr>
                  </w:pPr>
                  <w:r>
                    <w:rPr>
                      <w:color w:val="auto"/>
                      <w:sz w:val="21"/>
                      <w:szCs w:val="21"/>
                    </w:rPr>
                    <w:t>序号</w:t>
                  </w:r>
                </w:p>
              </w:tc>
              <w:tc>
                <w:tcPr>
                  <w:tcW w:w="1927" w:type="pct"/>
                  <w:noWrap w:val="0"/>
                  <w:vAlign w:val="center"/>
                </w:tcPr>
                <w:p w14:paraId="357C5453">
                  <w:pPr>
                    <w:tabs>
                      <w:tab w:val="center" w:pos="4134"/>
                      <w:tab w:val="left" w:pos="5475"/>
                    </w:tabs>
                    <w:adjustRightInd w:val="0"/>
                    <w:spacing w:line="300" w:lineRule="atLeast"/>
                    <w:jc w:val="center"/>
                    <w:rPr>
                      <w:color w:val="auto"/>
                      <w:sz w:val="21"/>
                      <w:szCs w:val="21"/>
                    </w:rPr>
                  </w:pPr>
                  <w:r>
                    <w:rPr>
                      <w:color w:val="auto"/>
                      <w:sz w:val="21"/>
                      <w:szCs w:val="21"/>
                    </w:rPr>
                    <w:t>污染物</w:t>
                  </w:r>
                </w:p>
              </w:tc>
              <w:tc>
                <w:tcPr>
                  <w:tcW w:w="858" w:type="pct"/>
                  <w:noWrap w:val="0"/>
                  <w:vAlign w:val="center"/>
                </w:tcPr>
                <w:p w14:paraId="72535A45">
                  <w:pPr>
                    <w:tabs>
                      <w:tab w:val="center" w:pos="4134"/>
                      <w:tab w:val="left" w:pos="5475"/>
                    </w:tabs>
                    <w:adjustRightInd w:val="0"/>
                    <w:spacing w:line="300" w:lineRule="atLeast"/>
                    <w:jc w:val="center"/>
                    <w:rPr>
                      <w:color w:val="auto"/>
                      <w:sz w:val="21"/>
                      <w:szCs w:val="21"/>
                    </w:rPr>
                  </w:pPr>
                  <w:r>
                    <w:rPr>
                      <w:color w:val="auto"/>
                      <w:sz w:val="21"/>
                      <w:szCs w:val="21"/>
                    </w:rPr>
                    <w:t>标准值</w:t>
                  </w:r>
                </w:p>
              </w:tc>
              <w:tc>
                <w:tcPr>
                  <w:tcW w:w="1676" w:type="pct"/>
                  <w:noWrap w:val="0"/>
                  <w:vAlign w:val="center"/>
                </w:tcPr>
                <w:p w14:paraId="1DF24F4F">
                  <w:pPr>
                    <w:tabs>
                      <w:tab w:val="center" w:pos="4134"/>
                      <w:tab w:val="left" w:pos="5475"/>
                    </w:tabs>
                    <w:adjustRightInd w:val="0"/>
                    <w:spacing w:line="300" w:lineRule="atLeast"/>
                    <w:jc w:val="center"/>
                    <w:rPr>
                      <w:color w:val="auto"/>
                      <w:sz w:val="21"/>
                      <w:szCs w:val="21"/>
                    </w:rPr>
                  </w:pPr>
                  <w:r>
                    <w:rPr>
                      <w:color w:val="auto"/>
                      <w:sz w:val="21"/>
                      <w:szCs w:val="21"/>
                    </w:rPr>
                    <w:t>标准来源</w:t>
                  </w:r>
                </w:p>
              </w:tc>
            </w:tr>
            <w:tr w14:paraId="700616C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20" w:hRule="atLeast"/>
                <w:jc w:val="center"/>
              </w:trPr>
              <w:tc>
                <w:tcPr>
                  <w:tcW w:w="538" w:type="pct"/>
                  <w:tcBorders>
                    <w:bottom w:val="single" w:color="auto" w:sz="4" w:space="0"/>
                  </w:tcBorders>
                  <w:noWrap w:val="0"/>
                  <w:vAlign w:val="center"/>
                </w:tcPr>
                <w:p w14:paraId="03C993B0">
                  <w:pPr>
                    <w:tabs>
                      <w:tab w:val="center" w:pos="4134"/>
                      <w:tab w:val="left" w:pos="5475"/>
                    </w:tabs>
                    <w:adjustRightInd w:val="0"/>
                    <w:spacing w:line="300" w:lineRule="atLeast"/>
                    <w:jc w:val="center"/>
                    <w:rPr>
                      <w:color w:val="auto"/>
                      <w:sz w:val="21"/>
                      <w:szCs w:val="21"/>
                    </w:rPr>
                  </w:pPr>
                  <w:r>
                    <w:rPr>
                      <w:color w:val="auto"/>
                      <w:sz w:val="21"/>
                      <w:szCs w:val="21"/>
                    </w:rPr>
                    <w:t>1</w:t>
                  </w:r>
                </w:p>
              </w:tc>
              <w:tc>
                <w:tcPr>
                  <w:tcW w:w="1927" w:type="pct"/>
                  <w:tcBorders>
                    <w:bottom w:val="single" w:color="auto" w:sz="4" w:space="0"/>
                  </w:tcBorders>
                  <w:noWrap w:val="0"/>
                  <w:vAlign w:val="center"/>
                </w:tcPr>
                <w:p w14:paraId="4867F7CA">
                  <w:pPr>
                    <w:tabs>
                      <w:tab w:val="center" w:pos="4134"/>
                      <w:tab w:val="left" w:pos="5475"/>
                    </w:tabs>
                    <w:adjustRightInd w:val="0"/>
                    <w:spacing w:line="300" w:lineRule="atLeast"/>
                    <w:jc w:val="center"/>
                    <w:rPr>
                      <w:color w:val="auto"/>
                      <w:sz w:val="21"/>
                      <w:szCs w:val="21"/>
                    </w:rPr>
                  </w:pPr>
                  <w:r>
                    <w:rPr>
                      <w:rFonts w:hint="eastAsia"/>
                      <w:color w:val="auto"/>
                      <w:sz w:val="21"/>
                      <w:szCs w:val="21"/>
                    </w:rPr>
                    <w:t>粪大肠菌群</w:t>
                  </w:r>
                  <w:r>
                    <w:rPr>
                      <w:color w:val="auto"/>
                      <w:sz w:val="21"/>
                      <w:szCs w:val="21"/>
                    </w:rPr>
                    <w:t>≤</w:t>
                  </w:r>
                </w:p>
              </w:tc>
              <w:tc>
                <w:tcPr>
                  <w:tcW w:w="858" w:type="pct"/>
                  <w:tcBorders>
                    <w:bottom w:val="single" w:color="auto" w:sz="4" w:space="0"/>
                  </w:tcBorders>
                  <w:noWrap w:val="0"/>
                  <w:vAlign w:val="center"/>
                </w:tcPr>
                <w:p w14:paraId="5A5C9E4C">
                  <w:pPr>
                    <w:tabs>
                      <w:tab w:val="center" w:pos="4134"/>
                      <w:tab w:val="left" w:pos="5475"/>
                    </w:tabs>
                    <w:adjustRightInd w:val="0"/>
                    <w:spacing w:line="300" w:lineRule="atLeast"/>
                    <w:jc w:val="center"/>
                    <w:rPr>
                      <w:color w:val="auto"/>
                      <w:sz w:val="21"/>
                      <w:szCs w:val="21"/>
                    </w:rPr>
                  </w:pPr>
                  <w:r>
                    <w:rPr>
                      <w:rFonts w:hint="eastAsia"/>
                      <w:color w:val="auto"/>
                      <w:sz w:val="21"/>
                      <w:szCs w:val="21"/>
                    </w:rPr>
                    <w:t>5000MPN/L</w:t>
                  </w:r>
                </w:p>
              </w:tc>
              <w:tc>
                <w:tcPr>
                  <w:tcW w:w="1676" w:type="pct"/>
                  <w:vMerge w:val="restart"/>
                  <w:noWrap w:val="0"/>
                  <w:vAlign w:val="center"/>
                </w:tcPr>
                <w:p w14:paraId="68348620">
                  <w:pPr>
                    <w:tabs>
                      <w:tab w:val="center" w:pos="4134"/>
                      <w:tab w:val="left" w:pos="5475"/>
                    </w:tabs>
                    <w:adjustRightInd w:val="0"/>
                    <w:spacing w:line="300" w:lineRule="atLeast"/>
                    <w:jc w:val="center"/>
                    <w:rPr>
                      <w:color w:val="auto"/>
                      <w:sz w:val="21"/>
                      <w:szCs w:val="21"/>
                    </w:rPr>
                  </w:pPr>
                  <w:r>
                    <w:rPr>
                      <w:rFonts w:hint="eastAsia"/>
                      <w:color w:val="auto"/>
                      <w:sz w:val="21"/>
                      <w:szCs w:val="21"/>
                    </w:rPr>
                    <w:t>《医疗机构水污染物排放标准》（GB18466-2005）表2中的预处理标准</w:t>
                  </w:r>
                </w:p>
              </w:tc>
            </w:tr>
            <w:tr w14:paraId="5A6B456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50" w:hRule="atLeast"/>
                <w:jc w:val="center"/>
              </w:trPr>
              <w:tc>
                <w:tcPr>
                  <w:tcW w:w="538" w:type="pct"/>
                  <w:tcBorders>
                    <w:top w:val="single" w:color="auto" w:sz="4" w:space="0"/>
                    <w:bottom w:val="single" w:color="auto" w:sz="4" w:space="0"/>
                  </w:tcBorders>
                  <w:noWrap w:val="0"/>
                  <w:vAlign w:val="center"/>
                </w:tcPr>
                <w:p w14:paraId="101AF391">
                  <w:pPr>
                    <w:tabs>
                      <w:tab w:val="center" w:pos="4134"/>
                      <w:tab w:val="left" w:pos="5475"/>
                    </w:tabs>
                    <w:adjustRightInd w:val="0"/>
                    <w:spacing w:line="300" w:lineRule="atLeast"/>
                    <w:jc w:val="center"/>
                    <w:rPr>
                      <w:rFonts w:hint="eastAsia"/>
                      <w:color w:val="auto"/>
                      <w:sz w:val="21"/>
                      <w:szCs w:val="21"/>
                    </w:rPr>
                  </w:pPr>
                  <w:r>
                    <w:rPr>
                      <w:rFonts w:hint="eastAsia"/>
                      <w:color w:val="auto"/>
                      <w:sz w:val="21"/>
                      <w:szCs w:val="21"/>
                    </w:rPr>
                    <w:t>2</w:t>
                  </w:r>
                </w:p>
              </w:tc>
              <w:tc>
                <w:tcPr>
                  <w:tcW w:w="1927" w:type="pct"/>
                  <w:tcBorders>
                    <w:top w:val="single" w:color="auto" w:sz="4" w:space="0"/>
                    <w:bottom w:val="single" w:color="auto" w:sz="4" w:space="0"/>
                  </w:tcBorders>
                  <w:noWrap w:val="0"/>
                  <w:vAlign w:val="center"/>
                </w:tcPr>
                <w:p w14:paraId="6953A347">
                  <w:pPr>
                    <w:tabs>
                      <w:tab w:val="center" w:pos="4134"/>
                      <w:tab w:val="left" w:pos="5475"/>
                    </w:tabs>
                    <w:adjustRightInd w:val="0"/>
                    <w:spacing w:line="300" w:lineRule="atLeast"/>
                    <w:jc w:val="center"/>
                    <w:rPr>
                      <w:color w:val="auto"/>
                      <w:sz w:val="21"/>
                      <w:szCs w:val="21"/>
                    </w:rPr>
                  </w:pPr>
                  <w:r>
                    <w:rPr>
                      <w:rFonts w:hint="eastAsia"/>
                      <w:color w:val="auto"/>
                      <w:sz w:val="21"/>
                      <w:szCs w:val="21"/>
                    </w:rPr>
                    <w:t>肠道致病菌</w:t>
                  </w:r>
                  <w:r>
                    <w:rPr>
                      <w:color w:val="auto"/>
                      <w:sz w:val="21"/>
                      <w:szCs w:val="21"/>
                    </w:rPr>
                    <w:t>≤</w:t>
                  </w:r>
                </w:p>
              </w:tc>
              <w:tc>
                <w:tcPr>
                  <w:tcW w:w="858" w:type="pct"/>
                  <w:tcBorders>
                    <w:top w:val="single" w:color="auto" w:sz="4" w:space="0"/>
                    <w:bottom w:val="single" w:color="auto" w:sz="4" w:space="0"/>
                  </w:tcBorders>
                  <w:noWrap w:val="0"/>
                  <w:vAlign w:val="center"/>
                </w:tcPr>
                <w:p w14:paraId="06C07DE4">
                  <w:pPr>
                    <w:tabs>
                      <w:tab w:val="center" w:pos="4134"/>
                      <w:tab w:val="left" w:pos="5475"/>
                    </w:tabs>
                    <w:adjustRightInd w:val="0"/>
                    <w:spacing w:line="300" w:lineRule="atLeast"/>
                    <w:jc w:val="center"/>
                    <w:rPr>
                      <w:rFonts w:hint="eastAsia"/>
                      <w:color w:val="auto"/>
                      <w:sz w:val="21"/>
                      <w:szCs w:val="21"/>
                    </w:rPr>
                  </w:pPr>
                  <w:r>
                    <w:rPr>
                      <w:rFonts w:hint="eastAsia"/>
                      <w:color w:val="auto"/>
                      <w:sz w:val="21"/>
                      <w:szCs w:val="21"/>
                    </w:rPr>
                    <w:t>—</w:t>
                  </w:r>
                </w:p>
              </w:tc>
              <w:tc>
                <w:tcPr>
                  <w:tcW w:w="1676" w:type="pct"/>
                  <w:vMerge w:val="continue"/>
                  <w:noWrap w:val="0"/>
                  <w:vAlign w:val="center"/>
                </w:tcPr>
                <w:p w14:paraId="08C2852E">
                  <w:pPr>
                    <w:tabs>
                      <w:tab w:val="center" w:pos="4134"/>
                      <w:tab w:val="left" w:pos="5475"/>
                    </w:tabs>
                    <w:adjustRightInd w:val="0"/>
                    <w:spacing w:line="300" w:lineRule="atLeast"/>
                    <w:jc w:val="center"/>
                    <w:rPr>
                      <w:rFonts w:hint="eastAsia"/>
                      <w:color w:val="auto"/>
                      <w:sz w:val="21"/>
                      <w:szCs w:val="21"/>
                    </w:rPr>
                  </w:pPr>
                </w:p>
              </w:tc>
            </w:tr>
            <w:tr w14:paraId="2C99775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60" w:hRule="atLeast"/>
                <w:jc w:val="center"/>
              </w:trPr>
              <w:tc>
                <w:tcPr>
                  <w:tcW w:w="538" w:type="pct"/>
                  <w:tcBorders>
                    <w:top w:val="single" w:color="auto" w:sz="4" w:space="0"/>
                    <w:bottom w:val="single" w:color="auto" w:sz="4" w:space="0"/>
                  </w:tcBorders>
                  <w:noWrap w:val="0"/>
                  <w:vAlign w:val="center"/>
                </w:tcPr>
                <w:p w14:paraId="23B39F2B">
                  <w:pPr>
                    <w:tabs>
                      <w:tab w:val="center" w:pos="4134"/>
                      <w:tab w:val="left" w:pos="5475"/>
                    </w:tabs>
                    <w:adjustRightInd w:val="0"/>
                    <w:spacing w:line="300" w:lineRule="atLeast"/>
                    <w:jc w:val="center"/>
                    <w:rPr>
                      <w:rFonts w:hint="eastAsia"/>
                      <w:color w:val="auto"/>
                      <w:sz w:val="21"/>
                      <w:szCs w:val="21"/>
                    </w:rPr>
                  </w:pPr>
                  <w:r>
                    <w:rPr>
                      <w:rFonts w:hint="eastAsia"/>
                      <w:color w:val="auto"/>
                      <w:sz w:val="21"/>
                      <w:szCs w:val="21"/>
                    </w:rPr>
                    <w:t>3</w:t>
                  </w:r>
                </w:p>
              </w:tc>
              <w:tc>
                <w:tcPr>
                  <w:tcW w:w="1927" w:type="pct"/>
                  <w:tcBorders>
                    <w:top w:val="single" w:color="auto" w:sz="4" w:space="0"/>
                    <w:bottom w:val="single" w:color="auto" w:sz="4" w:space="0"/>
                  </w:tcBorders>
                  <w:noWrap w:val="0"/>
                  <w:vAlign w:val="center"/>
                </w:tcPr>
                <w:p w14:paraId="029CC603">
                  <w:pPr>
                    <w:tabs>
                      <w:tab w:val="center" w:pos="4134"/>
                      <w:tab w:val="left" w:pos="5475"/>
                    </w:tabs>
                    <w:adjustRightInd w:val="0"/>
                    <w:spacing w:line="300" w:lineRule="atLeast"/>
                    <w:jc w:val="center"/>
                    <w:rPr>
                      <w:color w:val="auto"/>
                      <w:sz w:val="21"/>
                      <w:szCs w:val="21"/>
                    </w:rPr>
                  </w:pPr>
                  <w:r>
                    <w:rPr>
                      <w:rFonts w:hint="eastAsia"/>
                      <w:color w:val="auto"/>
                      <w:sz w:val="21"/>
                      <w:szCs w:val="21"/>
                    </w:rPr>
                    <w:t>肠道病毒</w:t>
                  </w:r>
                  <w:r>
                    <w:rPr>
                      <w:color w:val="auto"/>
                      <w:sz w:val="21"/>
                      <w:szCs w:val="21"/>
                    </w:rPr>
                    <w:t>≤</w:t>
                  </w:r>
                </w:p>
              </w:tc>
              <w:tc>
                <w:tcPr>
                  <w:tcW w:w="858" w:type="pct"/>
                  <w:tcBorders>
                    <w:top w:val="single" w:color="auto" w:sz="4" w:space="0"/>
                    <w:bottom w:val="single" w:color="auto" w:sz="4" w:space="0"/>
                  </w:tcBorders>
                  <w:noWrap w:val="0"/>
                  <w:vAlign w:val="center"/>
                </w:tcPr>
                <w:p w14:paraId="5735B74B">
                  <w:pPr>
                    <w:tabs>
                      <w:tab w:val="center" w:pos="4134"/>
                      <w:tab w:val="left" w:pos="5475"/>
                    </w:tabs>
                    <w:adjustRightInd w:val="0"/>
                    <w:spacing w:line="300" w:lineRule="atLeast"/>
                    <w:jc w:val="center"/>
                    <w:rPr>
                      <w:color w:val="auto"/>
                      <w:sz w:val="21"/>
                      <w:szCs w:val="21"/>
                    </w:rPr>
                  </w:pPr>
                  <w:r>
                    <w:rPr>
                      <w:rFonts w:hint="eastAsia"/>
                      <w:color w:val="auto"/>
                      <w:sz w:val="21"/>
                      <w:szCs w:val="21"/>
                    </w:rPr>
                    <w:t>—</w:t>
                  </w:r>
                </w:p>
              </w:tc>
              <w:tc>
                <w:tcPr>
                  <w:tcW w:w="1676" w:type="pct"/>
                  <w:vMerge w:val="continue"/>
                  <w:noWrap w:val="0"/>
                  <w:vAlign w:val="center"/>
                </w:tcPr>
                <w:p w14:paraId="40A96260">
                  <w:pPr>
                    <w:tabs>
                      <w:tab w:val="center" w:pos="4134"/>
                      <w:tab w:val="left" w:pos="5475"/>
                    </w:tabs>
                    <w:adjustRightInd w:val="0"/>
                    <w:spacing w:line="300" w:lineRule="atLeast"/>
                    <w:jc w:val="center"/>
                    <w:rPr>
                      <w:rFonts w:hint="eastAsia"/>
                      <w:color w:val="auto"/>
                      <w:sz w:val="21"/>
                      <w:szCs w:val="21"/>
                    </w:rPr>
                  </w:pPr>
                </w:p>
              </w:tc>
            </w:tr>
            <w:tr w14:paraId="5AB6D50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90" w:hRule="atLeast"/>
                <w:jc w:val="center"/>
              </w:trPr>
              <w:tc>
                <w:tcPr>
                  <w:tcW w:w="538" w:type="pct"/>
                  <w:tcBorders>
                    <w:top w:val="single" w:color="auto" w:sz="4" w:space="0"/>
                    <w:bottom w:val="single" w:color="auto" w:sz="4" w:space="0"/>
                  </w:tcBorders>
                  <w:noWrap w:val="0"/>
                  <w:vAlign w:val="center"/>
                </w:tcPr>
                <w:p w14:paraId="2A575432">
                  <w:pPr>
                    <w:tabs>
                      <w:tab w:val="center" w:pos="4134"/>
                      <w:tab w:val="left" w:pos="5475"/>
                    </w:tabs>
                    <w:adjustRightInd w:val="0"/>
                    <w:spacing w:line="300" w:lineRule="atLeast"/>
                    <w:jc w:val="center"/>
                    <w:rPr>
                      <w:rFonts w:hint="eastAsia"/>
                      <w:color w:val="auto"/>
                      <w:sz w:val="21"/>
                      <w:szCs w:val="21"/>
                    </w:rPr>
                  </w:pPr>
                  <w:r>
                    <w:rPr>
                      <w:rFonts w:hint="eastAsia"/>
                      <w:color w:val="auto"/>
                      <w:sz w:val="21"/>
                      <w:szCs w:val="21"/>
                    </w:rPr>
                    <w:t>4</w:t>
                  </w:r>
                </w:p>
              </w:tc>
              <w:tc>
                <w:tcPr>
                  <w:tcW w:w="1927" w:type="pct"/>
                  <w:tcBorders>
                    <w:top w:val="single" w:color="auto" w:sz="4" w:space="0"/>
                    <w:bottom w:val="single" w:color="auto" w:sz="4" w:space="0"/>
                  </w:tcBorders>
                  <w:noWrap w:val="0"/>
                  <w:vAlign w:val="center"/>
                </w:tcPr>
                <w:p w14:paraId="2F374A34">
                  <w:pPr>
                    <w:tabs>
                      <w:tab w:val="center" w:pos="4134"/>
                      <w:tab w:val="left" w:pos="5475"/>
                    </w:tabs>
                    <w:adjustRightInd w:val="0"/>
                    <w:spacing w:line="300" w:lineRule="atLeast"/>
                    <w:jc w:val="center"/>
                    <w:rPr>
                      <w:color w:val="auto"/>
                      <w:sz w:val="21"/>
                      <w:szCs w:val="21"/>
                    </w:rPr>
                  </w:pPr>
                  <w:r>
                    <w:rPr>
                      <w:rFonts w:hint="eastAsia"/>
                      <w:color w:val="auto"/>
                      <w:sz w:val="21"/>
                      <w:szCs w:val="21"/>
                    </w:rPr>
                    <w:t>pH</w:t>
                  </w:r>
                </w:p>
              </w:tc>
              <w:tc>
                <w:tcPr>
                  <w:tcW w:w="858" w:type="pct"/>
                  <w:tcBorders>
                    <w:top w:val="single" w:color="auto" w:sz="4" w:space="0"/>
                    <w:bottom w:val="single" w:color="auto" w:sz="4" w:space="0"/>
                  </w:tcBorders>
                  <w:noWrap w:val="0"/>
                  <w:vAlign w:val="center"/>
                </w:tcPr>
                <w:p w14:paraId="08996DCD">
                  <w:pPr>
                    <w:tabs>
                      <w:tab w:val="center" w:pos="4134"/>
                      <w:tab w:val="left" w:pos="5475"/>
                    </w:tabs>
                    <w:adjustRightInd w:val="0"/>
                    <w:spacing w:line="300" w:lineRule="atLeast"/>
                    <w:jc w:val="center"/>
                    <w:rPr>
                      <w:color w:val="auto"/>
                      <w:sz w:val="21"/>
                      <w:szCs w:val="21"/>
                    </w:rPr>
                  </w:pPr>
                  <w:r>
                    <w:rPr>
                      <w:rFonts w:hint="eastAsia"/>
                      <w:color w:val="auto"/>
                      <w:sz w:val="21"/>
                      <w:szCs w:val="21"/>
                    </w:rPr>
                    <w:t>6~9</w:t>
                  </w:r>
                </w:p>
              </w:tc>
              <w:tc>
                <w:tcPr>
                  <w:tcW w:w="1676" w:type="pct"/>
                  <w:vMerge w:val="continue"/>
                  <w:noWrap w:val="0"/>
                  <w:vAlign w:val="center"/>
                </w:tcPr>
                <w:p w14:paraId="73CD80F4">
                  <w:pPr>
                    <w:tabs>
                      <w:tab w:val="center" w:pos="4134"/>
                      <w:tab w:val="left" w:pos="5475"/>
                    </w:tabs>
                    <w:adjustRightInd w:val="0"/>
                    <w:spacing w:line="300" w:lineRule="atLeast"/>
                    <w:jc w:val="center"/>
                    <w:rPr>
                      <w:rFonts w:hint="eastAsia"/>
                      <w:color w:val="auto"/>
                      <w:sz w:val="21"/>
                      <w:szCs w:val="21"/>
                    </w:rPr>
                  </w:pPr>
                </w:p>
              </w:tc>
            </w:tr>
            <w:tr w14:paraId="0186C95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20" w:hRule="atLeast"/>
                <w:jc w:val="center"/>
              </w:trPr>
              <w:tc>
                <w:tcPr>
                  <w:tcW w:w="538" w:type="pct"/>
                  <w:tcBorders>
                    <w:top w:val="single" w:color="auto" w:sz="4" w:space="0"/>
                  </w:tcBorders>
                  <w:noWrap w:val="0"/>
                  <w:vAlign w:val="center"/>
                </w:tcPr>
                <w:p w14:paraId="215DF61D">
                  <w:pPr>
                    <w:tabs>
                      <w:tab w:val="center" w:pos="4134"/>
                      <w:tab w:val="left" w:pos="5475"/>
                    </w:tabs>
                    <w:adjustRightInd w:val="0"/>
                    <w:spacing w:line="300" w:lineRule="atLeast"/>
                    <w:jc w:val="center"/>
                    <w:rPr>
                      <w:rFonts w:hint="eastAsia"/>
                      <w:color w:val="auto"/>
                      <w:sz w:val="21"/>
                      <w:szCs w:val="21"/>
                    </w:rPr>
                  </w:pPr>
                  <w:r>
                    <w:rPr>
                      <w:rFonts w:hint="eastAsia"/>
                      <w:color w:val="auto"/>
                      <w:sz w:val="21"/>
                      <w:szCs w:val="21"/>
                    </w:rPr>
                    <w:t>5</w:t>
                  </w:r>
                </w:p>
              </w:tc>
              <w:tc>
                <w:tcPr>
                  <w:tcW w:w="1927" w:type="pct"/>
                  <w:tcBorders>
                    <w:top w:val="single" w:color="auto" w:sz="4" w:space="0"/>
                  </w:tcBorders>
                  <w:noWrap w:val="0"/>
                  <w:vAlign w:val="center"/>
                </w:tcPr>
                <w:p w14:paraId="004B6638">
                  <w:pPr>
                    <w:tabs>
                      <w:tab w:val="center" w:pos="4134"/>
                      <w:tab w:val="left" w:pos="5475"/>
                    </w:tabs>
                    <w:adjustRightInd w:val="0"/>
                    <w:spacing w:line="300" w:lineRule="atLeast"/>
                    <w:jc w:val="center"/>
                    <w:rPr>
                      <w:color w:val="auto"/>
                      <w:sz w:val="21"/>
                      <w:szCs w:val="21"/>
                    </w:rPr>
                  </w:pPr>
                  <w:r>
                    <w:rPr>
                      <w:rFonts w:hint="eastAsia"/>
                      <w:color w:val="auto"/>
                      <w:sz w:val="21"/>
                      <w:szCs w:val="21"/>
                    </w:rPr>
                    <w:t>化学需氧量</w:t>
                  </w:r>
                  <w:r>
                    <w:rPr>
                      <w:color w:val="auto"/>
                      <w:sz w:val="21"/>
                      <w:szCs w:val="21"/>
                    </w:rPr>
                    <w:t>（mg/L）≤</w:t>
                  </w:r>
                </w:p>
              </w:tc>
              <w:tc>
                <w:tcPr>
                  <w:tcW w:w="858" w:type="pct"/>
                  <w:tcBorders>
                    <w:top w:val="single" w:color="auto" w:sz="4" w:space="0"/>
                  </w:tcBorders>
                  <w:noWrap w:val="0"/>
                  <w:vAlign w:val="center"/>
                </w:tcPr>
                <w:p w14:paraId="0776DBE5">
                  <w:pPr>
                    <w:tabs>
                      <w:tab w:val="center" w:pos="4134"/>
                      <w:tab w:val="left" w:pos="5475"/>
                    </w:tabs>
                    <w:adjustRightInd w:val="0"/>
                    <w:spacing w:line="300" w:lineRule="atLeast"/>
                    <w:jc w:val="center"/>
                    <w:rPr>
                      <w:color w:val="auto"/>
                      <w:sz w:val="21"/>
                      <w:szCs w:val="21"/>
                    </w:rPr>
                  </w:pPr>
                  <w:r>
                    <w:rPr>
                      <w:rFonts w:hint="eastAsia"/>
                      <w:color w:val="auto"/>
                      <w:sz w:val="21"/>
                      <w:szCs w:val="21"/>
                    </w:rPr>
                    <w:t>250</w:t>
                  </w:r>
                </w:p>
              </w:tc>
              <w:tc>
                <w:tcPr>
                  <w:tcW w:w="1676" w:type="pct"/>
                  <w:vMerge w:val="continue"/>
                  <w:noWrap w:val="0"/>
                  <w:vAlign w:val="center"/>
                </w:tcPr>
                <w:p w14:paraId="044567D9">
                  <w:pPr>
                    <w:tabs>
                      <w:tab w:val="center" w:pos="4134"/>
                      <w:tab w:val="left" w:pos="5475"/>
                    </w:tabs>
                    <w:adjustRightInd w:val="0"/>
                    <w:spacing w:line="300" w:lineRule="atLeast"/>
                    <w:jc w:val="center"/>
                    <w:rPr>
                      <w:rFonts w:hint="eastAsia"/>
                      <w:color w:val="auto"/>
                      <w:sz w:val="21"/>
                      <w:szCs w:val="21"/>
                    </w:rPr>
                  </w:pPr>
                </w:p>
              </w:tc>
            </w:tr>
            <w:tr w14:paraId="7BB8768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538" w:type="pct"/>
                  <w:noWrap w:val="0"/>
                  <w:vAlign w:val="center"/>
                </w:tcPr>
                <w:p w14:paraId="12E912AD">
                  <w:pPr>
                    <w:tabs>
                      <w:tab w:val="center" w:pos="4134"/>
                      <w:tab w:val="left" w:pos="5475"/>
                    </w:tabs>
                    <w:adjustRightInd w:val="0"/>
                    <w:spacing w:line="300" w:lineRule="atLeast"/>
                    <w:jc w:val="center"/>
                    <w:rPr>
                      <w:rFonts w:hint="eastAsia"/>
                      <w:color w:val="auto"/>
                      <w:sz w:val="21"/>
                      <w:szCs w:val="21"/>
                    </w:rPr>
                  </w:pPr>
                  <w:r>
                    <w:rPr>
                      <w:rFonts w:hint="eastAsia"/>
                      <w:color w:val="auto"/>
                      <w:sz w:val="21"/>
                      <w:szCs w:val="21"/>
                    </w:rPr>
                    <w:t>6</w:t>
                  </w:r>
                </w:p>
              </w:tc>
              <w:tc>
                <w:tcPr>
                  <w:tcW w:w="1927" w:type="pct"/>
                  <w:noWrap w:val="0"/>
                  <w:vAlign w:val="center"/>
                </w:tcPr>
                <w:p w14:paraId="01AB25A1">
                  <w:pPr>
                    <w:tabs>
                      <w:tab w:val="center" w:pos="4134"/>
                      <w:tab w:val="left" w:pos="5475"/>
                    </w:tabs>
                    <w:adjustRightInd w:val="0"/>
                    <w:spacing w:line="300" w:lineRule="atLeast"/>
                    <w:jc w:val="center"/>
                    <w:rPr>
                      <w:color w:val="auto"/>
                      <w:sz w:val="21"/>
                      <w:szCs w:val="21"/>
                    </w:rPr>
                  </w:pPr>
                  <w:r>
                    <w:rPr>
                      <w:color w:val="auto"/>
                      <w:sz w:val="21"/>
                      <w:szCs w:val="21"/>
                    </w:rPr>
                    <w:t>生化需氧量（mg/L）≤</w:t>
                  </w:r>
                </w:p>
              </w:tc>
              <w:tc>
                <w:tcPr>
                  <w:tcW w:w="858" w:type="pct"/>
                  <w:noWrap w:val="0"/>
                  <w:vAlign w:val="center"/>
                </w:tcPr>
                <w:p w14:paraId="341016B1">
                  <w:pPr>
                    <w:tabs>
                      <w:tab w:val="center" w:pos="4134"/>
                      <w:tab w:val="left" w:pos="5475"/>
                    </w:tabs>
                    <w:adjustRightInd w:val="0"/>
                    <w:spacing w:line="300" w:lineRule="atLeast"/>
                    <w:jc w:val="center"/>
                    <w:rPr>
                      <w:rFonts w:hint="eastAsia"/>
                      <w:color w:val="auto"/>
                      <w:sz w:val="21"/>
                      <w:szCs w:val="21"/>
                    </w:rPr>
                  </w:pPr>
                  <w:r>
                    <w:rPr>
                      <w:color w:val="auto"/>
                      <w:sz w:val="21"/>
                      <w:szCs w:val="21"/>
                    </w:rPr>
                    <w:t>10</w:t>
                  </w:r>
                  <w:r>
                    <w:rPr>
                      <w:rFonts w:hint="eastAsia"/>
                      <w:color w:val="auto"/>
                      <w:sz w:val="21"/>
                      <w:szCs w:val="21"/>
                    </w:rPr>
                    <w:t>0</w:t>
                  </w:r>
                </w:p>
              </w:tc>
              <w:tc>
                <w:tcPr>
                  <w:tcW w:w="1676" w:type="pct"/>
                  <w:vMerge w:val="continue"/>
                  <w:noWrap w:val="0"/>
                  <w:vAlign w:val="center"/>
                </w:tcPr>
                <w:p w14:paraId="22D12560">
                  <w:pPr>
                    <w:tabs>
                      <w:tab w:val="center" w:pos="4134"/>
                      <w:tab w:val="left" w:pos="5475"/>
                    </w:tabs>
                    <w:adjustRightInd w:val="0"/>
                    <w:spacing w:line="300" w:lineRule="atLeast"/>
                    <w:jc w:val="center"/>
                    <w:rPr>
                      <w:color w:val="auto"/>
                      <w:sz w:val="21"/>
                      <w:szCs w:val="21"/>
                    </w:rPr>
                  </w:pPr>
                </w:p>
              </w:tc>
            </w:tr>
            <w:tr w14:paraId="675245A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538" w:type="pct"/>
                  <w:noWrap w:val="0"/>
                  <w:vAlign w:val="center"/>
                </w:tcPr>
                <w:p w14:paraId="7CD4C318">
                  <w:pPr>
                    <w:tabs>
                      <w:tab w:val="center" w:pos="4134"/>
                      <w:tab w:val="left" w:pos="5475"/>
                    </w:tabs>
                    <w:adjustRightInd w:val="0"/>
                    <w:spacing w:line="300" w:lineRule="atLeast"/>
                    <w:jc w:val="center"/>
                    <w:rPr>
                      <w:rFonts w:hint="eastAsia"/>
                      <w:color w:val="auto"/>
                      <w:sz w:val="21"/>
                      <w:szCs w:val="21"/>
                    </w:rPr>
                  </w:pPr>
                  <w:r>
                    <w:rPr>
                      <w:rFonts w:hint="eastAsia"/>
                      <w:color w:val="auto"/>
                      <w:sz w:val="21"/>
                      <w:szCs w:val="21"/>
                    </w:rPr>
                    <w:t>7</w:t>
                  </w:r>
                </w:p>
              </w:tc>
              <w:tc>
                <w:tcPr>
                  <w:tcW w:w="1927" w:type="pct"/>
                  <w:noWrap w:val="0"/>
                  <w:vAlign w:val="center"/>
                </w:tcPr>
                <w:p w14:paraId="1F5DC2AA">
                  <w:pPr>
                    <w:tabs>
                      <w:tab w:val="center" w:pos="4134"/>
                      <w:tab w:val="left" w:pos="5475"/>
                    </w:tabs>
                    <w:adjustRightInd w:val="0"/>
                    <w:spacing w:line="300" w:lineRule="atLeast"/>
                    <w:jc w:val="center"/>
                    <w:rPr>
                      <w:rFonts w:hint="eastAsia"/>
                      <w:color w:val="auto"/>
                      <w:sz w:val="21"/>
                      <w:szCs w:val="21"/>
                    </w:rPr>
                  </w:pPr>
                  <w:r>
                    <w:rPr>
                      <w:rFonts w:hint="eastAsia"/>
                      <w:color w:val="auto"/>
                      <w:sz w:val="21"/>
                      <w:szCs w:val="21"/>
                    </w:rPr>
                    <w:t>悬浮物</w:t>
                  </w:r>
                  <w:r>
                    <w:rPr>
                      <w:color w:val="auto"/>
                      <w:sz w:val="21"/>
                      <w:szCs w:val="21"/>
                    </w:rPr>
                    <w:t>（mg/L）≤</w:t>
                  </w:r>
                </w:p>
              </w:tc>
              <w:tc>
                <w:tcPr>
                  <w:tcW w:w="858" w:type="pct"/>
                  <w:noWrap w:val="0"/>
                  <w:vAlign w:val="center"/>
                </w:tcPr>
                <w:p w14:paraId="49506A51">
                  <w:pPr>
                    <w:tabs>
                      <w:tab w:val="center" w:pos="4134"/>
                      <w:tab w:val="left" w:pos="5475"/>
                    </w:tabs>
                    <w:adjustRightInd w:val="0"/>
                    <w:spacing w:line="300" w:lineRule="atLeast"/>
                    <w:jc w:val="center"/>
                    <w:rPr>
                      <w:color w:val="auto"/>
                      <w:sz w:val="21"/>
                      <w:szCs w:val="21"/>
                    </w:rPr>
                  </w:pPr>
                  <w:r>
                    <w:rPr>
                      <w:rFonts w:hint="eastAsia"/>
                      <w:color w:val="auto"/>
                      <w:sz w:val="21"/>
                      <w:szCs w:val="21"/>
                    </w:rPr>
                    <w:t>60</w:t>
                  </w:r>
                </w:p>
              </w:tc>
              <w:tc>
                <w:tcPr>
                  <w:tcW w:w="1676" w:type="pct"/>
                  <w:vMerge w:val="continue"/>
                  <w:noWrap w:val="0"/>
                  <w:vAlign w:val="center"/>
                </w:tcPr>
                <w:p w14:paraId="792B4A72">
                  <w:pPr>
                    <w:tabs>
                      <w:tab w:val="center" w:pos="4134"/>
                      <w:tab w:val="left" w:pos="5475"/>
                    </w:tabs>
                    <w:adjustRightInd w:val="0"/>
                    <w:spacing w:line="300" w:lineRule="atLeast"/>
                    <w:jc w:val="center"/>
                    <w:rPr>
                      <w:color w:val="auto"/>
                      <w:sz w:val="21"/>
                      <w:szCs w:val="21"/>
                    </w:rPr>
                  </w:pPr>
                </w:p>
              </w:tc>
            </w:tr>
            <w:tr w14:paraId="3A69C3C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538" w:type="pct"/>
                  <w:noWrap w:val="0"/>
                  <w:vAlign w:val="center"/>
                </w:tcPr>
                <w:p w14:paraId="37CF3F51">
                  <w:pPr>
                    <w:tabs>
                      <w:tab w:val="center" w:pos="4134"/>
                      <w:tab w:val="left" w:pos="5475"/>
                    </w:tabs>
                    <w:adjustRightInd w:val="0"/>
                    <w:spacing w:line="300" w:lineRule="atLeast"/>
                    <w:jc w:val="center"/>
                    <w:rPr>
                      <w:rFonts w:hint="eastAsia"/>
                      <w:color w:val="auto"/>
                      <w:sz w:val="21"/>
                      <w:szCs w:val="21"/>
                    </w:rPr>
                  </w:pPr>
                  <w:r>
                    <w:rPr>
                      <w:rFonts w:hint="eastAsia"/>
                      <w:color w:val="auto"/>
                      <w:sz w:val="21"/>
                      <w:szCs w:val="21"/>
                    </w:rPr>
                    <w:t>8</w:t>
                  </w:r>
                </w:p>
              </w:tc>
              <w:tc>
                <w:tcPr>
                  <w:tcW w:w="1927" w:type="pct"/>
                  <w:noWrap w:val="0"/>
                  <w:vAlign w:val="center"/>
                </w:tcPr>
                <w:p w14:paraId="0870BE93">
                  <w:pPr>
                    <w:tabs>
                      <w:tab w:val="center" w:pos="4134"/>
                      <w:tab w:val="left" w:pos="5475"/>
                    </w:tabs>
                    <w:adjustRightInd w:val="0"/>
                    <w:spacing w:line="300" w:lineRule="atLeast"/>
                    <w:jc w:val="center"/>
                    <w:rPr>
                      <w:color w:val="auto"/>
                      <w:sz w:val="21"/>
                      <w:szCs w:val="21"/>
                    </w:rPr>
                  </w:pPr>
                  <w:r>
                    <w:rPr>
                      <w:color w:val="auto"/>
                      <w:sz w:val="21"/>
                      <w:szCs w:val="21"/>
                    </w:rPr>
                    <w:t>动植物油（mg/L）≤</w:t>
                  </w:r>
                </w:p>
              </w:tc>
              <w:tc>
                <w:tcPr>
                  <w:tcW w:w="858" w:type="pct"/>
                  <w:noWrap w:val="0"/>
                  <w:vAlign w:val="center"/>
                </w:tcPr>
                <w:p w14:paraId="232074AC">
                  <w:pPr>
                    <w:tabs>
                      <w:tab w:val="center" w:pos="4134"/>
                      <w:tab w:val="left" w:pos="5475"/>
                    </w:tabs>
                    <w:adjustRightInd w:val="0"/>
                    <w:spacing w:line="300" w:lineRule="atLeast"/>
                    <w:jc w:val="center"/>
                    <w:rPr>
                      <w:color w:val="auto"/>
                      <w:sz w:val="21"/>
                      <w:szCs w:val="21"/>
                    </w:rPr>
                  </w:pPr>
                  <w:r>
                    <w:rPr>
                      <w:rFonts w:hint="eastAsia"/>
                      <w:color w:val="auto"/>
                      <w:sz w:val="21"/>
                      <w:szCs w:val="21"/>
                    </w:rPr>
                    <w:t>20</w:t>
                  </w:r>
                </w:p>
              </w:tc>
              <w:tc>
                <w:tcPr>
                  <w:tcW w:w="1676" w:type="pct"/>
                  <w:vMerge w:val="continue"/>
                  <w:noWrap w:val="0"/>
                  <w:vAlign w:val="center"/>
                </w:tcPr>
                <w:p w14:paraId="453FAF8D">
                  <w:pPr>
                    <w:tabs>
                      <w:tab w:val="center" w:pos="4134"/>
                      <w:tab w:val="left" w:pos="5475"/>
                    </w:tabs>
                    <w:adjustRightInd w:val="0"/>
                    <w:spacing w:line="300" w:lineRule="atLeast"/>
                    <w:jc w:val="center"/>
                    <w:rPr>
                      <w:color w:val="auto"/>
                      <w:sz w:val="21"/>
                      <w:szCs w:val="21"/>
                    </w:rPr>
                  </w:pPr>
                </w:p>
              </w:tc>
            </w:tr>
            <w:tr w14:paraId="27E05C4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00" w:hRule="atLeast"/>
                <w:jc w:val="center"/>
              </w:trPr>
              <w:tc>
                <w:tcPr>
                  <w:tcW w:w="538" w:type="pct"/>
                  <w:tcBorders>
                    <w:bottom w:val="single" w:color="auto" w:sz="4" w:space="0"/>
                  </w:tcBorders>
                  <w:noWrap w:val="0"/>
                  <w:vAlign w:val="center"/>
                </w:tcPr>
                <w:p w14:paraId="78A00B39">
                  <w:pPr>
                    <w:tabs>
                      <w:tab w:val="center" w:pos="4134"/>
                      <w:tab w:val="left" w:pos="5475"/>
                    </w:tabs>
                    <w:adjustRightInd w:val="0"/>
                    <w:spacing w:line="300" w:lineRule="atLeast"/>
                    <w:jc w:val="center"/>
                    <w:rPr>
                      <w:rFonts w:hint="eastAsia"/>
                      <w:color w:val="auto"/>
                      <w:sz w:val="21"/>
                      <w:szCs w:val="21"/>
                    </w:rPr>
                  </w:pPr>
                  <w:r>
                    <w:rPr>
                      <w:rFonts w:hint="eastAsia"/>
                      <w:color w:val="auto"/>
                      <w:sz w:val="21"/>
                      <w:szCs w:val="21"/>
                    </w:rPr>
                    <w:t>9</w:t>
                  </w:r>
                </w:p>
              </w:tc>
              <w:tc>
                <w:tcPr>
                  <w:tcW w:w="1927" w:type="pct"/>
                  <w:tcBorders>
                    <w:bottom w:val="single" w:color="auto" w:sz="4" w:space="0"/>
                  </w:tcBorders>
                  <w:noWrap w:val="0"/>
                  <w:vAlign w:val="center"/>
                </w:tcPr>
                <w:p w14:paraId="035BE2DC">
                  <w:pPr>
                    <w:tabs>
                      <w:tab w:val="center" w:pos="4134"/>
                      <w:tab w:val="left" w:pos="5475"/>
                    </w:tabs>
                    <w:adjustRightInd w:val="0"/>
                    <w:spacing w:line="300" w:lineRule="atLeast"/>
                    <w:jc w:val="center"/>
                    <w:rPr>
                      <w:color w:val="auto"/>
                      <w:sz w:val="21"/>
                      <w:szCs w:val="21"/>
                    </w:rPr>
                  </w:pPr>
                  <w:r>
                    <w:rPr>
                      <w:rFonts w:hint="eastAsia"/>
                      <w:color w:val="auto"/>
                      <w:sz w:val="21"/>
                      <w:szCs w:val="21"/>
                    </w:rPr>
                    <w:t>阴离子表面活性剂</w:t>
                  </w:r>
                  <w:r>
                    <w:rPr>
                      <w:color w:val="auto"/>
                      <w:sz w:val="21"/>
                      <w:szCs w:val="21"/>
                    </w:rPr>
                    <w:t>（mg/L）≤</w:t>
                  </w:r>
                </w:p>
              </w:tc>
              <w:tc>
                <w:tcPr>
                  <w:tcW w:w="858" w:type="pct"/>
                  <w:tcBorders>
                    <w:bottom w:val="single" w:color="auto" w:sz="4" w:space="0"/>
                  </w:tcBorders>
                  <w:noWrap w:val="0"/>
                  <w:vAlign w:val="center"/>
                </w:tcPr>
                <w:p w14:paraId="4DB971AF">
                  <w:pPr>
                    <w:tabs>
                      <w:tab w:val="center" w:pos="4134"/>
                      <w:tab w:val="left" w:pos="5475"/>
                    </w:tabs>
                    <w:adjustRightInd w:val="0"/>
                    <w:spacing w:line="300" w:lineRule="atLeast"/>
                    <w:jc w:val="center"/>
                    <w:rPr>
                      <w:color w:val="auto"/>
                      <w:sz w:val="21"/>
                      <w:szCs w:val="21"/>
                    </w:rPr>
                  </w:pPr>
                  <w:r>
                    <w:rPr>
                      <w:rFonts w:hint="eastAsia"/>
                      <w:color w:val="auto"/>
                      <w:sz w:val="21"/>
                      <w:szCs w:val="21"/>
                    </w:rPr>
                    <w:t>10</w:t>
                  </w:r>
                </w:p>
              </w:tc>
              <w:tc>
                <w:tcPr>
                  <w:tcW w:w="1676" w:type="pct"/>
                  <w:vMerge w:val="continue"/>
                  <w:noWrap w:val="0"/>
                  <w:vAlign w:val="center"/>
                </w:tcPr>
                <w:p w14:paraId="665006D3">
                  <w:pPr>
                    <w:tabs>
                      <w:tab w:val="center" w:pos="4134"/>
                      <w:tab w:val="left" w:pos="5475"/>
                    </w:tabs>
                    <w:adjustRightInd w:val="0"/>
                    <w:spacing w:line="300" w:lineRule="atLeast"/>
                    <w:jc w:val="center"/>
                    <w:rPr>
                      <w:color w:val="auto"/>
                      <w:sz w:val="21"/>
                      <w:szCs w:val="21"/>
                    </w:rPr>
                  </w:pPr>
                </w:p>
              </w:tc>
            </w:tr>
            <w:tr w14:paraId="5CBD4C0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10" w:hRule="atLeast"/>
                <w:jc w:val="center"/>
              </w:trPr>
              <w:tc>
                <w:tcPr>
                  <w:tcW w:w="538" w:type="pct"/>
                  <w:tcBorders>
                    <w:top w:val="single" w:color="auto" w:sz="4" w:space="0"/>
                    <w:bottom w:val="single" w:color="auto" w:sz="4" w:space="0"/>
                  </w:tcBorders>
                  <w:noWrap w:val="0"/>
                  <w:vAlign w:val="center"/>
                </w:tcPr>
                <w:p w14:paraId="624FC83F">
                  <w:pPr>
                    <w:tabs>
                      <w:tab w:val="center" w:pos="4134"/>
                      <w:tab w:val="left" w:pos="5475"/>
                    </w:tabs>
                    <w:adjustRightInd w:val="0"/>
                    <w:spacing w:line="300" w:lineRule="atLeast"/>
                    <w:jc w:val="center"/>
                    <w:rPr>
                      <w:color w:val="auto"/>
                      <w:sz w:val="21"/>
                      <w:szCs w:val="21"/>
                    </w:rPr>
                  </w:pPr>
                  <w:r>
                    <w:rPr>
                      <w:rFonts w:hint="eastAsia"/>
                      <w:color w:val="auto"/>
                      <w:sz w:val="21"/>
                      <w:szCs w:val="21"/>
                    </w:rPr>
                    <w:t>10</w:t>
                  </w:r>
                </w:p>
              </w:tc>
              <w:tc>
                <w:tcPr>
                  <w:tcW w:w="1927" w:type="pct"/>
                  <w:tcBorders>
                    <w:top w:val="single" w:color="auto" w:sz="4" w:space="0"/>
                    <w:bottom w:val="single" w:color="auto" w:sz="4" w:space="0"/>
                  </w:tcBorders>
                  <w:noWrap w:val="0"/>
                  <w:vAlign w:val="center"/>
                </w:tcPr>
                <w:p w14:paraId="6B12D71A">
                  <w:pPr>
                    <w:tabs>
                      <w:tab w:val="center" w:pos="4134"/>
                      <w:tab w:val="left" w:pos="5475"/>
                    </w:tabs>
                    <w:adjustRightInd w:val="0"/>
                    <w:spacing w:line="300" w:lineRule="atLeast"/>
                    <w:jc w:val="center"/>
                    <w:rPr>
                      <w:color w:val="auto"/>
                      <w:sz w:val="21"/>
                      <w:szCs w:val="21"/>
                    </w:rPr>
                  </w:pPr>
                  <w:r>
                    <w:rPr>
                      <w:rFonts w:hint="eastAsia"/>
                      <w:color w:val="auto"/>
                      <w:sz w:val="21"/>
                      <w:szCs w:val="21"/>
                    </w:rPr>
                    <w:t>总余氯</w:t>
                  </w:r>
                  <w:r>
                    <w:rPr>
                      <w:rFonts w:hint="eastAsia"/>
                      <w:color w:val="auto"/>
                      <w:sz w:val="21"/>
                      <w:szCs w:val="21"/>
                      <w:vertAlign w:val="superscript"/>
                    </w:rPr>
                    <w:t>1）2）</w:t>
                  </w:r>
                  <w:r>
                    <w:rPr>
                      <w:color w:val="auto"/>
                      <w:sz w:val="21"/>
                      <w:szCs w:val="21"/>
                    </w:rPr>
                    <w:t>（mg/L）≤</w:t>
                  </w:r>
                </w:p>
              </w:tc>
              <w:tc>
                <w:tcPr>
                  <w:tcW w:w="858" w:type="pct"/>
                  <w:tcBorders>
                    <w:top w:val="single" w:color="auto" w:sz="4" w:space="0"/>
                    <w:bottom w:val="single" w:color="auto" w:sz="4" w:space="0"/>
                  </w:tcBorders>
                  <w:noWrap w:val="0"/>
                  <w:vAlign w:val="center"/>
                </w:tcPr>
                <w:p w14:paraId="20D18642">
                  <w:pPr>
                    <w:tabs>
                      <w:tab w:val="center" w:pos="4134"/>
                      <w:tab w:val="left" w:pos="5475"/>
                    </w:tabs>
                    <w:adjustRightInd w:val="0"/>
                    <w:spacing w:line="300" w:lineRule="atLeast"/>
                    <w:jc w:val="center"/>
                    <w:rPr>
                      <w:color w:val="auto"/>
                      <w:sz w:val="21"/>
                      <w:szCs w:val="21"/>
                    </w:rPr>
                  </w:pPr>
                  <w:r>
                    <w:rPr>
                      <w:rFonts w:hint="eastAsia"/>
                      <w:color w:val="auto"/>
                      <w:sz w:val="21"/>
                      <w:szCs w:val="21"/>
                    </w:rPr>
                    <w:t>—</w:t>
                  </w:r>
                </w:p>
              </w:tc>
              <w:tc>
                <w:tcPr>
                  <w:tcW w:w="1676" w:type="pct"/>
                  <w:vMerge w:val="continue"/>
                  <w:tcBorders>
                    <w:bottom w:val="single" w:color="auto" w:sz="4" w:space="0"/>
                  </w:tcBorders>
                  <w:noWrap w:val="0"/>
                  <w:vAlign w:val="center"/>
                </w:tcPr>
                <w:p w14:paraId="291203DF">
                  <w:pPr>
                    <w:tabs>
                      <w:tab w:val="center" w:pos="4134"/>
                      <w:tab w:val="left" w:pos="5475"/>
                    </w:tabs>
                    <w:adjustRightInd w:val="0"/>
                    <w:spacing w:line="300" w:lineRule="atLeast"/>
                    <w:jc w:val="center"/>
                    <w:rPr>
                      <w:color w:val="auto"/>
                      <w:sz w:val="21"/>
                      <w:szCs w:val="21"/>
                    </w:rPr>
                  </w:pPr>
                </w:p>
              </w:tc>
            </w:tr>
            <w:tr w14:paraId="3A7A1A5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5000" w:type="pct"/>
                  <w:gridSpan w:val="4"/>
                  <w:noWrap w:val="0"/>
                  <w:vAlign w:val="center"/>
                </w:tcPr>
                <w:p w14:paraId="3B1527AB">
                  <w:pPr>
                    <w:pStyle w:val="67"/>
                    <w:jc w:val="left"/>
                    <w:rPr>
                      <w:rFonts w:hint="eastAsia"/>
                      <w:color w:val="auto"/>
                    </w:rPr>
                  </w:pPr>
                  <w:r>
                    <w:rPr>
                      <w:rFonts w:hint="eastAsia"/>
                      <w:color w:val="auto"/>
                    </w:rPr>
                    <w:t>注：1）采用含氯消毒剂消毒的工艺控制要求：</w:t>
                  </w:r>
                </w:p>
                <w:p w14:paraId="5A6E6DB3">
                  <w:pPr>
                    <w:pStyle w:val="67"/>
                    <w:jc w:val="left"/>
                    <w:rPr>
                      <w:rFonts w:hint="eastAsia"/>
                      <w:color w:val="auto"/>
                    </w:rPr>
                  </w:pPr>
                  <w:r>
                    <w:rPr>
                      <w:rFonts w:hint="eastAsia"/>
                      <w:color w:val="auto"/>
                    </w:rPr>
                    <w:t>排放标准：消毒接触</w:t>
                  </w:r>
                  <w:r>
                    <w:rPr>
                      <w:rFonts w:hint="eastAsia"/>
                      <w:color w:val="auto"/>
                      <w:lang w:val="en-US" w:eastAsia="zh-CN"/>
                    </w:rPr>
                    <w:t>池</w:t>
                  </w:r>
                  <w:r>
                    <w:rPr>
                      <w:rFonts w:hint="eastAsia"/>
                      <w:color w:val="auto"/>
                    </w:rPr>
                    <w:t>接触时间≥1h，接触池出口总余氯3~10mg/L</w:t>
                  </w:r>
                </w:p>
                <w:p w14:paraId="1775782D">
                  <w:pPr>
                    <w:pStyle w:val="67"/>
                    <w:jc w:val="left"/>
                    <w:rPr>
                      <w:rFonts w:hint="eastAsia"/>
                      <w:color w:val="auto"/>
                    </w:rPr>
                  </w:pPr>
                  <w:r>
                    <w:rPr>
                      <w:rFonts w:hint="eastAsia"/>
                      <w:color w:val="auto"/>
                    </w:rPr>
                    <w:t>预处理标准：消毒接触池接触时间≥1h，接触池出口总余氯2~8mg/L</w:t>
                  </w:r>
                </w:p>
                <w:p w14:paraId="13BC3244">
                  <w:pPr>
                    <w:pStyle w:val="67"/>
                    <w:jc w:val="left"/>
                    <w:rPr>
                      <w:color w:val="auto"/>
                      <w:szCs w:val="22"/>
                    </w:rPr>
                  </w:pPr>
                  <w:r>
                    <w:rPr>
                      <w:rFonts w:hint="eastAsia"/>
                      <w:color w:val="auto"/>
                    </w:rPr>
                    <w:t>2)采用其他消毒剂对总余氯不做要求</w:t>
                  </w:r>
                </w:p>
              </w:tc>
            </w:tr>
          </w:tbl>
          <w:p w14:paraId="145F181D">
            <w:pPr>
              <w:pStyle w:val="63"/>
              <w:numPr>
                <w:ilvl w:val="0"/>
                <w:numId w:val="0"/>
              </w:numPr>
              <w:ind w:left="0" w:leftChars="0" w:firstLine="0" w:firstLineChars="0"/>
              <w:rPr>
                <w:color w:val="auto"/>
              </w:rPr>
            </w:pPr>
            <w:bookmarkStart w:id="36" w:name="_Toc16836"/>
            <w:r>
              <w:rPr>
                <w:rFonts w:hint="eastAsia" w:ascii="Times New Roman" w:hAnsi="Times New Roman" w:eastAsia="宋体" w:cs="宋体"/>
                <w:b/>
                <w:color w:val="auto"/>
                <w:kern w:val="2"/>
                <w:sz w:val="24"/>
                <w:szCs w:val="24"/>
                <w:lang w:val="en-US" w:eastAsia="zh-CN" w:bidi="ar-SA"/>
              </w:rPr>
              <w:t>表3.3-2</w:t>
            </w:r>
            <w:r>
              <w:rPr>
                <w:color w:val="auto"/>
              </w:rPr>
              <w:t>污水综合排放标准（GB8978-1996）单位：mg/L，pH除外</w:t>
            </w:r>
          </w:p>
          <w:tbl>
            <w:tblPr>
              <w:tblStyle w:val="25"/>
              <w:tblW w:w="4996"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316"/>
              <w:gridCol w:w="787"/>
              <w:gridCol w:w="906"/>
              <w:gridCol w:w="1088"/>
              <w:gridCol w:w="1015"/>
              <w:gridCol w:w="846"/>
              <w:gridCol w:w="917"/>
              <w:gridCol w:w="2238"/>
            </w:tblGrid>
            <w:tr w14:paraId="7169B5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2" w:type="pct"/>
                  <w:noWrap w:val="0"/>
                  <w:vAlign w:val="center"/>
                </w:tcPr>
                <w:p w14:paraId="39B09E9A">
                  <w:pPr>
                    <w:pStyle w:val="67"/>
                    <w:rPr>
                      <w:color w:val="auto"/>
                    </w:rPr>
                  </w:pPr>
                  <w:r>
                    <w:rPr>
                      <w:color w:val="auto"/>
                    </w:rPr>
                    <w:t>标准类别</w:t>
                  </w:r>
                </w:p>
              </w:tc>
              <w:tc>
                <w:tcPr>
                  <w:tcW w:w="432" w:type="pct"/>
                  <w:noWrap w:val="0"/>
                  <w:vAlign w:val="center"/>
                </w:tcPr>
                <w:p w14:paraId="60A43964">
                  <w:pPr>
                    <w:pStyle w:val="67"/>
                    <w:rPr>
                      <w:color w:val="auto"/>
                    </w:rPr>
                  </w:pPr>
                  <w:r>
                    <w:rPr>
                      <w:color w:val="auto"/>
                    </w:rPr>
                    <w:t>pH</w:t>
                  </w:r>
                </w:p>
              </w:tc>
              <w:tc>
                <w:tcPr>
                  <w:tcW w:w="497" w:type="pct"/>
                  <w:noWrap w:val="0"/>
                  <w:vAlign w:val="center"/>
                </w:tcPr>
                <w:p w14:paraId="0FE01186">
                  <w:pPr>
                    <w:pStyle w:val="67"/>
                    <w:rPr>
                      <w:color w:val="auto"/>
                    </w:rPr>
                  </w:pPr>
                  <w:r>
                    <w:rPr>
                      <w:color w:val="auto"/>
                    </w:rPr>
                    <w:t>COD</w:t>
                  </w:r>
                </w:p>
              </w:tc>
              <w:tc>
                <w:tcPr>
                  <w:tcW w:w="597" w:type="pct"/>
                  <w:noWrap w:val="0"/>
                  <w:vAlign w:val="center"/>
                </w:tcPr>
                <w:p w14:paraId="635F12B6">
                  <w:pPr>
                    <w:pStyle w:val="67"/>
                    <w:rPr>
                      <w:color w:val="auto"/>
                    </w:rPr>
                  </w:pPr>
                  <w:r>
                    <w:rPr>
                      <w:color w:val="auto"/>
                    </w:rPr>
                    <w:t>BOD</w:t>
                  </w:r>
                  <w:r>
                    <w:rPr>
                      <w:color w:val="auto"/>
                      <w:vertAlign w:val="subscript"/>
                    </w:rPr>
                    <w:t>5</w:t>
                  </w:r>
                </w:p>
              </w:tc>
              <w:tc>
                <w:tcPr>
                  <w:tcW w:w="557" w:type="pct"/>
                  <w:noWrap w:val="0"/>
                  <w:vAlign w:val="center"/>
                </w:tcPr>
                <w:p w14:paraId="27404C62">
                  <w:pPr>
                    <w:pStyle w:val="67"/>
                    <w:rPr>
                      <w:color w:val="auto"/>
                    </w:rPr>
                  </w:pPr>
                  <w:r>
                    <w:rPr>
                      <w:color w:val="auto"/>
                    </w:rPr>
                    <w:t>氨氮</w:t>
                  </w:r>
                </w:p>
              </w:tc>
              <w:tc>
                <w:tcPr>
                  <w:tcW w:w="464" w:type="pct"/>
                  <w:noWrap w:val="0"/>
                  <w:vAlign w:val="center"/>
                </w:tcPr>
                <w:p w14:paraId="25B8A17A">
                  <w:pPr>
                    <w:pStyle w:val="67"/>
                    <w:rPr>
                      <w:color w:val="auto"/>
                    </w:rPr>
                  </w:pPr>
                  <w:r>
                    <w:rPr>
                      <w:color w:val="auto"/>
                    </w:rPr>
                    <w:t>SS</w:t>
                  </w:r>
                </w:p>
              </w:tc>
              <w:tc>
                <w:tcPr>
                  <w:tcW w:w="503" w:type="pct"/>
                  <w:noWrap w:val="0"/>
                  <w:vAlign w:val="center"/>
                </w:tcPr>
                <w:p w14:paraId="17FD6BC1">
                  <w:pPr>
                    <w:pStyle w:val="67"/>
                    <w:rPr>
                      <w:color w:val="auto"/>
                    </w:rPr>
                  </w:pPr>
                  <w:r>
                    <w:rPr>
                      <w:rFonts w:hint="eastAsia"/>
                      <w:color w:val="auto"/>
                    </w:rPr>
                    <w:t>LAS</w:t>
                  </w:r>
                </w:p>
              </w:tc>
              <w:tc>
                <w:tcPr>
                  <w:tcW w:w="1224" w:type="pct"/>
                  <w:noWrap w:val="0"/>
                  <w:vAlign w:val="center"/>
                </w:tcPr>
                <w:p w14:paraId="5F9797D0">
                  <w:pPr>
                    <w:pStyle w:val="67"/>
                    <w:rPr>
                      <w:color w:val="auto"/>
                    </w:rPr>
                  </w:pPr>
                  <w:r>
                    <w:rPr>
                      <w:rFonts w:hint="eastAsia"/>
                      <w:color w:val="auto"/>
                    </w:rPr>
                    <w:t>粪大肠菌群</w:t>
                  </w:r>
                </w:p>
              </w:tc>
            </w:tr>
            <w:tr w14:paraId="7551A6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2" w:type="pct"/>
                  <w:noWrap w:val="0"/>
                  <w:vAlign w:val="center"/>
                </w:tcPr>
                <w:p w14:paraId="288EDD5E">
                  <w:pPr>
                    <w:pStyle w:val="67"/>
                    <w:rPr>
                      <w:color w:val="auto"/>
                    </w:rPr>
                  </w:pPr>
                  <w:r>
                    <w:rPr>
                      <w:color w:val="auto"/>
                    </w:rPr>
                    <w:t>三级</w:t>
                  </w:r>
                </w:p>
              </w:tc>
              <w:tc>
                <w:tcPr>
                  <w:tcW w:w="432" w:type="pct"/>
                  <w:noWrap w:val="0"/>
                  <w:vAlign w:val="center"/>
                </w:tcPr>
                <w:p w14:paraId="110D86B5">
                  <w:pPr>
                    <w:pStyle w:val="67"/>
                    <w:rPr>
                      <w:color w:val="auto"/>
                    </w:rPr>
                  </w:pPr>
                  <w:r>
                    <w:rPr>
                      <w:color w:val="auto"/>
                    </w:rPr>
                    <w:t>6～9</w:t>
                  </w:r>
                </w:p>
              </w:tc>
              <w:tc>
                <w:tcPr>
                  <w:tcW w:w="497" w:type="pct"/>
                  <w:noWrap w:val="0"/>
                  <w:vAlign w:val="center"/>
                </w:tcPr>
                <w:p w14:paraId="56768AE8">
                  <w:pPr>
                    <w:pStyle w:val="67"/>
                    <w:rPr>
                      <w:color w:val="auto"/>
                    </w:rPr>
                  </w:pPr>
                  <w:r>
                    <w:rPr>
                      <w:color w:val="auto"/>
                    </w:rPr>
                    <w:t>500</w:t>
                  </w:r>
                </w:p>
              </w:tc>
              <w:tc>
                <w:tcPr>
                  <w:tcW w:w="597" w:type="pct"/>
                  <w:noWrap w:val="0"/>
                  <w:vAlign w:val="center"/>
                </w:tcPr>
                <w:p w14:paraId="7B88B769">
                  <w:pPr>
                    <w:pStyle w:val="67"/>
                    <w:rPr>
                      <w:color w:val="auto"/>
                    </w:rPr>
                  </w:pPr>
                  <w:r>
                    <w:rPr>
                      <w:color w:val="auto"/>
                    </w:rPr>
                    <w:t>300</w:t>
                  </w:r>
                </w:p>
              </w:tc>
              <w:tc>
                <w:tcPr>
                  <w:tcW w:w="557" w:type="pct"/>
                  <w:noWrap w:val="0"/>
                  <w:vAlign w:val="center"/>
                </w:tcPr>
                <w:p w14:paraId="37FE92B3">
                  <w:pPr>
                    <w:pStyle w:val="67"/>
                    <w:rPr>
                      <w:color w:val="auto"/>
                    </w:rPr>
                  </w:pPr>
                  <w:r>
                    <w:rPr>
                      <w:color w:val="auto"/>
                    </w:rPr>
                    <w:t>45*</w:t>
                  </w:r>
                </w:p>
              </w:tc>
              <w:tc>
                <w:tcPr>
                  <w:tcW w:w="464" w:type="pct"/>
                  <w:noWrap w:val="0"/>
                  <w:vAlign w:val="center"/>
                </w:tcPr>
                <w:p w14:paraId="16AB20AD">
                  <w:pPr>
                    <w:pStyle w:val="67"/>
                    <w:rPr>
                      <w:color w:val="auto"/>
                    </w:rPr>
                  </w:pPr>
                  <w:r>
                    <w:rPr>
                      <w:color w:val="auto"/>
                    </w:rPr>
                    <w:t>400</w:t>
                  </w:r>
                </w:p>
              </w:tc>
              <w:tc>
                <w:tcPr>
                  <w:tcW w:w="503" w:type="pct"/>
                  <w:noWrap w:val="0"/>
                  <w:vAlign w:val="center"/>
                </w:tcPr>
                <w:p w14:paraId="31FDE5CD">
                  <w:pPr>
                    <w:pStyle w:val="67"/>
                    <w:rPr>
                      <w:color w:val="auto"/>
                    </w:rPr>
                  </w:pPr>
                  <w:r>
                    <w:rPr>
                      <w:rFonts w:hint="eastAsia"/>
                      <w:color w:val="auto"/>
                    </w:rPr>
                    <w:t>20</w:t>
                  </w:r>
                </w:p>
              </w:tc>
              <w:tc>
                <w:tcPr>
                  <w:tcW w:w="1224" w:type="pct"/>
                  <w:noWrap w:val="0"/>
                  <w:vAlign w:val="center"/>
                </w:tcPr>
                <w:p w14:paraId="4E230BF7">
                  <w:pPr>
                    <w:pStyle w:val="67"/>
                    <w:rPr>
                      <w:color w:val="auto"/>
                    </w:rPr>
                  </w:pPr>
                  <w:r>
                    <w:rPr>
                      <w:color w:val="auto"/>
                    </w:rPr>
                    <w:t>5000</w:t>
                  </w:r>
                  <w:r>
                    <w:rPr>
                      <w:rFonts w:hint="eastAsia"/>
                      <w:color w:val="auto"/>
                    </w:rPr>
                    <w:t>个/L</w:t>
                  </w:r>
                </w:p>
              </w:tc>
            </w:tr>
            <w:tr w14:paraId="0E776D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gridSpan w:val="8"/>
                  <w:noWrap w:val="0"/>
                  <w:vAlign w:val="center"/>
                </w:tcPr>
                <w:p w14:paraId="500BB47E">
                  <w:pPr>
                    <w:pStyle w:val="67"/>
                    <w:rPr>
                      <w:color w:val="auto"/>
                    </w:rPr>
                  </w:pPr>
                  <w:r>
                    <w:rPr>
                      <w:color w:val="auto"/>
                    </w:rPr>
                    <w:t>*注：三级排放标准中氨氮排放标准参考《污水排入城镇下水道水质标准》（GB/T31962-2015）B等级标准限值。</w:t>
                  </w:r>
                </w:p>
              </w:tc>
            </w:tr>
          </w:tbl>
          <w:p w14:paraId="58D97BB2">
            <w:pPr>
              <w:pStyle w:val="6"/>
              <w:numPr>
                <w:ilvl w:val="0"/>
                <w:numId w:val="0"/>
              </w:numPr>
              <w:tabs>
                <w:tab w:val="left" w:pos="0"/>
              </w:tabs>
              <w:ind w:left="993" w:leftChars="0" w:hanging="993" w:firstLineChars="0"/>
            </w:pPr>
            <w:r>
              <w:rPr>
                <w:rFonts w:hint="eastAsia" w:ascii="Times New Roman" w:hAnsi="Times New Roman" w:eastAsia="宋体" w:cs="宋体"/>
                <w:b/>
                <w:bCs/>
                <w:kern w:val="2"/>
                <w:sz w:val="28"/>
                <w:szCs w:val="32"/>
                <w:lang w:val="en-US" w:eastAsia="zh-CN" w:bidi="ar-SA"/>
              </w:rPr>
              <w:t>3.3.2</w:t>
            </w:r>
            <w:r>
              <w:t>废气</w:t>
            </w:r>
            <w:bookmarkEnd w:id="36"/>
          </w:p>
          <w:p w14:paraId="521018F3">
            <w:pPr>
              <w:pStyle w:val="76"/>
              <w:ind w:firstLine="480"/>
            </w:pPr>
            <w:bookmarkStart w:id="37" w:name="_Hlk51681151"/>
            <w:r>
              <w:t>本项目运营过程中会有污水处理设施产生的恶臭以及宠物散发的臭味，排放执行《恶臭污染物排放标准》（GB14554-93）中相关标准。</w:t>
            </w:r>
          </w:p>
          <w:p w14:paraId="222BA980">
            <w:pPr>
              <w:pStyle w:val="76"/>
              <w:ind w:firstLine="480"/>
            </w:pPr>
            <w:r>
              <w:t>本项目大气污染排放标准详见表3.3-3。</w:t>
            </w:r>
          </w:p>
          <w:p w14:paraId="077542EC">
            <w:pPr>
              <w:pStyle w:val="63"/>
              <w:numPr>
                <w:ilvl w:val="0"/>
                <w:numId w:val="0"/>
              </w:numPr>
              <w:ind w:left="0" w:leftChars="0" w:firstLine="0" w:firstLineChars="0"/>
            </w:pPr>
            <w:r>
              <w:rPr>
                <w:rFonts w:hint="eastAsia" w:ascii="Times New Roman" w:hAnsi="Times New Roman" w:eastAsia="宋体" w:cs="宋体"/>
                <w:b/>
                <w:kern w:val="2"/>
                <w:sz w:val="24"/>
                <w:szCs w:val="24"/>
                <w:lang w:val="en-US" w:eastAsia="zh-CN" w:bidi="ar-SA"/>
              </w:rPr>
              <w:t>表3.3-3</w:t>
            </w:r>
            <w:r>
              <w:t>大气污染物排放标准</w:t>
            </w:r>
            <w:r>
              <w:rPr>
                <w:rFonts w:hint="eastAsia"/>
              </w:rPr>
              <w:t>一览表</w:t>
            </w:r>
          </w:p>
          <w:tbl>
            <w:tblPr>
              <w:tblStyle w:val="25"/>
              <w:tblW w:w="4999" w:type="pct"/>
              <w:jc w:val="center"/>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Layout w:type="autofit"/>
              <w:tblCellMar>
                <w:top w:w="0" w:type="dxa"/>
                <w:left w:w="108" w:type="dxa"/>
                <w:bottom w:w="0" w:type="dxa"/>
                <w:right w:w="108" w:type="dxa"/>
              </w:tblCellMar>
            </w:tblPr>
            <w:tblGrid>
              <w:gridCol w:w="2657"/>
              <w:gridCol w:w="6461"/>
            </w:tblGrid>
            <w:tr w14:paraId="3CAA28AD">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52" w:hRule="atLeast"/>
                <w:jc w:val="center"/>
              </w:trPr>
              <w:tc>
                <w:tcPr>
                  <w:tcW w:w="1457" w:type="pct"/>
                  <w:noWrap w:val="0"/>
                  <w:vAlign w:val="center"/>
                </w:tcPr>
                <w:p w14:paraId="6A48DDE2">
                  <w:pPr>
                    <w:pStyle w:val="67"/>
                  </w:pPr>
                  <w:r>
                    <w:t>控制项目</w:t>
                  </w:r>
                </w:p>
              </w:tc>
              <w:tc>
                <w:tcPr>
                  <w:tcW w:w="3542" w:type="pct"/>
                  <w:tcBorders>
                    <w:left w:val="single" w:color="000000" w:sz="8" w:space="0"/>
                  </w:tcBorders>
                  <w:noWrap w:val="0"/>
                  <w:vAlign w:val="center"/>
                </w:tcPr>
                <w:p w14:paraId="2A98D6FB">
                  <w:pPr>
                    <w:pStyle w:val="67"/>
                  </w:pPr>
                  <w:r>
                    <w:t>厂界标准值</w:t>
                  </w:r>
                </w:p>
              </w:tc>
            </w:tr>
            <w:tr w14:paraId="7E7E14A5">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1457" w:type="pct"/>
                  <w:noWrap w:val="0"/>
                  <w:vAlign w:val="center"/>
                </w:tcPr>
                <w:p w14:paraId="0DC438C6">
                  <w:pPr>
                    <w:pStyle w:val="67"/>
                  </w:pPr>
                  <w:r>
                    <w:t>NH</w:t>
                  </w:r>
                  <w:r>
                    <w:rPr>
                      <w:vertAlign w:val="subscript"/>
                    </w:rPr>
                    <w:t>3</w:t>
                  </w:r>
                </w:p>
              </w:tc>
              <w:tc>
                <w:tcPr>
                  <w:tcW w:w="3542" w:type="pct"/>
                  <w:tcBorders>
                    <w:left w:val="single" w:color="000000" w:sz="8" w:space="0"/>
                  </w:tcBorders>
                  <w:noWrap w:val="0"/>
                  <w:vAlign w:val="center"/>
                </w:tcPr>
                <w:p w14:paraId="49DFCA31">
                  <w:pPr>
                    <w:pStyle w:val="67"/>
                  </w:pPr>
                  <w:r>
                    <w:t>1.5mg/m</w:t>
                  </w:r>
                  <w:r>
                    <w:rPr>
                      <w:vertAlign w:val="superscript"/>
                    </w:rPr>
                    <w:t>3</w:t>
                  </w:r>
                </w:p>
              </w:tc>
            </w:tr>
            <w:tr w14:paraId="5A37F166">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1457" w:type="pct"/>
                  <w:noWrap w:val="0"/>
                  <w:vAlign w:val="center"/>
                </w:tcPr>
                <w:p w14:paraId="02FA4FD4">
                  <w:pPr>
                    <w:pStyle w:val="67"/>
                  </w:pPr>
                  <w:r>
                    <w:t>H</w:t>
                  </w:r>
                  <w:r>
                    <w:rPr>
                      <w:vertAlign w:val="subscript"/>
                    </w:rPr>
                    <w:t>2</w:t>
                  </w:r>
                  <w:r>
                    <w:t>S</w:t>
                  </w:r>
                </w:p>
              </w:tc>
              <w:tc>
                <w:tcPr>
                  <w:tcW w:w="3542" w:type="pct"/>
                  <w:tcBorders>
                    <w:left w:val="single" w:color="000000" w:sz="8" w:space="0"/>
                  </w:tcBorders>
                  <w:noWrap w:val="0"/>
                  <w:vAlign w:val="center"/>
                </w:tcPr>
                <w:p w14:paraId="22C4584B">
                  <w:pPr>
                    <w:pStyle w:val="67"/>
                  </w:pPr>
                  <w:r>
                    <w:t>0.06mg/m</w:t>
                  </w:r>
                  <w:r>
                    <w:rPr>
                      <w:vertAlign w:val="superscript"/>
                    </w:rPr>
                    <w:t>3</w:t>
                  </w:r>
                </w:p>
              </w:tc>
            </w:tr>
            <w:tr w14:paraId="6028BECB">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1457" w:type="pct"/>
                  <w:noWrap w:val="0"/>
                  <w:vAlign w:val="center"/>
                </w:tcPr>
                <w:p w14:paraId="729F55AA">
                  <w:pPr>
                    <w:pStyle w:val="67"/>
                  </w:pPr>
                  <w:r>
                    <w:t>臭气浓度</w:t>
                  </w:r>
                </w:p>
              </w:tc>
              <w:tc>
                <w:tcPr>
                  <w:tcW w:w="3542" w:type="pct"/>
                  <w:tcBorders>
                    <w:left w:val="single" w:color="000000" w:sz="8" w:space="0"/>
                  </w:tcBorders>
                  <w:noWrap w:val="0"/>
                  <w:vAlign w:val="center"/>
                </w:tcPr>
                <w:p w14:paraId="2ED65FEE">
                  <w:pPr>
                    <w:pStyle w:val="67"/>
                  </w:pPr>
                  <w:r>
                    <w:t>20（无量纲）</w:t>
                  </w:r>
                </w:p>
              </w:tc>
            </w:tr>
            <w:bookmarkEnd w:id="37"/>
          </w:tbl>
          <w:p w14:paraId="06B6CC19">
            <w:pPr>
              <w:pStyle w:val="6"/>
              <w:numPr>
                <w:ilvl w:val="0"/>
                <w:numId w:val="0"/>
              </w:numPr>
              <w:tabs>
                <w:tab w:val="left" w:pos="0"/>
              </w:tabs>
              <w:ind w:left="993" w:leftChars="0" w:hanging="993" w:firstLineChars="0"/>
            </w:pPr>
            <w:bookmarkStart w:id="38" w:name="_Toc7655"/>
            <w:r>
              <w:rPr>
                <w:rFonts w:hint="eastAsia" w:ascii="Times New Roman" w:hAnsi="Times New Roman" w:eastAsia="宋体" w:cs="宋体"/>
                <w:b/>
                <w:bCs/>
                <w:kern w:val="2"/>
                <w:sz w:val="28"/>
                <w:szCs w:val="32"/>
                <w:lang w:val="en-US" w:eastAsia="zh-CN" w:bidi="ar-SA"/>
              </w:rPr>
              <w:t>3.3.3</w:t>
            </w:r>
            <w:r>
              <w:t>噪声</w:t>
            </w:r>
            <w:bookmarkEnd w:id="38"/>
          </w:p>
          <w:p w14:paraId="7D197D32">
            <w:pPr>
              <w:adjustRightInd w:val="0"/>
              <w:spacing w:line="360" w:lineRule="auto"/>
              <w:ind w:firstLine="480" w:firstLineChars="200"/>
              <w:rPr>
                <w:color w:val="auto"/>
                <w:szCs w:val="22"/>
              </w:rPr>
            </w:pPr>
            <w:r>
              <w:rPr>
                <w:rFonts w:hint="eastAsia"/>
                <w:szCs w:val="22"/>
                <w:lang w:val="en-US" w:eastAsia="zh-CN"/>
              </w:rPr>
              <w:t>根据《福州市城区声环境功能区划》（2021年7月），城市主次干道若临街建筑以高于三层楼房以上（含三层）的建筑为主，将第一排建筑物面向街道一侧的区域划为4a类声环境功能区。项目南侧杨桥路临街建筑以高于三层楼房，因此杨桥路第一排建筑物面向街道一侧的区域划为4a类声环境功能区，其余区域执行2类声环境功能区。根据测量，项目租赁商铺红线均位于杨桥路街道一侧，且为沿路第一排建筑物，属于4a类声环境功能区</w:t>
            </w:r>
            <w:r>
              <w:rPr>
                <w:rFonts w:hint="eastAsia"/>
                <w:color w:val="auto"/>
                <w:szCs w:val="22"/>
                <w:lang w:val="en-US" w:eastAsia="zh-CN"/>
              </w:rPr>
              <w:t>，</w:t>
            </w:r>
            <w:r>
              <w:rPr>
                <w:color w:val="auto"/>
                <w:szCs w:val="22"/>
                <w:lang w:val="en-GB"/>
              </w:rPr>
              <w:t>运营期</w:t>
            </w:r>
            <w:r>
              <w:rPr>
                <w:color w:val="auto"/>
                <w:szCs w:val="22"/>
              </w:rPr>
              <w:t>厂界噪声排放执行</w:t>
            </w:r>
            <w:r>
              <w:rPr>
                <w:rFonts w:hint="eastAsia"/>
                <w:color w:val="auto"/>
                <w:szCs w:val="22"/>
              </w:rPr>
              <w:t>《社会生活环境噪声排放标准》（GB22337-2008）中表1的</w:t>
            </w:r>
            <w:r>
              <w:rPr>
                <w:rFonts w:hint="eastAsia"/>
                <w:color w:val="auto"/>
                <w:szCs w:val="22"/>
                <w:lang w:val="en-US" w:eastAsia="zh-CN"/>
              </w:rPr>
              <w:t>4</w:t>
            </w:r>
            <w:r>
              <w:rPr>
                <w:rFonts w:hint="eastAsia"/>
                <w:color w:val="auto"/>
                <w:szCs w:val="22"/>
              </w:rPr>
              <w:t>类标准</w:t>
            </w:r>
            <w:r>
              <w:rPr>
                <w:rFonts w:hint="eastAsia"/>
                <w:color w:val="auto"/>
                <w:szCs w:val="22"/>
                <w:lang w:eastAsia="zh-CN"/>
              </w:rPr>
              <w:t>，</w:t>
            </w:r>
            <w:r>
              <w:rPr>
                <w:color w:val="auto"/>
                <w:szCs w:val="22"/>
              </w:rPr>
              <w:t>见表3.</w:t>
            </w:r>
            <w:r>
              <w:rPr>
                <w:rFonts w:hint="eastAsia"/>
                <w:color w:val="auto"/>
                <w:szCs w:val="22"/>
              </w:rPr>
              <w:t>3</w:t>
            </w:r>
            <w:r>
              <w:rPr>
                <w:color w:val="auto"/>
                <w:szCs w:val="22"/>
              </w:rPr>
              <w:t>-</w:t>
            </w:r>
            <w:r>
              <w:rPr>
                <w:rFonts w:hint="eastAsia"/>
                <w:color w:val="auto"/>
                <w:szCs w:val="22"/>
              </w:rPr>
              <w:t>4</w:t>
            </w:r>
            <w:r>
              <w:rPr>
                <w:color w:val="auto"/>
                <w:szCs w:val="22"/>
              </w:rPr>
              <w:t>。</w:t>
            </w:r>
          </w:p>
          <w:p w14:paraId="4653D7A5">
            <w:pPr>
              <w:pStyle w:val="63"/>
              <w:numPr>
                <w:ilvl w:val="0"/>
                <w:numId w:val="0"/>
              </w:numPr>
              <w:ind w:left="0" w:leftChars="0" w:firstLine="0" w:firstLineChars="0"/>
              <w:rPr>
                <w:szCs w:val="22"/>
              </w:rPr>
            </w:pPr>
            <w:r>
              <w:rPr>
                <w:rFonts w:hint="eastAsia" w:ascii="Times New Roman" w:hAnsi="Times New Roman" w:eastAsia="宋体" w:cs="宋体"/>
                <w:b/>
                <w:kern w:val="2"/>
                <w:sz w:val="24"/>
                <w:szCs w:val="22"/>
                <w:lang w:val="en-US" w:eastAsia="zh-CN" w:bidi="ar-SA"/>
              </w:rPr>
              <w:t>表3.3-4</w:t>
            </w:r>
            <w:r>
              <w:rPr>
                <w:szCs w:val="22"/>
              </w:rPr>
              <w:t>项目厂界噪声排放限值</w:t>
            </w:r>
          </w:p>
          <w:tbl>
            <w:tblPr>
              <w:tblStyle w:val="25"/>
              <w:tblW w:w="4999"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2107"/>
              <w:gridCol w:w="1542"/>
              <w:gridCol w:w="1542"/>
              <w:gridCol w:w="3927"/>
            </w:tblGrid>
            <w:tr w14:paraId="2C195AF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1155" w:type="pct"/>
                  <w:noWrap w:val="0"/>
                  <w:vAlign w:val="center"/>
                </w:tcPr>
                <w:p w14:paraId="077BDD0F">
                  <w:pPr>
                    <w:jc w:val="center"/>
                    <w:rPr>
                      <w:sz w:val="21"/>
                    </w:rPr>
                  </w:pPr>
                  <w:r>
                    <w:rPr>
                      <w:sz w:val="21"/>
                    </w:rPr>
                    <w:t>功能区分类</w:t>
                  </w:r>
                </w:p>
              </w:tc>
              <w:tc>
                <w:tcPr>
                  <w:tcW w:w="845" w:type="pct"/>
                  <w:noWrap w:val="0"/>
                  <w:vAlign w:val="center"/>
                </w:tcPr>
                <w:p w14:paraId="046B1BB4">
                  <w:pPr>
                    <w:jc w:val="center"/>
                    <w:rPr>
                      <w:sz w:val="21"/>
                    </w:rPr>
                  </w:pPr>
                  <w:r>
                    <w:rPr>
                      <w:sz w:val="21"/>
                    </w:rPr>
                    <w:t>昼间dB（A）</w:t>
                  </w:r>
                </w:p>
              </w:tc>
              <w:tc>
                <w:tcPr>
                  <w:tcW w:w="845" w:type="pct"/>
                  <w:noWrap w:val="0"/>
                  <w:vAlign w:val="center"/>
                </w:tcPr>
                <w:p w14:paraId="38105858">
                  <w:pPr>
                    <w:jc w:val="center"/>
                    <w:rPr>
                      <w:sz w:val="21"/>
                    </w:rPr>
                  </w:pPr>
                  <w:r>
                    <w:rPr>
                      <w:sz w:val="21"/>
                    </w:rPr>
                    <w:t>夜间dB（A）</w:t>
                  </w:r>
                </w:p>
              </w:tc>
              <w:tc>
                <w:tcPr>
                  <w:tcW w:w="2152" w:type="pct"/>
                  <w:noWrap w:val="0"/>
                  <w:vAlign w:val="center"/>
                </w:tcPr>
                <w:p w14:paraId="5A63C47B">
                  <w:pPr>
                    <w:jc w:val="center"/>
                    <w:rPr>
                      <w:sz w:val="21"/>
                    </w:rPr>
                  </w:pPr>
                  <w:r>
                    <w:rPr>
                      <w:sz w:val="21"/>
                    </w:rPr>
                    <w:t>执行标准</w:t>
                  </w:r>
                </w:p>
              </w:tc>
            </w:tr>
            <w:tr w14:paraId="7FCF7F0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155" w:type="pct"/>
                  <w:noWrap w:val="0"/>
                  <w:vAlign w:val="center"/>
                </w:tcPr>
                <w:p w14:paraId="332E5842">
                  <w:pPr>
                    <w:jc w:val="center"/>
                    <w:rPr>
                      <w:rFonts w:hint="eastAsia" w:eastAsia="宋体"/>
                      <w:sz w:val="21"/>
                      <w:lang w:eastAsia="zh-CN"/>
                    </w:rPr>
                  </w:pPr>
                  <w:r>
                    <w:rPr>
                      <w:rFonts w:hint="eastAsia"/>
                      <w:sz w:val="21"/>
                      <w:lang w:val="en-US" w:eastAsia="zh-CN"/>
                    </w:rPr>
                    <w:t>4</w:t>
                  </w:r>
                </w:p>
              </w:tc>
              <w:tc>
                <w:tcPr>
                  <w:tcW w:w="845" w:type="pct"/>
                  <w:noWrap w:val="0"/>
                  <w:vAlign w:val="center"/>
                </w:tcPr>
                <w:p w14:paraId="0BACDE66">
                  <w:pPr>
                    <w:jc w:val="center"/>
                    <w:rPr>
                      <w:rFonts w:hint="default" w:eastAsia="宋体"/>
                      <w:sz w:val="21"/>
                      <w:lang w:val="en-US" w:eastAsia="zh-CN"/>
                    </w:rPr>
                  </w:pPr>
                  <w:r>
                    <w:rPr>
                      <w:rFonts w:hint="eastAsia"/>
                      <w:sz w:val="21"/>
                      <w:lang w:val="en-US" w:eastAsia="zh-CN"/>
                    </w:rPr>
                    <w:t>70</w:t>
                  </w:r>
                </w:p>
              </w:tc>
              <w:tc>
                <w:tcPr>
                  <w:tcW w:w="845" w:type="pct"/>
                  <w:noWrap w:val="0"/>
                  <w:vAlign w:val="center"/>
                </w:tcPr>
                <w:p w14:paraId="1CA8D374">
                  <w:pPr>
                    <w:jc w:val="center"/>
                    <w:rPr>
                      <w:rFonts w:hint="default" w:eastAsia="宋体"/>
                      <w:sz w:val="21"/>
                      <w:lang w:val="en-US" w:eastAsia="zh-CN"/>
                    </w:rPr>
                  </w:pPr>
                  <w:r>
                    <w:rPr>
                      <w:rFonts w:hint="eastAsia"/>
                      <w:sz w:val="21"/>
                      <w:lang w:val="en-US" w:eastAsia="zh-CN"/>
                    </w:rPr>
                    <w:t>55</w:t>
                  </w:r>
                </w:p>
              </w:tc>
              <w:tc>
                <w:tcPr>
                  <w:tcW w:w="2152" w:type="pct"/>
                  <w:noWrap w:val="0"/>
                  <w:vAlign w:val="center"/>
                </w:tcPr>
                <w:p w14:paraId="24D35443">
                  <w:pPr>
                    <w:jc w:val="center"/>
                    <w:rPr>
                      <w:rFonts w:hint="eastAsia"/>
                      <w:sz w:val="21"/>
                    </w:rPr>
                  </w:pPr>
                  <w:r>
                    <w:rPr>
                      <w:rFonts w:hint="eastAsia"/>
                      <w:szCs w:val="22"/>
                    </w:rPr>
                    <w:t>《社会生活环境噪声排放标准》（GB22337-2008）</w:t>
                  </w:r>
                </w:p>
              </w:tc>
            </w:tr>
          </w:tbl>
          <w:p w14:paraId="31278F8D">
            <w:pPr>
              <w:pStyle w:val="6"/>
              <w:numPr>
                <w:ilvl w:val="0"/>
                <w:numId w:val="0"/>
              </w:numPr>
              <w:tabs>
                <w:tab w:val="left" w:pos="0"/>
              </w:tabs>
              <w:ind w:left="993" w:leftChars="0" w:hanging="993" w:firstLineChars="0"/>
            </w:pPr>
            <w:bookmarkStart w:id="39" w:name="_Toc12088"/>
            <w:r>
              <w:rPr>
                <w:rFonts w:hint="eastAsia" w:ascii="Times New Roman" w:hAnsi="Times New Roman" w:eastAsia="宋体" w:cs="宋体"/>
                <w:b/>
                <w:bCs/>
                <w:kern w:val="2"/>
                <w:sz w:val="28"/>
                <w:szCs w:val="32"/>
                <w:lang w:val="en-US" w:eastAsia="zh-CN" w:bidi="ar-SA"/>
              </w:rPr>
              <w:t>3.3.4</w:t>
            </w:r>
            <w:r>
              <w:rPr>
                <w:rFonts w:cs="Times New Roman"/>
              </w:rPr>
              <w:t>固体</w:t>
            </w:r>
            <w:r>
              <w:t>废物</w:t>
            </w:r>
            <w:bookmarkEnd w:id="39"/>
          </w:p>
          <w:p w14:paraId="04C8252C">
            <w:pPr>
              <w:adjustRightInd w:val="0"/>
              <w:spacing w:line="360" w:lineRule="auto"/>
              <w:ind w:firstLine="480" w:firstLineChars="200"/>
              <w:rPr>
                <w:rFonts w:hint="eastAsia"/>
                <w:szCs w:val="22"/>
              </w:rPr>
            </w:pPr>
            <w:r>
              <w:rPr>
                <w:rFonts w:hint="eastAsia"/>
                <w:szCs w:val="22"/>
              </w:rPr>
              <w:t>本项目运营期产生的生活垃圾应按照《城市环境卫生设施规划标准》（GB/T50337-2018）中的要求进行综合利用的处置。</w:t>
            </w:r>
          </w:p>
          <w:p w14:paraId="6C471D99">
            <w:pPr>
              <w:adjustRightInd w:val="0"/>
              <w:spacing w:line="360" w:lineRule="auto"/>
              <w:ind w:firstLine="480" w:firstLineChars="200"/>
              <w:rPr>
                <w:kern w:val="0"/>
                <w:szCs w:val="21"/>
              </w:rPr>
            </w:pPr>
            <w:r>
              <w:rPr>
                <w:rFonts w:hint="eastAsia"/>
                <w:szCs w:val="22"/>
              </w:rPr>
              <w:t>本项目运营期产生的固体废物排放执行《一般工业固体废物贮存和填埋污染控制标准》（GB 18599-2020）及其修改单的相关规定；危险废物执行《危险废物贮存污染控制标准》（GB18597-20</w:t>
            </w:r>
            <w:r>
              <w:rPr>
                <w:rFonts w:hint="eastAsia"/>
                <w:szCs w:val="22"/>
                <w:lang w:val="en-US" w:eastAsia="zh-CN"/>
              </w:rPr>
              <w:t>23</w:t>
            </w:r>
            <w:r>
              <w:rPr>
                <w:rFonts w:hint="eastAsia"/>
                <w:szCs w:val="22"/>
              </w:rPr>
              <w:t>）的相关规定；医疗固废执行《医疗卫生机构医疗废物管理办法》（中华人民共和国卫生部令第 36 号）中的相关规定</w:t>
            </w:r>
            <w:r>
              <w:rPr>
                <w:szCs w:val="22"/>
              </w:rPr>
              <w:t>。</w:t>
            </w:r>
          </w:p>
        </w:tc>
      </w:tr>
      <w:tr w14:paraId="1F012D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00" w:type="dxa"/>
            <w:noWrap w:val="0"/>
            <w:vAlign w:val="center"/>
          </w:tcPr>
          <w:p w14:paraId="29A46899">
            <w:pPr>
              <w:adjustRightInd w:val="0"/>
              <w:snapToGrid w:val="0"/>
              <w:jc w:val="center"/>
              <w:rPr>
                <w:kern w:val="0"/>
                <w:szCs w:val="21"/>
              </w:rPr>
            </w:pPr>
            <w:r>
              <w:rPr>
                <w:kern w:val="0"/>
                <w:szCs w:val="21"/>
              </w:rPr>
              <w:t>总量</w:t>
            </w:r>
          </w:p>
          <w:p w14:paraId="46AAD190">
            <w:pPr>
              <w:adjustRightInd w:val="0"/>
              <w:snapToGrid w:val="0"/>
              <w:jc w:val="center"/>
              <w:rPr>
                <w:kern w:val="0"/>
                <w:szCs w:val="21"/>
              </w:rPr>
            </w:pPr>
            <w:r>
              <w:rPr>
                <w:kern w:val="0"/>
                <w:szCs w:val="21"/>
              </w:rPr>
              <w:t>控制</w:t>
            </w:r>
          </w:p>
          <w:p w14:paraId="394439A7">
            <w:pPr>
              <w:adjustRightInd w:val="0"/>
              <w:snapToGrid w:val="0"/>
              <w:jc w:val="center"/>
              <w:rPr>
                <w:kern w:val="0"/>
                <w:szCs w:val="21"/>
              </w:rPr>
            </w:pPr>
            <w:r>
              <w:rPr>
                <w:kern w:val="0"/>
                <w:szCs w:val="21"/>
              </w:rPr>
              <w:t>指标</w:t>
            </w:r>
          </w:p>
        </w:tc>
        <w:tc>
          <w:tcPr>
            <w:tcW w:w="8190" w:type="dxa"/>
            <w:noWrap w:val="0"/>
            <w:vAlign w:val="center"/>
          </w:tcPr>
          <w:p w14:paraId="07E5810E">
            <w:pPr>
              <w:pStyle w:val="76"/>
              <w:ind w:firstLine="480"/>
              <w:rPr>
                <w:rFonts w:hint="default" w:cs="Times New Roman"/>
                <w:color w:val="FF0000"/>
                <w:szCs w:val="22"/>
              </w:rPr>
            </w:pPr>
            <w:r>
              <w:rPr>
                <w:rFonts w:hint="default" w:cs="Times New Roman"/>
                <w:szCs w:val="22"/>
              </w:rPr>
              <w:t>根据国家对污染物排放总量控制的要求，污染物排放总量控制因子为COD</w:t>
            </w:r>
            <w:r>
              <w:rPr>
                <w:rFonts w:hint="default" w:cs="Times New Roman"/>
                <w:szCs w:val="22"/>
                <w:vertAlign w:val="subscript"/>
              </w:rPr>
              <w:t>Cr</w:t>
            </w:r>
            <w:r>
              <w:rPr>
                <w:rFonts w:hint="default" w:cs="Times New Roman"/>
                <w:szCs w:val="22"/>
              </w:rPr>
              <w:t>、NH</w:t>
            </w:r>
            <w:r>
              <w:rPr>
                <w:rFonts w:hint="default" w:cs="Times New Roman"/>
                <w:szCs w:val="22"/>
                <w:vertAlign w:val="subscript"/>
              </w:rPr>
              <w:t>3</w:t>
            </w:r>
            <w:r>
              <w:rPr>
                <w:rFonts w:hint="default" w:cs="Times New Roman"/>
                <w:szCs w:val="22"/>
              </w:rPr>
              <w:t>-N、SO</w:t>
            </w:r>
            <w:r>
              <w:rPr>
                <w:rFonts w:hint="default" w:cs="Times New Roman"/>
                <w:szCs w:val="22"/>
                <w:vertAlign w:val="subscript"/>
              </w:rPr>
              <w:t>2</w:t>
            </w:r>
            <w:r>
              <w:rPr>
                <w:rFonts w:hint="default" w:cs="Times New Roman"/>
                <w:szCs w:val="22"/>
              </w:rPr>
              <w:t>、NOx</w:t>
            </w:r>
            <w:r>
              <w:rPr>
                <w:rFonts w:cs="Times New Roman"/>
                <w:szCs w:val="22"/>
              </w:rPr>
              <w:t>，项目不涉及</w:t>
            </w:r>
            <w:r>
              <w:rPr>
                <w:rFonts w:hint="default" w:cs="Times New Roman"/>
                <w:szCs w:val="22"/>
              </w:rPr>
              <w:t>SO</w:t>
            </w:r>
            <w:r>
              <w:rPr>
                <w:rFonts w:hint="default" w:cs="Times New Roman"/>
                <w:szCs w:val="22"/>
                <w:vertAlign w:val="subscript"/>
              </w:rPr>
              <w:t>2</w:t>
            </w:r>
            <w:r>
              <w:rPr>
                <w:rFonts w:hint="default" w:cs="Times New Roman"/>
                <w:szCs w:val="22"/>
              </w:rPr>
              <w:t>、N</w:t>
            </w:r>
            <w:r>
              <w:rPr>
                <w:rFonts w:hint="default" w:cs="Times New Roman"/>
                <w:color w:val="auto"/>
                <w:szCs w:val="22"/>
              </w:rPr>
              <w:t>Ox</w:t>
            </w:r>
            <w:r>
              <w:rPr>
                <w:rFonts w:cs="Times New Roman"/>
                <w:color w:val="auto"/>
                <w:szCs w:val="22"/>
              </w:rPr>
              <w:t>，项目废水排放量为</w:t>
            </w:r>
            <w:r>
              <w:rPr>
                <w:rFonts w:hint="eastAsia"/>
                <w:color w:val="auto"/>
                <w:lang w:val="en-US" w:eastAsia="zh-CN"/>
              </w:rPr>
              <w:t>290.7</w:t>
            </w:r>
            <w:r>
              <w:rPr>
                <w:rFonts w:cs="Times New Roman"/>
                <w:color w:val="auto"/>
                <w:szCs w:val="22"/>
              </w:rPr>
              <w:t>t/a，废水经</w:t>
            </w:r>
            <w:r>
              <w:rPr>
                <w:color w:val="auto"/>
              </w:rPr>
              <w:t>福州市祥坂污水处理厂</w:t>
            </w:r>
            <w:r>
              <w:rPr>
                <w:rFonts w:hint="default"/>
                <w:color w:val="auto"/>
              </w:rPr>
              <w:t>污水处理厂处理</w:t>
            </w:r>
            <w:r>
              <w:rPr>
                <w:color w:val="auto"/>
              </w:rPr>
              <w:t>后达到</w:t>
            </w:r>
            <w:r>
              <w:rPr>
                <w:rFonts w:hint="default"/>
                <w:color w:val="auto"/>
              </w:rPr>
              <w:t>《城镇污水处理厂污染物排放标准》（GB18918-2002）一级A标准</w:t>
            </w:r>
            <w:r>
              <w:rPr>
                <w:color w:val="auto"/>
              </w:rPr>
              <w:t>排放，废水</w:t>
            </w:r>
            <w:r>
              <w:rPr>
                <w:rFonts w:cs="Times New Roman"/>
                <w:color w:val="auto"/>
                <w:szCs w:val="22"/>
              </w:rPr>
              <w:t>中</w:t>
            </w:r>
            <w:r>
              <w:rPr>
                <w:rFonts w:hint="default" w:cs="Times New Roman"/>
                <w:color w:val="auto"/>
                <w:szCs w:val="22"/>
              </w:rPr>
              <w:t>COD</w:t>
            </w:r>
            <w:r>
              <w:rPr>
                <w:rFonts w:hint="default" w:cs="Times New Roman"/>
                <w:color w:val="auto"/>
                <w:szCs w:val="22"/>
                <w:vertAlign w:val="subscript"/>
              </w:rPr>
              <w:t>Cr</w:t>
            </w:r>
            <w:r>
              <w:rPr>
                <w:rFonts w:hint="default" w:cs="Times New Roman"/>
                <w:color w:val="auto"/>
                <w:szCs w:val="22"/>
              </w:rPr>
              <w:t>、NH</w:t>
            </w:r>
            <w:r>
              <w:rPr>
                <w:rFonts w:hint="default" w:cs="Times New Roman"/>
                <w:color w:val="auto"/>
                <w:szCs w:val="22"/>
                <w:vertAlign w:val="subscript"/>
              </w:rPr>
              <w:t>3</w:t>
            </w:r>
            <w:r>
              <w:rPr>
                <w:rFonts w:hint="default" w:cs="Times New Roman"/>
                <w:color w:val="auto"/>
                <w:szCs w:val="22"/>
              </w:rPr>
              <w:t>-N</w:t>
            </w:r>
            <w:r>
              <w:rPr>
                <w:rFonts w:cs="Times New Roman"/>
                <w:color w:val="auto"/>
                <w:szCs w:val="22"/>
              </w:rPr>
              <w:t>排放量按照污水处理厂出水浓度（</w:t>
            </w:r>
            <w:r>
              <w:rPr>
                <w:rFonts w:hint="default"/>
                <w:color w:val="auto"/>
              </w:rPr>
              <w:t>GB18918-2002一级A标准</w:t>
            </w:r>
            <w:r>
              <w:rPr>
                <w:color w:val="auto"/>
              </w:rPr>
              <w:t>）</w:t>
            </w:r>
            <w:r>
              <w:rPr>
                <w:rFonts w:cs="Times New Roman"/>
                <w:color w:val="auto"/>
                <w:szCs w:val="22"/>
              </w:rPr>
              <w:t>核算，具体如下</w:t>
            </w:r>
            <w:r>
              <w:rPr>
                <w:rFonts w:hint="default" w:cs="Times New Roman"/>
                <w:color w:val="auto"/>
                <w:szCs w:val="22"/>
              </w:rPr>
              <w:t>。</w:t>
            </w:r>
          </w:p>
          <w:p w14:paraId="24C7E842">
            <w:pPr>
              <w:pStyle w:val="63"/>
              <w:numPr>
                <w:ilvl w:val="0"/>
                <w:numId w:val="0"/>
              </w:numPr>
              <w:ind w:left="0" w:leftChars="0" w:firstLine="0" w:firstLineChars="0"/>
              <w:rPr>
                <w:rFonts w:hint="eastAsia"/>
                <w:bCs/>
                <w:color w:val="auto"/>
                <w:szCs w:val="21"/>
              </w:rPr>
            </w:pPr>
            <w:r>
              <w:rPr>
                <w:rFonts w:hint="eastAsia" w:ascii="Times New Roman" w:hAnsi="Times New Roman" w:eastAsia="宋体" w:cs="宋体"/>
                <w:b/>
                <w:bCs/>
                <w:color w:val="auto"/>
                <w:kern w:val="2"/>
                <w:sz w:val="24"/>
                <w:szCs w:val="21"/>
                <w:lang w:val="en-US" w:eastAsia="zh-CN" w:bidi="ar-SA"/>
              </w:rPr>
              <w:t>表3.3-5</w:t>
            </w:r>
            <w:r>
              <w:rPr>
                <w:rFonts w:hint="eastAsia"/>
                <w:bCs/>
                <w:color w:val="auto"/>
                <w:szCs w:val="21"/>
              </w:rPr>
              <w:t>项目废水污染物总量控制指标</w:t>
            </w:r>
          </w:p>
          <w:tbl>
            <w:tblPr>
              <w:tblStyle w:val="25"/>
              <w:tblW w:w="4999" w:type="pct"/>
              <w:tblInd w:w="0" w:type="dxa"/>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Layout w:type="autofit"/>
              <w:tblCellMar>
                <w:top w:w="0" w:type="dxa"/>
                <w:left w:w="108" w:type="dxa"/>
                <w:bottom w:w="0" w:type="dxa"/>
                <w:right w:w="108" w:type="dxa"/>
              </w:tblCellMar>
            </w:tblPr>
            <w:tblGrid>
              <w:gridCol w:w="1255"/>
              <w:gridCol w:w="1892"/>
              <w:gridCol w:w="3171"/>
              <w:gridCol w:w="2800"/>
            </w:tblGrid>
            <w:tr w14:paraId="54FD9B6D">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135" w:hRule="atLeast"/>
              </w:trPr>
              <w:tc>
                <w:tcPr>
                  <w:tcW w:w="688" w:type="pct"/>
                  <w:tcBorders>
                    <w:bottom w:val="single" w:color="auto" w:sz="4" w:space="0"/>
                    <w:right w:val="single" w:color="auto" w:sz="4" w:space="0"/>
                  </w:tcBorders>
                  <w:noWrap w:val="0"/>
                  <w:vAlign w:val="center"/>
                </w:tcPr>
                <w:p w14:paraId="04717A4E">
                  <w:pPr>
                    <w:pStyle w:val="67"/>
                    <w:rPr>
                      <w:rFonts w:hint="eastAsia"/>
                      <w:color w:val="auto"/>
                    </w:rPr>
                  </w:pPr>
                  <w:r>
                    <w:rPr>
                      <w:rFonts w:hint="eastAsia"/>
                      <w:color w:val="auto"/>
                    </w:rPr>
                    <w:t>序号</w:t>
                  </w:r>
                </w:p>
              </w:tc>
              <w:tc>
                <w:tcPr>
                  <w:tcW w:w="1037" w:type="pct"/>
                  <w:tcBorders>
                    <w:left w:val="single" w:color="auto" w:sz="4" w:space="0"/>
                    <w:bottom w:val="single" w:color="auto" w:sz="4" w:space="0"/>
                    <w:right w:val="single" w:color="auto" w:sz="4" w:space="0"/>
                  </w:tcBorders>
                  <w:noWrap w:val="0"/>
                  <w:vAlign w:val="center"/>
                </w:tcPr>
                <w:p w14:paraId="1C5D6E8C">
                  <w:pPr>
                    <w:pStyle w:val="67"/>
                    <w:rPr>
                      <w:color w:val="auto"/>
                    </w:rPr>
                  </w:pPr>
                  <w:r>
                    <w:rPr>
                      <w:rFonts w:hint="eastAsia"/>
                      <w:color w:val="auto"/>
                    </w:rPr>
                    <w:t>主要污染物</w:t>
                  </w:r>
                </w:p>
              </w:tc>
              <w:tc>
                <w:tcPr>
                  <w:tcW w:w="1738" w:type="pct"/>
                  <w:tcBorders>
                    <w:left w:val="single" w:color="auto" w:sz="4" w:space="0"/>
                    <w:bottom w:val="single" w:color="auto" w:sz="4" w:space="0"/>
                    <w:right w:val="single" w:color="auto" w:sz="4" w:space="0"/>
                  </w:tcBorders>
                  <w:noWrap w:val="0"/>
                  <w:vAlign w:val="center"/>
                </w:tcPr>
                <w:p w14:paraId="67F712FB">
                  <w:pPr>
                    <w:pStyle w:val="67"/>
                    <w:rPr>
                      <w:color w:val="auto"/>
                    </w:rPr>
                  </w:pPr>
                  <w:r>
                    <w:rPr>
                      <w:rFonts w:hint="eastAsia"/>
                      <w:color w:val="auto"/>
                    </w:rPr>
                    <w:t>排放浓度（mg/L）</w:t>
                  </w:r>
                </w:p>
              </w:tc>
              <w:tc>
                <w:tcPr>
                  <w:tcW w:w="1535" w:type="pct"/>
                  <w:tcBorders>
                    <w:left w:val="single" w:color="auto" w:sz="4" w:space="0"/>
                    <w:bottom w:val="single" w:color="auto" w:sz="4" w:space="0"/>
                  </w:tcBorders>
                  <w:noWrap w:val="0"/>
                  <w:vAlign w:val="center"/>
                </w:tcPr>
                <w:p w14:paraId="144E46DD">
                  <w:pPr>
                    <w:pStyle w:val="67"/>
                    <w:rPr>
                      <w:color w:val="auto"/>
                    </w:rPr>
                  </w:pPr>
                  <w:r>
                    <w:rPr>
                      <w:rFonts w:hint="eastAsia"/>
                      <w:color w:val="auto"/>
                    </w:rPr>
                    <w:t>排放量（t/a）</w:t>
                  </w:r>
                </w:p>
              </w:tc>
            </w:tr>
            <w:tr w14:paraId="2A54E6CC">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Pr>
              <w:tc>
                <w:tcPr>
                  <w:tcW w:w="688" w:type="pct"/>
                  <w:tcBorders>
                    <w:top w:val="single" w:color="auto" w:sz="4" w:space="0"/>
                    <w:bottom w:val="single" w:color="auto" w:sz="4" w:space="0"/>
                    <w:right w:val="single" w:color="auto" w:sz="4" w:space="0"/>
                  </w:tcBorders>
                  <w:noWrap w:val="0"/>
                  <w:vAlign w:val="center"/>
                </w:tcPr>
                <w:p w14:paraId="4B940468">
                  <w:pPr>
                    <w:pStyle w:val="67"/>
                    <w:rPr>
                      <w:color w:val="auto"/>
                    </w:rPr>
                  </w:pPr>
                  <w:r>
                    <w:rPr>
                      <w:rFonts w:hint="eastAsia"/>
                      <w:color w:val="auto"/>
                    </w:rPr>
                    <w:t>1</w:t>
                  </w:r>
                </w:p>
              </w:tc>
              <w:tc>
                <w:tcPr>
                  <w:tcW w:w="1037" w:type="pct"/>
                  <w:tcBorders>
                    <w:top w:val="single" w:color="auto" w:sz="4" w:space="0"/>
                    <w:left w:val="single" w:color="auto" w:sz="4" w:space="0"/>
                    <w:bottom w:val="single" w:color="auto" w:sz="4" w:space="0"/>
                    <w:right w:val="single" w:color="auto" w:sz="4" w:space="0"/>
                  </w:tcBorders>
                  <w:noWrap w:val="0"/>
                  <w:vAlign w:val="center"/>
                </w:tcPr>
                <w:p w14:paraId="1A91F49B">
                  <w:pPr>
                    <w:pStyle w:val="67"/>
                    <w:rPr>
                      <w:color w:val="auto"/>
                    </w:rPr>
                  </w:pPr>
                  <w:r>
                    <w:rPr>
                      <w:color w:val="auto"/>
                      <w:szCs w:val="22"/>
                    </w:rPr>
                    <w:t>COD</w:t>
                  </w:r>
                  <w:r>
                    <w:rPr>
                      <w:color w:val="auto"/>
                      <w:szCs w:val="22"/>
                      <w:vertAlign w:val="subscript"/>
                    </w:rPr>
                    <w:t>Cr</w:t>
                  </w:r>
                </w:p>
              </w:tc>
              <w:tc>
                <w:tcPr>
                  <w:tcW w:w="1738" w:type="pct"/>
                  <w:tcBorders>
                    <w:top w:val="single" w:color="auto" w:sz="4" w:space="0"/>
                    <w:left w:val="single" w:color="auto" w:sz="4" w:space="0"/>
                    <w:bottom w:val="single" w:color="auto" w:sz="4" w:space="0"/>
                    <w:right w:val="single" w:color="auto" w:sz="4" w:space="0"/>
                  </w:tcBorders>
                  <w:noWrap w:val="0"/>
                  <w:tcMar>
                    <w:left w:w="11" w:type="dxa"/>
                    <w:right w:w="11" w:type="dxa"/>
                  </w:tcMar>
                  <w:vAlign w:val="center"/>
                </w:tcPr>
                <w:p w14:paraId="288D9623">
                  <w:pPr>
                    <w:pStyle w:val="67"/>
                    <w:rPr>
                      <w:color w:val="auto"/>
                    </w:rPr>
                  </w:pPr>
                  <w:r>
                    <w:rPr>
                      <w:color w:val="auto"/>
                      <w:szCs w:val="21"/>
                      <w:lang w:bidi="ar"/>
                    </w:rPr>
                    <w:t>50</w:t>
                  </w:r>
                </w:p>
              </w:tc>
              <w:tc>
                <w:tcPr>
                  <w:tcW w:w="1535" w:type="pct"/>
                  <w:tcBorders>
                    <w:top w:val="single" w:color="auto" w:sz="4" w:space="0"/>
                    <w:left w:val="single" w:color="auto" w:sz="4" w:space="0"/>
                    <w:bottom w:val="single" w:color="auto" w:sz="4" w:space="0"/>
                  </w:tcBorders>
                  <w:noWrap w:val="0"/>
                  <w:tcMar>
                    <w:left w:w="11" w:type="dxa"/>
                    <w:right w:w="11" w:type="dxa"/>
                  </w:tcMar>
                  <w:vAlign w:val="center"/>
                </w:tcPr>
                <w:p w14:paraId="64AA7087">
                  <w:pPr>
                    <w:pStyle w:val="67"/>
                    <w:rPr>
                      <w:rFonts w:hint="default" w:eastAsia="宋体"/>
                      <w:color w:val="auto"/>
                      <w:lang w:val="en-US" w:eastAsia="zh-CN"/>
                    </w:rPr>
                  </w:pPr>
                  <w:r>
                    <w:rPr>
                      <w:rFonts w:hint="eastAsia"/>
                      <w:color w:val="auto"/>
                    </w:rPr>
                    <w:t>0.0</w:t>
                  </w:r>
                  <w:r>
                    <w:rPr>
                      <w:rFonts w:hint="eastAsia"/>
                      <w:color w:val="auto"/>
                      <w:lang w:val="en-US" w:eastAsia="zh-CN"/>
                    </w:rPr>
                    <w:t>145</w:t>
                  </w:r>
                </w:p>
              </w:tc>
            </w:tr>
            <w:tr w14:paraId="42912812">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Pr>
              <w:tc>
                <w:tcPr>
                  <w:tcW w:w="688" w:type="pct"/>
                  <w:tcBorders>
                    <w:top w:val="single" w:color="auto" w:sz="4" w:space="0"/>
                    <w:right w:val="single" w:color="auto" w:sz="4" w:space="0"/>
                  </w:tcBorders>
                  <w:noWrap w:val="0"/>
                  <w:vAlign w:val="center"/>
                </w:tcPr>
                <w:p w14:paraId="4D96DB37">
                  <w:pPr>
                    <w:pStyle w:val="67"/>
                    <w:rPr>
                      <w:color w:val="auto"/>
                    </w:rPr>
                  </w:pPr>
                  <w:r>
                    <w:rPr>
                      <w:rFonts w:hint="eastAsia"/>
                      <w:color w:val="auto"/>
                    </w:rPr>
                    <w:t>2</w:t>
                  </w:r>
                </w:p>
              </w:tc>
              <w:tc>
                <w:tcPr>
                  <w:tcW w:w="1037" w:type="pct"/>
                  <w:tcBorders>
                    <w:top w:val="single" w:color="auto" w:sz="4" w:space="0"/>
                    <w:left w:val="single" w:color="auto" w:sz="4" w:space="0"/>
                    <w:right w:val="single" w:color="auto" w:sz="4" w:space="0"/>
                  </w:tcBorders>
                  <w:noWrap w:val="0"/>
                  <w:vAlign w:val="center"/>
                </w:tcPr>
                <w:p w14:paraId="6521099E">
                  <w:pPr>
                    <w:pStyle w:val="67"/>
                    <w:rPr>
                      <w:color w:val="auto"/>
                    </w:rPr>
                  </w:pPr>
                  <w:r>
                    <w:rPr>
                      <w:color w:val="auto"/>
                      <w:szCs w:val="22"/>
                    </w:rPr>
                    <w:t>NH</w:t>
                  </w:r>
                  <w:r>
                    <w:rPr>
                      <w:color w:val="auto"/>
                      <w:szCs w:val="22"/>
                      <w:vertAlign w:val="subscript"/>
                    </w:rPr>
                    <w:t>3</w:t>
                  </w:r>
                  <w:r>
                    <w:rPr>
                      <w:color w:val="auto"/>
                      <w:szCs w:val="22"/>
                    </w:rPr>
                    <w:t>-N</w:t>
                  </w:r>
                </w:p>
              </w:tc>
              <w:tc>
                <w:tcPr>
                  <w:tcW w:w="1738" w:type="pct"/>
                  <w:tcBorders>
                    <w:top w:val="single" w:color="auto" w:sz="4" w:space="0"/>
                    <w:left w:val="single" w:color="auto" w:sz="4" w:space="0"/>
                    <w:right w:val="single" w:color="auto" w:sz="4" w:space="0"/>
                  </w:tcBorders>
                  <w:noWrap w:val="0"/>
                  <w:tcMar>
                    <w:left w:w="11" w:type="dxa"/>
                    <w:right w:w="11" w:type="dxa"/>
                  </w:tcMar>
                  <w:vAlign w:val="center"/>
                </w:tcPr>
                <w:p w14:paraId="1DB1924D">
                  <w:pPr>
                    <w:pStyle w:val="67"/>
                    <w:rPr>
                      <w:color w:val="auto"/>
                    </w:rPr>
                  </w:pPr>
                  <w:r>
                    <w:rPr>
                      <w:color w:val="auto"/>
                      <w:szCs w:val="21"/>
                      <w:lang w:bidi="ar"/>
                    </w:rPr>
                    <w:t>5</w:t>
                  </w:r>
                </w:p>
              </w:tc>
              <w:tc>
                <w:tcPr>
                  <w:tcW w:w="1535" w:type="pct"/>
                  <w:tcBorders>
                    <w:top w:val="single" w:color="auto" w:sz="4" w:space="0"/>
                    <w:left w:val="single" w:color="auto" w:sz="4" w:space="0"/>
                  </w:tcBorders>
                  <w:noWrap w:val="0"/>
                  <w:tcMar>
                    <w:left w:w="11" w:type="dxa"/>
                    <w:right w:w="11" w:type="dxa"/>
                  </w:tcMar>
                  <w:vAlign w:val="center"/>
                </w:tcPr>
                <w:p w14:paraId="796EDDB1">
                  <w:pPr>
                    <w:pStyle w:val="67"/>
                    <w:rPr>
                      <w:rFonts w:hint="default" w:eastAsia="宋体"/>
                      <w:color w:val="auto"/>
                      <w:lang w:val="en-US" w:eastAsia="zh-CN"/>
                    </w:rPr>
                  </w:pPr>
                  <w:r>
                    <w:rPr>
                      <w:rFonts w:hint="eastAsia"/>
                      <w:color w:val="auto"/>
                    </w:rPr>
                    <w:t>0.00</w:t>
                  </w:r>
                  <w:r>
                    <w:rPr>
                      <w:rFonts w:hint="eastAsia"/>
                      <w:color w:val="auto"/>
                      <w:lang w:val="en-US" w:eastAsia="zh-CN"/>
                    </w:rPr>
                    <w:t>15</w:t>
                  </w:r>
                </w:p>
              </w:tc>
            </w:tr>
          </w:tbl>
          <w:p w14:paraId="38E672D3">
            <w:pPr>
              <w:pStyle w:val="76"/>
              <w:ind w:firstLine="480"/>
              <w:rPr>
                <w:rFonts w:hint="default" w:cs="Times New Roman"/>
              </w:rPr>
            </w:pPr>
            <w:r>
              <w:rPr>
                <w:rFonts w:hint="default" w:cs="Times New Roman"/>
                <w:szCs w:val="22"/>
              </w:rPr>
              <w:t>根据福建省环保厅关于印发《福建省主要污染物排污权指标核定管理办法（试行）》的通知（闽环发[2014]12号）、《福建省环保厅关于进一步加快推进排污权有偿使用和交易工作的意见》（闽环发[2015]6号），其适用范围为：福建省范围内现有工业排污单位、集中式水污染治理单位排污权的核定和管理。本项目属于</w:t>
            </w:r>
            <w:r>
              <w:rPr>
                <w:rFonts w:cs="Times New Roman"/>
                <w:szCs w:val="22"/>
              </w:rPr>
              <w:t>社会服务类</w:t>
            </w:r>
            <w:r>
              <w:rPr>
                <w:rFonts w:hint="default" w:cs="Times New Roman"/>
                <w:szCs w:val="22"/>
              </w:rPr>
              <w:t>项目，不</w:t>
            </w:r>
            <w:r>
              <w:rPr>
                <w:rFonts w:hint="eastAsia" w:cs="Times New Roman"/>
                <w:szCs w:val="22"/>
                <w:lang w:eastAsia="zh-CN"/>
              </w:rPr>
              <w:t>再</w:t>
            </w:r>
            <w:r>
              <w:rPr>
                <w:rFonts w:hint="default" w:cs="Times New Roman"/>
                <w:szCs w:val="22"/>
              </w:rPr>
              <w:t>需要购买总量的工业排污单位、集中式水污染治理单位范畴，无需申请总量。</w:t>
            </w:r>
          </w:p>
        </w:tc>
      </w:tr>
    </w:tbl>
    <w:p w14:paraId="1B658E73">
      <w:pPr>
        <w:pStyle w:val="4"/>
        <w:keepNext/>
        <w:keepLines w:val="0"/>
        <w:pageBreakBefore w:val="0"/>
        <w:widowControl w:val="0"/>
        <w:numPr>
          <w:ilvl w:val="0"/>
          <w:numId w:val="0"/>
        </w:numPr>
        <w:kinsoku/>
        <w:wordWrap/>
        <w:overflowPunct w:val="0"/>
        <w:topLinePunct w:val="0"/>
        <w:autoSpaceDE/>
        <w:autoSpaceDN/>
        <w:bidi w:val="0"/>
        <w:adjustRightInd/>
        <w:snapToGrid w:val="0"/>
        <w:ind w:left="0" w:leftChars="0" w:firstLine="0" w:firstLineChars="0"/>
        <w:textAlignment w:val="auto"/>
        <w:rPr>
          <w:snapToGrid w:val="0"/>
          <w:color w:val="auto"/>
        </w:rPr>
      </w:pPr>
      <w:r>
        <w:rPr>
          <w:snapToGrid w:val="0"/>
          <w:color w:val="auto"/>
          <w:sz w:val="36"/>
          <w:szCs w:val="36"/>
        </w:rPr>
        <w:br w:type="page"/>
      </w:r>
      <w:bookmarkStart w:id="40" w:name="_Toc10491"/>
      <w:r>
        <w:rPr>
          <w:rFonts w:hint="eastAsia" w:ascii="Times New Roman" w:hAnsi="Times New Roman" w:eastAsia="黑体" w:cs="宋体"/>
          <w:b/>
          <w:bCs/>
          <w:snapToGrid w:val="0"/>
          <w:color w:val="auto"/>
          <w:kern w:val="44"/>
          <w:sz w:val="30"/>
          <w:szCs w:val="30"/>
          <w:lang w:val="en-US" w:eastAsia="zh-CN" w:bidi="ar-SA"/>
        </w:rPr>
        <w:t>四、</w:t>
      </w:r>
      <w:r>
        <w:rPr>
          <w:snapToGrid w:val="0"/>
          <w:color w:val="auto"/>
        </w:rPr>
        <w:t>主要环境影响和保护措施</w:t>
      </w:r>
      <w:bookmarkEnd w:id="40"/>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6"/>
        <w:gridCol w:w="8163"/>
      </w:tblGrid>
      <w:tr w14:paraId="4845F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4" w:hRule="atLeast"/>
          <w:jc w:val="center"/>
        </w:trPr>
        <w:tc>
          <w:tcPr>
            <w:tcW w:w="746" w:type="dxa"/>
            <w:noWrap w:val="0"/>
            <w:tcMar>
              <w:left w:w="28" w:type="dxa"/>
              <w:right w:w="28" w:type="dxa"/>
            </w:tcMar>
            <w:vAlign w:val="center"/>
          </w:tcPr>
          <w:p w14:paraId="6039A1D9">
            <w:pPr>
              <w:adjustRightInd w:val="0"/>
              <w:snapToGrid w:val="0"/>
              <w:jc w:val="center"/>
              <w:rPr>
                <w:sz w:val="21"/>
                <w:szCs w:val="21"/>
              </w:rPr>
            </w:pPr>
            <w:r>
              <w:rPr>
                <w:sz w:val="21"/>
                <w:szCs w:val="21"/>
              </w:rPr>
              <w:t>施工</w:t>
            </w:r>
          </w:p>
          <w:p w14:paraId="07E120AF">
            <w:pPr>
              <w:adjustRightInd w:val="0"/>
              <w:snapToGrid w:val="0"/>
              <w:jc w:val="center"/>
              <w:rPr>
                <w:sz w:val="21"/>
                <w:szCs w:val="21"/>
              </w:rPr>
            </w:pPr>
            <w:r>
              <w:rPr>
                <w:sz w:val="21"/>
                <w:szCs w:val="21"/>
              </w:rPr>
              <w:t>期环</w:t>
            </w:r>
          </w:p>
          <w:p w14:paraId="5F2AD2DC">
            <w:pPr>
              <w:adjustRightInd w:val="0"/>
              <w:snapToGrid w:val="0"/>
              <w:jc w:val="center"/>
              <w:rPr>
                <w:sz w:val="21"/>
                <w:szCs w:val="21"/>
              </w:rPr>
            </w:pPr>
            <w:r>
              <w:rPr>
                <w:sz w:val="21"/>
                <w:szCs w:val="21"/>
              </w:rPr>
              <w:t>境保</w:t>
            </w:r>
          </w:p>
          <w:p w14:paraId="2F744A9A">
            <w:pPr>
              <w:adjustRightInd w:val="0"/>
              <w:snapToGrid w:val="0"/>
              <w:jc w:val="center"/>
              <w:rPr>
                <w:sz w:val="21"/>
                <w:szCs w:val="21"/>
              </w:rPr>
            </w:pPr>
            <w:r>
              <w:rPr>
                <w:sz w:val="21"/>
                <w:szCs w:val="21"/>
              </w:rPr>
              <w:t>护措</w:t>
            </w:r>
          </w:p>
          <w:p w14:paraId="2348D7F7">
            <w:pPr>
              <w:adjustRightInd w:val="0"/>
              <w:snapToGrid w:val="0"/>
              <w:jc w:val="center"/>
              <w:rPr>
                <w:bCs/>
                <w:sz w:val="21"/>
                <w:szCs w:val="21"/>
              </w:rPr>
            </w:pPr>
            <w:r>
              <w:rPr>
                <w:sz w:val="21"/>
                <w:szCs w:val="21"/>
              </w:rPr>
              <w:t>施</w:t>
            </w:r>
          </w:p>
        </w:tc>
        <w:tc>
          <w:tcPr>
            <w:tcW w:w="8162" w:type="dxa"/>
            <w:noWrap w:val="0"/>
            <w:vAlign w:val="center"/>
          </w:tcPr>
          <w:p w14:paraId="39B16CC5">
            <w:pPr>
              <w:pStyle w:val="5"/>
              <w:numPr>
                <w:ilvl w:val="0"/>
                <w:numId w:val="0"/>
              </w:numPr>
              <w:spacing w:before="120" w:after="120"/>
              <w:ind w:left="0" w:leftChars="0" w:firstLine="0" w:firstLineChars="0"/>
              <w:rPr>
                <w:rFonts w:hint="eastAsia"/>
              </w:rPr>
            </w:pPr>
            <w:r>
              <w:rPr>
                <w:rFonts w:hint="eastAsia" w:ascii="Times New Roman" w:hAnsi="Times New Roman" w:eastAsia="宋体" w:cs="宋体"/>
                <w:b/>
                <w:bCs/>
                <w:color w:val="000000"/>
                <w:kern w:val="44"/>
                <w:sz w:val="30"/>
                <w:szCs w:val="32"/>
                <w:lang w:val="en-US" w:eastAsia="zh-CN" w:bidi="ar-SA"/>
              </w:rPr>
              <w:t>4.1</w:t>
            </w:r>
            <w:r>
              <w:rPr>
                <w:rFonts w:hint="eastAsia"/>
              </w:rPr>
              <w:t>废水</w:t>
            </w:r>
          </w:p>
          <w:p w14:paraId="78A15B1C">
            <w:pPr>
              <w:widowControl/>
              <w:spacing w:line="360" w:lineRule="auto"/>
              <w:ind w:firstLine="480" w:firstLineChars="200"/>
              <w:jc w:val="left"/>
              <w:rPr>
                <w:rFonts w:hint="eastAsia"/>
              </w:rPr>
            </w:pPr>
            <w:r>
              <w:rPr>
                <w:rFonts w:hint="eastAsia"/>
              </w:rPr>
              <w:t>本项目施工期废水主要来源于施工人员生活污水。本项目装修施工人员按6人/d计，装修期间的生活污水依托善化新村周边公共厕所处理，处理后汇入鼓楼区市政污水管</w:t>
            </w:r>
            <w:r>
              <w:rPr>
                <w:rFonts w:hint="eastAsia"/>
                <w:color w:val="auto"/>
              </w:rPr>
              <w:t>网进入祥坂污水处理厂处理后排放</w:t>
            </w:r>
            <w:r>
              <w:rPr>
                <w:rFonts w:hint="eastAsia"/>
              </w:rPr>
              <w:t>。</w:t>
            </w:r>
          </w:p>
          <w:p w14:paraId="1C85380E">
            <w:pPr>
              <w:pStyle w:val="76"/>
              <w:ind w:firstLine="480"/>
            </w:pPr>
            <w:r>
              <w:rPr>
                <w:rFonts w:hint="default" w:cs="Times New Roman"/>
              </w:rPr>
              <w:t>根据《给排水设计手册》（第五册城镇排水，中国建筑工业出版社）典型生活污水水质示例，COD</w:t>
            </w:r>
            <w:r>
              <w:rPr>
                <w:rFonts w:cs="Times New Roman"/>
              </w:rPr>
              <w:t>cr:</w:t>
            </w:r>
            <w:r>
              <w:rPr>
                <w:rFonts w:hint="default" w:cs="Times New Roman"/>
              </w:rPr>
              <w:t>250~1000mg/L、BOD</w:t>
            </w:r>
            <w:r>
              <w:rPr>
                <w:rFonts w:hint="default" w:cs="Times New Roman"/>
                <w:vertAlign w:val="subscript"/>
              </w:rPr>
              <w:t>5</w:t>
            </w:r>
            <w:r>
              <w:rPr>
                <w:rFonts w:cs="Times New Roman"/>
              </w:rPr>
              <w:t>：</w:t>
            </w:r>
            <w:r>
              <w:rPr>
                <w:rFonts w:hint="default" w:cs="Times New Roman"/>
              </w:rPr>
              <w:t>110~400mg/L、SS</w:t>
            </w:r>
            <w:r>
              <w:rPr>
                <w:rFonts w:cs="Times New Roman"/>
              </w:rPr>
              <w:t>：</w:t>
            </w:r>
            <w:r>
              <w:rPr>
                <w:rFonts w:hint="default" w:cs="Times New Roman"/>
              </w:rPr>
              <w:t>100~350mg/L、氨氮</w:t>
            </w:r>
            <w:r>
              <w:rPr>
                <w:rFonts w:cs="Times New Roman"/>
              </w:rPr>
              <w:t>：</w:t>
            </w:r>
            <w:r>
              <w:rPr>
                <w:rFonts w:hint="default" w:cs="Times New Roman"/>
              </w:rPr>
              <w:t>20~85mg/L，</w:t>
            </w:r>
            <w:r>
              <w:rPr>
                <w:rFonts w:cs="Times New Roman"/>
              </w:rPr>
              <w:t>本次环评项目取COD</w:t>
            </w:r>
            <w:r>
              <w:rPr>
                <w:rFonts w:hint="eastAsia" w:cs="Times New Roman"/>
                <w:vertAlign w:val="subscript"/>
                <w:lang w:val="en-US" w:eastAsia="zh-CN"/>
              </w:rPr>
              <w:t>C</w:t>
            </w:r>
            <w:r>
              <w:rPr>
                <w:rFonts w:cs="Times New Roman"/>
                <w:vertAlign w:val="subscript"/>
              </w:rPr>
              <w:t>r</w:t>
            </w:r>
            <w:r>
              <w:rPr>
                <w:rFonts w:cs="Times New Roman"/>
              </w:rPr>
              <w:t>：</w:t>
            </w:r>
            <w:r>
              <w:rPr>
                <w:rFonts w:hint="eastAsia" w:cs="Times New Roman"/>
                <w:lang w:val="en-US" w:eastAsia="zh-CN"/>
              </w:rPr>
              <w:t>400</w:t>
            </w:r>
            <w:r>
              <w:rPr>
                <w:rFonts w:cs="Times New Roman"/>
              </w:rPr>
              <w:t>mg/L，BOD</w:t>
            </w:r>
            <w:r>
              <w:rPr>
                <w:rFonts w:cs="Times New Roman"/>
                <w:vertAlign w:val="subscript"/>
              </w:rPr>
              <w:t>5</w:t>
            </w:r>
            <w:r>
              <w:rPr>
                <w:rFonts w:cs="Times New Roman"/>
              </w:rPr>
              <w:t>：200mg/L，SS：200mg/L，氨氮40mg/L。</w:t>
            </w:r>
          </w:p>
          <w:p w14:paraId="22D9EBC0">
            <w:pPr>
              <w:pStyle w:val="76"/>
              <w:ind w:firstLine="480"/>
            </w:pPr>
            <w:r>
              <w:t>施工期人均生活用水量为</w:t>
            </w:r>
            <w:r>
              <w:rPr>
                <w:rFonts w:hint="eastAsia"/>
                <w:lang w:val="en-US" w:eastAsia="zh-CN"/>
              </w:rPr>
              <w:t>100</w:t>
            </w:r>
            <w:r>
              <w:t>L/人·天，产污系数按0.8</w:t>
            </w:r>
            <w:r>
              <w:rPr>
                <w:rFonts w:hint="eastAsia"/>
                <w:lang w:val="en-US" w:eastAsia="zh-CN"/>
              </w:rPr>
              <w:t>5</w:t>
            </w:r>
            <w:r>
              <w:t>计，施工期按</w:t>
            </w:r>
            <w:r>
              <w:rPr>
                <w:rFonts w:hint="eastAsia"/>
                <w:lang w:val="en-US" w:eastAsia="zh-CN"/>
              </w:rPr>
              <w:t>3</w:t>
            </w:r>
            <w:r>
              <w:t>0天计，则施工期生活污水产生量为</w:t>
            </w:r>
            <w:r>
              <w:rPr>
                <w:rFonts w:hint="eastAsia"/>
                <w:lang w:val="en-US" w:eastAsia="zh-CN"/>
              </w:rPr>
              <w:t>15.3</w:t>
            </w:r>
            <w:r>
              <w:t>m</w:t>
            </w:r>
            <w:r>
              <w:rPr>
                <w:vertAlign w:val="superscript"/>
              </w:rPr>
              <w:t>3</w:t>
            </w:r>
            <w:r>
              <w:t>。则施工期废水污染物产生量详见表4.1-1。</w:t>
            </w:r>
          </w:p>
          <w:p w14:paraId="741EFD01">
            <w:pPr>
              <w:pStyle w:val="63"/>
              <w:numPr>
                <w:ilvl w:val="0"/>
                <w:numId w:val="0"/>
              </w:numPr>
              <w:ind w:left="0" w:leftChars="0" w:firstLine="0" w:firstLineChars="0"/>
              <w:rPr>
                <w:rFonts w:hint="eastAsia"/>
              </w:rPr>
            </w:pPr>
            <w:r>
              <w:rPr>
                <w:rFonts w:hint="eastAsia" w:ascii="Times New Roman" w:hAnsi="Times New Roman" w:eastAsia="宋体" w:cs="宋体"/>
                <w:b/>
                <w:kern w:val="2"/>
                <w:sz w:val="24"/>
                <w:szCs w:val="24"/>
                <w:lang w:val="en-US" w:eastAsia="zh-CN" w:bidi="ar-SA"/>
              </w:rPr>
              <w:t>表4.1-1</w:t>
            </w:r>
            <w:r>
              <w:rPr>
                <w:rFonts w:hint="eastAsia"/>
              </w:rPr>
              <w:t>施工期废水污染物产生量</w:t>
            </w:r>
          </w:p>
          <w:tbl>
            <w:tblPr>
              <w:tblStyle w:val="25"/>
              <w:tblW w:w="7947" w:type="dxa"/>
              <w:tblInd w:w="0" w:type="dxa"/>
              <w:tblBorders>
                <w:top w:val="none" w:color="auto" w:sz="4" w:space="0"/>
                <w:left w:val="none" w:color="auto" w:sz="4" w:space="0"/>
                <w:bottom w:val="single" w:color="auto" w:sz="12" w:space="0"/>
                <w:right w:val="none" w:color="auto" w:sz="4" w:space="0"/>
                <w:insideH w:val="none" w:color="auto" w:sz="4" w:space="0"/>
                <w:insideV w:val="none" w:color="auto" w:sz="4" w:space="0"/>
              </w:tblBorders>
              <w:tblLayout w:type="autofit"/>
              <w:tblCellMar>
                <w:top w:w="0" w:type="dxa"/>
                <w:left w:w="108" w:type="dxa"/>
                <w:bottom w:w="0" w:type="dxa"/>
                <w:right w:w="108" w:type="dxa"/>
              </w:tblCellMar>
            </w:tblPr>
            <w:tblGrid>
              <w:gridCol w:w="1006"/>
              <w:gridCol w:w="987"/>
              <w:gridCol w:w="2054"/>
              <w:gridCol w:w="973"/>
              <w:gridCol w:w="973"/>
              <w:gridCol w:w="973"/>
              <w:gridCol w:w="981"/>
            </w:tblGrid>
            <w:tr w14:paraId="51AA8FA4">
              <w:tblPrEx>
                <w:tblBorders>
                  <w:top w:val="none" w:color="auto" w:sz="4" w:space="0"/>
                  <w:left w:val="none" w:color="auto" w:sz="4" w:space="0"/>
                  <w:bottom w:val="single" w:color="auto" w:sz="12"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340" w:hRule="atLeast"/>
              </w:trPr>
              <w:tc>
                <w:tcPr>
                  <w:tcW w:w="1006" w:type="dxa"/>
                  <w:vMerge w:val="restart"/>
                  <w:tcBorders>
                    <w:top w:val="single" w:color="000000" w:sz="10" w:space="0"/>
                    <w:left w:val="nil"/>
                    <w:bottom w:val="single" w:color="000000" w:sz="4" w:space="0"/>
                    <w:right w:val="single" w:color="000000" w:sz="4" w:space="0"/>
                  </w:tcBorders>
                  <w:noWrap w:val="0"/>
                  <w:vAlign w:val="center"/>
                </w:tcPr>
                <w:p w14:paraId="31DC9E45">
                  <w:pPr>
                    <w:pStyle w:val="66"/>
                  </w:pPr>
                  <w:r>
                    <w:t>项目</w:t>
                  </w:r>
                </w:p>
              </w:tc>
              <w:tc>
                <w:tcPr>
                  <w:tcW w:w="987" w:type="dxa"/>
                  <w:vMerge w:val="restart"/>
                  <w:tcBorders>
                    <w:top w:val="single" w:color="000000" w:sz="10" w:space="0"/>
                    <w:left w:val="single" w:color="000000" w:sz="4" w:space="0"/>
                    <w:bottom w:val="single" w:color="000000" w:sz="4" w:space="0"/>
                    <w:right w:val="single" w:color="000000" w:sz="4" w:space="0"/>
                  </w:tcBorders>
                  <w:noWrap w:val="0"/>
                  <w:vAlign w:val="center"/>
                </w:tcPr>
                <w:p w14:paraId="5C096F77">
                  <w:pPr>
                    <w:pStyle w:val="66"/>
                  </w:pPr>
                  <w:r>
                    <w:t>废水量</w:t>
                  </w:r>
                </w:p>
                <w:p w14:paraId="32BF8F96">
                  <w:pPr>
                    <w:pStyle w:val="66"/>
                    <w:rPr>
                      <w:rFonts w:hint="eastAsia"/>
                    </w:rPr>
                  </w:pPr>
                  <w:r>
                    <w:rPr>
                      <w:rFonts w:hint="eastAsia"/>
                    </w:rPr>
                    <w:t>（m</w:t>
                  </w:r>
                  <w:r>
                    <w:rPr>
                      <w:rFonts w:hint="eastAsia"/>
                      <w:vertAlign w:val="superscript"/>
                    </w:rPr>
                    <w:t>3</w:t>
                  </w:r>
                  <w:r>
                    <w:rPr>
                      <w:rFonts w:hint="eastAsia"/>
                    </w:rPr>
                    <w:t>）</w:t>
                  </w:r>
                </w:p>
              </w:tc>
              <w:tc>
                <w:tcPr>
                  <w:tcW w:w="2054" w:type="dxa"/>
                  <w:vMerge w:val="restart"/>
                  <w:tcBorders>
                    <w:top w:val="single" w:color="000000" w:sz="10" w:space="0"/>
                    <w:left w:val="single" w:color="000000" w:sz="4" w:space="0"/>
                    <w:bottom w:val="single" w:color="000000" w:sz="4" w:space="0"/>
                    <w:right w:val="single" w:color="000000" w:sz="4" w:space="0"/>
                  </w:tcBorders>
                  <w:noWrap w:val="0"/>
                  <w:vAlign w:val="center"/>
                </w:tcPr>
                <w:p w14:paraId="6C2DC171">
                  <w:pPr>
                    <w:pStyle w:val="66"/>
                  </w:pPr>
                  <w:r>
                    <w:t>单位</w:t>
                  </w:r>
                </w:p>
              </w:tc>
              <w:tc>
                <w:tcPr>
                  <w:tcW w:w="3900" w:type="dxa"/>
                  <w:gridSpan w:val="4"/>
                  <w:tcBorders>
                    <w:top w:val="single" w:color="000000" w:sz="10" w:space="0"/>
                    <w:left w:val="single" w:color="000000" w:sz="4" w:space="0"/>
                    <w:bottom w:val="single" w:color="000000" w:sz="4" w:space="0"/>
                    <w:right w:val="nil"/>
                  </w:tcBorders>
                  <w:noWrap w:val="0"/>
                  <w:vAlign w:val="center"/>
                </w:tcPr>
                <w:p w14:paraId="1E5C468C">
                  <w:pPr>
                    <w:pStyle w:val="66"/>
                  </w:pPr>
                  <w:r>
                    <w:t>主要污染物</w:t>
                  </w:r>
                </w:p>
              </w:tc>
            </w:tr>
            <w:tr w14:paraId="2809BC18">
              <w:tblPrEx>
                <w:tblBorders>
                  <w:top w:val="none" w:color="auto" w:sz="4" w:space="0"/>
                  <w:left w:val="none" w:color="auto" w:sz="4" w:space="0"/>
                  <w:bottom w:val="single" w:color="auto" w:sz="12"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340" w:hRule="atLeast"/>
              </w:trPr>
              <w:tc>
                <w:tcPr>
                  <w:tcW w:w="1006" w:type="dxa"/>
                  <w:vMerge w:val="continue"/>
                  <w:tcBorders>
                    <w:top w:val="single" w:color="000000" w:sz="10" w:space="0"/>
                    <w:left w:val="nil"/>
                    <w:bottom w:val="single" w:color="000000" w:sz="4" w:space="0"/>
                    <w:right w:val="single" w:color="000000" w:sz="4" w:space="0"/>
                  </w:tcBorders>
                  <w:noWrap w:val="0"/>
                  <w:vAlign w:val="center"/>
                </w:tcPr>
                <w:p w14:paraId="31DB1368">
                  <w:pPr>
                    <w:pStyle w:val="66"/>
                  </w:pPr>
                </w:p>
              </w:tc>
              <w:tc>
                <w:tcPr>
                  <w:tcW w:w="987" w:type="dxa"/>
                  <w:vMerge w:val="continue"/>
                  <w:tcBorders>
                    <w:top w:val="single" w:color="000000" w:sz="10" w:space="0"/>
                    <w:left w:val="single" w:color="000000" w:sz="4" w:space="0"/>
                    <w:bottom w:val="single" w:color="000000" w:sz="4" w:space="0"/>
                    <w:right w:val="single" w:color="000000" w:sz="4" w:space="0"/>
                  </w:tcBorders>
                  <w:noWrap w:val="0"/>
                  <w:vAlign w:val="center"/>
                </w:tcPr>
                <w:p w14:paraId="206FC415">
                  <w:pPr>
                    <w:pStyle w:val="66"/>
                  </w:pPr>
                </w:p>
              </w:tc>
              <w:tc>
                <w:tcPr>
                  <w:tcW w:w="2054" w:type="dxa"/>
                  <w:vMerge w:val="continue"/>
                  <w:tcBorders>
                    <w:top w:val="single" w:color="000000" w:sz="10" w:space="0"/>
                    <w:left w:val="single" w:color="000000" w:sz="4" w:space="0"/>
                    <w:bottom w:val="single" w:color="000000" w:sz="4" w:space="0"/>
                    <w:right w:val="single" w:color="000000" w:sz="4" w:space="0"/>
                  </w:tcBorders>
                  <w:noWrap w:val="0"/>
                  <w:vAlign w:val="center"/>
                </w:tcPr>
                <w:p w14:paraId="1215C794">
                  <w:pPr>
                    <w:pStyle w:val="66"/>
                  </w:pPr>
                </w:p>
              </w:tc>
              <w:tc>
                <w:tcPr>
                  <w:tcW w:w="973" w:type="dxa"/>
                  <w:tcBorders>
                    <w:top w:val="single" w:color="000000" w:sz="4" w:space="0"/>
                    <w:left w:val="single" w:color="000000" w:sz="4" w:space="0"/>
                    <w:bottom w:val="single" w:color="000000" w:sz="4" w:space="0"/>
                    <w:right w:val="single" w:color="000000" w:sz="4" w:space="0"/>
                  </w:tcBorders>
                  <w:noWrap w:val="0"/>
                  <w:vAlign w:val="center"/>
                </w:tcPr>
                <w:p w14:paraId="1D942C6A">
                  <w:pPr>
                    <w:pStyle w:val="66"/>
                  </w:pPr>
                  <w:r>
                    <w:t>COD</w:t>
                  </w:r>
                  <w:r>
                    <w:rPr>
                      <w:vertAlign w:val="subscript"/>
                    </w:rPr>
                    <w:t>Cr</w:t>
                  </w:r>
                </w:p>
              </w:tc>
              <w:tc>
                <w:tcPr>
                  <w:tcW w:w="973" w:type="dxa"/>
                  <w:tcBorders>
                    <w:top w:val="single" w:color="000000" w:sz="4" w:space="0"/>
                    <w:left w:val="single" w:color="000000" w:sz="4" w:space="0"/>
                    <w:bottom w:val="single" w:color="000000" w:sz="4" w:space="0"/>
                    <w:right w:val="single" w:color="000000" w:sz="4" w:space="0"/>
                  </w:tcBorders>
                  <w:noWrap w:val="0"/>
                  <w:vAlign w:val="center"/>
                </w:tcPr>
                <w:p w14:paraId="6CF9C162">
                  <w:pPr>
                    <w:pStyle w:val="66"/>
                  </w:pPr>
                  <w:r>
                    <w:t>BOD</w:t>
                  </w:r>
                  <w:r>
                    <w:rPr>
                      <w:vertAlign w:val="subscript"/>
                    </w:rPr>
                    <w:t>5</w:t>
                  </w:r>
                </w:p>
              </w:tc>
              <w:tc>
                <w:tcPr>
                  <w:tcW w:w="973" w:type="dxa"/>
                  <w:tcBorders>
                    <w:top w:val="single" w:color="000000" w:sz="4" w:space="0"/>
                    <w:left w:val="single" w:color="000000" w:sz="4" w:space="0"/>
                    <w:bottom w:val="single" w:color="000000" w:sz="4" w:space="0"/>
                    <w:right w:val="single" w:color="000000" w:sz="4" w:space="0"/>
                  </w:tcBorders>
                  <w:noWrap w:val="0"/>
                  <w:vAlign w:val="center"/>
                </w:tcPr>
                <w:p w14:paraId="025CE8AB">
                  <w:pPr>
                    <w:pStyle w:val="66"/>
                  </w:pPr>
                  <w:r>
                    <w:t>SS</w:t>
                  </w:r>
                </w:p>
              </w:tc>
              <w:tc>
                <w:tcPr>
                  <w:tcW w:w="981" w:type="dxa"/>
                  <w:tcBorders>
                    <w:top w:val="single" w:color="000000" w:sz="4" w:space="0"/>
                    <w:left w:val="single" w:color="000000" w:sz="4" w:space="0"/>
                    <w:bottom w:val="single" w:color="000000" w:sz="4" w:space="0"/>
                    <w:right w:val="nil"/>
                  </w:tcBorders>
                  <w:noWrap w:val="0"/>
                  <w:vAlign w:val="center"/>
                </w:tcPr>
                <w:p w14:paraId="0B373E6E">
                  <w:pPr>
                    <w:pStyle w:val="66"/>
                  </w:pPr>
                  <w:r>
                    <w:t>氨氮</w:t>
                  </w:r>
                </w:p>
              </w:tc>
            </w:tr>
            <w:tr w14:paraId="0017B3D7">
              <w:tblPrEx>
                <w:tblBorders>
                  <w:top w:val="none" w:color="auto" w:sz="4" w:space="0"/>
                  <w:left w:val="none" w:color="auto" w:sz="4" w:space="0"/>
                  <w:bottom w:val="single" w:color="auto" w:sz="12"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340" w:hRule="atLeast"/>
              </w:trPr>
              <w:tc>
                <w:tcPr>
                  <w:tcW w:w="1006" w:type="dxa"/>
                  <w:vMerge w:val="restart"/>
                  <w:tcBorders>
                    <w:top w:val="single" w:color="000000" w:sz="4" w:space="0"/>
                    <w:left w:val="nil"/>
                    <w:bottom w:val="single" w:color="000000" w:sz="4" w:space="0"/>
                    <w:right w:val="single" w:color="000000" w:sz="4" w:space="0"/>
                  </w:tcBorders>
                  <w:noWrap w:val="0"/>
                  <w:vAlign w:val="center"/>
                </w:tcPr>
                <w:p w14:paraId="53B4A3AF">
                  <w:pPr>
                    <w:pStyle w:val="66"/>
                  </w:pPr>
                  <w:r>
                    <w:t>生活污水</w:t>
                  </w:r>
                </w:p>
              </w:tc>
              <w:tc>
                <w:tcPr>
                  <w:tcW w:w="987" w:type="dxa"/>
                  <w:vMerge w:val="restart"/>
                  <w:tcBorders>
                    <w:top w:val="single" w:color="000000" w:sz="4" w:space="0"/>
                    <w:left w:val="single" w:color="000000" w:sz="4" w:space="0"/>
                    <w:bottom w:val="single" w:color="000000" w:sz="4" w:space="0"/>
                    <w:right w:val="single" w:color="000000" w:sz="4" w:space="0"/>
                  </w:tcBorders>
                  <w:noWrap w:val="0"/>
                  <w:vAlign w:val="center"/>
                </w:tcPr>
                <w:p w14:paraId="6357A397">
                  <w:pPr>
                    <w:pStyle w:val="66"/>
                    <w:rPr>
                      <w:rFonts w:hint="default" w:eastAsia="宋体"/>
                      <w:lang w:val="en-US" w:eastAsia="zh-CN"/>
                    </w:rPr>
                  </w:pPr>
                  <w:r>
                    <w:rPr>
                      <w:rFonts w:hint="eastAsia"/>
                      <w:lang w:val="en-US" w:eastAsia="zh-CN"/>
                    </w:rPr>
                    <w:t>15.3</w:t>
                  </w:r>
                </w:p>
              </w:tc>
              <w:tc>
                <w:tcPr>
                  <w:tcW w:w="2054" w:type="dxa"/>
                  <w:tcBorders>
                    <w:top w:val="single" w:color="000000" w:sz="4" w:space="0"/>
                    <w:left w:val="single" w:color="000000" w:sz="4" w:space="0"/>
                    <w:bottom w:val="single" w:color="000000" w:sz="4" w:space="0"/>
                    <w:right w:val="single" w:color="000000" w:sz="4" w:space="0"/>
                  </w:tcBorders>
                  <w:noWrap w:val="0"/>
                  <w:vAlign w:val="center"/>
                </w:tcPr>
                <w:p w14:paraId="18F3FACB">
                  <w:pPr>
                    <w:pStyle w:val="66"/>
                    <w:rPr>
                      <w:rFonts w:hint="eastAsia"/>
                    </w:rPr>
                  </w:pPr>
                  <w:r>
                    <w:t>产生浓度</w:t>
                  </w:r>
                  <w:r>
                    <w:rPr>
                      <w:rFonts w:hint="eastAsia"/>
                    </w:rPr>
                    <w:t>（</w:t>
                  </w:r>
                  <w:r>
                    <w:t>mg/L</w:t>
                  </w:r>
                  <w:r>
                    <w:rPr>
                      <w:rFonts w:hint="eastAsia"/>
                    </w:rPr>
                    <w:t>）</w:t>
                  </w:r>
                </w:p>
              </w:tc>
              <w:tc>
                <w:tcPr>
                  <w:tcW w:w="973" w:type="dxa"/>
                  <w:tcBorders>
                    <w:top w:val="single" w:color="000000" w:sz="4" w:space="0"/>
                    <w:left w:val="single" w:color="000000" w:sz="4" w:space="0"/>
                    <w:bottom w:val="single" w:color="000000" w:sz="4" w:space="0"/>
                    <w:right w:val="single" w:color="000000" w:sz="4" w:space="0"/>
                  </w:tcBorders>
                  <w:noWrap w:val="0"/>
                  <w:vAlign w:val="center"/>
                </w:tcPr>
                <w:p w14:paraId="30F9F8C3">
                  <w:pPr>
                    <w:pStyle w:val="66"/>
                    <w:rPr>
                      <w:rFonts w:hint="default" w:eastAsia="宋体"/>
                      <w:lang w:val="en-US" w:eastAsia="zh-CN"/>
                    </w:rPr>
                  </w:pPr>
                  <w:r>
                    <w:rPr>
                      <w:rFonts w:hint="eastAsia"/>
                      <w:lang w:val="en-US" w:eastAsia="zh-CN"/>
                    </w:rPr>
                    <w:t>400</w:t>
                  </w:r>
                </w:p>
              </w:tc>
              <w:tc>
                <w:tcPr>
                  <w:tcW w:w="973" w:type="dxa"/>
                  <w:tcBorders>
                    <w:top w:val="single" w:color="000000" w:sz="4" w:space="0"/>
                    <w:left w:val="single" w:color="000000" w:sz="4" w:space="0"/>
                    <w:bottom w:val="single" w:color="000000" w:sz="4" w:space="0"/>
                    <w:right w:val="single" w:color="000000" w:sz="4" w:space="0"/>
                  </w:tcBorders>
                  <w:noWrap w:val="0"/>
                  <w:vAlign w:val="center"/>
                </w:tcPr>
                <w:p w14:paraId="5C4C244B">
                  <w:pPr>
                    <w:pStyle w:val="66"/>
                  </w:pPr>
                  <w:r>
                    <w:rPr>
                      <w:rFonts w:hint="eastAsia"/>
                    </w:rPr>
                    <w:t>200</w:t>
                  </w:r>
                </w:p>
              </w:tc>
              <w:tc>
                <w:tcPr>
                  <w:tcW w:w="973" w:type="dxa"/>
                  <w:tcBorders>
                    <w:top w:val="single" w:color="000000" w:sz="4" w:space="0"/>
                    <w:left w:val="single" w:color="000000" w:sz="4" w:space="0"/>
                    <w:bottom w:val="single" w:color="000000" w:sz="4" w:space="0"/>
                    <w:right w:val="single" w:color="000000" w:sz="4" w:space="0"/>
                  </w:tcBorders>
                  <w:noWrap w:val="0"/>
                  <w:vAlign w:val="center"/>
                </w:tcPr>
                <w:p w14:paraId="0C96888C">
                  <w:pPr>
                    <w:pStyle w:val="66"/>
                  </w:pPr>
                  <w:r>
                    <w:t>2</w:t>
                  </w:r>
                  <w:r>
                    <w:rPr>
                      <w:rFonts w:hint="eastAsia"/>
                    </w:rPr>
                    <w:t>0</w:t>
                  </w:r>
                  <w:r>
                    <w:t>0</w:t>
                  </w:r>
                </w:p>
              </w:tc>
              <w:tc>
                <w:tcPr>
                  <w:tcW w:w="981" w:type="dxa"/>
                  <w:tcBorders>
                    <w:top w:val="single" w:color="000000" w:sz="4" w:space="0"/>
                    <w:left w:val="single" w:color="000000" w:sz="4" w:space="0"/>
                    <w:bottom w:val="single" w:color="000000" w:sz="4" w:space="0"/>
                    <w:right w:val="nil"/>
                  </w:tcBorders>
                  <w:noWrap w:val="0"/>
                  <w:vAlign w:val="center"/>
                </w:tcPr>
                <w:p w14:paraId="636970CE">
                  <w:pPr>
                    <w:pStyle w:val="66"/>
                  </w:pPr>
                  <w:r>
                    <w:rPr>
                      <w:rFonts w:hint="eastAsia"/>
                    </w:rPr>
                    <w:t>40</w:t>
                  </w:r>
                </w:p>
              </w:tc>
            </w:tr>
            <w:tr w14:paraId="6E1BA0C6">
              <w:tblPrEx>
                <w:tblBorders>
                  <w:top w:val="none" w:color="auto" w:sz="4" w:space="0"/>
                  <w:left w:val="none" w:color="auto" w:sz="4" w:space="0"/>
                  <w:bottom w:val="single" w:color="auto" w:sz="12"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340" w:hRule="atLeast"/>
              </w:trPr>
              <w:tc>
                <w:tcPr>
                  <w:tcW w:w="1006" w:type="dxa"/>
                  <w:vMerge w:val="continue"/>
                  <w:tcBorders>
                    <w:top w:val="single" w:color="000000" w:sz="4" w:space="0"/>
                    <w:left w:val="nil"/>
                    <w:right w:val="single" w:color="000000" w:sz="4" w:space="0"/>
                  </w:tcBorders>
                  <w:noWrap w:val="0"/>
                  <w:vAlign w:val="center"/>
                </w:tcPr>
                <w:p w14:paraId="0C4784CC">
                  <w:pPr>
                    <w:pStyle w:val="66"/>
                  </w:pPr>
                </w:p>
              </w:tc>
              <w:tc>
                <w:tcPr>
                  <w:tcW w:w="987" w:type="dxa"/>
                  <w:vMerge w:val="continue"/>
                  <w:tcBorders>
                    <w:top w:val="single" w:color="000000" w:sz="4" w:space="0"/>
                    <w:left w:val="single" w:color="000000" w:sz="4" w:space="0"/>
                    <w:right w:val="single" w:color="000000" w:sz="4" w:space="0"/>
                  </w:tcBorders>
                  <w:noWrap w:val="0"/>
                  <w:vAlign w:val="center"/>
                </w:tcPr>
                <w:p w14:paraId="0DE8129A">
                  <w:pPr>
                    <w:pStyle w:val="66"/>
                  </w:pPr>
                </w:p>
              </w:tc>
              <w:tc>
                <w:tcPr>
                  <w:tcW w:w="2054" w:type="dxa"/>
                  <w:tcBorders>
                    <w:top w:val="single" w:color="000000" w:sz="4" w:space="0"/>
                    <w:left w:val="single" w:color="000000" w:sz="4" w:space="0"/>
                    <w:right w:val="single" w:color="000000" w:sz="4" w:space="0"/>
                  </w:tcBorders>
                  <w:noWrap w:val="0"/>
                  <w:vAlign w:val="center"/>
                </w:tcPr>
                <w:p w14:paraId="2BDA02A2">
                  <w:pPr>
                    <w:pStyle w:val="66"/>
                    <w:rPr>
                      <w:rFonts w:hint="eastAsia"/>
                    </w:rPr>
                  </w:pPr>
                  <w:r>
                    <w:t>产生量</w:t>
                  </w:r>
                  <w:r>
                    <w:rPr>
                      <w:rFonts w:hint="eastAsia"/>
                    </w:rPr>
                    <w:t>（t）</w:t>
                  </w:r>
                </w:p>
              </w:tc>
              <w:tc>
                <w:tcPr>
                  <w:tcW w:w="973" w:type="dxa"/>
                  <w:tcBorders>
                    <w:top w:val="single" w:color="000000" w:sz="4" w:space="0"/>
                    <w:left w:val="single" w:color="000000" w:sz="4" w:space="0"/>
                    <w:right w:val="single" w:color="000000" w:sz="4" w:space="0"/>
                  </w:tcBorders>
                  <w:noWrap w:val="0"/>
                  <w:vAlign w:val="center"/>
                </w:tcPr>
                <w:p w14:paraId="5C06348D">
                  <w:pPr>
                    <w:keepNext w:val="0"/>
                    <w:keepLines w:val="0"/>
                    <w:widowControl/>
                    <w:suppressLineNumbers w:val="0"/>
                    <w:jc w:val="center"/>
                    <w:textAlignment w:val="center"/>
                  </w:pPr>
                  <w:r>
                    <w:rPr>
                      <w:rFonts w:hint="default" w:ascii="Times New Roman" w:hAnsi="Times New Roman" w:eastAsia="宋体" w:cs="Times New Roman"/>
                      <w:i w:val="0"/>
                      <w:iCs w:val="0"/>
                      <w:color w:val="000000"/>
                      <w:kern w:val="0"/>
                      <w:sz w:val="21"/>
                      <w:szCs w:val="21"/>
                      <w:u w:val="none"/>
                      <w:lang w:val="en-US" w:eastAsia="zh-CN" w:bidi="ar"/>
                    </w:rPr>
                    <w:t>0.006</w:t>
                  </w:r>
                </w:p>
              </w:tc>
              <w:tc>
                <w:tcPr>
                  <w:tcW w:w="973" w:type="dxa"/>
                  <w:tcBorders>
                    <w:top w:val="single" w:color="000000" w:sz="4" w:space="0"/>
                    <w:left w:val="single" w:color="000000" w:sz="4" w:space="0"/>
                    <w:right w:val="single" w:color="000000" w:sz="4" w:space="0"/>
                  </w:tcBorders>
                  <w:noWrap w:val="0"/>
                  <w:vAlign w:val="center"/>
                </w:tcPr>
                <w:p w14:paraId="745B905A">
                  <w:pPr>
                    <w:keepNext w:val="0"/>
                    <w:keepLines w:val="0"/>
                    <w:widowControl/>
                    <w:suppressLineNumbers w:val="0"/>
                    <w:jc w:val="center"/>
                    <w:textAlignment w:val="center"/>
                  </w:pPr>
                  <w:r>
                    <w:rPr>
                      <w:rFonts w:hint="default" w:ascii="Times New Roman" w:hAnsi="Times New Roman" w:eastAsia="宋体" w:cs="Times New Roman"/>
                      <w:i w:val="0"/>
                      <w:iCs w:val="0"/>
                      <w:color w:val="000000"/>
                      <w:kern w:val="0"/>
                      <w:sz w:val="21"/>
                      <w:szCs w:val="21"/>
                      <w:u w:val="none"/>
                      <w:lang w:val="en-US" w:eastAsia="zh-CN" w:bidi="ar"/>
                    </w:rPr>
                    <w:t>0.003</w:t>
                  </w:r>
                </w:p>
              </w:tc>
              <w:tc>
                <w:tcPr>
                  <w:tcW w:w="973" w:type="dxa"/>
                  <w:tcBorders>
                    <w:top w:val="single" w:color="000000" w:sz="4" w:space="0"/>
                    <w:left w:val="single" w:color="000000" w:sz="4" w:space="0"/>
                    <w:right w:val="single" w:color="000000" w:sz="4" w:space="0"/>
                  </w:tcBorders>
                  <w:noWrap w:val="0"/>
                  <w:vAlign w:val="center"/>
                </w:tcPr>
                <w:p w14:paraId="18BA4A63">
                  <w:pPr>
                    <w:keepNext w:val="0"/>
                    <w:keepLines w:val="0"/>
                    <w:widowControl/>
                    <w:suppressLineNumbers w:val="0"/>
                    <w:jc w:val="center"/>
                    <w:textAlignment w:val="center"/>
                  </w:pPr>
                  <w:r>
                    <w:rPr>
                      <w:rFonts w:hint="default" w:ascii="Times New Roman" w:hAnsi="Times New Roman" w:eastAsia="宋体" w:cs="Times New Roman"/>
                      <w:i w:val="0"/>
                      <w:iCs w:val="0"/>
                      <w:color w:val="000000"/>
                      <w:kern w:val="0"/>
                      <w:sz w:val="21"/>
                      <w:szCs w:val="21"/>
                      <w:u w:val="none"/>
                      <w:lang w:val="en-US" w:eastAsia="zh-CN" w:bidi="ar"/>
                    </w:rPr>
                    <w:t>0.003</w:t>
                  </w:r>
                </w:p>
              </w:tc>
              <w:tc>
                <w:tcPr>
                  <w:tcW w:w="981" w:type="dxa"/>
                  <w:tcBorders>
                    <w:top w:val="single" w:color="000000" w:sz="4" w:space="0"/>
                    <w:left w:val="single" w:color="000000" w:sz="4" w:space="0"/>
                    <w:right w:val="nil"/>
                  </w:tcBorders>
                  <w:noWrap w:val="0"/>
                  <w:vAlign w:val="center"/>
                </w:tcPr>
                <w:p w14:paraId="658B2EA9">
                  <w:pPr>
                    <w:keepNext w:val="0"/>
                    <w:keepLines w:val="0"/>
                    <w:widowControl/>
                    <w:suppressLineNumbers w:val="0"/>
                    <w:jc w:val="center"/>
                    <w:textAlignment w:val="center"/>
                  </w:pPr>
                  <w:r>
                    <w:rPr>
                      <w:rFonts w:hint="default" w:ascii="Times New Roman" w:hAnsi="Times New Roman" w:eastAsia="宋体" w:cs="Times New Roman"/>
                      <w:i w:val="0"/>
                      <w:iCs w:val="0"/>
                      <w:color w:val="000000"/>
                      <w:kern w:val="0"/>
                      <w:sz w:val="21"/>
                      <w:szCs w:val="21"/>
                      <w:u w:val="none"/>
                      <w:lang w:val="en-US" w:eastAsia="zh-CN" w:bidi="ar"/>
                    </w:rPr>
                    <w:t>0.001</w:t>
                  </w:r>
                </w:p>
              </w:tc>
            </w:tr>
          </w:tbl>
          <w:p w14:paraId="395D86FA">
            <w:pPr>
              <w:pStyle w:val="5"/>
              <w:numPr>
                <w:ilvl w:val="0"/>
                <w:numId w:val="0"/>
              </w:numPr>
              <w:spacing w:before="120" w:after="120"/>
              <w:ind w:left="0" w:leftChars="0" w:firstLine="0" w:firstLineChars="0"/>
              <w:rPr>
                <w:rFonts w:hint="eastAsia"/>
              </w:rPr>
            </w:pPr>
            <w:r>
              <w:rPr>
                <w:rFonts w:hint="eastAsia" w:ascii="Times New Roman" w:hAnsi="Times New Roman" w:eastAsia="宋体" w:cs="宋体"/>
                <w:b/>
                <w:bCs/>
                <w:color w:val="000000"/>
                <w:kern w:val="44"/>
                <w:sz w:val="30"/>
                <w:szCs w:val="32"/>
                <w:lang w:val="en-US" w:eastAsia="zh-CN" w:bidi="ar-SA"/>
              </w:rPr>
              <w:t>4.2</w:t>
            </w:r>
            <w:r>
              <w:rPr>
                <w:rFonts w:hint="eastAsia"/>
              </w:rPr>
              <w:t>废气</w:t>
            </w:r>
          </w:p>
          <w:p w14:paraId="2C7BDEC9">
            <w:pPr>
              <w:pStyle w:val="76"/>
              <w:ind w:firstLine="480"/>
            </w:pPr>
            <w:r>
              <w:t>本项目施工期主要大气污染物为</w:t>
            </w:r>
            <w:r>
              <w:rPr>
                <w:rFonts w:hint="default"/>
              </w:rPr>
              <w:t>粉尘</w:t>
            </w:r>
            <w:r>
              <w:t>，其主要来源于装修场地电抛、粉刷及切割的扬尘，以及在装修过程中所造成的二次扬尘污染，其次，室内装修时使用涂料、油漆时产生的挥发性有机废气（主要为甲苯、二甲苯）污染。</w:t>
            </w:r>
          </w:p>
          <w:p w14:paraId="4F48CC15">
            <w:pPr>
              <w:widowControl/>
              <w:spacing w:line="360" w:lineRule="auto"/>
              <w:ind w:firstLine="480" w:firstLineChars="200"/>
              <w:jc w:val="left"/>
            </w:pPr>
            <w:r>
              <w:t>装修期粉尘污染源属于面源，排放高度一般较低，颗粒度也较大，污染扩散距离不太远，其影响的程度和范围与施工管理水平及采取的措施有直接关系。建设单位在采取施工期废气防治措施的基础上，对周边环境的影响是短暂的。</w:t>
            </w:r>
          </w:p>
          <w:p w14:paraId="0A62460E">
            <w:pPr>
              <w:pStyle w:val="42"/>
              <w:rPr>
                <w:color w:val="auto"/>
              </w:rPr>
            </w:pPr>
            <w:r>
              <w:rPr>
                <w:color w:val="auto"/>
              </w:rPr>
              <w:t>施工单位应做到文明装修施工，要认真执行城市建设施工管理的有关规定，同时还应进一步采取措施：</w:t>
            </w:r>
          </w:p>
          <w:p w14:paraId="3E358E69">
            <w:pPr>
              <w:pStyle w:val="42"/>
              <w:rPr>
                <w:color w:val="auto"/>
              </w:rPr>
            </w:pPr>
            <w:r>
              <w:rPr>
                <w:color w:val="auto"/>
              </w:rPr>
              <w:t>①尽量避免沙土洒漏，减少二次扬尘产生的来源；</w:t>
            </w:r>
          </w:p>
          <w:p w14:paraId="4D6DA001">
            <w:pPr>
              <w:pStyle w:val="42"/>
              <w:rPr>
                <w:color w:val="auto"/>
              </w:rPr>
            </w:pPr>
            <w:r>
              <w:rPr>
                <w:color w:val="auto"/>
              </w:rPr>
              <w:t>②防止刮风时造成扬尘对周围环境的影响；</w:t>
            </w:r>
          </w:p>
          <w:p w14:paraId="6CD9EB34">
            <w:pPr>
              <w:pStyle w:val="42"/>
              <w:rPr>
                <w:color w:val="auto"/>
              </w:rPr>
            </w:pPr>
            <w:r>
              <w:rPr>
                <w:color w:val="auto"/>
              </w:rPr>
              <w:t>③装修现场周边应设置符合要求的围挡；</w:t>
            </w:r>
          </w:p>
          <w:p w14:paraId="0A116B7A">
            <w:pPr>
              <w:pStyle w:val="42"/>
              <w:rPr>
                <w:color w:val="auto"/>
              </w:rPr>
            </w:pPr>
            <w:r>
              <w:rPr>
                <w:color w:val="auto"/>
              </w:rPr>
              <w:t>④避免起尘材料露天堆放，多尘物料必须采用有效覆盖措施；</w:t>
            </w:r>
          </w:p>
          <w:p w14:paraId="70F3C306">
            <w:pPr>
              <w:pStyle w:val="42"/>
              <w:rPr>
                <w:color w:val="auto"/>
              </w:rPr>
            </w:pPr>
            <w:r>
              <w:rPr>
                <w:color w:val="auto"/>
              </w:rPr>
              <w:t>⑤要求加强施工期的组织管理，强制室内通风，减少装修阶段使用的涂料、油漆产生的废气对施工人员的影响。</w:t>
            </w:r>
          </w:p>
          <w:p w14:paraId="30C43BCC">
            <w:pPr>
              <w:pStyle w:val="42"/>
              <w:rPr>
                <w:color w:val="auto"/>
              </w:rPr>
            </w:pPr>
            <w:r>
              <w:rPr>
                <w:color w:val="auto"/>
              </w:rPr>
              <w:t>项目采取以上措施之后，可以有效抑制二次扬尘的产生，减少项目施工期间对周围大气环境以及操作工人的影响，因此措施可行。</w:t>
            </w:r>
          </w:p>
          <w:p w14:paraId="065D8A05">
            <w:pPr>
              <w:pStyle w:val="5"/>
              <w:numPr>
                <w:ilvl w:val="0"/>
                <w:numId w:val="0"/>
              </w:numPr>
              <w:spacing w:before="120" w:after="120"/>
              <w:ind w:left="0" w:leftChars="0" w:firstLine="0" w:firstLineChars="0"/>
            </w:pPr>
            <w:r>
              <w:rPr>
                <w:rFonts w:hint="eastAsia" w:ascii="Times New Roman" w:hAnsi="Times New Roman" w:eastAsia="宋体" w:cs="宋体"/>
                <w:b/>
                <w:bCs/>
                <w:color w:val="000000"/>
                <w:kern w:val="44"/>
                <w:sz w:val="30"/>
                <w:szCs w:val="32"/>
                <w:lang w:val="en-US" w:eastAsia="zh-CN" w:bidi="ar-SA"/>
              </w:rPr>
              <w:t>4.3</w:t>
            </w:r>
            <w:r>
              <w:rPr>
                <w:rFonts w:hint="eastAsia"/>
              </w:rPr>
              <w:t>噪声</w:t>
            </w:r>
          </w:p>
          <w:p w14:paraId="39D07574">
            <w:pPr>
              <w:pStyle w:val="76"/>
              <w:ind w:firstLine="480"/>
              <w:rPr>
                <w:rFonts w:hint="default"/>
              </w:rPr>
            </w:pPr>
            <w:r>
              <w:rPr>
                <w:rFonts w:hint="default"/>
              </w:rPr>
              <w:t>项目在装修过程中会带来一定的噪声。装修阶段要使用电锯、电锤、手工钻、多功能木工刨等设备，其噪声源强为75～85dB</w:t>
            </w:r>
            <w:r>
              <w:t>（</w:t>
            </w:r>
            <w:r>
              <w:rPr>
                <w:rFonts w:hint="default"/>
              </w:rPr>
              <w:t>A)。</w:t>
            </w:r>
          </w:p>
          <w:p w14:paraId="2E195298">
            <w:pPr>
              <w:pStyle w:val="63"/>
              <w:numPr>
                <w:ilvl w:val="0"/>
                <w:numId w:val="0"/>
              </w:numPr>
              <w:ind w:left="0" w:leftChars="0" w:firstLine="0" w:firstLineChars="0"/>
            </w:pPr>
            <w:r>
              <w:rPr>
                <w:rFonts w:hint="eastAsia" w:ascii="Times New Roman" w:hAnsi="Times New Roman" w:eastAsia="宋体" w:cs="宋体"/>
                <w:b/>
                <w:kern w:val="2"/>
                <w:sz w:val="24"/>
                <w:szCs w:val="24"/>
                <w:lang w:val="en-US" w:eastAsia="zh-CN" w:bidi="ar-SA"/>
              </w:rPr>
              <w:t>表4.3-1</w:t>
            </w:r>
            <w:r>
              <w:t>主要施工机械噪声级</w:t>
            </w:r>
          </w:p>
          <w:tbl>
            <w:tblPr>
              <w:tblStyle w:val="25"/>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985"/>
              <w:gridCol w:w="1985"/>
              <w:gridCol w:w="1987"/>
              <w:gridCol w:w="1987"/>
            </w:tblGrid>
            <w:tr w14:paraId="251D24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985" w:type="dxa"/>
                  <w:noWrap w:val="0"/>
                  <w:vAlign w:val="center"/>
                </w:tcPr>
                <w:p w14:paraId="54BB4CFF">
                  <w:pPr>
                    <w:pStyle w:val="67"/>
                  </w:pPr>
                  <w:r>
                    <w:t>机械类型</w:t>
                  </w:r>
                </w:p>
              </w:tc>
              <w:tc>
                <w:tcPr>
                  <w:tcW w:w="1985" w:type="dxa"/>
                  <w:noWrap w:val="0"/>
                  <w:vAlign w:val="center"/>
                </w:tcPr>
                <w:p w14:paraId="20297BA5">
                  <w:pPr>
                    <w:pStyle w:val="67"/>
                  </w:pPr>
                  <w:r>
                    <w:t>施工阶段</w:t>
                  </w:r>
                </w:p>
              </w:tc>
              <w:tc>
                <w:tcPr>
                  <w:tcW w:w="1987" w:type="dxa"/>
                  <w:noWrap w:val="0"/>
                  <w:vAlign w:val="center"/>
                </w:tcPr>
                <w:p w14:paraId="030AE1F7">
                  <w:pPr>
                    <w:pStyle w:val="67"/>
                  </w:pPr>
                  <w:r>
                    <w:t>测点距离机械距离（m）</w:t>
                  </w:r>
                </w:p>
              </w:tc>
              <w:tc>
                <w:tcPr>
                  <w:tcW w:w="1987" w:type="dxa"/>
                  <w:noWrap w:val="0"/>
                  <w:vAlign w:val="center"/>
                </w:tcPr>
                <w:p w14:paraId="086B2EFF">
                  <w:pPr>
                    <w:pStyle w:val="67"/>
                  </w:pPr>
                  <w:r>
                    <w:t>声功率级</w:t>
                  </w:r>
                </w:p>
              </w:tc>
            </w:tr>
            <w:tr w14:paraId="23EEDA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985" w:type="dxa"/>
                  <w:noWrap w:val="0"/>
                  <w:vAlign w:val="center"/>
                </w:tcPr>
                <w:p w14:paraId="3A7F62F6">
                  <w:pPr>
                    <w:pStyle w:val="67"/>
                  </w:pPr>
                  <w:r>
                    <w:t>电锯</w:t>
                  </w:r>
                </w:p>
              </w:tc>
              <w:tc>
                <w:tcPr>
                  <w:tcW w:w="1985" w:type="dxa"/>
                  <w:vMerge w:val="restart"/>
                  <w:noWrap w:val="0"/>
                  <w:vAlign w:val="center"/>
                </w:tcPr>
                <w:p w14:paraId="4FEE5BDE">
                  <w:pPr>
                    <w:pStyle w:val="67"/>
                  </w:pPr>
                  <w:r>
                    <w:t>装修</w:t>
                  </w:r>
                </w:p>
                <w:p w14:paraId="584A9ED6">
                  <w:pPr>
                    <w:pStyle w:val="67"/>
                  </w:pPr>
                  <w:r>
                    <w:t>设备安装</w:t>
                  </w:r>
                </w:p>
              </w:tc>
              <w:tc>
                <w:tcPr>
                  <w:tcW w:w="1987" w:type="dxa"/>
                  <w:noWrap w:val="0"/>
                  <w:vAlign w:val="center"/>
                </w:tcPr>
                <w:p w14:paraId="1108F835">
                  <w:pPr>
                    <w:pStyle w:val="67"/>
                  </w:pPr>
                  <w:r>
                    <w:t>1</w:t>
                  </w:r>
                </w:p>
              </w:tc>
              <w:tc>
                <w:tcPr>
                  <w:tcW w:w="1987" w:type="dxa"/>
                  <w:noWrap w:val="0"/>
                  <w:vAlign w:val="center"/>
                </w:tcPr>
                <w:p w14:paraId="047A1BB1">
                  <w:pPr>
                    <w:pStyle w:val="67"/>
                  </w:pPr>
                  <w:r>
                    <w:t>85</w:t>
                  </w:r>
                </w:p>
              </w:tc>
            </w:tr>
            <w:tr w14:paraId="47CBA2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985" w:type="dxa"/>
                  <w:noWrap w:val="0"/>
                  <w:vAlign w:val="center"/>
                </w:tcPr>
                <w:p w14:paraId="2F297884">
                  <w:pPr>
                    <w:pStyle w:val="67"/>
                  </w:pPr>
                  <w:r>
                    <w:t>电锤</w:t>
                  </w:r>
                </w:p>
              </w:tc>
              <w:tc>
                <w:tcPr>
                  <w:tcW w:w="1985" w:type="dxa"/>
                  <w:vMerge w:val="continue"/>
                  <w:noWrap w:val="0"/>
                  <w:vAlign w:val="center"/>
                </w:tcPr>
                <w:p w14:paraId="5625B467">
                  <w:pPr>
                    <w:pStyle w:val="67"/>
                  </w:pPr>
                </w:p>
              </w:tc>
              <w:tc>
                <w:tcPr>
                  <w:tcW w:w="1987" w:type="dxa"/>
                  <w:noWrap w:val="0"/>
                  <w:vAlign w:val="center"/>
                </w:tcPr>
                <w:p w14:paraId="7DA3F30C">
                  <w:pPr>
                    <w:pStyle w:val="67"/>
                  </w:pPr>
                  <w:r>
                    <w:t>1</w:t>
                  </w:r>
                </w:p>
              </w:tc>
              <w:tc>
                <w:tcPr>
                  <w:tcW w:w="1987" w:type="dxa"/>
                  <w:noWrap w:val="0"/>
                  <w:vAlign w:val="center"/>
                </w:tcPr>
                <w:p w14:paraId="084492EF">
                  <w:pPr>
                    <w:pStyle w:val="67"/>
                  </w:pPr>
                  <w:r>
                    <w:t>80</w:t>
                  </w:r>
                </w:p>
              </w:tc>
            </w:tr>
            <w:tr w14:paraId="74A669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985" w:type="dxa"/>
                  <w:noWrap w:val="0"/>
                  <w:vAlign w:val="center"/>
                </w:tcPr>
                <w:p w14:paraId="06FB6A84">
                  <w:pPr>
                    <w:pStyle w:val="67"/>
                  </w:pPr>
                  <w:r>
                    <w:t>手工钻</w:t>
                  </w:r>
                </w:p>
              </w:tc>
              <w:tc>
                <w:tcPr>
                  <w:tcW w:w="1985" w:type="dxa"/>
                  <w:vMerge w:val="continue"/>
                  <w:noWrap w:val="0"/>
                  <w:vAlign w:val="center"/>
                </w:tcPr>
                <w:p w14:paraId="724F2FFA">
                  <w:pPr>
                    <w:pStyle w:val="67"/>
                  </w:pPr>
                </w:p>
              </w:tc>
              <w:tc>
                <w:tcPr>
                  <w:tcW w:w="1987" w:type="dxa"/>
                  <w:noWrap w:val="0"/>
                  <w:vAlign w:val="center"/>
                </w:tcPr>
                <w:p w14:paraId="3108B134">
                  <w:pPr>
                    <w:pStyle w:val="67"/>
                  </w:pPr>
                  <w:r>
                    <w:t>1</w:t>
                  </w:r>
                </w:p>
              </w:tc>
              <w:tc>
                <w:tcPr>
                  <w:tcW w:w="1987" w:type="dxa"/>
                  <w:noWrap w:val="0"/>
                  <w:vAlign w:val="center"/>
                </w:tcPr>
                <w:p w14:paraId="7839CB02">
                  <w:pPr>
                    <w:pStyle w:val="67"/>
                  </w:pPr>
                  <w:r>
                    <w:t>75</w:t>
                  </w:r>
                </w:p>
              </w:tc>
            </w:tr>
            <w:tr w14:paraId="689CF5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985" w:type="dxa"/>
                  <w:noWrap w:val="0"/>
                  <w:vAlign w:val="center"/>
                </w:tcPr>
                <w:p w14:paraId="76F50368">
                  <w:pPr>
                    <w:pStyle w:val="67"/>
                  </w:pPr>
                  <w:r>
                    <w:t>木工刨</w:t>
                  </w:r>
                </w:p>
              </w:tc>
              <w:tc>
                <w:tcPr>
                  <w:tcW w:w="1985" w:type="dxa"/>
                  <w:vMerge w:val="continue"/>
                  <w:noWrap w:val="0"/>
                  <w:vAlign w:val="center"/>
                </w:tcPr>
                <w:p w14:paraId="539AACCA">
                  <w:pPr>
                    <w:pStyle w:val="67"/>
                  </w:pPr>
                </w:p>
              </w:tc>
              <w:tc>
                <w:tcPr>
                  <w:tcW w:w="1987" w:type="dxa"/>
                  <w:noWrap w:val="0"/>
                  <w:vAlign w:val="center"/>
                </w:tcPr>
                <w:p w14:paraId="51E02642">
                  <w:pPr>
                    <w:pStyle w:val="67"/>
                  </w:pPr>
                  <w:r>
                    <w:t>1</w:t>
                  </w:r>
                </w:p>
              </w:tc>
              <w:tc>
                <w:tcPr>
                  <w:tcW w:w="1987" w:type="dxa"/>
                  <w:noWrap w:val="0"/>
                  <w:vAlign w:val="center"/>
                </w:tcPr>
                <w:p w14:paraId="0555EFC9">
                  <w:pPr>
                    <w:pStyle w:val="67"/>
                  </w:pPr>
                  <w:r>
                    <w:t>75</w:t>
                  </w:r>
                </w:p>
              </w:tc>
            </w:tr>
          </w:tbl>
          <w:p w14:paraId="1403BAFC">
            <w:pPr>
              <w:pStyle w:val="76"/>
              <w:ind w:firstLine="480"/>
            </w:pPr>
            <w:r>
              <w:rPr>
                <w:rFonts w:hint="default"/>
              </w:rPr>
              <w:t>项目在装修过程中会带来一定的噪声。装修阶段要使用电锯、电锤、手工钻、多功能木工刨等设。项目采取</w:t>
            </w:r>
            <w:r>
              <w:t>以下</w:t>
            </w:r>
            <w:r>
              <w:rPr>
                <w:rFonts w:hint="default"/>
              </w:rPr>
              <w:t>措施后，即减轻了施工期间对操作人员的不利影响，又降低了场界噪声对外环境的影响。</w:t>
            </w:r>
          </w:p>
          <w:p w14:paraId="7F4FF4A2">
            <w:pPr>
              <w:pStyle w:val="76"/>
              <w:ind w:firstLine="480"/>
              <w:rPr>
                <w:rFonts w:hint="default"/>
              </w:rPr>
            </w:pPr>
            <w:r>
              <w:t>（1）</w:t>
            </w:r>
            <w:r>
              <w:rPr>
                <w:rFonts w:hint="default"/>
              </w:rPr>
              <w:t>建设单位应与施工单位签订施工环境管理合同，严格执行《</w:t>
            </w:r>
            <w:r>
              <w:t>建筑施工场界环境噪声排放标准</w:t>
            </w:r>
            <w:r>
              <w:rPr>
                <w:rFonts w:hint="default"/>
              </w:rPr>
              <w:t>》（GB12523-2011）的有关规定，合理安排施工工序，文明施工，加强环境的监督管理；</w:t>
            </w:r>
          </w:p>
          <w:p w14:paraId="61A46A87">
            <w:pPr>
              <w:pStyle w:val="76"/>
              <w:ind w:firstLine="480"/>
              <w:rPr>
                <w:rFonts w:hint="default"/>
              </w:rPr>
            </w:pPr>
            <w:r>
              <w:t>（2）</w:t>
            </w:r>
            <w:r>
              <w:rPr>
                <w:rFonts w:hint="default"/>
              </w:rPr>
              <w:t>施工单位要把噪声影响作为主要环境问题来抓，应加强防护措施，在装修场地周围设置围栏；</w:t>
            </w:r>
          </w:p>
          <w:p w14:paraId="6429BEB4">
            <w:pPr>
              <w:pStyle w:val="76"/>
              <w:ind w:firstLine="480"/>
              <w:rPr>
                <w:rFonts w:hint="default"/>
              </w:rPr>
            </w:pPr>
            <w:r>
              <w:t>（3）</w:t>
            </w:r>
            <w:r>
              <w:rPr>
                <w:rFonts w:hint="default"/>
              </w:rPr>
              <w:t>从控制施工设备的噪声源入手，降低施工噪声的污染影响，要选用高效低噪声的施工机械，并加强机械设备的维护，保证施工机械设备良好的运行状态；</w:t>
            </w:r>
          </w:p>
          <w:p w14:paraId="1CFB1EF4">
            <w:pPr>
              <w:pStyle w:val="76"/>
              <w:ind w:firstLine="480"/>
              <w:rPr>
                <w:rFonts w:hint="default"/>
              </w:rPr>
            </w:pPr>
            <w:r>
              <w:t>（4）</w:t>
            </w:r>
            <w:r>
              <w:rPr>
                <w:rFonts w:hint="default"/>
              </w:rPr>
              <w:t>合理安排施工工序，禁止在休息时间进行高噪声作业。</w:t>
            </w:r>
          </w:p>
          <w:p w14:paraId="2B8EC30D">
            <w:pPr>
              <w:pStyle w:val="76"/>
              <w:ind w:firstLine="480"/>
              <w:rPr>
                <w:rFonts w:hint="default"/>
              </w:rPr>
            </w:pPr>
            <w:r>
              <w:rPr>
                <w:rFonts w:hint="default"/>
              </w:rPr>
              <w:t>项目采取以上措施后，即减轻了施工期间对操作人员的不利影响，又降低了场界噪声对外环境的影响，因此措施可行。</w:t>
            </w:r>
          </w:p>
          <w:p w14:paraId="363EAFDA">
            <w:pPr>
              <w:pStyle w:val="5"/>
              <w:numPr>
                <w:ilvl w:val="0"/>
                <w:numId w:val="0"/>
              </w:numPr>
              <w:spacing w:before="120" w:after="120"/>
              <w:ind w:left="0" w:leftChars="0" w:firstLine="0" w:firstLineChars="0"/>
            </w:pPr>
            <w:r>
              <w:rPr>
                <w:rFonts w:hint="eastAsia" w:ascii="Times New Roman" w:hAnsi="Times New Roman" w:eastAsia="宋体" w:cs="宋体"/>
                <w:b/>
                <w:bCs/>
                <w:color w:val="000000"/>
                <w:kern w:val="44"/>
                <w:sz w:val="30"/>
                <w:szCs w:val="32"/>
                <w:lang w:val="en-US" w:eastAsia="zh-CN" w:bidi="ar-SA"/>
              </w:rPr>
              <w:t>4.4</w:t>
            </w:r>
            <w:r>
              <w:rPr>
                <w:rFonts w:hint="eastAsia"/>
              </w:rPr>
              <w:t>固体废物</w:t>
            </w:r>
          </w:p>
          <w:p w14:paraId="66E29C84">
            <w:pPr>
              <w:widowControl/>
              <w:spacing w:line="360" w:lineRule="auto"/>
              <w:ind w:firstLine="480" w:firstLineChars="200"/>
              <w:jc w:val="left"/>
              <w:rPr>
                <w:bCs/>
              </w:rPr>
            </w:pPr>
            <w:r>
              <w:rPr>
                <w:bCs/>
              </w:rPr>
              <w:t>项目在装修过程中产生的固体废物主要为建筑垃圾和施工人员的生活垃圾。项目装修过程中产生的建筑垃圾主要包括砖、石、门窗、木料、预制板等，集中收集后均可外卖。生活垃圾应该统一收集，统一清运，由建设单位统一处理。</w:t>
            </w:r>
          </w:p>
          <w:p w14:paraId="2B57D543">
            <w:pPr>
              <w:pStyle w:val="76"/>
              <w:ind w:firstLine="480"/>
              <w:rPr>
                <w:rFonts w:hint="default"/>
              </w:rPr>
            </w:pPr>
            <w:r>
              <w:rPr>
                <w:rFonts w:hint="default"/>
              </w:rPr>
              <w:t>项目在装修过程中产生的固体废物主要为建筑垃圾和施工人员的生活垃圾，对环境的影响也较小。采取相应措施后，可以避免施工期间各种固体废物随意丢弃，较大程度上抑制了污染物的产生，对环境的影响也较小</w:t>
            </w:r>
            <w:r>
              <w:t>。</w:t>
            </w:r>
          </w:p>
        </w:tc>
      </w:tr>
      <w:tr w14:paraId="363DA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0" w:hRule="atLeast"/>
          <w:jc w:val="center"/>
        </w:trPr>
        <w:tc>
          <w:tcPr>
            <w:tcW w:w="746" w:type="dxa"/>
            <w:noWrap w:val="0"/>
            <w:tcMar>
              <w:left w:w="28" w:type="dxa"/>
              <w:right w:w="28" w:type="dxa"/>
            </w:tcMar>
            <w:vAlign w:val="center"/>
          </w:tcPr>
          <w:p w14:paraId="23811991">
            <w:pPr>
              <w:adjustRightInd w:val="0"/>
              <w:snapToGrid w:val="0"/>
              <w:jc w:val="center"/>
              <w:rPr>
                <w:sz w:val="21"/>
                <w:szCs w:val="21"/>
              </w:rPr>
            </w:pPr>
            <w:r>
              <w:rPr>
                <w:sz w:val="21"/>
                <w:szCs w:val="21"/>
              </w:rPr>
              <w:t>运营</w:t>
            </w:r>
          </w:p>
          <w:p w14:paraId="365B046F">
            <w:pPr>
              <w:adjustRightInd w:val="0"/>
              <w:snapToGrid w:val="0"/>
              <w:jc w:val="center"/>
              <w:rPr>
                <w:sz w:val="21"/>
                <w:szCs w:val="21"/>
              </w:rPr>
            </w:pPr>
            <w:r>
              <w:rPr>
                <w:sz w:val="21"/>
                <w:szCs w:val="21"/>
              </w:rPr>
              <w:t>期环</w:t>
            </w:r>
          </w:p>
          <w:p w14:paraId="619A1260">
            <w:pPr>
              <w:adjustRightInd w:val="0"/>
              <w:snapToGrid w:val="0"/>
              <w:jc w:val="center"/>
              <w:rPr>
                <w:sz w:val="21"/>
                <w:szCs w:val="21"/>
              </w:rPr>
            </w:pPr>
            <w:r>
              <w:rPr>
                <w:sz w:val="21"/>
                <w:szCs w:val="21"/>
              </w:rPr>
              <w:t>境影</w:t>
            </w:r>
          </w:p>
          <w:p w14:paraId="245FBFE0">
            <w:pPr>
              <w:adjustRightInd w:val="0"/>
              <w:snapToGrid w:val="0"/>
              <w:jc w:val="center"/>
              <w:rPr>
                <w:sz w:val="21"/>
                <w:szCs w:val="21"/>
              </w:rPr>
            </w:pPr>
            <w:r>
              <w:rPr>
                <w:sz w:val="21"/>
                <w:szCs w:val="21"/>
              </w:rPr>
              <w:t>响和</w:t>
            </w:r>
          </w:p>
          <w:p w14:paraId="6DFB5CA6">
            <w:pPr>
              <w:adjustRightInd w:val="0"/>
              <w:snapToGrid w:val="0"/>
              <w:jc w:val="center"/>
              <w:rPr>
                <w:sz w:val="21"/>
                <w:szCs w:val="21"/>
              </w:rPr>
            </w:pPr>
            <w:r>
              <w:rPr>
                <w:sz w:val="21"/>
                <w:szCs w:val="21"/>
              </w:rPr>
              <w:t>保护</w:t>
            </w:r>
          </w:p>
          <w:p w14:paraId="14F9B8E1">
            <w:pPr>
              <w:adjustRightInd w:val="0"/>
              <w:snapToGrid w:val="0"/>
              <w:jc w:val="center"/>
              <w:rPr>
                <w:bCs/>
                <w:szCs w:val="21"/>
              </w:rPr>
            </w:pPr>
            <w:r>
              <w:rPr>
                <w:sz w:val="21"/>
                <w:szCs w:val="21"/>
              </w:rPr>
              <w:t>措施</w:t>
            </w:r>
          </w:p>
        </w:tc>
        <w:tc>
          <w:tcPr>
            <w:tcW w:w="8162" w:type="dxa"/>
            <w:noWrap w:val="0"/>
            <w:vAlign w:val="center"/>
          </w:tcPr>
          <w:p w14:paraId="3B5C77A9">
            <w:pPr>
              <w:pStyle w:val="5"/>
              <w:numPr>
                <w:ilvl w:val="0"/>
                <w:numId w:val="0"/>
              </w:numPr>
              <w:spacing w:before="120" w:after="120"/>
              <w:ind w:left="0" w:leftChars="0" w:firstLine="0" w:firstLineChars="0"/>
            </w:pPr>
            <w:r>
              <w:rPr>
                <w:rFonts w:hint="eastAsia" w:ascii="Times New Roman" w:hAnsi="Times New Roman" w:eastAsia="宋体" w:cs="宋体"/>
                <w:b/>
                <w:bCs/>
                <w:color w:val="000000"/>
                <w:kern w:val="44"/>
                <w:sz w:val="30"/>
                <w:szCs w:val="32"/>
                <w:lang w:val="en-US" w:eastAsia="zh-CN" w:bidi="ar-SA"/>
              </w:rPr>
              <w:t>4.5</w:t>
            </w:r>
            <w:r>
              <w:rPr>
                <w:rFonts w:hint="eastAsia"/>
              </w:rPr>
              <w:t>废水</w:t>
            </w:r>
          </w:p>
          <w:p w14:paraId="5D53BC5E">
            <w:pPr>
              <w:pStyle w:val="6"/>
              <w:numPr>
                <w:ilvl w:val="0"/>
                <w:numId w:val="0"/>
              </w:numPr>
              <w:tabs>
                <w:tab w:val="left" w:pos="0"/>
              </w:tabs>
              <w:ind w:left="993" w:leftChars="0" w:hanging="993" w:firstLineChars="0"/>
            </w:pPr>
            <w:r>
              <w:rPr>
                <w:rFonts w:hint="eastAsia" w:ascii="Times New Roman" w:hAnsi="Times New Roman" w:eastAsia="宋体" w:cs="宋体"/>
                <w:b/>
                <w:bCs/>
                <w:kern w:val="2"/>
                <w:sz w:val="28"/>
                <w:szCs w:val="32"/>
                <w:lang w:val="en-US" w:eastAsia="zh-CN" w:bidi="ar-SA"/>
              </w:rPr>
              <w:t>4.5.1</w:t>
            </w:r>
            <w:r>
              <w:rPr>
                <w:rFonts w:hint="eastAsia"/>
              </w:rPr>
              <w:t>污染源强分析</w:t>
            </w:r>
          </w:p>
          <w:p w14:paraId="44278017">
            <w:pPr>
              <w:pStyle w:val="76"/>
              <w:ind w:firstLine="480"/>
            </w:pPr>
            <w:r>
              <w:t>本项目废水主要为生活污水、宠物美容清洗废水及医疗废水。</w:t>
            </w:r>
          </w:p>
          <w:p w14:paraId="4BBE308C">
            <w:pPr>
              <w:pStyle w:val="76"/>
              <w:ind w:firstLine="480"/>
              <w:rPr>
                <w:rFonts w:hint="default"/>
              </w:rPr>
            </w:pPr>
            <w:r>
              <w:t>（1）生活污水</w:t>
            </w:r>
          </w:p>
          <w:p w14:paraId="76154A66">
            <w:pPr>
              <w:pStyle w:val="76"/>
              <w:ind w:firstLine="480"/>
            </w:pPr>
            <w:r>
              <w:rPr>
                <w:rFonts w:hint="eastAsia"/>
              </w:rPr>
              <w:t>根据《福建省行业用水定额》（DB35/T772-2018）中“表 6 第三产业用水定额表-9390 其他卫生活动-医务人员-160升每人日”，本项目医务人员</w:t>
            </w:r>
            <w:r>
              <w:rPr>
                <w:rFonts w:hint="eastAsia"/>
                <w:lang w:val="en-US" w:eastAsia="zh-CN"/>
              </w:rPr>
              <w:t>5</w:t>
            </w:r>
            <w:r>
              <w:rPr>
                <w:rFonts w:hint="eastAsia"/>
              </w:rPr>
              <w:t>人，则日用水量为</w:t>
            </w:r>
            <w:r>
              <w:rPr>
                <w:rFonts w:hint="eastAsia"/>
                <w:lang w:val="en-US" w:eastAsia="zh-CN"/>
              </w:rPr>
              <w:t>0.8</w:t>
            </w:r>
            <w:r>
              <w:rPr>
                <w:rFonts w:hint="eastAsia"/>
              </w:rPr>
              <w:t>m</w:t>
            </w:r>
            <w:r>
              <w:rPr>
                <w:rFonts w:hint="eastAsia"/>
                <w:vertAlign w:val="superscript"/>
              </w:rPr>
              <w:t>3</w:t>
            </w:r>
            <w:r>
              <w:rPr>
                <w:rFonts w:hint="eastAsia"/>
              </w:rPr>
              <w:t>/d，项目年运营时间为36</w:t>
            </w:r>
            <w:r>
              <w:rPr>
                <w:rFonts w:hint="eastAsia"/>
                <w:lang w:val="en-US" w:eastAsia="zh-CN"/>
              </w:rPr>
              <w:t>0</w:t>
            </w:r>
            <w:r>
              <w:rPr>
                <w:rFonts w:hint="eastAsia"/>
              </w:rPr>
              <w:t>天，则年用水量为</w:t>
            </w:r>
            <w:r>
              <w:rPr>
                <w:rFonts w:hint="eastAsia"/>
                <w:lang w:val="en-US" w:eastAsia="zh-CN"/>
              </w:rPr>
              <w:t>288</w:t>
            </w:r>
            <w:r>
              <w:rPr>
                <w:rFonts w:hint="eastAsia"/>
              </w:rPr>
              <w:t>m</w:t>
            </w:r>
            <w:r>
              <w:rPr>
                <w:rFonts w:hint="eastAsia"/>
                <w:vertAlign w:val="superscript"/>
              </w:rPr>
              <w:t>3</w:t>
            </w:r>
            <w:r>
              <w:rPr>
                <w:rFonts w:hint="eastAsia"/>
              </w:rPr>
              <w:t>/a。</w:t>
            </w:r>
            <w:r>
              <w:rPr>
                <w:rFonts w:hint="default" w:cs="Times New Roman"/>
                <w:szCs w:val="22"/>
              </w:rPr>
              <w:t>产污系数按0.8</w:t>
            </w:r>
            <w:r>
              <w:rPr>
                <w:rFonts w:cs="Times New Roman"/>
                <w:szCs w:val="22"/>
              </w:rPr>
              <w:t>5</w:t>
            </w:r>
            <w:r>
              <w:rPr>
                <w:rFonts w:hint="default" w:cs="Times New Roman"/>
                <w:szCs w:val="22"/>
              </w:rPr>
              <w:t>计，</w:t>
            </w:r>
            <w:r>
              <w:rPr>
                <w:rFonts w:hint="eastAsia" w:cs="Times New Roman"/>
                <w:szCs w:val="22"/>
                <w:lang w:val="en-US" w:eastAsia="zh-CN"/>
              </w:rPr>
              <w:t>则</w:t>
            </w:r>
            <w:r>
              <w:rPr>
                <w:rFonts w:hint="default" w:cs="Times New Roman"/>
                <w:szCs w:val="22"/>
              </w:rPr>
              <w:t>排污量为</w:t>
            </w:r>
            <w:r>
              <w:rPr>
                <w:rFonts w:hint="eastAsia" w:cs="Times New Roman"/>
                <w:szCs w:val="22"/>
                <w:lang w:val="en-US" w:eastAsia="zh-CN"/>
              </w:rPr>
              <w:t>244.8</w:t>
            </w:r>
            <w:r>
              <w:rPr>
                <w:rFonts w:hint="default" w:cs="Times New Roman"/>
                <w:szCs w:val="22"/>
              </w:rPr>
              <w:t>m</w:t>
            </w:r>
            <w:r>
              <w:rPr>
                <w:rFonts w:hint="default" w:cs="Times New Roman"/>
                <w:szCs w:val="22"/>
                <w:vertAlign w:val="superscript"/>
              </w:rPr>
              <w:t>3</w:t>
            </w:r>
            <w:r>
              <w:rPr>
                <w:rFonts w:hint="default" w:cs="Times New Roman"/>
                <w:szCs w:val="22"/>
              </w:rPr>
              <w:t>/a（</w:t>
            </w:r>
            <w:r>
              <w:rPr>
                <w:rFonts w:hint="eastAsia" w:cs="Times New Roman"/>
                <w:szCs w:val="22"/>
                <w:lang w:val="en-US" w:eastAsia="zh-CN"/>
              </w:rPr>
              <w:t>0.68</w:t>
            </w:r>
            <w:r>
              <w:rPr>
                <w:rFonts w:hint="default" w:cs="Times New Roman"/>
                <w:szCs w:val="22"/>
              </w:rPr>
              <w:t>m</w:t>
            </w:r>
            <w:r>
              <w:rPr>
                <w:rFonts w:hint="default" w:cs="Times New Roman"/>
                <w:szCs w:val="22"/>
                <w:vertAlign w:val="superscript"/>
              </w:rPr>
              <w:t>3</w:t>
            </w:r>
            <w:r>
              <w:rPr>
                <w:rFonts w:hint="default" w:cs="Times New Roman"/>
                <w:szCs w:val="22"/>
              </w:rPr>
              <w:t>/d）</w:t>
            </w:r>
            <w:r>
              <w:t>。</w:t>
            </w:r>
          </w:p>
          <w:p w14:paraId="6E8C614F">
            <w:pPr>
              <w:pStyle w:val="76"/>
              <w:ind w:firstLine="480"/>
              <w:rPr>
                <w:rFonts w:hint="default" w:cs="Times New Roman"/>
              </w:rPr>
            </w:pPr>
            <w:r>
              <w:rPr>
                <w:rFonts w:cs="Times New Roman"/>
              </w:rPr>
              <w:t>根据《日化废水处理研究与应用进展》（吕燕 环境科学期刊）中：餐饮废水、洗浴废水和洗衣废水的LAS一般为1~10mg/L。本项目参考该论文提出的1~10mg/L，本项目取值8mg/L。</w:t>
            </w:r>
            <w:r>
              <w:rPr>
                <w:rFonts w:hint="eastAsia" w:cs="Times New Roman"/>
                <w:lang w:val="en-US" w:eastAsia="zh-CN"/>
              </w:rPr>
              <w:t>则项目生活污水</w:t>
            </w:r>
            <w:r>
              <w:rPr>
                <w:rFonts w:cs="Times New Roman"/>
              </w:rPr>
              <w:t>CODcr：</w:t>
            </w:r>
            <w:r>
              <w:rPr>
                <w:rFonts w:hint="eastAsia" w:cs="Times New Roman"/>
                <w:lang w:val="en-US" w:eastAsia="zh-CN"/>
              </w:rPr>
              <w:t>40</w:t>
            </w:r>
            <w:r>
              <w:rPr>
                <w:rFonts w:cs="Times New Roman"/>
              </w:rPr>
              <w:t>0mg/L，BOD</w:t>
            </w:r>
            <w:r>
              <w:rPr>
                <w:rFonts w:cs="Times New Roman"/>
                <w:vertAlign w:val="subscript"/>
              </w:rPr>
              <w:t>5</w:t>
            </w:r>
            <w:r>
              <w:rPr>
                <w:rFonts w:cs="Times New Roman"/>
              </w:rPr>
              <w:t>：200mg/L，SS：200mg/L，氨氮40mg/L</w:t>
            </w:r>
            <w:r>
              <w:rPr>
                <w:rFonts w:hint="eastAsia" w:cs="Times New Roman"/>
                <w:lang w:eastAsia="zh-CN"/>
              </w:rPr>
              <w:t>，</w:t>
            </w:r>
            <w:r>
              <w:rPr>
                <w:rFonts w:cs="Times New Roman"/>
              </w:rPr>
              <w:t>LAS</w:t>
            </w:r>
            <w:r>
              <w:rPr>
                <w:rFonts w:hint="eastAsia" w:cs="Times New Roman"/>
                <w:lang w:val="en-US" w:eastAsia="zh-CN"/>
              </w:rPr>
              <w:t>8mg/L</w:t>
            </w:r>
            <w:r>
              <w:rPr>
                <w:rFonts w:cs="Times New Roman"/>
              </w:rPr>
              <w:t>。</w:t>
            </w:r>
            <w:r>
              <w:rPr>
                <w:rFonts w:cs="Times New Roman"/>
                <w:szCs w:val="22"/>
              </w:rPr>
              <w:t>该部分废水经化粪池处理</w:t>
            </w:r>
            <w:r>
              <w:t>排入市政污水管网后进入福州市祥坂污水处理厂处理，污染物产排情况详见表4.5-1。</w:t>
            </w:r>
          </w:p>
          <w:p w14:paraId="41949AF7">
            <w:pPr>
              <w:pStyle w:val="76"/>
              <w:ind w:firstLine="480"/>
              <w:rPr>
                <w:rFonts w:cs="Times New Roman"/>
              </w:rPr>
            </w:pPr>
            <w:r>
              <w:rPr>
                <w:rFonts w:cs="Times New Roman"/>
              </w:rPr>
              <w:t>（2）宠物医疗废水</w:t>
            </w:r>
          </w:p>
          <w:p w14:paraId="028CFAC9">
            <w:pPr>
              <w:pStyle w:val="76"/>
              <w:ind w:firstLine="480"/>
              <w:rPr>
                <w:rFonts w:cs="Times New Roman"/>
                <w:szCs w:val="22"/>
              </w:rPr>
            </w:pPr>
            <w:r>
              <w:rPr>
                <w:rFonts w:cs="Times New Roman"/>
              </w:rPr>
              <w:t>根据章节2.4项目水平衡计算，</w:t>
            </w:r>
            <w:r>
              <w:t>宠物医疗废水用水量为</w:t>
            </w:r>
            <w:r>
              <w:rPr>
                <w:rFonts w:hint="eastAsia"/>
                <w:lang w:val="en-US" w:eastAsia="zh-CN"/>
              </w:rPr>
              <w:t>10.8</w:t>
            </w:r>
            <w:r>
              <w:t>m</w:t>
            </w:r>
            <w:r>
              <w:rPr>
                <w:vertAlign w:val="superscript"/>
              </w:rPr>
              <w:t>3</w:t>
            </w:r>
            <w:r>
              <w:t>/a，</w:t>
            </w:r>
            <w:r>
              <w:rPr>
                <w:rFonts w:hint="default" w:cs="Times New Roman"/>
                <w:szCs w:val="22"/>
              </w:rPr>
              <w:t>产污系数按0.8</w:t>
            </w:r>
            <w:r>
              <w:rPr>
                <w:rFonts w:cs="Times New Roman"/>
                <w:szCs w:val="22"/>
              </w:rPr>
              <w:t>5</w:t>
            </w:r>
            <w:r>
              <w:rPr>
                <w:rFonts w:hint="default" w:cs="Times New Roman"/>
                <w:szCs w:val="22"/>
              </w:rPr>
              <w:t>计</w:t>
            </w:r>
            <w:r>
              <w:rPr>
                <w:rFonts w:cs="Times New Roman"/>
                <w:szCs w:val="22"/>
              </w:rPr>
              <w:t>，则废水量为</w:t>
            </w:r>
            <w:r>
              <w:rPr>
                <w:rFonts w:hint="eastAsia" w:cs="Times New Roman"/>
                <w:szCs w:val="22"/>
                <w:lang w:val="en-US" w:eastAsia="zh-CN"/>
              </w:rPr>
              <w:t>9.18</w:t>
            </w:r>
            <w:r>
              <w:rPr>
                <w:rFonts w:hint="default" w:cs="Times New Roman"/>
                <w:szCs w:val="22"/>
              </w:rPr>
              <w:t>m</w:t>
            </w:r>
            <w:r>
              <w:rPr>
                <w:rFonts w:hint="default" w:cs="Times New Roman"/>
                <w:szCs w:val="22"/>
                <w:vertAlign w:val="superscript"/>
              </w:rPr>
              <w:t>3</w:t>
            </w:r>
            <w:r>
              <w:rPr>
                <w:rFonts w:hint="default" w:cs="Times New Roman"/>
                <w:szCs w:val="22"/>
              </w:rPr>
              <w:t>/a</w:t>
            </w:r>
            <w:r>
              <w:rPr>
                <w:rFonts w:cs="Times New Roman"/>
                <w:szCs w:val="22"/>
              </w:rPr>
              <w:t>（0.0</w:t>
            </w:r>
            <w:r>
              <w:rPr>
                <w:rFonts w:hint="eastAsia" w:cs="Times New Roman"/>
                <w:szCs w:val="22"/>
                <w:lang w:val="en-US" w:eastAsia="zh-CN"/>
              </w:rPr>
              <w:t>26</w:t>
            </w:r>
            <w:r>
              <w:rPr>
                <w:rFonts w:hint="default" w:cs="Times New Roman"/>
                <w:szCs w:val="22"/>
              </w:rPr>
              <w:t>m</w:t>
            </w:r>
            <w:r>
              <w:rPr>
                <w:rFonts w:hint="default" w:cs="Times New Roman"/>
                <w:szCs w:val="22"/>
                <w:vertAlign w:val="superscript"/>
              </w:rPr>
              <w:t>3</w:t>
            </w:r>
            <w:r>
              <w:rPr>
                <w:rFonts w:hint="default" w:cs="Times New Roman"/>
                <w:szCs w:val="22"/>
              </w:rPr>
              <w:t>/d</w:t>
            </w:r>
            <w:r>
              <w:rPr>
                <w:rFonts w:cs="Times New Roman"/>
                <w:szCs w:val="22"/>
              </w:rPr>
              <w:t>）。</w:t>
            </w:r>
          </w:p>
          <w:p w14:paraId="7CAADB3C">
            <w:pPr>
              <w:pStyle w:val="76"/>
              <w:ind w:firstLine="480"/>
              <w:rPr>
                <w:rFonts w:hint="default" w:cs="Times New Roman"/>
              </w:rPr>
            </w:pPr>
            <w:r>
              <w:rPr>
                <w:rFonts w:hint="default" w:cs="Times New Roman"/>
              </w:rPr>
              <w:t>本项目宠物医疗废水中各污染物浓度</w:t>
            </w:r>
            <w:r>
              <w:rPr>
                <w:rFonts w:cs="Times New Roman"/>
              </w:rPr>
              <w:t>取值</w:t>
            </w:r>
            <w:r>
              <w:rPr>
                <w:rFonts w:hint="default" w:cs="Times New Roman"/>
              </w:rPr>
              <w:t>参照《医院污水处理技术指南》</w:t>
            </w:r>
            <w:r>
              <w:rPr>
                <w:rFonts w:cs="Times New Roman"/>
              </w:rPr>
              <w:t>（</w:t>
            </w:r>
            <w:r>
              <w:rPr>
                <w:rFonts w:hint="default" w:cs="Times New Roman"/>
              </w:rPr>
              <w:t>环发[2003]197号</w:t>
            </w:r>
            <w:r>
              <w:rPr>
                <w:rFonts w:cs="Times New Roman"/>
              </w:rPr>
              <w:t>）中“表2-2医院污水水质”取值</w:t>
            </w:r>
            <w:r>
              <w:rPr>
                <w:rFonts w:hint="default" w:cs="Times New Roman"/>
              </w:rPr>
              <w:t>：COD</w:t>
            </w:r>
            <w:r>
              <w:rPr>
                <w:rFonts w:cs="Times New Roman"/>
                <w:vertAlign w:val="subscript"/>
              </w:rPr>
              <w:t>cr</w:t>
            </w:r>
            <w:r>
              <w:rPr>
                <w:rFonts w:cs="Times New Roman"/>
              </w:rPr>
              <w:t>：</w:t>
            </w:r>
            <w:r>
              <w:rPr>
                <w:rFonts w:hint="default" w:cs="Times New Roman"/>
              </w:rPr>
              <w:t>250mg/L，BOD</w:t>
            </w:r>
            <w:r>
              <w:rPr>
                <w:rFonts w:hint="default" w:cs="Times New Roman"/>
                <w:vertAlign w:val="subscript"/>
              </w:rPr>
              <w:t>5</w:t>
            </w:r>
            <w:r>
              <w:rPr>
                <w:rFonts w:cs="Times New Roman"/>
              </w:rPr>
              <w:t>：</w:t>
            </w:r>
            <w:r>
              <w:rPr>
                <w:rFonts w:hint="default" w:cs="Times New Roman"/>
              </w:rPr>
              <w:t>100mg/L，SS</w:t>
            </w:r>
            <w:r>
              <w:rPr>
                <w:rFonts w:cs="Times New Roman"/>
              </w:rPr>
              <w:t>：</w:t>
            </w:r>
            <w:r>
              <w:rPr>
                <w:rFonts w:hint="default" w:cs="Times New Roman"/>
              </w:rPr>
              <w:t>80mg/L，氨氮</w:t>
            </w:r>
            <w:r>
              <w:rPr>
                <w:rFonts w:cs="Times New Roman"/>
              </w:rPr>
              <w:t>：</w:t>
            </w:r>
            <w:r>
              <w:rPr>
                <w:rFonts w:hint="default" w:cs="Times New Roman"/>
              </w:rPr>
              <w:t>30mg/L，粪大肠杆菌数1.</w:t>
            </w:r>
            <w:r>
              <w:rPr>
                <w:rFonts w:cs="Times New Roman"/>
              </w:rPr>
              <w:t>0</w:t>
            </w:r>
            <w:r>
              <w:rPr>
                <w:rFonts w:hint="default" w:cs="Times New Roman"/>
              </w:rPr>
              <w:t>×10</w:t>
            </w:r>
            <w:r>
              <w:rPr>
                <w:rFonts w:cs="Times New Roman"/>
                <w:vertAlign w:val="superscript"/>
              </w:rPr>
              <w:t>7</w:t>
            </w:r>
            <w:r>
              <w:rPr>
                <w:rFonts w:hint="default" w:cs="Times New Roman"/>
              </w:rPr>
              <w:t>个/L。</w:t>
            </w:r>
          </w:p>
          <w:p w14:paraId="7F7DDD77">
            <w:pPr>
              <w:pStyle w:val="76"/>
              <w:ind w:firstLine="480"/>
              <w:rPr>
                <w:rFonts w:cs="Times New Roman"/>
              </w:rPr>
            </w:pPr>
            <w:r>
              <w:rPr>
                <w:rFonts w:cs="Times New Roman"/>
                <w:color w:val="auto"/>
              </w:rPr>
              <w:t>本项目拟在手术室、犬住院部、化验室均设</w:t>
            </w:r>
            <w:r>
              <w:rPr>
                <w:rFonts w:hint="default" w:cs="Times New Roman"/>
                <w:color w:val="auto"/>
              </w:rPr>
              <w:t>小型医疗污水一体化处理设备</w:t>
            </w:r>
            <w:r>
              <w:rPr>
                <w:rFonts w:cs="Times New Roman"/>
                <w:color w:val="auto"/>
              </w:rPr>
              <w:t>（该设施设有过滤网及二氧化氯消毒）对医疗废水进行预处理。</w:t>
            </w:r>
            <w:r>
              <w:rPr>
                <w:rFonts w:hint="eastAsia" w:cs="Times New Roman"/>
                <w:color w:val="auto"/>
                <w:lang w:val="en-US" w:eastAsia="zh-CN"/>
              </w:rPr>
              <w:t>预处理后</w:t>
            </w:r>
            <w:bookmarkStart w:id="55" w:name="_GoBack"/>
            <w:bookmarkEnd w:id="55"/>
            <w:r>
              <w:rPr>
                <w:rFonts w:cs="Times New Roman"/>
                <w:color w:val="auto"/>
                <w:szCs w:val="22"/>
              </w:rPr>
              <w:t>该部分废水</w:t>
            </w:r>
            <w:r>
              <w:rPr>
                <w:rFonts w:hint="eastAsia" w:cs="Times New Roman"/>
                <w:color w:val="auto"/>
                <w:szCs w:val="22"/>
                <w:lang w:val="en-US" w:eastAsia="zh-CN"/>
              </w:rPr>
              <w:t>再</w:t>
            </w:r>
            <w:r>
              <w:rPr>
                <w:rFonts w:cs="Times New Roman"/>
                <w:color w:val="auto"/>
                <w:szCs w:val="22"/>
              </w:rPr>
              <w:t>经化粪池</w:t>
            </w:r>
            <w:r>
              <w:rPr>
                <w:color w:val="auto"/>
              </w:rPr>
              <w:t>排入市政污水管网后进入福州市祥坂污水处理厂处理，污染</w:t>
            </w:r>
            <w:r>
              <w:t>物产排情况详见表4.5-1。</w:t>
            </w:r>
          </w:p>
          <w:p w14:paraId="32382F69">
            <w:pPr>
              <w:pStyle w:val="76"/>
              <w:ind w:firstLine="480"/>
              <w:rPr>
                <w:rFonts w:cs="Times New Roman"/>
              </w:rPr>
            </w:pPr>
            <w:r>
              <w:rPr>
                <w:rFonts w:cs="Times New Roman"/>
              </w:rPr>
              <w:t>（3）宠物美容清洗废水</w:t>
            </w:r>
          </w:p>
          <w:p w14:paraId="0459DB90">
            <w:pPr>
              <w:pStyle w:val="76"/>
              <w:ind w:firstLine="480"/>
              <w:rPr>
                <w:color w:val="auto"/>
              </w:rPr>
            </w:pPr>
            <w:r>
              <w:rPr>
                <w:rFonts w:cs="Times New Roman"/>
              </w:rPr>
              <w:t>根据章节2.4项目水平衡计算，</w:t>
            </w:r>
            <w:r>
              <w:t>宠物美容清洗用水量为</w:t>
            </w:r>
            <w:r>
              <w:rPr>
                <w:rFonts w:hint="eastAsia"/>
                <w:lang w:val="en-US" w:eastAsia="zh-CN"/>
              </w:rPr>
              <w:t>43.2</w:t>
            </w:r>
            <w:r>
              <w:t>m</w:t>
            </w:r>
            <w:r>
              <w:rPr>
                <w:vertAlign w:val="superscript"/>
              </w:rPr>
              <w:t>3</w:t>
            </w:r>
            <w:r>
              <w:t>/a，</w:t>
            </w:r>
            <w:r>
              <w:rPr>
                <w:rFonts w:hint="default" w:cs="Times New Roman"/>
                <w:szCs w:val="22"/>
              </w:rPr>
              <w:t>产污系数按0.8</w:t>
            </w:r>
            <w:r>
              <w:rPr>
                <w:rFonts w:cs="Times New Roman"/>
                <w:szCs w:val="22"/>
              </w:rPr>
              <w:t>5</w:t>
            </w:r>
            <w:r>
              <w:rPr>
                <w:rFonts w:hint="default" w:cs="Times New Roman"/>
                <w:szCs w:val="22"/>
              </w:rPr>
              <w:t>计</w:t>
            </w:r>
            <w:r>
              <w:rPr>
                <w:rFonts w:cs="Times New Roman"/>
                <w:szCs w:val="22"/>
              </w:rPr>
              <w:t>，则废水量为</w:t>
            </w:r>
            <w:r>
              <w:rPr>
                <w:rFonts w:hint="eastAsia" w:cs="Times New Roman"/>
                <w:szCs w:val="22"/>
                <w:lang w:val="en-US" w:eastAsia="zh-CN"/>
              </w:rPr>
              <w:t>36.72</w:t>
            </w:r>
            <w:r>
              <w:rPr>
                <w:rFonts w:hint="default" w:cs="Times New Roman"/>
                <w:szCs w:val="22"/>
              </w:rPr>
              <w:t>m</w:t>
            </w:r>
            <w:r>
              <w:rPr>
                <w:rFonts w:hint="default" w:cs="Times New Roman"/>
                <w:szCs w:val="22"/>
                <w:vertAlign w:val="superscript"/>
              </w:rPr>
              <w:t>3</w:t>
            </w:r>
            <w:r>
              <w:rPr>
                <w:rFonts w:hint="default" w:cs="Times New Roman"/>
                <w:szCs w:val="22"/>
              </w:rPr>
              <w:t>/a</w:t>
            </w:r>
            <w:r>
              <w:rPr>
                <w:rFonts w:cs="Times New Roman"/>
                <w:szCs w:val="22"/>
              </w:rPr>
              <w:t>（0.</w:t>
            </w:r>
            <w:r>
              <w:rPr>
                <w:rFonts w:hint="eastAsia" w:cs="Times New Roman"/>
                <w:szCs w:val="22"/>
                <w:lang w:val="en-US" w:eastAsia="zh-CN"/>
              </w:rPr>
              <w:t>102</w:t>
            </w:r>
            <w:r>
              <w:rPr>
                <w:rFonts w:hint="default" w:cs="Times New Roman"/>
                <w:szCs w:val="22"/>
              </w:rPr>
              <w:t>m</w:t>
            </w:r>
            <w:r>
              <w:rPr>
                <w:rFonts w:hint="default" w:cs="Times New Roman"/>
                <w:szCs w:val="22"/>
                <w:vertAlign w:val="superscript"/>
              </w:rPr>
              <w:t>3</w:t>
            </w:r>
            <w:r>
              <w:rPr>
                <w:rFonts w:hint="default" w:cs="Times New Roman"/>
                <w:szCs w:val="22"/>
              </w:rPr>
              <w:t>/d</w:t>
            </w:r>
            <w:r>
              <w:rPr>
                <w:rFonts w:cs="Times New Roman"/>
                <w:szCs w:val="22"/>
              </w:rPr>
              <w:t>）。</w:t>
            </w:r>
            <w:r>
              <w:rPr>
                <w:rFonts w:cs="Times New Roman"/>
              </w:rPr>
              <w:t>宠物美容清洗废水污染物产生情况参考生活污水污染物产生浓度，</w:t>
            </w:r>
            <w:r>
              <w:rPr>
                <w:rFonts w:hint="eastAsia" w:cs="Times New Roman"/>
                <w:lang w:val="en-US" w:eastAsia="zh-CN"/>
              </w:rPr>
              <w:t>即</w:t>
            </w:r>
            <w:r>
              <w:rPr>
                <w:rFonts w:cs="Times New Roman"/>
              </w:rPr>
              <w:t>COD</w:t>
            </w:r>
            <w:r>
              <w:rPr>
                <w:rFonts w:hint="eastAsia" w:cs="Times New Roman"/>
                <w:vertAlign w:val="subscript"/>
                <w:lang w:val="en-US" w:eastAsia="zh-CN"/>
              </w:rPr>
              <w:t>C</w:t>
            </w:r>
            <w:r>
              <w:rPr>
                <w:rFonts w:cs="Times New Roman"/>
                <w:vertAlign w:val="subscript"/>
              </w:rPr>
              <w:t>r</w:t>
            </w:r>
            <w:r>
              <w:rPr>
                <w:rFonts w:cs="Times New Roman"/>
              </w:rPr>
              <w:t>：</w:t>
            </w:r>
            <w:r>
              <w:rPr>
                <w:rFonts w:hint="eastAsia" w:cs="Times New Roman"/>
                <w:lang w:val="en-US" w:eastAsia="zh-CN"/>
              </w:rPr>
              <w:t>400</w:t>
            </w:r>
            <w:r>
              <w:rPr>
                <w:rFonts w:cs="Times New Roman"/>
              </w:rPr>
              <w:t>mg/L，BOD</w:t>
            </w:r>
            <w:r>
              <w:rPr>
                <w:rFonts w:cs="Times New Roman"/>
                <w:vertAlign w:val="subscript"/>
              </w:rPr>
              <w:t>5</w:t>
            </w:r>
            <w:r>
              <w:rPr>
                <w:rFonts w:cs="Times New Roman"/>
              </w:rPr>
              <w:t>：200mg/L，SS：200mg/L，氨氮40mg/L</w:t>
            </w:r>
            <w:r>
              <w:rPr>
                <w:rFonts w:hint="eastAsia" w:cs="Times New Roman"/>
                <w:lang w:eastAsia="zh-CN"/>
              </w:rPr>
              <w:t>，</w:t>
            </w:r>
            <w:r>
              <w:rPr>
                <w:rFonts w:hint="eastAsia" w:cs="Times New Roman"/>
                <w:lang w:val="en-US" w:eastAsia="zh-CN"/>
              </w:rPr>
              <w:t>LAS 8mg/L</w:t>
            </w:r>
            <w:r>
              <w:rPr>
                <w:rFonts w:cs="Times New Roman"/>
              </w:rPr>
              <w:t>。</w:t>
            </w:r>
            <w:r>
              <w:rPr>
                <w:rFonts w:cs="Times New Roman"/>
                <w:szCs w:val="22"/>
              </w:rPr>
              <w:t>该部分废水经化粪池处理</w:t>
            </w:r>
            <w:r>
              <w:t>排入市政污水管网后进</w:t>
            </w:r>
            <w:r>
              <w:rPr>
                <w:color w:val="auto"/>
              </w:rPr>
              <w:t>入福州市祥坂污水处理厂处理。污染物产排情况详见表4.5-1。</w:t>
            </w:r>
          </w:p>
          <w:p w14:paraId="2FF195BE">
            <w:pPr>
              <w:pStyle w:val="76"/>
              <w:ind w:firstLine="480"/>
              <w:rPr>
                <w:color w:val="auto"/>
              </w:rPr>
            </w:pPr>
            <w:r>
              <w:rPr>
                <w:rFonts w:hint="eastAsia" w:cs="Times New Roman"/>
                <w:color w:val="auto"/>
                <w:lang w:val="en-US" w:eastAsia="zh-CN"/>
              </w:rPr>
              <w:t>综上，项目宠物医疗废水经</w:t>
            </w:r>
            <w:r>
              <w:rPr>
                <w:rFonts w:hint="default" w:cs="Times New Roman"/>
                <w:color w:val="auto"/>
              </w:rPr>
              <w:t>小型医疗污水一体化处理设备</w:t>
            </w:r>
            <w:r>
              <w:rPr>
                <w:rFonts w:hint="eastAsia" w:cs="Times New Roman"/>
                <w:color w:val="auto"/>
                <w:lang w:val="en-US" w:eastAsia="zh-CN"/>
              </w:rPr>
              <w:t>预处理后与宠物美容清洗废水和生活污水进入化粪池处理后</w:t>
            </w:r>
            <w:r>
              <w:rPr>
                <w:color w:val="auto"/>
              </w:rPr>
              <w:t>进入福州市祥坂污水处理厂</w:t>
            </w:r>
            <w:r>
              <w:t>处理</w:t>
            </w:r>
            <w:r>
              <w:rPr>
                <w:rFonts w:hint="eastAsia" w:cs="Times New Roman"/>
                <w:color w:val="FF0000"/>
                <w:lang w:eastAsia="zh-CN"/>
              </w:rPr>
              <w:t>。</w:t>
            </w:r>
            <w:r>
              <w:rPr>
                <w:rFonts w:hint="default" w:cs="Times New Roman"/>
              </w:rPr>
              <w:t>小型医疗污水一体化处理设备</w:t>
            </w:r>
            <w:r>
              <w:rPr>
                <w:rFonts w:cs="Times New Roman"/>
              </w:rPr>
              <w:t>大肠杆菌群去除率参考《二氧化氯杀灭埃希氏大肠杆菌影响因素实验观察》（钱建东）：在20℃下，400mg/L稳定性二氧化氯溶液对大肠杆菌（8099）的杀菌D值为2.53min，作用8min杀灭率达99.99%以上，本项目取灭杀效率99.99%。该设施设有过滤网，对SS去除率按80%计。</w:t>
            </w:r>
            <w:r>
              <w:rPr>
                <w:rFonts w:hint="default" w:cs="Times New Roman"/>
                <w:color w:val="auto"/>
              </w:rPr>
              <w:t>化粪池</w:t>
            </w:r>
            <w:r>
              <w:rPr>
                <w:rFonts w:hint="eastAsia" w:cs="Times New Roman"/>
                <w:color w:val="auto"/>
                <w:lang w:val="en-US" w:eastAsia="zh-CN"/>
              </w:rPr>
              <w:t>对</w:t>
            </w:r>
            <w:r>
              <w:rPr>
                <w:rFonts w:hint="default" w:cs="Times New Roman"/>
                <w:color w:val="auto"/>
              </w:rPr>
              <w:t>COD、氨氮的去除率参照《建设项目环境影响审批登记表》填表说明中推荐的参数，分别为15%、3%；BOD</w:t>
            </w:r>
            <w:r>
              <w:rPr>
                <w:rFonts w:hint="default" w:cs="Times New Roman"/>
                <w:color w:val="auto"/>
                <w:vertAlign w:val="subscript"/>
              </w:rPr>
              <w:t>5</w:t>
            </w:r>
            <w:r>
              <w:rPr>
                <w:rFonts w:hint="default" w:cs="Times New Roman"/>
                <w:color w:val="auto"/>
              </w:rPr>
              <w:t>、SS的去除率参照刘毅梁发表的《武汉市住宅小区化粪池污染物去除效果调查与分析》中得出的结论，去除率分别为11%、47%。</w:t>
            </w:r>
            <w:r>
              <w:rPr>
                <w:color w:val="auto"/>
              </w:rPr>
              <w:t>废水污染源源强核算结果及相关参数一览表详见附表2。</w:t>
            </w:r>
          </w:p>
          <w:p w14:paraId="5AF65845">
            <w:pPr>
              <w:pStyle w:val="76"/>
              <w:ind w:firstLine="480"/>
              <w:rPr>
                <w:color w:val="0000FF"/>
              </w:rPr>
            </w:pPr>
          </w:p>
          <w:p w14:paraId="3BB95C34">
            <w:pPr>
              <w:pStyle w:val="76"/>
              <w:ind w:firstLine="480"/>
              <w:rPr>
                <w:color w:val="0000FF"/>
              </w:rPr>
            </w:pPr>
          </w:p>
          <w:p w14:paraId="2CED9B13">
            <w:pPr>
              <w:pStyle w:val="76"/>
              <w:ind w:firstLine="480"/>
              <w:rPr>
                <w:color w:val="0000FF"/>
              </w:rPr>
            </w:pPr>
          </w:p>
          <w:p w14:paraId="027F776F">
            <w:pPr>
              <w:pStyle w:val="76"/>
              <w:ind w:firstLine="480"/>
              <w:rPr>
                <w:color w:val="0000FF"/>
              </w:rPr>
            </w:pPr>
          </w:p>
          <w:p w14:paraId="0B4FC76E">
            <w:pPr>
              <w:pStyle w:val="76"/>
              <w:ind w:firstLine="480"/>
              <w:rPr>
                <w:color w:val="0000FF"/>
              </w:rPr>
            </w:pPr>
          </w:p>
          <w:p w14:paraId="557556A3">
            <w:pPr>
              <w:pStyle w:val="76"/>
              <w:ind w:firstLine="480"/>
              <w:rPr>
                <w:color w:val="0000FF"/>
              </w:rPr>
            </w:pPr>
          </w:p>
          <w:p w14:paraId="38A2C2FF">
            <w:pPr>
              <w:pStyle w:val="76"/>
              <w:ind w:firstLine="480"/>
              <w:rPr>
                <w:color w:val="0000FF"/>
              </w:rPr>
            </w:pPr>
          </w:p>
          <w:p w14:paraId="4B0C8B46">
            <w:pPr>
              <w:pStyle w:val="76"/>
              <w:ind w:firstLine="480"/>
              <w:rPr>
                <w:color w:val="0000FF"/>
              </w:rPr>
            </w:pPr>
          </w:p>
          <w:p w14:paraId="51F19B2D">
            <w:pPr>
              <w:pStyle w:val="76"/>
              <w:ind w:firstLine="480"/>
              <w:rPr>
                <w:color w:val="0000FF"/>
              </w:rPr>
            </w:pPr>
          </w:p>
          <w:p w14:paraId="64FA6DDB">
            <w:pPr>
              <w:pStyle w:val="63"/>
              <w:numPr>
                <w:ilvl w:val="0"/>
                <w:numId w:val="0"/>
              </w:numPr>
              <w:ind w:left="0" w:leftChars="0" w:firstLine="0" w:firstLineChars="0"/>
            </w:pPr>
            <w:r>
              <w:rPr>
                <w:rFonts w:hint="eastAsia" w:ascii="Times New Roman" w:hAnsi="Times New Roman" w:eastAsia="宋体" w:cs="宋体"/>
                <w:b/>
                <w:kern w:val="2"/>
                <w:sz w:val="24"/>
                <w:szCs w:val="24"/>
                <w:lang w:val="en-US" w:eastAsia="zh-CN" w:bidi="ar-SA"/>
              </w:rPr>
              <w:t>表4.5-1</w:t>
            </w:r>
            <w:r>
              <w:t>本项目废水及其污染物产生量和排放情况表</w:t>
            </w:r>
          </w:p>
          <w:tbl>
            <w:tblPr>
              <w:tblStyle w:val="25"/>
              <w:tblW w:w="7937" w:type="dxa"/>
              <w:tblInd w:w="91" w:type="dxa"/>
              <w:tblLayout w:type="autofit"/>
              <w:tblCellMar>
                <w:top w:w="0" w:type="dxa"/>
                <w:left w:w="108" w:type="dxa"/>
                <w:bottom w:w="0" w:type="dxa"/>
                <w:right w:w="108" w:type="dxa"/>
              </w:tblCellMar>
            </w:tblPr>
            <w:tblGrid>
              <w:gridCol w:w="775"/>
              <w:gridCol w:w="657"/>
              <w:gridCol w:w="1153"/>
              <w:gridCol w:w="842"/>
              <w:gridCol w:w="752"/>
              <w:gridCol w:w="836"/>
              <w:gridCol w:w="804"/>
              <w:gridCol w:w="1059"/>
              <w:gridCol w:w="1059"/>
            </w:tblGrid>
            <w:tr w14:paraId="3E58CBCE">
              <w:tblPrEx>
                <w:tblCellMar>
                  <w:top w:w="0" w:type="dxa"/>
                  <w:left w:w="108" w:type="dxa"/>
                  <w:bottom w:w="0" w:type="dxa"/>
                  <w:right w:w="108" w:type="dxa"/>
                </w:tblCellMar>
              </w:tblPrEx>
              <w:trPr>
                <w:trHeight w:val="340" w:hRule="atLeast"/>
              </w:trPr>
              <w:tc>
                <w:tcPr>
                  <w:tcW w:w="775" w:type="dxa"/>
                  <w:tcBorders>
                    <w:top w:val="single" w:color="000000" w:sz="12" w:space="0"/>
                    <w:left w:val="nil"/>
                    <w:bottom w:val="single" w:color="auto" w:sz="4" w:space="0"/>
                    <w:right w:val="single" w:color="auto" w:sz="4" w:space="0"/>
                  </w:tcBorders>
                  <w:noWrap w:val="0"/>
                  <w:vAlign w:val="center"/>
                </w:tcPr>
                <w:p w14:paraId="4FF9AFBD">
                  <w:pPr>
                    <w:pStyle w:val="67"/>
                    <w:rPr>
                      <w:color w:val="auto"/>
                    </w:rPr>
                  </w:pPr>
                  <w:r>
                    <w:rPr>
                      <w:rFonts w:hint="eastAsia"/>
                      <w:color w:val="auto"/>
                    </w:rPr>
                    <w:t>项目</w:t>
                  </w:r>
                </w:p>
              </w:tc>
              <w:tc>
                <w:tcPr>
                  <w:tcW w:w="657" w:type="dxa"/>
                  <w:tcBorders>
                    <w:top w:val="single" w:color="000000" w:sz="12" w:space="0"/>
                    <w:left w:val="single" w:color="auto" w:sz="4" w:space="0"/>
                    <w:bottom w:val="single" w:color="auto" w:sz="4" w:space="0"/>
                    <w:right w:val="single" w:color="auto" w:sz="4" w:space="0"/>
                  </w:tcBorders>
                  <w:noWrap w:val="0"/>
                  <w:vAlign w:val="center"/>
                </w:tcPr>
                <w:p w14:paraId="03422C5E">
                  <w:pPr>
                    <w:pStyle w:val="67"/>
                    <w:rPr>
                      <w:rFonts w:hint="eastAsia"/>
                      <w:color w:val="auto"/>
                    </w:rPr>
                  </w:pPr>
                  <w:r>
                    <w:rPr>
                      <w:rFonts w:hint="eastAsia"/>
                      <w:color w:val="auto"/>
                      <w:sz w:val="20"/>
                      <w:szCs w:val="22"/>
                    </w:rPr>
                    <w:t>废水量t/a</w:t>
                  </w:r>
                </w:p>
              </w:tc>
              <w:tc>
                <w:tcPr>
                  <w:tcW w:w="1153" w:type="dxa"/>
                  <w:tcBorders>
                    <w:top w:val="single" w:color="000000" w:sz="12" w:space="0"/>
                    <w:left w:val="single" w:color="auto" w:sz="4" w:space="0"/>
                    <w:bottom w:val="single" w:color="auto" w:sz="4" w:space="0"/>
                    <w:right w:val="single" w:color="auto" w:sz="4" w:space="0"/>
                  </w:tcBorders>
                  <w:noWrap w:val="0"/>
                  <w:vAlign w:val="center"/>
                </w:tcPr>
                <w:p w14:paraId="5A719E60">
                  <w:pPr>
                    <w:pStyle w:val="67"/>
                    <w:rPr>
                      <w:rFonts w:hint="eastAsia"/>
                      <w:color w:val="auto"/>
                    </w:rPr>
                  </w:pPr>
                  <w:r>
                    <w:rPr>
                      <w:rFonts w:hint="eastAsia"/>
                      <w:color w:val="auto"/>
                    </w:rPr>
                    <w:t>排放情况</w:t>
                  </w:r>
                </w:p>
              </w:tc>
              <w:tc>
                <w:tcPr>
                  <w:tcW w:w="842" w:type="dxa"/>
                  <w:tcBorders>
                    <w:top w:val="single" w:color="000000" w:sz="12" w:space="0"/>
                    <w:left w:val="single" w:color="auto" w:sz="4" w:space="0"/>
                    <w:bottom w:val="single" w:color="auto" w:sz="4" w:space="0"/>
                    <w:right w:val="single" w:color="auto" w:sz="4" w:space="0"/>
                  </w:tcBorders>
                  <w:noWrap w:val="0"/>
                  <w:vAlign w:val="center"/>
                </w:tcPr>
                <w:p w14:paraId="139F80A2">
                  <w:pPr>
                    <w:pStyle w:val="67"/>
                    <w:rPr>
                      <w:rFonts w:hint="eastAsia"/>
                      <w:color w:val="auto"/>
                    </w:rPr>
                  </w:pPr>
                  <w:r>
                    <w:rPr>
                      <w:rFonts w:hint="eastAsia"/>
                      <w:color w:val="auto"/>
                    </w:rPr>
                    <w:t>COD</w:t>
                  </w:r>
                </w:p>
              </w:tc>
              <w:tc>
                <w:tcPr>
                  <w:tcW w:w="752" w:type="dxa"/>
                  <w:tcBorders>
                    <w:top w:val="single" w:color="000000" w:sz="12" w:space="0"/>
                    <w:left w:val="single" w:color="auto" w:sz="4" w:space="0"/>
                    <w:bottom w:val="single" w:color="auto" w:sz="4" w:space="0"/>
                    <w:right w:val="single" w:color="auto" w:sz="4" w:space="0"/>
                  </w:tcBorders>
                  <w:noWrap w:val="0"/>
                  <w:vAlign w:val="center"/>
                </w:tcPr>
                <w:p w14:paraId="5731A86A">
                  <w:pPr>
                    <w:pStyle w:val="67"/>
                    <w:rPr>
                      <w:rFonts w:hint="eastAsia"/>
                      <w:color w:val="auto"/>
                    </w:rPr>
                  </w:pPr>
                  <w:r>
                    <w:rPr>
                      <w:rFonts w:hint="eastAsia"/>
                      <w:color w:val="auto"/>
                    </w:rPr>
                    <w:t>BOD</w:t>
                  </w:r>
                  <w:r>
                    <w:rPr>
                      <w:rFonts w:hint="eastAsia"/>
                      <w:color w:val="auto"/>
                      <w:vertAlign w:val="subscript"/>
                    </w:rPr>
                    <w:t>5</w:t>
                  </w:r>
                </w:p>
              </w:tc>
              <w:tc>
                <w:tcPr>
                  <w:tcW w:w="836" w:type="dxa"/>
                  <w:tcBorders>
                    <w:top w:val="single" w:color="000000" w:sz="12" w:space="0"/>
                    <w:left w:val="single" w:color="auto" w:sz="4" w:space="0"/>
                    <w:bottom w:val="single" w:color="auto" w:sz="4" w:space="0"/>
                    <w:right w:val="single" w:color="auto" w:sz="4" w:space="0"/>
                  </w:tcBorders>
                  <w:noWrap w:val="0"/>
                  <w:vAlign w:val="center"/>
                </w:tcPr>
                <w:p w14:paraId="104864BE">
                  <w:pPr>
                    <w:pStyle w:val="67"/>
                    <w:rPr>
                      <w:rFonts w:hint="eastAsia"/>
                      <w:color w:val="auto"/>
                    </w:rPr>
                  </w:pPr>
                  <w:r>
                    <w:rPr>
                      <w:rFonts w:hint="eastAsia"/>
                      <w:color w:val="auto"/>
                    </w:rPr>
                    <w:t>SS</w:t>
                  </w:r>
                </w:p>
              </w:tc>
              <w:tc>
                <w:tcPr>
                  <w:tcW w:w="804" w:type="dxa"/>
                  <w:tcBorders>
                    <w:top w:val="single" w:color="000000" w:sz="12" w:space="0"/>
                    <w:left w:val="single" w:color="auto" w:sz="4" w:space="0"/>
                    <w:bottom w:val="single" w:color="auto" w:sz="4" w:space="0"/>
                    <w:right w:val="single" w:color="auto" w:sz="4" w:space="0"/>
                  </w:tcBorders>
                  <w:noWrap w:val="0"/>
                  <w:vAlign w:val="center"/>
                </w:tcPr>
                <w:p w14:paraId="0FC5E40C">
                  <w:pPr>
                    <w:pStyle w:val="67"/>
                    <w:rPr>
                      <w:rFonts w:hint="eastAsia"/>
                      <w:color w:val="auto"/>
                    </w:rPr>
                  </w:pPr>
                  <w:r>
                    <w:rPr>
                      <w:rFonts w:hint="eastAsia"/>
                      <w:color w:val="auto"/>
                    </w:rPr>
                    <w:t>氨氮</w:t>
                  </w:r>
                </w:p>
              </w:tc>
              <w:tc>
                <w:tcPr>
                  <w:tcW w:w="1059" w:type="dxa"/>
                  <w:tcBorders>
                    <w:top w:val="single" w:color="000000" w:sz="12" w:space="0"/>
                    <w:left w:val="single" w:color="auto" w:sz="4" w:space="0"/>
                    <w:bottom w:val="single" w:color="auto" w:sz="4" w:space="0"/>
                    <w:right w:val="single" w:color="auto" w:sz="4" w:space="0"/>
                  </w:tcBorders>
                  <w:noWrap w:val="0"/>
                  <w:vAlign w:val="center"/>
                </w:tcPr>
                <w:p w14:paraId="7B4D2BF7">
                  <w:pPr>
                    <w:pStyle w:val="67"/>
                    <w:rPr>
                      <w:rFonts w:hint="eastAsia"/>
                      <w:color w:val="auto"/>
                    </w:rPr>
                  </w:pPr>
                  <w:r>
                    <w:rPr>
                      <w:rFonts w:hint="eastAsia"/>
                      <w:color w:val="auto"/>
                    </w:rPr>
                    <w:t>粪大肠菌群</w:t>
                  </w:r>
                </w:p>
              </w:tc>
              <w:tc>
                <w:tcPr>
                  <w:tcW w:w="1059" w:type="dxa"/>
                  <w:tcBorders>
                    <w:top w:val="single" w:color="000000" w:sz="12" w:space="0"/>
                    <w:left w:val="single" w:color="auto" w:sz="4" w:space="0"/>
                    <w:bottom w:val="single" w:color="auto" w:sz="4" w:space="0"/>
                    <w:right w:val="nil"/>
                  </w:tcBorders>
                  <w:noWrap w:val="0"/>
                  <w:vAlign w:val="center"/>
                </w:tcPr>
                <w:p w14:paraId="702D14B3">
                  <w:pPr>
                    <w:pStyle w:val="67"/>
                    <w:rPr>
                      <w:color w:val="auto"/>
                    </w:rPr>
                  </w:pPr>
                  <w:r>
                    <w:rPr>
                      <w:rFonts w:hint="eastAsia"/>
                      <w:color w:val="auto"/>
                    </w:rPr>
                    <w:t>LAS</w:t>
                  </w:r>
                </w:p>
              </w:tc>
            </w:tr>
            <w:tr w14:paraId="6C0082A7">
              <w:tblPrEx>
                <w:tblCellMar>
                  <w:top w:w="0" w:type="dxa"/>
                  <w:left w:w="108" w:type="dxa"/>
                  <w:bottom w:w="0" w:type="dxa"/>
                  <w:right w:w="108" w:type="dxa"/>
                </w:tblCellMar>
              </w:tblPrEx>
              <w:trPr>
                <w:trHeight w:val="340" w:hRule="atLeast"/>
              </w:trPr>
              <w:tc>
                <w:tcPr>
                  <w:tcW w:w="775" w:type="dxa"/>
                  <w:vMerge w:val="restart"/>
                  <w:tcBorders>
                    <w:top w:val="single" w:color="auto" w:sz="4" w:space="0"/>
                    <w:left w:val="nil"/>
                    <w:bottom w:val="single" w:color="auto" w:sz="4" w:space="0"/>
                    <w:right w:val="single" w:color="auto" w:sz="4" w:space="0"/>
                  </w:tcBorders>
                  <w:noWrap w:val="0"/>
                  <w:vAlign w:val="center"/>
                </w:tcPr>
                <w:p w14:paraId="5DAE827D">
                  <w:pPr>
                    <w:pStyle w:val="67"/>
                    <w:rPr>
                      <w:rFonts w:hint="eastAsia"/>
                      <w:color w:val="auto"/>
                    </w:rPr>
                  </w:pPr>
                  <w:r>
                    <w:rPr>
                      <w:rFonts w:hint="eastAsia"/>
                      <w:color w:val="auto"/>
                    </w:rPr>
                    <w:t>医疗废水</w:t>
                  </w:r>
                </w:p>
              </w:tc>
              <w:tc>
                <w:tcPr>
                  <w:tcW w:w="657" w:type="dxa"/>
                  <w:vMerge w:val="restart"/>
                  <w:tcBorders>
                    <w:top w:val="single" w:color="auto" w:sz="4" w:space="0"/>
                    <w:left w:val="single" w:color="auto" w:sz="4" w:space="0"/>
                    <w:bottom w:val="single" w:color="auto" w:sz="4" w:space="0"/>
                    <w:right w:val="single" w:color="auto" w:sz="4" w:space="0"/>
                  </w:tcBorders>
                  <w:noWrap w:val="0"/>
                  <w:vAlign w:val="center"/>
                </w:tcPr>
                <w:p w14:paraId="468BE263">
                  <w:pPr>
                    <w:pStyle w:val="67"/>
                    <w:rPr>
                      <w:rFonts w:hint="default" w:eastAsia="宋体"/>
                      <w:color w:val="auto"/>
                      <w:lang w:val="en-US" w:eastAsia="zh-CN"/>
                    </w:rPr>
                  </w:pPr>
                  <w:r>
                    <w:rPr>
                      <w:rFonts w:hint="eastAsia"/>
                      <w:color w:val="auto"/>
                      <w:lang w:val="en-US" w:eastAsia="zh-CN"/>
                    </w:rPr>
                    <w:t>9.18</w:t>
                  </w:r>
                </w:p>
              </w:tc>
              <w:tc>
                <w:tcPr>
                  <w:tcW w:w="1153" w:type="dxa"/>
                  <w:tcBorders>
                    <w:top w:val="single" w:color="auto" w:sz="4" w:space="0"/>
                    <w:left w:val="single" w:color="auto" w:sz="4" w:space="0"/>
                    <w:bottom w:val="single" w:color="auto" w:sz="4" w:space="0"/>
                    <w:right w:val="single" w:color="auto" w:sz="4" w:space="0"/>
                  </w:tcBorders>
                  <w:noWrap w:val="0"/>
                  <w:vAlign w:val="center"/>
                </w:tcPr>
                <w:p w14:paraId="2FBA982B">
                  <w:pPr>
                    <w:pStyle w:val="67"/>
                    <w:rPr>
                      <w:rFonts w:hint="eastAsia"/>
                      <w:color w:val="auto"/>
                    </w:rPr>
                  </w:pPr>
                  <w:r>
                    <w:rPr>
                      <w:rFonts w:hint="eastAsia"/>
                      <w:color w:val="auto"/>
                    </w:rPr>
                    <w:t>产生浓度</w:t>
                  </w:r>
                </w:p>
                <w:p w14:paraId="2E30248E">
                  <w:pPr>
                    <w:pStyle w:val="67"/>
                    <w:rPr>
                      <w:rFonts w:hint="eastAsia"/>
                      <w:color w:val="auto"/>
                    </w:rPr>
                  </w:pPr>
                  <w:r>
                    <w:rPr>
                      <w:rFonts w:hint="eastAsia"/>
                      <w:color w:val="auto"/>
                    </w:rPr>
                    <w:t>mg/L</w:t>
                  </w:r>
                </w:p>
              </w:tc>
              <w:tc>
                <w:tcPr>
                  <w:tcW w:w="842" w:type="dxa"/>
                  <w:tcBorders>
                    <w:top w:val="single" w:color="auto" w:sz="4" w:space="0"/>
                    <w:left w:val="single" w:color="auto" w:sz="4" w:space="0"/>
                    <w:bottom w:val="single" w:color="auto" w:sz="4" w:space="0"/>
                    <w:right w:val="single" w:color="auto" w:sz="4" w:space="0"/>
                  </w:tcBorders>
                  <w:noWrap w:val="0"/>
                  <w:vAlign w:val="center"/>
                </w:tcPr>
                <w:p w14:paraId="675FE2BC">
                  <w:pPr>
                    <w:keepNext w:val="0"/>
                    <w:keepLines w:val="0"/>
                    <w:widowControl/>
                    <w:suppressLineNumbers w:val="0"/>
                    <w:jc w:val="center"/>
                    <w:textAlignment w:val="center"/>
                    <w:rPr>
                      <w:rFonts w:hint="eastAsia"/>
                      <w:color w:val="auto"/>
                    </w:rPr>
                  </w:pPr>
                  <w:r>
                    <w:rPr>
                      <w:rFonts w:hint="default" w:ascii="Times New Roman" w:hAnsi="Times New Roman" w:eastAsia="宋体" w:cs="Times New Roman"/>
                      <w:i w:val="0"/>
                      <w:iCs w:val="0"/>
                      <w:color w:val="auto"/>
                      <w:kern w:val="0"/>
                      <w:sz w:val="21"/>
                      <w:szCs w:val="21"/>
                      <w:u w:val="none"/>
                      <w:lang w:val="en-US" w:eastAsia="zh-CN" w:bidi="ar"/>
                    </w:rPr>
                    <w:t>250</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734DD885">
                  <w:pPr>
                    <w:keepNext w:val="0"/>
                    <w:keepLines w:val="0"/>
                    <w:widowControl/>
                    <w:suppressLineNumbers w:val="0"/>
                    <w:jc w:val="center"/>
                    <w:textAlignment w:val="center"/>
                    <w:rPr>
                      <w:rFonts w:hint="eastAsia"/>
                      <w:color w:val="auto"/>
                    </w:rPr>
                  </w:pPr>
                  <w:r>
                    <w:rPr>
                      <w:rFonts w:hint="default" w:ascii="Times New Roman" w:hAnsi="Times New Roman" w:eastAsia="宋体" w:cs="Times New Roman"/>
                      <w:i w:val="0"/>
                      <w:iCs w:val="0"/>
                      <w:color w:val="auto"/>
                      <w:kern w:val="0"/>
                      <w:sz w:val="21"/>
                      <w:szCs w:val="21"/>
                      <w:u w:val="none"/>
                      <w:lang w:val="en-US" w:eastAsia="zh-CN" w:bidi="ar"/>
                    </w:rPr>
                    <w:t>100</w:t>
                  </w:r>
                </w:p>
              </w:tc>
              <w:tc>
                <w:tcPr>
                  <w:tcW w:w="836" w:type="dxa"/>
                  <w:tcBorders>
                    <w:top w:val="single" w:color="auto" w:sz="4" w:space="0"/>
                    <w:left w:val="single" w:color="auto" w:sz="4" w:space="0"/>
                    <w:bottom w:val="single" w:color="auto" w:sz="4" w:space="0"/>
                    <w:right w:val="single" w:color="auto" w:sz="4" w:space="0"/>
                  </w:tcBorders>
                  <w:noWrap w:val="0"/>
                  <w:vAlign w:val="center"/>
                </w:tcPr>
                <w:p w14:paraId="6A37793D">
                  <w:pPr>
                    <w:keepNext w:val="0"/>
                    <w:keepLines w:val="0"/>
                    <w:widowControl/>
                    <w:suppressLineNumbers w:val="0"/>
                    <w:jc w:val="center"/>
                    <w:textAlignment w:val="center"/>
                    <w:rPr>
                      <w:rFonts w:hint="eastAsia"/>
                      <w:color w:val="auto"/>
                    </w:rPr>
                  </w:pPr>
                  <w:r>
                    <w:rPr>
                      <w:rFonts w:hint="default" w:ascii="Times New Roman" w:hAnsi="Times New Roman" w:eastAsia="宋体" w:cs="Times New Roman"/>
                      <w:i w:val="0"/>
                      <w:iCs w:val="0"/>
                      <w:color w:val="auto"/>
                      <w:kern w:val="0"/>
                      <w:sz w:val="21"/>
                      <w:szCs w:val="21"/>
                      <w:u w:val="none"/>
                      <w:lang w:val="en-US" w:eastAsia="zh-CN" w:bidi="ar"/>
                    </w:rPr>
                    <w:t>80</w:t>
                  </w:r>
                </w:p>
              </w:tc>
              <w:tc>
                <w:tcPr>
                  <w:tcW w:w="804" w:type="dxa"/>
                  <w:tcBorders>
                    <w:top w:val="single" w:color="auto" w:sz="4" w:space="0"/>
                    <w:left w:val="single" w:color="auto" w:sz="4" w:space="0"/>
                    <w:bottom w:val="single" w:color="auto" w:sz="4" w:space="0"/>
                    <w:right w:val="single" w:color="auto" w:sz="4" w:space="0"/>
                  </w:tcBorders>
                  <w:noWrap w:val="0"/>
                  <w:vAlign w:val="center"/>
                </w:tcPr>
                <w:p w14:paraId="593ADCF0">
                  <w:pPr>
                    <w:keepNext w:val="0"/>
                    <w:keepLines w:val="0"/>
                    <w:widowControl/>
                    <w:suppressLineNumbers w:val="0"/>
                    <w:jc w:val="center"/>
                    <w:textAlignment w:val="center"/>
                    <w:rPr>
                      <w:rFonts w:hint="eastAsia"/>
                      <w:color w:val="auto"/>
                    </w:rPr>
                  </w:pPr>
                  <w:r>
                    <w:rPr>
                      <w:rFonts w:hint="default" w:ascii="Times New Roman" w:hAnsi="Times New Roman" w:eastAsia="宋体" w:cs="Times New Roman"/>
                      <w:i w:val="0"/>
                      <w:iCs w:val="0"/>
                      <w:color w:val="auto"/>
                      <w:kern w:val="0"/>
                      <w:sz w:val="21"/>
                      <w:szCs w:val="21"/>
                      <w:u w:val="none"/>
                      <w:lang w:val="en-US" w:eastAsia="zh-CN" w:bidi="ar"/>
                    </w:rPr>
                    <w:t>30</w:t>
                  </w:r>
                </w:p>
              </w:tc>
              <w:tc>
                <w:tcPr>
                  <w:tcW w:w="1059" w:type="dxa"/>
                  <w:tcBorders>
                    <w:top w:val="single" w:color="auto" w:sz="4" w:space="0"/>
                    <w:left w:val="single" w:color="auto" w:sz="4" w:space="0"/>
                    <w:bottom w:val="single" w:color="auto" w:sz="4" w:space="0"/>
                    <w:right w:val="single" w:color="auto" w:sz="4" w:space="0"/>
                  </w:tcBorders>
                  <w:noWrap w:val="0"/>
                  <w:vAlign w:val="center"/>
                </w:tcPr>
                <w:p w14:paraId="69A08D98">
                  <w:pPr>
                    <w:keepNext w:val="0"/>
                    <w:keepLines w:val="0"/>
                    <w:widowControl/>
                    <w:suppressLineNumbers w:val="0"/>
                    <w:jc w:val="center"/>
                    <w:textAlignment w:val="center"/>
                    <w:rPr>
                      <w:rFonts w:hint="eastAsia"/>
                      <w:color w:val="auto"/>
                    </w:rPr>
                  </w:pPr>
                  <w:r>
                    <w:rPr>
                      <w:rFonts w:hint="default" w:ascii="Times New Roman" w:hAnsi="Times New Roman" w:eastAsia="宋体" w:cs="Times New Roman"/>
                      <w:i w:val="0"/>
                      <w:iCs w:val="0"/>
                      <w:color w:val="auto"/>
                      <w:kern w:val="0"/>
                      <w:sz w:val="21"/>
                      <w:szCs w:val="21"/>
                      <w:u w:val="none"/>
                      <w:lang w:val="en-US" w:eastAsia="zh-CN" w:bidi="ar"/>
                    </w:rPr>
                    <w:t>1.0</w:t>
                  </w:r>
                  <w:r>
                    <w:rPr>
                      <w:rFonts w:hint="eastAsia" w:ascii="宋体" w:hAnsi="宋体" w:eastAsia="宋体" w:cs="宋体"/>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10</w:t>
                  </w:r>
                  <w:r>
                    <w:rPr>
                      <w:rFonts w:hint="default" w:ascii="Times New Roman" w:hAnsi="Times New Roman" w:eastAsia="宋体" w:cs="Times New Roman"/>
                      <w:i w:val="0"/>
                      <w:iCs w:val="0"/>
                      <w:color w:val="auto"/>
                      <w:kern w:val="0"/>
                      <w:sz w:val="21"/>
                      <w:szCs w:val="21"/>
                      <w:u w:val="none"/>
                      <w:vertAlign w:val="superscript"/>
                      <w:lang w:val="en-US" w:eastAsia="zh-CN" w:bidi="ar"/>
                    </w:rPr>
                    <w:t>7</w:t>
                  </w:r>
                  <w:r>
                    <w:rPr>
                      <w:rFonts w:hint="eastAsia" w:ascii="宋体" w:hAnsi="宋体" w:eastAsia="宋体" w:cs="宋体"/>
                      <w:i w:val="0"/>
                      <w:iCs w:val="0"/>
                      <w:color w:val="auto"/>
                      <w:kern w:val="0"/>
                      <w:sz w:val="21"/>
                      <w:szCs w:val="21"/>
                      <w:u w:val="none"/>
                      <w:lang w:val="en-US" w:eastAsia="zh-CN" w:bidi="ar"/>
                    </w:rPr>
                    <w:t>个</w:t>
                  </w:r>
                  <w:r>
                    <w:rPr>
                      <w:rFonts w:hint="default" w:ascii="Times New Roman" w:hAnsi="Times New Roman" w:eastAsia="宋体" w:cs="Times New Roman"/>
                      <w:i w:val="0"/>
                      <w:iCs w:val="0"/>
                      <w:color w:val="auto"/>
                      <w:kern w:val="0"/>
                      <w:sz w:val="21"/>
                      <w:szCs w:val="21"/>
                      <w:u w:val="none"/>
                      <w:lang w:val="en-US" w:eastAsia="zh-CN" w:bidi="ar"/>
                    </w:rPr>
                    <w:t>/L</w:t>
                  </w:r>
                </w:p>
              </w:tc>
              <w:tc>
                <w:tcPr>
                  <w:tcW w:w="1059" w:type="dxa"/>
                  <w:tcBorders>
                    <w:top w:val="single" w:color="auto" w:sz="4" w:space="0"/>
                    <w:left w:val="single" w:color="auto" w:sz="4" w:space="0"/>
                    <w:bottom w:val="single" w:color="auto" w:sz="4" w:space="0"/>
                    <w:right w:val="nil"/>
                  </w:tcBorders>
                  <w:noWrap w:val="0"/>
                  <w:vAlign w:val="center"/>
                </w:tcPr>
                <w:p w14:paraId="0A391F9D">
                  <w:pPr>
                    <w:keepNext w:val="0"/>
                    <w:keepLines w:val="0"/>
                    <w:widowControl/>
                    <w:suppressLineNumbers w:val="0"/>
                    <w:jc w:val="center"/>
                    <w:textAlignment w:val="center"/>
                    <w:rPr>
                      <w:rFonts w:hint="eastAsia"/>
                      <w:color w:val="auto"/>
                    </w:rPr>
                  </w:pPr>
                  <w:r>
                    <w:rPr>
                      <w:rFonts w:hint="default" w:ascii="Times New Roman" w:hAnsi="Times New Roman" w:eastAsia="宋体" w:cs="Times New Roman"/>
                      <w:i w:val="0"/>
                      <w:iCs w:val="0"/>
                      <w:color w:val="auto"/>
                      <w:kern w:val="0"/>
                      <w:sz w:val="21"/>
                      <w:szCs w:val="21"/>
                      <w:u w:val="none"/>
                      <w:lang w:val="en-US" w:eastAsia="zh-CN" w:bidi="ar"/>
                    </w:rPr>
                    <w:t>/</w:t>
                  </w:r>
                </w:p>
              </w:tc>
            </w:tr>
            <w:tr w14:paraId="0BBA9B75">
              <w:tblPrEx>
                <w:tblCellMar>
                  <w:top w:w="0" w:type="dxa"/>
                  <w:left w:w="108" w:type="dxa"/>
                  <w:bottom w:w="0" w:type="dxa"/>
                  <w:right w:w="108" w:type="dxa"/>
                </w:tblCellMar>
              </w:tblPrEx>
              <w:trPr>
                <w:trHeight w:val="340" w:hRule="atLeast"/>
              </w:trPr>
              <w:tc>
                <w:tcPr>
                  <w:tcW w:w="775" w:type="dxa"/>
                  <w:vMerge w:val="continue"/>
                  <w:tcBorders>
                    <w:top w:val="single" w:color="auto" w:sz="4" w:space="0"/>
                    <w:left w:val="nil"/>
                    <w:bottom w:val="single" w:color="auto" w:sz="4" w:space="0"/>
                    <w:right w:val="single" w:color="auto" w:sz="4" w:space="0"/>
                  </w:tcBorders>
                  <w:noWrap w:val="0"/>
                  <w:vAlign w:val="center"/>
                </w:tcPr>
                <w:p w14:paraId="3AF3C5DF">
                  <w:pPr>
                    <w:pStyle w:val="67"/>
                    <w:rPr>
                      <w:rFonts w:hint="eastAsia"/>
                      <w:color w:val="auto"/>
                    </w:rPr>
                  </w:pPr>
                </w:p>
              </w:tc>
              <w:tc>
                <w:tcPr>
                  <w:tcW w:w="657" w:type="dxa"/>
                  <w:vMerge w:val="continue"/>
                  <w:tcBorders>
                    <w:top w:val="single" w:color="auto" w:sz="4" w:space="0"/>
                    <w:left w:val="single" w:color="auto" w:sz="4" w:space="0"/>
                    <w:bottom w:val="single" w:color="auto" w:sz="4" w:space="0"/>
                    <w:right w:val="single" w:color="auto" w:sz="4" w:space="0"/>
                  </w:tcBorders>
                  <w:noWrap w:val="0"/>
                  <w:vAlign w:val="center"/>
                </w:tcPr>
                <w:p w14:paraId="13412C9F">
                  <w:pPr>
                    <w:pStyle w:val="67"/>
                    <w:rPr>
                      <w:rFonts w:hint="eastAsia"/>
                      <w:color w:val="auto"/>
                    </w:rPr>
                  </w:pPr>
                </w:p>
              </w:tc>
              <w:tc>
                <w:tcPr>
                  <w:tcW w:w="1153" w:type="dxa"/>
                  <w:tcBorders>
                    <w:top w:val="single" w:color="auto" w:sz="4" w:space="0"/>
                    <w:left w:val="single" w:color="auto" w:sz="4" w:space="0"/>
                    <w:bottom w:val="single" w:color="auto" w:sz="4" w:space="0"/>
                    <w:right w:val="single" w:color="auto" w:sz="4" w:space="0"/>
                  </w:tcBorders>
                  <w:noWrap w:val="0"/>
                  <w:vAlign w:val="center"/>
                </w:tcPr>
                <w:p w14:paraId="244B0C25">
                  <w:pPr>
                    <w:pStyle w:val="67"/>
                    <w:rPr>
                      <w:rFonts w:hint="eastAsia"/>
                      <w:color w:val="auto"/>
                    </w:rPr>
                  </w:pPr>
                  <w:r>
                    <w:rPr>
                      <w:rFonts w:hint="eastAsia"/>
                      <w:color w:val="auto"/>
                    </w:rPr>
                    <w:t>产生量t/a</w:t>
                  </w:r>
                </w:p>
              </w:tc>
              <w:tc>
                <w:tcPr>
                  <w:tcW w:w="842" w:type="dxa"/>
                  <w:tcBorders>
                    <w:top w:val="single" w:color="auto" w:sz="4" w:space="0"/>
                    <w:left w:val="single" w:color="auto" w:sz="4" w:space="0"/>
                    <w:bottom w:val="single" w:color="auto" w:sz="4" w:space="0"/>
                    <w:right w:val="single" w:color="auto" w:sz="4" w:space="0"/>
                  </w:tcBorders>
                  <w:noWrap w:val="0"/>
                  <w:vAlign w:val="center"/>
                </w:tcPr>
                <w:p w14:paraId="69BEA068">
                  <w:pPr>
                    <w:keepNext w:val="0"/>
                    <w:keepLines w:val="0"/>
                    <w:widowControl/>
                    <w:suppressLineNumbers w:val="0"/>
                    <w:jc w:val="center"/>
                    <w:textAlignment w:val="center"/>
                    <w:rPr>
                      <w:rFonts w:hint="eastAsia"/>
                      <w:color w:val="auto"/>
                    </w:rPr>
                  </w:pPr>
                  <w:r>
                    <w:rPr>
                      <w:rFonts w:hint="default" w:ascii="Times New Roman" w:hAnsi="Times New Roman" w:eastAsia="宋体" w:cs="Times New Roman"/>
                      <w:i w:val="0"/>
                      <w:iCs w:val="0"/>
                      <w:color w:val="auto"/>
                      <w:kern w:val="0"/>
                      <w:sz w:val="21"/>
                      <w:szCs w:val="21"/>
                      <w:u w:val="none"/>
                      <w:lang w:val="en-US" w:eastAsia="zh-CN" w:bidi="ar"/>
                    </w:rPr>
                    <w:t>0.002</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1C2CA21D">
                  <w:pPr>
                    <w:keepNext w:val="0"/>
                    <w:keepLines w:val="0"/>
                    <w:widowControl/>
                    <w:suppressLineNumbers w:val="0"/>
                    <w:jc w:val="center"/>
                    <w:textAlignment w:val="center"/>
                    <w:rPr>
                      <w:rFonts w:hint="eastAsia"/>
                      <w:color w:val="auto"/>
                    </w:rPr>
                  </w:pPr>
                  <w:r>
                    <w:rPr>
                      <w:rFonts w:hint="default" w:ascii="Times New Roman" w:hAnsi="Times New Roman" w:eastAsia="宋体" w:cs="Times New Roman"/>
                      <w:i w:val="0"/>
                      <w:iCs w:val="0"/>
                      <w:color w:val="auto"/>
                      <w:kern w:val="0"/>
                      <w:sz w:val="21"/>
                      <w:szCs w:val="21"/>
                      <w:u w:val="none"/>
                      <w:lang w:val="en-US" w:eastAsia="zh-CN" w:bidi="ar"/>
                    </w:rPr>
                    <w:t>0.001</w:t>
                  </w:r>
                </w:p>
              </w:tc>
              <w:tc>
                <w:tcPr>
                  <w:tcW w:w="836" w:type="dxa"/>
                  <w:tcBorders>
                    <w:top w:val="single" w:color="auto" w:sz="4" w:space="0"/>
                    <w:left w:val="single" w:color="auto" w:sz="4" w:space="0"/>
                    <w:bottom w:val="single" w:color="auto" w:sz="4" w:space="0"/>
                    <w:right w:val="single" w:color="auto" w:sz="4" w:space="0"/>
                  </w:tcBorders>
                  <w:noWrap w:val="0"/>
                  <w:vAlign w:val="center"/>
                </w:tcPr>
                <w:p w14:paraId="08161D24">
                  <w:pPr>
                    <w:keepNext w:val="0"/>
                    <w:keepLines w:val="0"/>
                    <w:widowControl/>
                    <w:suppressLineNumbers w:val="0"/>
                    <w:jc w:val="center"/>
                    <w:textAlignment w:val="center"/>
                    <w:rPr>
                      <w:rFonts w:hint="eastAsia"/>
                      <w:color w:val="auto"/>
                    </w:rPr>
                  </w:pPr>
                  <w:r>
                    <w:rPr>
                      <w:rFonts w:hint="default" w:ascii="Times New Roman" w:hAnsi="Times New Roman" w:eastAsia="宋体" w:cs="Times New Roman"/>
                      <w:i w:val="0"/>
                      <w:iCs w:val="0"/>
                      <w:color w:val="auto"/>
                      <w:kern w:val="0"/>
                      <w:sz w:val="21"/>
                      <w:szCs w:val="21"/>
                      <w:u w:val="none"/>
                      <w:lang w:val="en-US" w:eastAsia="zh-CN" w:bidi="ar"/>
                    </w:rPr>
                    <w:t>0.001</w:t>
                  </w:r>
                </w:p>
              </w:tc>
              <w:tc>
                <w:tcPr>
                  <w:tcW w:w="804" w:type="dxa"/>
                  <w:tcBorders>
                    <w:top w:val="single" w:color="auto" w:sz="4" w:space="0"/>
                    <w:left w:val="single" w:color="auto" w:sz="4" w:space="0"/>
                    <w:bottom w:val="single" w:color="auto" w:sz="4" w:space="0"/>
                    <w:right w:val="single" w:color="auto" w:sz="4" w:space="0"/>
                  </w:tcBorders>
                  <w:noWrap w:val="0"/>
                  <w:vAlign w:val="center"/>
                </w:tcPr>
                <w:p w14:paraId="7EB91152">
                  <w:pPr>
                    <w:keepNext w:val="0"/>
                    <w:keepLines w:val="0"/>
                    <w:widowControl/>
                    <w:suppressLineNumbers w:val="0"/>
                    <w:jc w:val="center"/>
                    <w:textAlignment w:val="center"/>
                    <w:rPr>
                      <w:rFonts w:hint="eastAsia"/>
                      <w:color w:val="auto"/>
                    </w:rPr>
                  </w:pPr>
                  <w:r>
                    <w:rPr>
                      <w:rFonts w:hint="default" w:ascii="Times New Roman" w:hAnsi="Times New Roman" w:eastAsia="宋体" w:cs="Times New Roman"/>
                      <w:i w:val="0"/>
                      <w:iCs w:val="0"/>
                      <w:color w:val="auto"/>
                      <w:kern w:val="0"/>
                      <w:sz w:val="21"/>
                      <w:szCs w:val="21"/>
                      <w:u w:val="none"/>
                      <w:lang w:val="en-US" w:eastAsia="zh-CN" w:bidi="ar"/>
                    </w:rPr>
                    <w:t>0.0003</w:t>
                  </w:r>
                </w:p>
              </w:tc>
              <w:tc>
                <w:tcPr>
                  <w:tcW w:w="1059" w:type="dxa"/>
                  <w:tcBorders>
                    <w:top w:val="single" w:color="auto" w:sz="4" w:space="0"/>
                    <w:left w:val="single" w:color="auto" w:sz="4" w:space="0"/>
                    <w:bottom w:val="single" w:color="auto" w:sz="4" w:space="0"/>
                    <w:right w:val="single" w:color="auto" w:sz="4" w:space="0"/>
                  </w:tcBorders>
                  <w:noWrap w:val="0"/>
                  <w:vAlign w:val="center"/>
                </w:tcPr>
                <w:p w14:paraId="4AB84B9F">
                  <w:pPr>
                    <w:jc w:val="center"/>
                    <w:rPr>
                      <w:rFonts w:hint="eastAsia" w:eastAsia="宋体"/>
                      <w:color w:val="auto"/>
                      <w:lang w:val="en-US" w:eastAsia="zh-CN"/>
                    </w:rPr>
                  </w:pPr>
                  <w:r>
                    <w:rPr>
                      <w:rFonts w:hint="eastAsia"/>
                      <w:color w:val="auto"/>
                      <w:lang w:val="en-US" w:eastAsia="zh-CN"/>
                    </w:rPr>
                    <w:t>/</w:t>
                  </w:r>
                </w:p>
              </w:tc>
              <w:tc>
                <w:tcPr>
                  <w:tcW w:w="1059" w:type="dxa"/>
                  <w:tcBorders>
                    <w:top w:val="single" w:color="auto" w:sz="4" w:space="0"/>
                    <w:left w:val="single" w:color="auto" w:sz="4" w:space="0"/>
                    <w:bottom w:val="single" w:color="auto" w:sz="4" w:space="0"/>
                    <w:right w:val="nil"/>
                  </w:tcBorders>
                  <w:noWrap w:val="0"/>
                  <w:vAlign w:val="center"/>
                </w:tcPr>
                <w:p w14:paraId="730F052F">
                  <w:pPr>
                    <w:keepNext w:val="0"/>
                    <w:keepLines w:val="0"/>
                    <w:widowControl/>
                    <w:suppressLineNumbers w:val="0"/>
                    <w:jc w:val="center"/>
                    <w:textAlignment w:val="center"/>
                    <w:rPr>
                      <w:color w:val="auto"/>
                    </w:rPr>
                  </w:pPr>
                  <w:r>
                    <w:rPr>
                      <w:rFonts w:hint="default" w:ascii="Times New Roman" w:hAnsi="Times New Roman" w:eastAsia="宋体" w:cs="Times New Roman"/>
                      <w:i w:val="0"/>
                      <w:iCs w:val="0"/>
                      <w:color w:val="auto"/>
                      <w:kern w:val="0"/>
                      <w:sz w:val="21"/>
                      <w:szCs w:val="21"/>
                      <w:u w:val="none"/>
                      <w:lang w:val="en-US" w:eastAsia="zh-CN" w:bidi="ar"/>
                    </w:rPr>
                    <w:t>/</w:t>
                  </w:r>
                </w:p>
              </w:tc>
            </w:tr>
            <w:tr w14:paraId="2CD5886E">
              <w:tblPrEx>
                <w:tblCellMar>
                  <w:top w:w="0" w:type="dxa"/>
                  <w:left w:w="108" w:type="dxa"/>
                  <w:bottom w:w="0" w:type="dxa"/>
                  <w:right w:w="108" w:type="dxa"/>
                </w:tblCellMar>
              </w:tblPrEx>
              <w:trPr>
                <w:trHeight w:val="340" w:hRule="atLeast"/>
              </w:trPr>
              <w:tc>
                <w:tcPr>
                  <w:tcW w:w="775" w:type="dxa"/>
                  <w:vMerge w:val="continue"/>
                  <w:tcBorders>
                    <w:top w:val="single" w:color="auto" w:sz="4" w:space="0"/>
                    <w:left w:val="nil"/>
                    <w:bottom w:val="single" w:color="auto" w:sz="4" w:space="0"/>
                    <w:right w:val="single" w:color="auto" w:sz="4" w:space="0"/>
                  </w:tcBorders>
                  <w:noWrap w:val="0"/>
                  <w:vAlign w:val="center"/>
                </w:tcPr>
                <w:p w14:paraId="1EFA772D">
                  <w:pPr>
                    <w:pStyle w:val="67"/>
                    <w:rPr>
                      <w:rFonts w:hint="eastAsia"/>
                      <w:color w:val="auto"/>
                    </w:rPr>
                  </w:pPr>
                </w:p>
              </w:tc>
              <w:tc>
                <w:tcPr>
                  <w:tcW w:w="657" w:type="dxa"/>
                  <w:vMerge w:val="continue"/>
                  <w:tcBorders>
                    <w:top w:val="single" w:color="auto" w:sz="4" w:space="0"/>
                    <w:left w:val="single" w:color="auto" w:sz="4" w:space="0"/>
                    <w:bottom w:val="single" w:color="auto" w:sz="4" w:space="0"/>
                    <w:right w:val="single" w:color="auto" w:sz="4" w:space="0"/>
                  </w:tcBorders>
                  <w:noWrap w:val="0"/>
                  <w:vAlign w:val="center"/>
                </w:tcPr>
                <w:p w14:paraId="33EC66BC">
                  <w:pPr>
                    <w:pStyle w:val="67"/>
                    <w:rPr>
                      <w:rFonts w:hint="eastAsia"/>
                      <w:color w:val="auto"/>
                    </w:rPr>
                  </w:pPr>
                </w:p>
              </w:tc>
              <w:tc>
                <w:tcPr>
                  <w:tcW w:w="1153" w:type="dxa"/>
                  <w:tcBorders>
                    <w:top w:val="single" w:color="auto" w:sz="4" w:space="0"/>
                    <w:left w:val="single" w:color="auto" w:sz="4" w:space="0"/>
                    <w:bottom w:val="single" w:color="auto" w:sz="4" w:space="0"/>
                    <w:right w:val="single" w:color="auto" w:sz="4" w:space="0"/>
                  </w:tcBorders>
                  <w:noWrap w:val="0"/>
                  <w:vAlign w:val="center"/>
                </w:tcPr>
                <w:p w14:paraId="50145FEE">
                  <w:pPr>
                    <w:pStyle w:val="67"/>
                    <w:rPr>
                      <w:rFonts w:hint="eastAsia"/>
                      <w:color w:val="auto"/>
                    </w:rPr>
                  </w:pPr>
                  <w:r>
                    <w:rPr>
                      <w:rFonts w:hint="eastAsia"/>
                      <w:color w:val="auto"/>
                    </w:rPr>
                    <w:t>处理设施处理效率</w:t>
                  </w:r>
                </w:p>
              </w:tc>
              <w:tc>
                <w:tcPr>
                  <w:tcW w:w="842" w:type="dxa"/>
                  <w:tcBorders>
                    <w:top w:val="single" w:color="auto" w:sz="4" w:space="0"/>
                    <w:left w:val="single" w:color="auto" w:sz="4" w:space="0"/>
                    <w:bottom w:val="single" w:color="auto" w:sz="4" w:space="0"/>
                    <w:right w:val="single" w:color="auto" w:sz="4" w:space="0"/>
                  </w:tcBorders>
                  <w:noWrap w:val="0"/>
                  <w:vAlign w:val="center"/>
                </w:tcPr>
                <w:p w14:paraId="4278D3C6">
                  <w:pPr>
                    <w:keepNext w:val="0"/>
                    <w:keepLines w:val="0"/>
                    <w:widowControl/>
                    <w:suppressLineNumbers w:val="0"/>
                    <w:jc w:val="center"/>
                    <w:textAlignment w:val="center"/>
                    <w:rPr>
                      <w:rFonts w:hint="eastAsia"/>
                      <w:color w:val="auto"/>
                    </w:rPr>
                  </w:pPr>
                  <w:r>
                    <w:rPr>
                      <w:rFonts w:hint="default" w:ascii="Times New Roman" w:hAnsi="Times New Roman" w:eastAsia="宋体" w:cs="Times New Roman"/>
                      <w:i w:val="0"/>
                      <w:iCs w:val="0"/>
                      <w:color w:val="auto"/>
                      <w:kern w:val="0"/>
                      <w:sz w:val="21"/>
                      <w:szCs w:val="21"/>
                      <w:u w:val="none"/>
                      <w:lang w:val="en-US" w:eastAsia="zh-CN" w:bidi="ar"/>
                    </w:rPr>
                    <w:t>/</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6A70075C">
                  <w:pPr>
                    <w:keepNext w:val="0"/>
                    <w:keepLines w:val="0"/>
                    <w:widowControl/>
                    <w:suppressLineNumbers w:val="0"/>
                    <w:jc w:val="center"/>
                    <w:textAlignment w:val="center"/>
                    <w:rPr>
                      <w:rFonts w:hint="eastAsia"/>
                      <w:color w:val="auto"/>
                    </w:rPr>
                  </w:pPr>
                  <w:r>
                    <w:rPr>
                      <w:rFonts w:hint="default" w:ascii="Times New Roman" w:hAnsi="Times New Roman" w:eastAsia="宋体" w:cs="Times New Roman"/>
                      <w:i w:val="0"/>
                      <w:iCs w:val="0"/>
                      <w:color w:val="auto"/>
                      <w:kern w:val="0"/>
                      <w:sz w:val="21"/>
                      <w:szCs w:val="21"/>
                      <w:u w:val="none"/>
                      <w:lang w:val="en-US" w:eastAsia="zh-CN" w:bidi="ar"/>
                    </w:rPr>
                    <w:t>/</w:t>
                  </w:r>
                </w:p>
              </w:tc>
              <w:tc>
                <w:tcPr>
                  <w:tcW w:w="836" w:type="dxa"/>
                  <w:tcBorders>
                    <w:top w:val="single" w:color="auto" w:sz="4" w:space="0"/>
                    <w:left w:val="single" w:color="auto" w:sz="4" w:space="0"/>
                    <w:bottom w:val="single" w:color="auto" w:sz="4" w:space="0"/>
                    <w:right w:val="single" w:color="auto" w:sz="4" w:space="0"/>
                  </w:tcBorders>
                  <w:noWrap w:val="0"/>
                  <w:vAlign w:val="center"/>
                </w:tcPr>
                <w:p w14:paraId="5175DE8D">
                  <w:pPr>
                    <w:keepNext w:val="0"/>
                    <w:keepLines w:val="0"/>
                    <w:widowControl/>
                    <w:suppressLineNumbers w:val="0"/>
                    <w:jc w:val="center"/>
                    <w:textAlignment w:val="center"/>
                    <w:rPr>
                      <w:rFonts w:hint="eastAsia"/>
                      <w:color w:val="auto"/>
                    </w:rPr>
                  </w:pPr>
                  <w:r>
                    <w:rPr>
                      <w:rFonts w:hint="default" w:ascii="Times New Roman" w:hAnsi="Times New Roman" w:eastAsia="宋体" w:cs="Times New Roman"/>
                      <w:i w:val="0"/>
                      <w:iCs w:val="0"/>
                      <w:color w:val="auto"/>
                      <w:kern w:val="0"/>
                      <w:sz w:val="21"/>
                      <w:szCs w:val="21"/>
                      <w:u w:val="none"/>
                      <w:lang w:val="en-US" w:eastAsia="zh-CN" w:bidi="ar"/>
                    </w:rPr>
                    <w:t>80%</w:t>
                  </w:r>
                </w:p>
              </w:tc>
              <w:tc>
                <w:tcPr>
                  <w:tcW w:w="804" w:type="dxa"/>
                  <w:tcBorders>
                    <w:top w:val="single" w:color="auto" w:sz="4" w:space="0"/>
                    <w:left w:val="single" w:color="auto" w:sz="4" w:space="0"/>
                    <w:bottom w:val="single" w:color="auto" w:sz="4" w:space="0"/>
                    <w:right w:val="single" w:color="auto" w:sz="4" w:space="0"/>
                  </w:tcBorders>
                  <w:noWrap w:val="0"/>
                  <w:vAlign w:val="center"/>
                </w:tcPr>
                <w:p w14:paraId="5C08DC99">
                  <w:pPr>
                    <w:keepNext w:val="0"/>
                    <w:keepLines w:val="0"/>
                    <w:widowControl/>
                    <w:suppressLineNumbers w:val="0"/>
                    <w:jc w:val="center"/>
                    <w:textAlignment w:val="center"/>
                    <w:rPr>
                      <w:rFonts w:hint="eastAsia"/>
                      <w:color w:val="auto"/>
                    </w:rPr>
                  </w:pPr>
                  <w:r>
                    <w:rPr>
                      <w:rFonts w:hint="default" w:ascii="Times New Roman" w:hAnsi="Times New Roman" w:eastAsia="宋体" w:cs="Times New Roman"/>
                      <w:i w:val="0"/>
                      <w:iCs w:val="0"/>
                      <w:color w:val="auto"/>
                      <w:kern w:val="0"/>
                      <w:sz w:val="21"/>
                      <w:szCs w:val="21"/>
                      <w:u w:val="none"/>
                      <w:lang w:val="en-US" w:eastAsia="zh-CN" w:bidi="ar"/>
                    </w:rPr>
                    <w:t>/</w:t>
                  </w:r>
                </w:p>
              </w:tc>
              <w:tc>
                <w:tcPr>
                  <w:tcW w:w="1059" w:type="dxa"/>
                  <w:tcBorders>
                    <w:top w:val="single" w:color="auto" w:sz="4" w:space="0"/>
                    <w:left w:val="single" w:color="auto" w:sz="4" w:space="0"/>
                    <w:bottom w:val="single" w:color="auto" w:sz="4" w:space="0"/>
                    <w:right w:val="single" w:color="auto" w:sz="4" w:space="0"/>
                  </w:tcBorders>
                  <w:noWrap w:val="0"/>
                  <w:vAlign w:val="center"/>
                </w:tcPr>
                <w:p w14:paraId="5E1C756F">
                  <w:pPr>
                    <w:keepNext w:val="0"/>
                    <w:keepLines w:val="0"/>
                    <w:widowControl/>
                    <w:suppressLineNumbers w:val="0"/>
                    <w:jc w:val="center"/>
                    <w:textAlignment w:val="center"/>
                    <w:rPr>
                      <w:rFonts w:hint="eastAsia"/>
                      <w:color w:val="auto"/>
                    </w:rPr>
                  </w:pPr>
                  <w:r>
                    <w:rPr>
                      <w:rFonts w:hint="default" w:ascii="Times New Roman" w:hAnsi="Times New Roman" w:eastAsia="宋体" w:cs="Times New Roman"/>
                      <w:i w:val="0"/>
                      <w:iCs w:val="0"/>
                      <w:color w:val="auto"/>
                      <w:kern w:val="0"/>
                      <w:sz w:val="21"/>
                      <w:szCs w:val="21"/>
                      <w:u w:val="none"/>
                      <w:lang w:val="en-US" w:eastAsia="zh-CN" w:bidi="ar"/>
                    </w:rPr>
                    <w:t>99.99%</w:t>
                  </w:r>
                </w:p>
              </w:tc>
              <w:tc>
                <w:tcPr>
                  <w:tcW w:w="1059" w:type="dxa"/>
                  <w:tcBorders>
                    <w:top w:val="single" w:color="auto" w:sz="4" w:space="0"/>
                    <w:left w:val="single" w:color="auto" w:sz="4" w:space="0"/>
                    <w:bottom w:val="single" w:color="auto" w:sz="4" w:space="0"/>
                    <w:right w:val="nil"/>
                  </w:tcBorders>
                  <w:noWrap w:val="0"/>
                  <w:vAlign w:val="center"/>
                </w:tcPr>
                <w:p w14:paraId="0860BF4B">
                  <w:pPr>
                    <w:keepNext w:val="0"/>
                    <w:keepLines w:val="0"/>
                    <w:widowControl/>
                    <w:suppressLineNumbers w:val="0"/>
                    <w:jc w:val="center"/>
                    <w:textAlignment w:val="center"/>
                    <w:rPr>
                      <w:rFonts w:hint="eastAsia"/>
                      <w:color w:val="auto"/>
                    </w:rPr>
                  </w:pPr>
                  <w:r>
                    <w:rPr>
                      <w:rFonts w:hint="default" w:ascii="Times New Roman" w:hAnsi="Times New Roman" w:eastAsia="宋体" w:cs="Times New Roman"/>
                      <w:i w:val="0"/>
                      <w:iCs w:val="0"/>
                      <w:color w:val="auto"/>
                      <w:kern w:val="0"/>
                      <w:sz w:val="21"/>
                      <w:szCs w:val="21"/>
                      <w:u w:val="none"/>
                      <w:lang w:val="en-US" w:eastAsia="zh-CN" w:bidi="ar"/>
                    </w:rPr>
                    <w:t>/</w:t>
                  </w:r>
                </w:p>
              </w:tc>
            </w:tr>
            <w:tr w14:paraId="7046FE66">
              <w:tblPrEx>
                <w:tblCellMar>
                  <w:top w:w="0" w:type="dxa"/>
                  <w:left w:w="108" w:type="dxa"/>
                  <w:bottom w:w="0" w:type="dxa"/>
                  <w:right w:w="108" w:type="dxa"/>
                </w:tblCellMar>
              </w:tblPrEx>
              <w:trPr>
                <w:trHeight w:val="340" w:hRule="atLeast"/>
              </w:trPr>
              <w:tc>
                <w:tcPr>
                  <w:tcW w:w="775" w:type="dxa"/>
                  <w:vMerge w:val="continue"/>
                  <w:tcBorders>
                    <w:top w:val="single" w:color="auto" w:sz="4" w:space="0"/>
                    <w:left w:val="nil"/>
                    <w:bottom w:val="single" w:color="auto" w:sz="4" w:space="0"/>
                    <w:right w:val="single" w:color="auto" w:sz="4" w:space="0"/>
                  </w:tcBorders>
                  <w:noWrap w:val="0"/>
                  <w:vAlign w:val="center"/>
                </w:tcPr>
                <w:p w14:paraId="1097C56B">
                  <w:pPr>
                    <w:pStyle w:val="67"/>
                    <w:rPr>
                      <w:rFonts w:hint="eastAsia"/>
                      <w:color w:val="auto"/>
                    </w:rPr>
                  </w:pPr>
                </w:p>
              </w:tc>
              <w:tc>
                <w:tcPr>
                  <w:tcW w:w="657" w:type="dxa"/>
                  <w:vMerge w:val="continue"/>
                  <w:tcBorders>
                    <w:top w:val="single" w:color="auto" w:sz="4" w:space="0"/>
                    <w:left w:val="single" w:color="auto" w:sz="4" w:space="0"/>
                    <w:bottom w:val="single" w:color="auto" w:sz="4" w:space="0"/>
                    <w:right w:val="single" w:color="auto" w:sz="4" w:space="0"/>
                  </w:tcBorders>
                  <w:noWrap w:val="0"/>
                  <w:vAlign w:val="center"/>
                </w:tcPr>
                <w:p w14:paraId="7C01304A">
                  <w:pPr>
                    <w:pStyle w:val="67"/>
                    <w:rPr>
                      <w:rFonts w:hint="eastAsia"/>
                      <w:color w:val="auto"/>
                    </w:rPr>
                  </w:pPr>
                </w:p>
              </w:tc>
              <w:tc>
                <w:tcPr>
                  <w:tcW w:w="1153" w:type="dxa"/>
                  <w:tcBorders>
                    <w:top w:val="single" w:color="auto" w:sz="4" w:space="0"/>
                    <w:left w:val="single" w:color="auto" w:sz="4" w:space="0"/>
                    <w:bottom w:val="single" w:color="auto" w:sz="4" w:space="0"/>
                    <w:right w:val="single" w:color="auto" w:sz="4" w:space="0"/>
                  </w:tcBorders>
                  <w:noWrap w:val="0"/>
                  <w:vAlign w:val="center"/>
                </w:tcPr>
                <w:p w14:paraId="01A0D4E0">
                  <w:pPr>
                    <w:pStyle w:val="67"/>
                    <w:rPr>
                      <w:rFonts w:hint="eastAsia"/>
                      <w:color w:val="auto"/>
                    </w:rPr>
                  </w:pPr>
                  <w:r>
                    <w:rPr>
                      <w:rFonts w:hint="eastAsia"/>
                      <w:color w:val="auto"/>
                    </w:rPr>
                    <w:t>排放浓度</w:t>
                  </w:r>
                </w:p>
                <w:p w14:paraId="0001E8E7">
                  <w:pPr>
                    <w:pStyle w:val="67"/>
                    <w:rPr>
                      <w:rFonts w:hint="eastAsia"/>
                      <w:color w:val="auto"/>
                    </w:rPr>
                  </w:pPr>
                  <w:r>
                    <w:rPr>
                      <w:rFonts w:hint="eastAsia"/>
                      <w:color w:val="auto"/>
                    </w:rPr>
                    <w:t>mg/L</w:t>
                  </w:r>
                </w:p>
              </w:tc>
              <w:tc>
                <w:tcPr>
                  <w:tcW w:w="842" w:type="dxa"/>
                  <w:tcBorders>
                    <w:top w:val="single" w:color="auto" w:sz="4" w:space="0"/>
                    <w:left w:val="single" w:color="auto" w:sz="4" w:space="0"/>
                    <w:bottom w:val="single" w:color="auto" w:sz="4" w:space="0"/>
                    <w:right w:val="single" w:color="auto" w:sz="4" w:space="0"/>
                  </w:tcBorders>
                  <w:noWrap w:val="0"/>
                  <w:vAlign w:val="center"/>
                </w:tcPr>
                <w:p w14:paraId="6A7A4AE5">
                  <w:pPr>
                    <w:keepNext w:val="0"/>
                    <w:keepLines w:val="0"/>
                    <w:widowControl/>
                    <w:suppressLineNumbers w:val="0"/>
                    <w:jc w:val="center"/>
                    <w:textAlignment w:val="center"/>
                    <w:rPr>
                      <w:rFonts w:hint="eastAsia"/>
                      <w:color w:val="auto"/>
                    </w:rPr>
                  </w:pPr>
                  <w:r>
                    <w:rPr>
                      <w:rFonts w:hint="default" w:ascii="Times New Roman" w:hAnsi="Times New Roman" w:eastAsia="宋体" w:cs="Times New Roman"/>
                      <w:i w:val="0"/>
                      <w:iCs w:val="0"/>
                      <w:color w:val="auto"/>
                      <w:kern w:val="0"/>
                      <w:sz w:val="21"/>
                      <w:szCs w:val="21"/>
                      <w:u w:val="none"/>
                      <w:lang w:val="en-US" w:eastAsia="zh-CN" w:bidi="ar"/>
                    </w:rPr>
                    <w:t>250</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7737C8E3">
                  <w:pPr>
                    <w:keepNext w:val="0"/>
                    <w:keepLines w:val="0"/>
                    <w:widowControl/>
                    <w:suppressLineNumbers w:val="0"/>
                    <w:jc w:val="center"/>
                    <w:textAlignment w:val="center"/>
                    <w:rPr>
                      <w:rFonts w:hint="eastAsia"/>
                      <w:color w:val="auto"/>
                    </w:rPr>
                  </w:pPr>
                  <w:r>
                    <w:rPr>
                      <w:rFonts w:hint="default" w:ascii="Times New Roman" w:hAnsi="Times New Roman" w:eastAsia="宋体" w:cs="Times New Roman"/>
                      <w:i w:val="0"/>
                      <w:iCs w:val="0"/>
                      <w:color w:val="auto"/>
                      <w:kern w:val="0"/>
                      <w:sz w:val="21"/>
                      <w:szCs w:val="21"/>
                      <w:u w:val="none"/>
                      <w:lang w:val="en-US" w:eastAsia="zh-CN" w:bidi="ar"/>
                    </w:rPr>
                    <w:t>100</w:t>
                  </w:r>
                </w:p>
              </w:tc>
              <w:tc>
                <w:tcPr>
                  <w:tcW w:w="836" w:type="dxa"/>
                  <w:tcBorders>
                    <w:top w:val="single" w:color="auto" w:sz="4" w:space="0"/>
                    <w:left w:val="single" w:color="auto" w:sz="4" w:space="0"/>
                    <w:bottom w:val="single" w:color="auto" w:sz="4" w:space="0"/>
                    <w:right w:val="single" w:color="auto" w:sz="4" w:space="0"/>
                  </w:tcBorders>
                  <w:noWrap w:val="0"/>
                  <w:vAlign w:val="center"/>
                </w:tcPr>
                <w:p w14:paraId="1D9E59E1">
                  <w:pPr>
                    <w:keepNext w:val="0"/>
                    <w:keepLines w:val="0"/>
                    <w:widowControl/>
                    <w:suppressLineNumbers w:val="0"/>
                    <w:jc w:val="center"/>
                    <w:textAlignment w:val="center"/>
                    <w:rPr>
                      <w:rFonts w:hint="eastAsia"/>
                      <w:color w:val="auto"/>
                    </w:rPr>
                  </w:pPr>
                  <w:r>
                    <w:rPr>
                      <w:rFonts w:hint="default" w:ascii="Times New Roman" w:hAnsi="Times New Roman" w:eastAsia="宋体" w:cs="Times New Roman"/>
                      <w:i w:val="0"/>
                      <w:iCs w:val="0"/>
                      <w:color w:val="auto"/>
                      <w:kern w:val="0"/>
                      <w:sz w:val="21"/>
                      <w:szCs w:val="21"/>
                      <w:u w:val="none"/>
                      <w:lang w:val="en-US" w:eastAsia="zh-CN" w:bidi="ar"/>
                    </w:rPr>
                    <w:t>16</w:t>
                  </w:r>
                </w:p>
              </w:tc>
              <w:tc>
                <w:tcPr>
                  <w:tcW w:w="804" w:type="dxa"/>
                  <w:tcBorders>
                    <w:top w:val="single" w:color="auto" w:sz="4" w:space="0"/>
                    <w:left w:val="single" w:color="auto" w:sz="4" w:space="0"/>
                    <w:bottom w:val="single" w:color="auto" w:sz="4" w:space="0"/>
                    <w:right w:val="single" w:color="auto" w:sz="4" w:space="0"/>
                  </w:tcBorders>
                  <w:noWrap w:val="0"/>
                  <w:vAlign w:val="center"/>
                </w:tcPr>
                <w:p w14:paraId="27F915BE">
                  <w:pPr>
                    <w:keepNext w:val="0"/>
                    <w:keepLines w:val="0"/>
                    <w:widowControl/>
                    <w:suppressLineNumbers w:val="0"/>
                    <w:jc w:val="center"/>
                    <w:textAlignment w:val="center"/>
                    <w:rPr>
                      <w:rFonts w:hint="eastAsia"/>
                      <w:color w:val="auto"/>
                    </w:rPr>
                  </w:pPr>
                  <w:r>
                    <w:rPr>
                      <w:rFonts w:hint="default" w:ascii="Times New Roman" w:hAnsi="Times New Roman" w:eastAsia="宋体" w:cs="Times New Roman"/>
                      <w:i w:val="0"/>
                      <w:iCs w:val="0"/>
                      <w:color w:val="auto"/>
                      <w:kern w:val="0"/>
                      <w:sz w:val="21"/>
                      <w:szCs w:val="21"/>
                      <w:u w:val="none"/>
                      <w:lang w:val="en-US" w:eastAsia="zh-CN" w:bidi="ar"/>
                    </w:rPr>
                    <w:t>30</w:t>
                  </w:r>
                </w:p>
              </w:tc>
              <w:tc>
                <w:tcPr>
                  <w:tcW w:w="1059" w:type="dxa"/>
                  <w:tcBorders>
                    <w:top w:val="single" w:color="auto" w:sz="4" w:space="0"/>
                    <w:left w:val="single" w:color="auto" w:sz="4" w:space="0"/>
                    <w:bottom w:val="single" w:color="auto" w:sz="4" w:space="0"/>
                    <w:right w:val="single" w:color="auto" w:sz="4" w:space="0"/>
                  </w:tcBorders>
                  <w:noWrap w:val="0"/>
                  <w:vAlign w:val="center"/>
                </w:tcPr>
                <w:p w14:paraId="4DC18997">
                  <w:pPr>
                    <w:keepNext w:val="0"/>
                    <w:keepLines w:val="0"/>
                    <w:widowControl/>
                    <w:suppressLineNumbers w:val="0"/>
                    <w:jc w:val="center"/>
                    <w:textAlignment w:val="center"/>
                    <w:rPr>
                      <w:rFonts w:hint="eastAsia"/>
                      <w:color w:val="auto"/>
                    </w:rPr>
                  </w:pPr>
                  <w:r>
                    <w:rPr>
                      <w:rFonts w:hint="default" w:ascii="Times New Roman" w:hAnsi="Times New Roman" w:eastAsia="宋体" w:cs="Times New Roman"/>
                      <w:i w:val="0"/>
                      <w:iCs w:val="0"/>
                      <w:color w:val="auto"/>
                      <w:kern w:val="0"/>
                      <w:sz w:val="21"/>
                      <w:szCs w:val="21"/>
                      <w:u w:val="none"/>
                      <w:lang w:val="en-US" w:eastAsia="zh-CN" w:bidi="ar"/>
                    </w:rPr>
                    <w:t>1000</w:t>
                  </w:r>
                  <w:r>
                    <w:rPr>
                      <w:rFonts w:hint="eastAsia" w:ascii="宋体" w:hAnsi="宋体" w:eastAsia="宋体" w:cs="宋体"/>
                      <w:i w:val="0"/>
                      <w:iCs w:val="0"/>
                      <w:color w:val="auto"/>
                      <w:kern w:val="0"/>
                      <w:sz w:val="21"/>
                      <w:szCs w:val="21"/>
                      <w:u w:val="none"/>
                      <w:lang w:val="en-US" w:eastAsia="zh-CN" w:bidi="ar"/>
                    </w:rPr>
                    <w:t>个</w:t>
                  </w:r>
                  <w:r>
                    <w:rPr>
                      <w:rFonts w:hint="default" w:ascii="Times New Roman" w:hAnsi="Times New Roman" w:eastAsia="宋体" w:cs="Times New Roman"/>
                      <w:i w:val="0"/>
                      <w:iCs w:val="0"/>
                      <w:color w:val="auto"/>
                      <w:kern w:val="0"/>
                      <w:sz w:val="21"/>
                      <w:szCs w:val="21"/>
                      <w:u w:val="none"/>
                      <w:lang w:val="en-US" w:eastAsia="zh-CN" w:bidi="ar"/>
                    </w:rPr>
                    <w:t>/L</w:t>
                  </w:r>
                </w:p>
              </w:tc>
              <w:tc>
                <w:tcPr>
                  <w:tcW w:w="1059" w:type="dxa"/>
                  <w:tcBorders>
                    <w:top w:val="single" w:color="auto" w:sz="4" w:space="0"/>
                    <w:left w:val="single" w:color="auto" w:sz="4" w:space="0"/>
                    <w:bottom w:val="single" w:color="auto" w:sz="4" w:space="0"/>
                    <w:right w:val="nil"/>
                  </w:tcBorders>
                  <w:noWrap w:val="0"/>
                  <w:vAlign w:val="center"/>
                </w:tcPr>
                <w:p w14:paraId="0565E56A">
                  <w:pPr>
                    <w:keepNext w:val="0"/>
                    <w:keepLines w:val="0"/>
                    <w:widowControl/>
                    <w:suppressLineNumbers w:val="0"/>
                    <w:jc w:val="center"/>
                    <w:textAlignment w:val="center"/>
                    <w:rPr>
                      <w:rFonts w:hint="eastAsia"/>
                      <w:color w:val="auto"/>
                    </w:rPr>
                  </w:pPr>
                  <w:r>
                    <w:rPr>
                      <w:rFonts w:hint="default" w:ascii="Times New Roman" w:hAnsi="Times New Roman" w:eastAsia="宋体" w:cs="Times New Roman"/>
                      <w:i w:val="0"/>
                      <w:iCs w:val="0"/>
                      <w:color w:val="auto"/>
                      <w:kern w:val="0"/>
                      <w:sz w:val="21"/>
                      <w:szCs w:val="21"/>
                      <w:u w:val="none"/>
                      <w:lang w:val="en-US" w:eastAsia="zh-CN" w:bidi="ar"/>
                    </w:rPr>
                    <w:t>/</w:t>
                  </w:r>
                </w:p>
              </w:tc>
            </w:tr>
            <w:tr w14:paraId="727111FC">
              <w:tblPrEx>
                <w:tblCellMar>
                  <w:top w:w="0" w:type="dxa"/>
                  <w:left w:w="108" w:type="dxa"/>
                  <w:bottom w:w="0" w:type="dxa"/>
                  <w:right w:w="108" w:type="dxa"/>
                </w:tblCellMar>
              </w:tblPrEx>
              <w:trPr>
                <w:trHeight w:val="241" w:hRule="atLeast"/>
              </w:trPr>
              <w:tc>
                <w:tcPr>
                  <w:tcW w:w="775" w:type="dxa"/>
                  <w:vMerge w:val="continue"/>
                  <w:tcBorders>
                    <w:top w:val="single" w:color="auto" w:sz="4" w:space="0"/>
                    <w:left w:val="nil"/>
                    <w:bottom w:val="single" w:color="auto" w:sz="4" w:space="0"/>
                    <w:right w:val="single" w:color="auto" w:sz="4" w:space="0"/>
                  </w:tcBorders>
                  <w:noWrap w:val="0"/>
                  <w:vAlign w:val="center"/>
                </w:tcPr>
                <w:p w14:paraId="21791CCF">
                  <w:pPr>
                    <w:pStyle w:val="67"/>
                    <w:rPr>
                      <w:rFonts w:hint="eastAsia"/>
                      <w:color w:val="auto"/>
                    </w:rPr>
                  </w:pPr>
                </w:p>
              </w:tc>
              <w:tc>
                <w:tcPr>
                  <w:tcW w:w="657" w:type="dxa"/>
                  <w:vMerge w:val="continue"/>
                  <w:tcBorders>
                    <w:top w:val="single" w:color="auto" w:sz="4" w:space="0"/>
                    <w:left w:val="single" w:color="auto" w:sz="4" w:space="0"/>
                    <w:bottom w:val="single" w:color="auto" w:sz="4" w:space="0"/>
                    <w:right w:val="single" w:color="auto" w:sz="4" w:space="0"/>
                  </w:tcBorders>
                  <w:noWrap w:val="0"/>
                  <w:vAlign w:val="center"/>
                </w:tcPr>
                <w:p w14:paraId="5DD88FD4">
                  <w:pPr>
                    <w:pStyle w:val="67"/>
                    <w:rPr>
                      <w:rFonts w:hint="eastAsia"/>
                      <w:color w:val="auto"/>
                    </w:rPr>
                  </w:pPr>
                </w:p>
              </w:tc>
              <w:tc>
                <w:tcPr>
                  <w:tcW w:w="1153" w:type="dxa"/>
                  <w:tcBorders>
                    <w:top w:val="single" w:color="auto" w:sz="4" w:space="0"/>
                    <w:left w:val="single" w:color="auto" w:sz="4" w:space="0"/>
                    <w:bottom w:val="single" w:color="auto" w:sz="4" w:space="0"/>
                    <w:right w:val="single" w:color="auto" w:sz="4" w:space="0"/>
                  </w:tcBorders>
                  <w:noWrap w:val="0"/>
                  <w:vAlign w:val="center"/>
                </w:tcPr>
                <w:p w14:paraId="05BC8047">
                  <w:pPr>
                    <w:pStyle w:val="67"/>
                    <w:rPr>
                      <w:rFonts w:hint="eastAsia"/>
                      <w:color w:val="auto"/>
                    </w:rPr>
                  </w:pPr>
                  <w:r>
                    <w:rPr>
                      <w:rFonts w:hint="eastAsia"/>
                      <w:color w:val="auto"/>
                    </w:rPr>
                    <w:t>排放量t/a</w:t>
                  </w:r>
                </w:p>
              </w:tc>
              <w:tc>
                <w:tcPr>
                  <w:tcW w:w="842" w:type="dxa"/>
                  <w:tcBorders>
                    <w:top w:val="single" w:color="auto" w:sz="4" w:space="0"/>
                    <w:left w:val="single" w:color="auto" w:sz="4" w:space="0"/>
                    <w:bottom w:val="single" w:color="auto" w:sz="4" w:space="0"/>
                    <w:right w:val="single" w:color="auto" w:sz="4" w:space="0"/>
                  </w:tcBorders>
                  <w:noWrap w:val="0"/>
                  <w:vAlign w:val="center"/>
                </w:tcPr>
                <w:p w14:paraId="22429FF9">
                  <w:pPr>
                    <w:keepNext w:val="0"/>
                    <w:keepLines w:val="0"/>
                    <w:widowControl/>
                    <w:suppressLineNumbers w:val="0"/>
                    <w:jc w:val="center"/>
                    <w:textAlignment w:val="center"/>
                    <w:rPr>
                      <w:rFonts w:hint="eastAsia"/>
                      <w:color w:val="auto"/>
                    </w:rPr>
                  </w:pPr>
                  <w:r>
                    <w:rPr>
                      <w:rFonts w:hint="default" w:ascii="Times New Roman" w:hAnsi="Times New Roman" w:eastAsia="宋体" w:cs="Times New Roman"/>
                      <w:i w:val="0"/>
                      <w:iCs w:val="0"/>
                      <w:color w:val="auto"/>
                      <w:kern w:val="0"/>
                      <w:sz w:val="21"/>
                      <w:szCs w:val="21"/>
                      <w:u w:val="none"/>
                      <w:lang w:val="en-US" w:eastAsia="zh-CN" w:bidi="ar"/>
                    </w:rPr>
                    <w:t>0.002</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66454AB0">
                  <w:pPr>
                    <w:keepNext w:val="0"/>
                    <w:keepLines w:val="0"/>
                    <w:widowControl/>
                    <w:suppressLineNumbers w:val="0"/>
                    <w:jc w:val="center"/>
                    <w:textAlignment w:val="center"/>
                    <w:rPr>
                      <w:rFonts w:hint="eastAsia"/>
                      <w:color w:val="auto"/>
                    </w:rPr>
                  </w:pPr>
                  <w:r>
                    <w:rPr>
                      <w:rFonts w:hint="default" w:ascii="Times New Roman" w:hAnsi="Times New Roman" w:eastAsia="宋体" w:cs="Times New Roman"/>
                      <w:i w:val="0"/>
                      <w:iCs w:val="0"/>
                      <w:color w:val="auto"/>
                      <w:kern w:val="0"/>
                      <w:sz w:val="21"/>
                      <w:szCs w:val="21"/>
                      <w:u w:val="none"/>
                      <w:lang w:val="en-US" w:eastAsia="zh-CN" w:bidi="ar"/>
                    </w:rPr>
                    <w:t>0.001</w:t>
                  </w:r>
                </w:p>
              </w:tc>
              <w:tc>
                <w:tcPr>
                  <w:tcW w:w="836" w:type="dxa"/>
                  <w:tcBorders>
                    <w:top w:val="single" w:color="auto" w:sz="4" w:space="0"/>
                    <w:left w:val="single" w:color="auto" w:sz="4" w:space="0"/>
                    <w:bottom w:val="single" w:color="auto" w:sz="4" w:space="0"/>
                    <w:right w:val="single" w:color="auto" w:sz="4" w:space="0"/>
                  </w:tcBorders>
                  <w:noWrap w:val="0"/>
                  <w:vAlign w:val="center"/>
                </w:tcPr>
                <w:p w14:paraId="03075EB1">
                  <w:pPr>
                    <w:keepNext w:val="0"/>
                    <w:keepLines w:val="0"/>
                    <w:widowControl/>
                    <w:suppressLineNumbers w:val="0"/>
                    <w:jc w:val="center"/>
                    <w:textAlignment w:val="center"/>
                    <w:rPr>
                      <w:rFonts w:hint="eastAsia"/>
                      <w:color w:val="auto"/>
                    </w:rPr>
                  </w:pPr>
                  <w:r>
                    <w:rPr>
                      <w:rFonts w:hint="default" w:ascii="Times New Roman" w:hAnsi="Times New Roman" w:eastAsia="宋体" w:cs="Times New Roman"/>
                      <w:i w:val="0"/>
                      <w:iCs w:val="0"/>
                      <w:color w:val="auto"/>
                      <w:kern w:val="0"/>
                      <w:sz w:val="21"/>
                      <w:szCs w:val="21"/>
                      <w:u w:val="none"/>
                      <w:lang w:val="en-US" w:eastAsia="zh-CN" w:bidi="ar"/>
                    </w:rPr>
                    <w:t>0.0001</w:t>
                  </w:r>
                </w:p>
              </w:tc>
              <w:tc>
                <w:tcPr>
                  <w:tcW w:w="804" w:type="dxa"/>
                  <w:tcBorders>
                    <w:top w:val="single" w:color="auto" w:sz="4" w:space="0"/>
                    <w:left w:val="single" w:color="auto" w:sz="4" w:space="0"/>
                    <w:bottom w:val="single" w:color="auto" w:sz="4" w:space="0"/>
                    <w:right w:val="single" w:color="auto" w:sz="4" w:space="0"/>
                  </w:tcBorders>
                  <w:noWrap w:val="0"/>
                  <w:vAlign w:val="center"/>
                </w:tcPr>
                <w:p w14:paraId="4842400B">
                  <w:pPr>
                    <w:keepNext w:val="0"/>
                    <w:keepLines w:val="0"/>
                    <w:widowControl/>
                    <w:suppressLineNumbers w:val="0"/>
                    <w:jc w:val="center"/>
                    <w:textAlignment w:val="center"/>
                    <w:rPr>
                      <w:rFonts w:hint="eastAsia"/>
                      <w:color w:val="auto"/>
                    </w:rPr>
                  </w:pPr>
                  <w:r>
                    <w:rPr>
                      <w:rFonts w:hint="default" w:ascii="Times New Roman" w:hAnsi="Times New Roman" w:eastAsia="宋体" w:cs="Times New Roman"/>
                      <w:i w:val="0"/>
                      <w:iCs w:val="0"/>
                      <w:color w:val="auto"/>
                      <w:kern w:val="0"/>
                      <w:sz w:val="21"/>
                      <w:szCs w:val="21"/>
                      <w:u w:val="none"/>
                      <w:lang w:val="en-US" w:eastAsia="zh-CN" w:bidi="ar"/>
                    </w:rPr>
                    <w:t>0.0003</w:t>
                  </w:r>
                </w:p>
              </w:tc>
              <w:tc>
                <w:tcPr>
                  <w:tcW w:w="1059" w:type="dxa"/>
                  <w:tcBorders>
                    <w:top w:val="single" w:color="auto" w:sz="4" w:space="0"/>
                    <w:left w:val="single" w:color="auto" w:sz="4" w:space="0"/>
                    <w:bottom w:val="single" w:color="auto" w:sz="4" w:space="0"/>
                    <w:right w:val="single" w:color="auto" w:sz="4" w:space="0"/>
                  </w:tcBorders>
                  <w:noWrap w:val="0"/>
                  <w:vAlign w:val="center"/>
                </w:tcPr>
                <w:p w14:paraId="7BC520BC">
                  <w:pPr>
                    <w:jc w:val="center"/>
                    <w:rPr>
                      <w:rFonts w:hint="eastAsia" w:eastAsia="宋体"/>
                      <w:color w:val="auto"/>
                      <w:lang w:val="en-US" w:eastAsia="zh-CN"/>
                    </w:rPr>
                  </w:pPr>
                  <w:r>
                    <w:rPr>
                      <w:rFonts w:hint="eastAsia"/>
                      <w:color w:val="auto"/>
                      <w:lang w:val="en-US" w:eastAsia="zh-CN"/>
                    </w:rPr>
                    <w:t>/</w:t>
                  </w:r>
                </w:p>
              </w:tc>
              <w:tc>
                <w:tcPr>
                  <w:tcW w:w="1059" w:type="dxa"/>
                  <w:tcBorders>
                    <w:top w:val="single" w:color="auto" w:sz="4" w:space="0"/>
                    <w:left w:val="single" w:color="auto" w:sz="4" w:space="0"/>
                    <w:bottom w:val="single" w:color="auto" w:sz="4" w:space="0"/>
                    <w:right w:val="nil"/>
                  </w:tcBorders>
                  <w:noWrap w:val="0"/>
                  <w:vAlign w:val="center"/>
                </w:tcPr>
                <w:p w14:paraId="5367204A">
                  <w:pPr>
                    <w:keepNext w:val="0"/>
                    <w:keepLines w:val="0"/>
                    <w:widowControl/>
                    <w:suppressLineNumbers w:val="0"/>
                    <w:jc w:val="center"/>
                    <w:textAlignment w:val="center"/>
                    <w:rPr>
                      <w:color w:val="auto"/>
                    </w:rPr>
                  </w:pPr>
                  <w:r>
                    <w:rPr>
                      <w:rFonts w:hint="default" w:ascii="Times New Roman" w:hAnsi="Times New Roman" w:eastAsia="宋体" w:cs="Times New Roman"/>
                      <w:i w:val="0"/>
                      <w:iCs w:val="0"/>
                      <w:color w:val="auto"/>
                      <w:kern w:val="0"/>
                      <w:sz w:val="21"/>
                      <w:szCs w:val="21"/>
                      <w:u w:val="none"/>
                      <w:lang w:val="en-US" w:eastAsia="zh-CN" w:bidi="ar"/>
                    </w:rPr>
                    <w:t>/</w:t>
                  </w:r>
                </w:p>
              </w:tc>
            </w:tr>
            <w:tr w14:paraId="244A8ED3">
              <w:tblPrEx>
                <w:tblCellMar>
                  <w:top w:w="0" w:type="dxa"/>
                  <w:left w:w="108" w:type="dxa"/>
                  <w:bottom w:w="0" w:type="dxa"/>
                  <w:right w:w="108" w:type="dxa"/>
                </w:tblCellMar>
              </w:tblPrEx>
              <w:trPr>
                <w:trHeight w:val="323" w:hRule="atLeast"/>
              </w:trPr>
              <w:tc>
                <w:tcPr>
                  <w:tcW w:w="2585" w:type="dxa"/>
                  <w:gridSpan w:val="3"/>
                  <w:tcBorders>
                    <w:top w:val="single" w:color="auto" w:sz="4" w:space="0"/>
                    <w:left w:val="nil"/>
                    <w:bottom w:val="single" w:color="auto" w:sz="4" w:space="0"/>
                    <w:right w:val="single" w:color="auto" w:sz="4" w:space="0"/>
                  </w:tcBorders>
                  <w:noWrap w:val="0"/>
                  <w:vAlign w:val="center"/>
                </w:tcPr>
                <w:p w14:paraId="1A3FA2F5">
                  <w:pPr>
                    <w:pStyle w:val="67"/>
                    <w:rPr>
                      <w:rFonts w:hint="eastAsia"/>
                      <w:color w:val="auto"/>
                    </w:rPr>
                  </w:pPr>
                  <w:r>
                    <w:rPr>
                      <w:rFonts w:hint="eastAsia"/>
                      <w:color w:val="auto"/>
                      <w:lang w:val="en-US" w:eastAsia="zh-CN"/>
                    </w:rPr>
                    <w:t>医疗废水预处理执行</w:t>
                  </w:r>
                  <w:r>
                    <w:rPr>
                      <w:color w:val="auto"/>
                    </w:rPr>
                    <w:t>GB18466-2005</w:t>
                  </w:r>
                  <w:r>
                    <w:rPr>
                      <w:rFonts w:hint="eastAsia"/>
                      <w:color w:val="auto"/>
                    </w:rPr>
                    <w:t>标准</w:t>
                  </w:r>
                </w:p>
              </w:tc>
              <w:tc>
                <w:tcPr>
                  <w:tcW w:w="842" w:type="dxa"/>
                  <w:tcBorders>
                    <w:top w:val="single" w:color="auto" w:sz="4" w:space="0"/>
                    <w:left w:val="single" w:color="auto" w:sz="4" w:space="0"/>
                    <w:bottom w:val="single" w:color="auto" w:sz="4" w:space="0"/>
                    <w:right w:val="single" w:color="auto" w:sz="4" w:space="0"/>
                  </w:tcBorders>
                  <w:noWrap w:val="0"/>
                  <w:vAlign w:val="center"/>
                </w:tcPr>
                <w:p w14:paraId="3CFC3832">
                  <w:pPr>
                    <w:pStyle w:val="67"/>
                    <w:rPr>
                      <w:rFonts w:hint="eastAsia"/>
                      <w:color w:val="auto"/>
                    </w:rPr>
                  </w:pPr>
                  <w:r>
                    <w:rPr>
                      <w:rFonts w:hint="eastAsia"/>
                      <w:color w:val="auto"/>
                    </w:rPr>
                    <w:t>250</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09F011E9">
                  <w:pPr>
                    <w:widowControl/>
                    <w:jc w:val="center"/>
                    <w:textAlignment w:val="center"/>
                    <w:rPr>
                      <w:color w:val="auto"/>
                      <w:kern w:val="0"/>
                      <w:sz w:val="21"/>
                      <w:szCs w:val="21"/>
                      <w:lang w:bidi="ar"/>
                    </w:rPr>
                  </w:pPr>
                  <w:r>
                    <w:rPr>
                      <w:color w:val="auto"/>
                      <w:kern w:val="0"/>
                      <w:sz w:val="21"/>
                      <w:szCs w:val="21"/>
                      <w:lang w:bidi="ar"/>
                    </w:rPr>
                    <w:t>100</w:t>
                  </w:r>
                </w:p>
              </w:tc>
              <w:tc>
                <w:tcPr>
                  <w:tcW w:w="836" w:type="dxa"/>
                  <w:tcBorders>
                    <w:top w:val="single" w:color="auto" w:sz="4" w:space="0"/>
                    <w:left w:val="single" w:color="auto" w:sz="4" w:space="0"/>
                    <w:bottom w:val="single" w:color="auto" w:sz="4" w:space="0"/>
                    <w:right w:val="single" w:color="auto" w:sz="4" w:space="0"/>
                  </w:tcBorders>
                  <w:noWrap w:val="0"/>
                  <w:vAlign w:val="center"/>
                </w:tcPr>
                <w:p w14:paraId="749C4952">
                  <w:pPr>
                    <w:pStyle w:val="67"/>
                    <w:rPr>
                      <w:rFonts w:hint="eastAsia"/>
                      <w:color w:val="auto"/>
                    </w:rPr>
                  </w:pPr>
                  <w:r>
                    <w:rPr>
                      <w:rFonts w:hint="eastAsia"/>
                      <w:color w:val="auto"/>
                    </w:rPr>
                    <w:t>60</w:t>
                  </w:r>
                </w:p>
              </w:tc>
              <w:tc>
                <w:tcPr>
                  <w:tcW w:w="804" w:type="dxa"/>
                  <w:tcBorders>
                    <w:top w:val="single" w:color="auto" w:sz="4" w:space="0"/>
                    <w:left w:val="single" w:color="auto" w:sz="4" w:space="0"/>
                    <w:bottom w:val="single" w:color="auto" w:sz="4" w:space="0"/>
                    <w:right w:val="single" w:color="auto" w:sz="4" w:space="0"/>
                  </w:tcBorders>
                  <w:noWrap w:val="0"/>
                  <w:vAlign w:val="center"/>
                </w:tcPr>
                <w:p w14:paraId="7B42EAD8">
                  <w:pPr>
                    <w:pStyle w:val="67"/>
                    <w:rPr>
                      <w:rFonts w:hint="eastAsia"/>
                      <w:color w:val="auto"/>
                    </w:rPr>
                  </w:pPr>
                  <w:r>
                    <w:rPr>
                      <w:rFonts w:hint="eastAsia"/>
                      <w:color w:val="auto"/>
                    </w:rPr>
                    <w:t>45</w:t>
                  </w:r>
                </w:p>
              </w:tc>
              <w:tc>
                <w:tcPr>
                  <w:tcW w:w="1059" w:type="dxa"/>
                  <w:tcBorders>
                    <w:top w:val="single" w:color="auto" w:sz="4" w:space="0"/>
                    <w:left w:val="single" w:color="auto" w:sz="4" w:space="0"/>
                    <w:bottom w:val="single" w:color="auto" w:sz="4" w:space="0"/>
                    <w:right w:val="single" w:color="auto" w:sz="4" w:space="0"/>
                  </w:tcBorders>
                  <w:noWrap w:val="0"/>
                  <w:vAlign w:val="center"/>
                </w:tcPr>
                <w:p w14:paraId="1B103CC1">
                  <w:pPr>
                    <w:pStyle w:val="67"/>
                    <w:rPr>
                      <w:rFonts w:hint="eastAsia"/>
                      <w:color w:val="auto"/>
                    </w:rPr>
                  </w:pPr>
                  <w:r>
                    <w:rPr>
                      <w:color w:val="auto"/>
                    </w:rPr>
                    <w:t>≤5000MPN/L</w:t>
                  </w:r>
                </w:p>
              </w:tc>
              <w:tc>
                <w:tcPr>
                  <w:tcW w:w="1059" w:type="dxa"/>
                  <w:tcBorders>
                    <w:top w:val="single" w:color="auto" w:sz="4" w:space="0"/>
                    <w:left w:val="single" w:color="auto" w:sz="4" w:space="0"/>
                    <w:bottom w:val="single" w:color="auto" w:sz="4" w:space="0"/>
                    <w:right w:val="nil"/>
                  </w:tcBorders>
                  <w:noWrap w:val="0"/>
                  <w:vAlign w:val="center"/>
                </w:tcPr>
                <w:p w14:paraId="61B0A8F3">
                  <w:pPr>
                    <w:pStyle w:val="67"/>
                    <w:rPr>
                      <w:color w:val="auto"/>
                    </w:rPr>
                  </w:pPr>
                  <w:r>
                    <w:rPr>
                      <w:rFonts w:hint="eastAsia"/>
                      <w:color w:val="auto"/>
                    </w:rPr>
                    <w:t>10</w:t>
                  </w:r>
                </w:p>
              </w:tc>
            </w:tr>
            <w:tr w14:paraId="539373AA">
              <w:tblPrEx>
                <w:tblCellMar>
                  <w:top w:w="0" w:type="dxa"/>
                  <w:left w:w="108" w:type="dxa"/>
                  <w:bottom w:w="0" w:type="dxa"/>
                  <w:right w:w="108" w:type="dxa"/>
                </w:tblCellMar>
              </w:tblPrEx>
              <w:trPr>
                <w:trHeight w:val="225" w:hRule="atLeast"/>
              </w:trPr>
              <w:tc>
                <w:tcPr>
                  <w:tcW w:w="775" w:type="dxa"/>
                  <w:vMerge w:val="restart"/>
                  <w:tcBorders>
                    <w:top w:val="single" w:color="auto" w:sz="4" w:space="0"/>
                    <w:left w:val="nil"/>
                    <w:bottom w:val="single" w:color="auto" w:sz="4" w:space="0"/>
                    <w:right w:val="single" w:color="auto" w:sz="4" w:space="0"/>
                  </w:tcBorders>
                  <w:noWrap w:val="0"/>
                  <w:vAlign w:val="center"/>
                </w:tcPr>
                <w:p w14:paraId="58002E1A">
                  <w:pPr>
                    <w:pStyle w:val="67"/>
                    <w:rPr>
                      <w:rFonts w:hint="eastAsia"/>
                      <w:color w:val="auto"/>
                    </w:rPr>
                  </w:pPr>
                  <w:r>
                    <w:rPr>
                      <w:rFonts w:hint="eastAsia"/>
                      <w:color w:val="auto"/>
                    </w:rPr>
                    <w:t>生活污水、宠物美容清洗废水</w:t>
                  </w:r>
                </w:p>
              </w:tc>
              <w:tc>
                <w:tcPr>
                  <w:tcW w:w="657" w:type="dxa"/>
                  <w:vMerge w:val="restart"/>
                  <w:tcBorders>
                    <w:top w:val="single" w:color="auto" w:sz="4" w:space="0"/>
                    <w:left w:val="single" w:color="auto" w:sz="4" w:space="0"/>
                    <w:bottom w:val="single" w:color="auto" w:sz="4" w:space="0"/>
                    <w:right w:val="single" w:color="auto" w:sz="4" w:space="0"/>
                  </w:tcBorders>
                  <w:noWrap w:val="0"/>
                  <w:vAlign w:val="center"/>
                </w:tcPr>
                <w:p w14:paraId="556F1CCF">
                  <w:pPr>
                    <w:pStyle w:val="67"/>
                    <w:rPr>
                      <w:rFonts w:hint="default" w:eastAsia="宋体"/>
                      <w:color w:val="auto"/>
                      <w:lang w:val="en-US" w:eastAsia="zh-CN"/>
                    </w:rPr>
                  </w:pPr>
                  <w:r>
                    <w:rPr>
                      <w:rFonts w:hint="eastAsia"/>
                      <w:color w:val="auto"/>
                      <w:lang w:val="en-US" w:eastAsia="zh-CN"/>
                    </w:rPr>
                    <w:t>281.52</w:t>
                  </w:r>
                </w:p>
              </w:tc>
              <w:tc>
                <w:tcPr>
                  <w:tcW w:w="1153" w:type="dxa"/>
                  <w:tcBorders>
                    <w:top w:val="single" w:color="auto" w:sz="4" w:space="0"/>
                    <w:left w:val="single" w:color="auto" w:sz="4" w:space="0"/>
                    <w:bottom w:val="single" w:color="auto" w:sz="4" w:space="0"/>
                    <w:right w:val="single" w:color="auto" w:sz="4" w:space="0"/>
                  </w:tcBorders>
                  <w:noWrap w:val="0"/>
                  <w:vAlign w:val="center"/>
                </w:tcPr>
                <w:p w14:paraId="083A9DAA">
                  <w:pPr>
                    <w:pStyle w:val="67"/>
                    <w:rPr>
                      <w:rFonts w:hint="eastAsia"/>
                      <w:color w:val="auto"/>
                    </w:rPr>
                  </w:pPr>
                  <w:r>
                    <w:rPr>
                      <w:rFonts w:hint="eastAsia"/>
                      <w:color w:val="auto"/>
                    </w:rPr>
                    <w:t>产生浓度</w:t>
                  </w:r>
                </w:p>
                <w:p w14:paraId="41180E52">
                  <w:pPr>
                    <w:pStyle w:val="67"/>
                    <w:rPr>
                      <w:rFonts w:hint="eastAsia"/>
                      <w:color w:val="auto"/>
                    </w:rPr>
                  </w:pPr>
                  <w:r>
                    <w:rPr>
                      <w:rFonts w:hint="eastAsia"/>
                      <w:color w:val="auto"/>
                    </w:rPr>
                    <w:t>mg/L</w:t>
                  </w:r>
                </w:p>
              </w:tc>
              <w:tc>
                <w:tcPr>
                  <w:tcW w:w="842" w:type="dxa"/>
                  <w:tcBorders>
                    <w:top w:val="single" w:color="auto" w:sz="4" w:space="0"/>
                    <w:left w:val="single" w:color="auto" w:sz="4" w:space="0"/>
                    <w:bottom w:val="single" w:color="auto" w:sz="4" w:space="0"/>
                    <w:right w:val="single" w:color="auto" w:sz="4" w:space="0"/>
                  </w:tcBorders>
                  <w:noWrap w:val="0"/>
                  <w:vAlign w:val="center"/>
                </w:tcPr>
                <w:p w14:paraId="33DF4C55">
                  <w:pPr>
                    <w:keepNext w:val="0"/>
                    <w:keepLines w:val="0"/>
                    <w:widowControl/>
                    <w:suppressLineNumbers w:val="0"/>
                    <w:jc w:val="center"/>
                    <w:textAlignment w:val="center"/>
                    <w:rPr>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400</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37E98ED9">
                  <w:pPr>
                    <w:keepNext w:val="0"/>
                    <w:keepLines w:val="0"/>
                    <w:widowControl/>
                    <w:suppressLineNumbers w:val="0"/>
                    <w:jc w:val="center"/>
                    <w:textAlignment w:val="center"/>
                    <w:rPr>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200</w:t>
                  </w:r>
                </w:p>
              </w:tc>
              <w:tc>
                <w:tcPr>
                  <w:tcW w:w="836" w:type="dxa"/>
                  <w:tcBorders>
                    <w:top w:val="single" w:color="auto" w:sz="4" w:space="0"/>
                    <w:left w:val="single" w:color="auto" w:sz="4" w:space="0"/>
                    <w:bottom w:val="single" w:color="auto" w:sz="4" w:space="0"/>
                    <w:right w:val="single" w:color="auto" w:sz="4" w:space="0"/>
                  </w:tcBorders>
                  <w:noWrap w:val="0"/>
                  <w:vAlign w:val="center"/>
                </w:tcPr>
                <w:p w14:paraId="6AD4FF8F">
                  <w:pPr>
                    <w:keepNext w:val="0"/>
                    <w:keepLines w:val="0"/>
                    <w:widowControl/>
                    <w:suppressLineNumbers w:val="0"/>
                    <w:jc w:val="center"/>
                    <w:textAlignment w:val="center"/>
                    <w:rPr>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200</w:t>
                  </w:r>
                </w:p>
              </w:tc>
              <w:tc>
                <w:tcPr>
                  <w:tcW w:w="804" w:type="dxa"/>
                  <w:tcBorders>
                    <w:top w:val="single" w:color="auto" w:sz="4" w:space="0"/>
                    <w:left w:val="single" w:color="auto" w:sz="4" w:space="0"/>
                    <w:bottom w:val="single" w:color="auto" w:sz="4" w:space="0"/>
                    <w:right w:val="single" w:color="auto" w:sz="4" w:space="0"/>
                  </w:tcBorders>
                  <w:noWrap w:val="0"/>
                  <w:vAlign w:val="center"/>
                </w:tcPr>
                <w:p w14:paraId="284E1201">
                  <w:pPr>
                    <w:keepNext w:val="0"/>
                    <w:keepLines w:val="0"/>
                    <w:widowControl/>
                    <w:suppressLineNumbers w:val="0"/>
                    <w:jc w:val="center"/>
                    <w:textAlignment w:val="center"/>
                    <w:rPr>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40</w:t>
                  </w:r>
                </w:p>
              </w:tc>
              <w:tc>
                <w:tcPr>
                  <w:tcW w:w="1059" w:type="dxa"/>
                  <w:tcBorders>
                    <w:top w:val="single" w:color="auto" w:sz="4" w:space="0"/>
                    <w:left w:val="single" w:color="auto" w:sz="4" w:space="0"/>
                    <w:bottom w:val="single" w:color="auto" w:sz="4" w:space="0"/>
                    <w:right w:val="single" w:color="auto" w:sz="4" w:space="0"/>
                  </w:tcBorders>
                  <w:noWrap w:val="0"/>
                  <w:vAlign w:val="center"/>
                </w:tcPr>
                <w:p w14:paraId="6B055655">
                  <w:pPr>
                    <w:keepNext w:val="0"/>
                    <w:keepLines w:val="0"/>
                    <w:widowControl/>
                    <w:suppressLineNumbers w:val="0"/>
                    <w:jc w:val="center"/>
                    <w:textAlignment w:val="center"/>
                    <w:rPr>
                      <w:rFonts w:hint="eastAsia"/>
                      <w:color w:val="auto"/>
                    </w:rPr>
                  </w:pPr>
                  <w:r>
                    <w:rPr>
                      <w:rFonts w:hint="default" w:ascii="Times New Roman" w:hAnsi="Times New Roman" w:eastAsia="宋体" w:cs="Times New Roman"/>
                      <w:i w:val="0"/>
                      <w:iCs w:val="0"/>
                      <w:color w:val="auto"/>
                      <w:kern w:val="0"/>
                      <w:sz w:val="21"/>
                      <w:szCs w:val="21"/>
                      <w:u w:val="none"/>
                      <w:lang w:val="en-US" w:eastAsia="zh-CN" w:bidi="ar"/>
                    </w:rPr>
                    <w:t>/</w:t>
                  </w:r>
                </w:p>
              </w:tc>
              <w:tc>
                <w:tcPr>
                  <w:tcW w:w="1059" w:type="dxa"/>
                  <w:tcBorders>
                    <w:top w:val="single" w:color="auto" w:sz="4" w:space="0"/>
                    <w:left w:val="single" w:color="auto" w:sz="4" w:space="0"/>
                    <w:bottom w:val="single" w:color="auto" w:sz="4" w:space="0"/>
                    <w:right w:val="nil"/>
                  </w:tcBorders>
                  <w:noWrap w:val="0"/>
                  <w:vAlign w:val="center"/>
                </w:tcPr>
                <w:p w14:paraId="78A893D5">
                  <w:pPr>
                    <w:keepNext w:val="0"/>
                    <w:keepLines w:val="0"/>
                    <w:widowControl/>
                    <w:suppressLineNumbers w:val="0"/>
                    <w:jc w:val="center"/>
                    <w:textAlignment w:val="center"/>
                    <w:rPr>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8</w:t>
                  </w:r>
                </w:p>
              </w:tc>
            </w:tr>
            <w:tr w14:paraId="344B2F38">
              <w:tblPrEx>
                <w:tblCellMar>
                  <w:top w:w="0" w:type="dxa"/>
                  <w:left w:w="108" w:type="dxa"/>
                  <w:bottom w:w="0" w:type="dxa"/>
                  <w:right w:w="108" w:type="dxa"/>
                </w:tblCellMar>
              </w:tblPrEx>
              <w:trPr>
                <w:trHeight w:val="225" w:hRule="atLeast"/>
              </w:trPr>
              <w:tc>
                <w:tcPr>
                  <w:tcW w:w="775" w:type="dxa"/>
                  <w:vMerge w:val="continue"/>
                  <w:tcBorders>
                    <w:top w:val="single" w:color="auto" w:sz="4" w:space="0"/>
                    <w:left w:val="nil"/>
                    <w:bottom w:val="single" w:color="auto" w:sz="4" w:space="0"/>
                    <w:right w:val="single" w:color="auto" w:sz="4" w:space="0"/>
                  </w:tcBorders>
                  <w:noWrap w:val="0"/>
                  <w:vAlign w:val="center"/>
                </w:tcPr>
                <w:p w14:paraId="1B9968C6">
                  <w:pPr>
                    <w:pStyle w:val="67"/>
                    <w:rPr>
                      <w:rFonts w:hint="eastAsia"/>
                      <w:color w:val="auto"/>
                    </w:rPr>
                  </w:pPr>
                </w:p>
              </w:tc>
              <w:tc>
                <w:tcPr>
                  <w:tcW w:w="657" w:type="dxa"/>
                  <w:vMerge w:val="continue"/>
                  <w:tcBorders>
                    <w:top w:val="single" w:color="auto" w:sz="4" w:space="0"/>
                    <w:left w:val="single" w:color="auto" w:sz="4" w:space="0"/>
                    <w:bottom w:val="single" w:color="auto" w:sz="4" w:space="0"/>
                    <w:right w:val="single" w:color="auto" w:sz="4" w:space="0"/>
                  </w:tcBorders>
                  <w:noWrap w:val="0"/>
                  <w:vAlign w:val="center"/>
                </w:tcPr>
                <w:p w14:paraId="121CD575">
                  <w:pPr>
                    <w:pStyle w:val="67"/>
                    <w:rPr>
                      <w:rFonts w:hint="eastAsia"/>
                      <w:color w:val="auto"/>
                    </w:rPr>
                  </w:pPr>
                </w:p>
              </w:tc>
              <w:tc>
                <w:tcPr>
                  <w:tcW w:w="1153" w:type="dxa"/>
                  <w:tcBorders>
                    <w:top w:val="single" w:color="auto" w:sz="4" w:space="0"/>
                    <w:left w:val="single" w:color="auto" w:sz="4" w:space="0"/>
                    <w:bottom w:val="single" w:color="auto" w:sz="4" w:space="0"/>
                    <w:right w:val="single" w:color="auto" w:sz="4" w:space="0"/>
                  </w:tcBorders>
                  <w:noWrap w:val="0"/>
                  <w:vAlign w:val="center"/>
                </w:tcPr>
                <w:p w14:paraId="17FCFB5B">
                  <w:pPr>
                    <w:pStyle w:val="67"/>
                    <w:rPr>
                      <w:rFonts w:hint="eastAsia"/>
                      <w:color w:val="auto"/>
                    </w:rPr>
                  </w:pPr>
                  <w:r>
                    <w:rPr>
                      <w:rFonts w:hint="eastAsia"/>
                      <w:color w:val="auto"/>
                    </w:rPr>
                    <w:t>产生量</w:t>
                  </w:r>
                </w:p>
                <w:p w14:paraId="4C496085">
                  <w:pPr>
                    <w:pStyle w:val="67"/>
                    <w:rPr>
                      <w:rFonts w:hint="eastAsia"/>
                      <w:color w:val="auto"/>
                    </w:rPr>
                  </w:pPr>
                  <w:r>
                    <w:rPr>
                      <w:rFonts w:hint="eastAsia"/>
                      <w:color w:val="auto"/>
                    </w:rPr>
                    <w:t>t/a</w:t>
                  </w:r>
                </w:p>
              </w:tc>
              <w:tc>
                <w:tcPr>
                  <w:tcW w:w="842" w:type="dxa"/>
                  <w:tcBorders>
                    <w:top w:val="single" w:color="auto" w:sz="4" w:space="0"/>
                    <w:left w:val="single" w:color="auto" w:sz="4" w:space="0"/>
                    <w:bottom w:val="single" w:color="auto" w:sz="4" w:space="0"/>
                    <w:right w:val="single" w:color="auto" w:sz="4" w:space="0"/>
                  </w:tcBorders>
                  <w:noWrap w:val="0"/>
                  <w:vAlign w:val="center"/>
                </w:tcPr>
                <w:p w14:paraId="66BC5B63">
                  <w:pPr>
                    <w:keepNext w:val="0"/>
                    <w:keepLines w:val="0"/>
                    <w:widowControl/>
                    <w:suppressLineNumbers w:val="0"/>
                    <w:jc w:val="center"/>
                    <w:textAlignment w:val="center"/>
                    <w:rPr>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0.113</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22057DED">
                  <w:pPr>
                    <w:keepNext w:val="0"/>
                    <w:keepLines w:val="0"/>
                    <w:widowControl/>
                    <w:suppressLineNumbers w:val="0"/>
                    <w:jc w:val="center"/>
                    <w:textAlignment w:val="center"/>
                    <w:rPr>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0.056</w:t>
                  </w:r>
                </w:p>
              </w:tc>
              <w:tc>
                <w:tcPr>
                  <w:tcW w:w="836" w:type="dxa"/>
                  <w:tcBorders>
                    <w:top w:val="single" w:color="auto" w:sz="4" w:space="0"/>
                    <w:left w:val="single" w:color="auto" w:sz="4" w:space="0"/>
                    <w:bottom w:val="single" w:color="auto" w:sz="4" w:space="0"/>
                    <w:right w:val="single" w:color="auto" w:sz="4" w:space="0"/>
                  </w:tcBorders>
                  <w:noWrap w:val="0"/>
                  <w:vAlign w:val="center"/>
                </w:tcPr>
                <w:p w14:paraId="2AAC7A76">
                  <w:pPr>
                    <w:keepNext w:val="0"/>
                    <w:keepLines w:val="0"/>
                    <w:widowControl/>
                    <w:suppressLineNumbers w:val="0"/>
                    <w:jc w:val="center"/>
                    <w:textAlignment w:val="center"/>
                    <w:rPr>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0.056</w:t>
                  </w:r>
                </w:p>
              </w:tc>
              <w:tc>
                <w:tcPr>
                  <w:tcW w:w="804" w:type="dxa"/>
                  <w:tcBorders>
                    <w:top w:val="single" w:color="auto" w:sz="4" w:space="0"/>
                    <w:left w:val="single" w:color="auto" w:sz="4" w:space="0"/>
                    <w:bottom w:val="single" w:color="auto" w:sz="4" w:space="0"/>
                    <w:right w:val="single" w:color="auto" w:sz="4" w:space="0"/>
                  </w:tcBorders>
                  <w:noWrap w:val="0"/>
                  <w:vAlign w:val="center"/>
                </w:tcPr>
                <w:p w14:paraId="7BE54B62">
                  <w:pPr>
                    <w:keepNext w:val="0"/>
                    <w:keepLines w:val="0"/>
                    <w:widowControl/>
                    <w:suppressLineNumbers w:val="0"/>
                    <w:jc w:val="center"/>
                    <w:textAlignment w:val="center"/>
                    <w:rPr>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0.011</w:t>
                  </w:r>
                </w:p>
              </w:tc>
              <w:tc>
                <w:tcPr>
                  <w:tcW w:w="1059" w:type="dxa"/>
                  <w:tcBorders>
                    <w:top w:val="single" w:color="auto" w:sz="4" w:space="0"/>
                    <w:left w:val="single" w:color="auto" w:sz="4" w:space="0"/>
                    <w:bottom w:val="single" w:color="auto" w:sz="4" w:space="0"/>
                    <w:right w:val="single" w:color="auto" w:sz="4" w:space="0"/>
                  </w:tcBorders>
                  <w:noWrap w:val="0"/>
                  <w:vAlign w:val="center"/>
                </w:tcPr>
                <w:p w14:paraId="71B8C218">
                  <w:pPr>
                    <w:keepNext w:val="0"/>
                    <w:keepLines w:val="0"/>
                    <w:widowControl/>
                    <w:suppressLineNumbers w:val="0"/>
                    <w:jc w:val="center"/>
                    <w:textAlignment w:val="center"/>
                    <w:rPr>
                      <w:rFonts w:hint="eastAsia"/>
                      <w:color w:val="auto"/>
                    </w:rPr>
                  </w:pPr>
                  <w:r>
                    <w:rPr>
                      <w:rFonts w:hint="default" w:ascii="Times New Roman" w:hAnsi="Times New Roman" w:eastAsia="宋体" w:cs="Times New Roman"/>
                      <w:i w:val="0"/>
                      <w:iCs w:val="0"/>
                      <w:color w:val="auto"/>
                      <w:kern w:val="0"/>
                      <w:sz w:val="21"/>
                      <w:szCs w:val="21"/>
                      <w:u w:val="none"/>
                      <w:lang w:val="en-US" w:eastAsia="zh-CN" w:bidi="ar"/>
                    </w:rPr>
                    <w:t>/</w:t>
                  </w:r>
                </w:p>
              </w:tc>
              <w:tc>
                <w:tcPr>
                  <w:tcW w:w="1059" w:type="dxa"/>
                  <w:tcBorders>
                    <w:top w:val="single" w:color="auto" w:sz="4" w:space="0"/>
                    <w:left w:val="single" w:color="auto" w:sz="4" w:space="0"/>
                    <w:bottom w:val="single" w:color="auto" w:sz="4" w:space="0"/>
                    <w:right w:val="nil"/>
                  </w:tcBorders>
                  <w:noWrap w:val="0"/>
                  <w:vAlign w:val="center"/>
                </w:tcPr>
                <w:p w14:paraId="3CF8B5A5">
                  <w:pPr>
                    <w:keepNext w:val="0"/>
                    <w:keepLines w:val="0"/>
                    <w:widowControl/>
                    <w:suppressLineNumbers w:val="0"/>
                    <w:jc w:val="center"/>
                    <w:textAlignment w:val="center"/>
                    <w:rPr>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0.002</w:t>
                  </w:r>
                </w:p>
              </w:tc>
            </w:tr>
            <w:tr w14:paraId="54CE0C1F">
              <w:tblPrEx>
                <w:tblCellMar>
                  <w:top w:w="0" w:type="dxa"/>
                  <w:left w:w="108" w:type="dxa"/>
                  <w:bottom w:w="0" w:type="dxa"/>
                  <w:right w:w="108" w:type="dxa"/>
                </w:tblCellMar>
              </w:tblPrEx>
              <w:trPr>
                <w:trHeight w:val="225" w:hRule="atLeast"/>
              </w:trPr>
              <w:tc>
                <w:tcPr>
                  <w:tcW w:w="775" w:type="dxa"/>
                  <w:vMerge w:val="restart"/>
                  <w:tcBorders>
                    <w:top w:val="single" w:color="auto" w:sz="4" w:space="0"/>
                    <w:left w:val="nil"/>
                    <w:bottom w:val="single" w:color="auto" w:sz="4" w:space="0"/>
                    <w:right w:val="single" w:color="auto" w:sz="4" w:space="0"/>
                  </w:tcBorders>
                  <w:noWrap w:val="0"/>
                  <w:vAlign w:val="center"/>
                </w:tcPr>
                <w:p w14:paraId="50F7BC18">
                  <w:pPr>
                    <w:pStyle w:val="67"/>
                    <w:rPr>
                      <w:rFonts w:hint="eastAsia"/>
                      <w:color w:val="auto"/>
                    </w:rPr>
                  </w:pPr>
                  <w:r>
                    <w:rPr>
                      <w:rFonts w:hint="eastAsia"/>
                      <w:color w:val="auto"/>
                    </w:rPr>
                    <w:t>综合废水</w:t>
                  </w:r>
                </w:p>
              </w:tc>
              <w:tc>
                <w:tcPr>
                  <w:tcW w:w="657" w:type="dxa"/>
                  <w:vMerge w:val="restart"/>
                  <w:tcBorders>
                    <w:top w:val="single" w:color="auto" w:sz="4" w:space="0"/>
                    <w:left w:val="single" w:color="auto" w:sz="4" w:space="0"/>
                    <w:bottom w:val="single" w:color="auto" w:sz="4" w:space="0"/>
                    <w:right w:val="single" w:color="auto" w:sz="4" w:space="0"/>
                  </w:tcBorders>
                  <w:noWrap w:val="0"/>
                  <w:vAlign w:val="center"/>
                </w:tcPr>
                <w:p w14:paraId="0B6DDED9">
                  <w:pPr>
                    <w:pStyle w:val="67"/>
                    <w:rPr>
                      <w:rFonts w:hint="default" w:eastAsia="宋体"/>
                      <w:color w:val="auto"/>
                      <w:lang w:val="en-US" w:eastAsia="zh-CN"/>
                    </w:rPr>
                  </w:pPr>
                  <w:r>
                    <w:rPr>
                      <w:rFonts w:hint="eastAsia"/>
                      <w:color w:val="auto"/>
                      <w:lang w:val="en-US" w:eastAsia="zh-CN"/>
                    </w:rPr>
                    <w:t>290.7</w:t>
                  </w:r>
                </w:p>
              </w:tc>
              <w:tc>
                <w:tcPr>
                  <w:tcW w:w="1153" w:type="dxa"/>
                  <w:tcBorders>
                    <w:top w:val="single" w:color="auto" w:sz="4" w:space="0"/>
                    <w:left w:val="single" w:color="auto" w:sz="4" w:space="0"/>
                    <w:bottom w:val="single" w:color="auto" w:sz="4" w:space="0"/>
                    <w:right w:val="single" w:color="auto" w:sz="4" w:space="0"/>
                  </w:tcBorders>
                  <w:noWrap w:val="0"/>
                  <w:vAlign w:val="center"/>
                </w:tcPr>
                <w:p w14:paraId="0D6112A4">
                  <w:pPr>
                    <w:pStyle w:val="67"/>
                    <w:rPr>
                      <w:rFonts w:hint="eastAsia"/>
                      <w:color w:val="auto"/>
                    </w:rPr>
                  </w:pPr>
                  <w:r>
                    <w:rPr>
                      <w:rFonts w:hint="eastAsia"/>
                      <w:color w:val="auto"/>
                    </w:rPr>
                    <w:t>化粪池进口产生量t/a</w:t>
                  </w:r>
                </w:p>
              </w:tc>
              <w:tc>
                <w:tcPr>
                  <w:tcW w:w="842" w:type="dxa"/>
                  <w:tcBorders>
                    <w:top w:val="single" w:color="auto" w:sz="4" w:space="0"/>
                    <w:left w:val="single" w:color="auto" w:sz="4" w:space="0"/>
                    <w:bottom w:val="single" w:color="auto" w:sz="4" w:space="0"/>
                    <w:right w:val="single" w:color="auto" w:sz="4" w:space="0"/>
                  </w:tcBorders>
                  <w:noWrap w:val="0"/>
                  <w:vAlign w:val="center"/>
                </w:tcPr>
                <w:p w14:paraId="5158E3F3">
                  <w:pPr>
                    <w:keepNext w:val="0"/>
                    <w:keepLines w:val="0"/>
                    <w:widowControl/>
                    <w:suppressLineNumbers w:val="0"/>
                    <w:jc w:val="center"/>
                    <w:textAlignment w:val="center"/>
                    <w:rPr>
                      <w:rFonts w:hint="eastAsia"/>
                      <w:color w:val="auto"/>
                    </w:rPr>
                  </w:pPr>
                  <w:r>
                    <w:rPr>
                      <w:rFonts w:hint="default" w:ascii="Times New Roman" w:hAnsi="Times New Roman" w:eastAsia="宋体" w:cs="Times New Roman"/>
                      <w:i w:val="0"/>
                      <w:iCs w:val="0"/>
                      <w:color w:val="auto"/>
                      <w:kern w:val="0"/>
                      <w:sz w:val="21"/>
                      <w:szCs w:val="21"/>
                      <w:u w:val="none"/>
                      <w:lang w:val="en-US" w:eastAsia="zh-CN" w:bidi="ar"/>
                    </w:rPr>
                    <w:t>0.115</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5DD258B6">
                  <w:pPr>
                    <w:keepNext w:val="0"/>
                    <w:keepLines w:val="0"/>
                    <w:widowControl/>
                    <w:suppressLineNumbers w:val="0"/>
                    <w:jc w:val="center"/>
                    <w:textAlignment w:val="center"/>
                    <w:rPr>
                      <w:rFonts w:hint="eastAsia"/>
                      <w:color w:val="auto"/>
                    </w:rPr>
                  </w:pPr>
                  <w:r>
                    <w:rPr>
                      <w:rFonts w:hint="default" w:ascii="Times New Roman" w:hAnsi="Times New Roman" w:eastAsia="宋体" w:cs="Times New Roman"/>
                      <w:i w:val="0"/>
                      <w:iCs w:val="0"/>
                      <w:color w:val="auto"/>
                      <w:kern w:val="0"/>
                      <w:sz w:val="21"/>
                      <w:szCs w:val="21"/>
                      <w:u w:val="none"/>
                      <w:lang w:val="en-US" w:eastAsia="zh-CN" w:bidi="ar"/>
                    </w:rPr>
                    <w:t>0.057</w:t>
                  </w:r>
                </w:p>
              </w:tc>
              <w:tc>
                <w:tcPr>
                  <w:tcW w:w="836" w:type="dxa"/>
                  <w:tcBorders>
                    <w:top w:val="single" w:color="auto" w:sz="4" w:space="0"/>
                    <w:left w:val="single" w:color="auto" w:sz="4" w:space="0"/>
                    <w:bottom w:val="single" w:color="auto" w:sz="4" w:space="0"/>
                    <w:right w:val="single" w:color="auto" w:sz="4" w:space="0"/>
                  </w:tcBorders>
                  <w:noWrap w:val="0"/>
                  <w:vAlign w:val="center"/>
                </w:tcPr>
                <w:p w14:paraId="5FB9CE95">
                  <w:pPr>
                    <w:keepNext w:val="0"/>
                    <w:keepLines w:val="0"/>
                    <w:widowControl/>
                    <w:suppressLineNumbers w:val="0"/>
                    <w:jc w:val="center"/>
                    <w:textAlignment w:val="center"/>
                    <w:rPr>
                      <w:rFonts w:hint="eastAsia"/>
                      <w:color w:val="auto"/>
                    </w:rPr>
                  </w:pPr>
                  <w:r>
                    <w:rPr>
                      <w:rFonts w:hint="default" w:ascii="Times New Roman" w:hAnsi="Times New Roman" w:eastAsia="宋体" w:cs="Times New Roman"/>
                      <w:i w:val="0"/>
                      <w:iCs w:val="0"/>
                      <w:color w:val="auto"/>
                      <w:kern w:val="0"/>
                      <w:sz w:val="21"/>
                      <w:szCs w:val="21"/>
                      <w:u w:val="none"/>
                      <w:lang w:val="en-US" w:eastAsia="zh-CN" w:bidi="ar"/>
                    </w:rPr>
                    <w:t>0.0561</w:t>
                  </w:r>
                </w:p>
              </w:tc>
              <w:tc>
                <w:tcPr>
                  <w:tcW w:w="804" w:type="dxa"/>
                  <w:tcBorders>
                    <w:top w:val="single" w:color="auto" w:sz="4" w:space="0"/>
                    <w:left w:val="single" w:color="auto" w:sz="4" w:space="0"/>
                    <w:bottom w:val="single" w:color="auto" w:sz="4" w:space="0"/>
                    <w:right w:val="single" w:color="auto" w:sz="4" w:space="0"/>
                  </w:tcBorders>
                  <w:noWrap w:val="0"/>
                  <w:vAlign w:val="center"/>
                </w:tcPr>
                <w:p w14:paraId="7FB4A96A">
                  <w:pPr>
                    <w:keepNext w:val="0"/>
                    <w:keepLines w:val="0"/>
                    <w:widowControl/>
                    <w:suppressLineNumbers w:val="0"/>
                    <w:jc w:val="center"/>
                    <w:textAlignment w:val="center"/>
                    <w:rPr>
                      <w:rFonts w:hint="eastAsia"/>
                      <w:color w:val="auto"/>
                    </w:rPr>
                  </w:pPr>
                  <w:r>
                    <w:rPr>
                      <w:rFonts w:hint="default" w:ascii="Times New Roman" w:hAnsi="Times New Roman" w:eastAsia="宋体" w:cs="Times New Roman"/>
                      <w:i w:val="0"/>
                      <w:iCs w:val="0"/>
                      <w:color w:val="auto"/>
                      <w:kern w:val="0"/>
                      <w:sz w:val="21"/>
                      <w:szCs w:val="21"/>
                      <w:u w:val="none"/>
                      <w:lang w:val="en-US" w:eastAsia="zh-CN" w:bidi="ar"/>
                    </w:rPr>
                    <w:t>0.0113</w:t>
                  </w:r>
                </w:p>
              </w:tc>
              <w:tc>
                <w:tcPr>
                  <w:tcW w:w="1059" w:type="dxa"/>
                  <w:tcBorders>
                    <w:top w:val="single" w:color="auto" w:sz="4" w:space="0"/>
                    <w:left w:val="single" w:color="auto" w:sz="4" w:space="0"/>
                    <w:bottom w:val="single" w:color="auto" w:sz="4" w:space="0"/>
                    <w:right w:val="single" w:color="auto" w:sz="4" w:space="0"/>
                  </w:tcBorders>
                  <w:noWrap w:val="0"/>
                  <w:vAlign w:val="center"/>
                </w:tcPr>
                <w:p w14:paraId="04A611C2">
                  <w:pPr>
                    <w:jc w:val="center"/>
                    <w:rPr>
                      <w:rFonts w:hint="eastAsia" w:eastAsia="宋体"/>
                      <w:color w:val="auto"/>
                      <w:lang w:val="en-US" w:eastAsia="zh-CN"/>
                    </w:rPr>
                  </w:pPr>
                  <w:r>
                    <w:rPr>
                      <w:rFonts w:hint="eastAsia"/>
                      <w:color w:val="auto"/>
                      <w:lang w:val="en-US" w:eastAsia="zh-CN"/>
                    </w:rPr>
                    <w:t>/</w:t>
                  </w:r>
                </w:p>
              </w:tc>
              <w:tc>
                <w:tcPr>
                  <w:tcW w:w="1059" w:type="dxa"/>
                  <w:tcBorders>
                    <w:top w:val="single" w:color="auto" w:sz="4" w:space="0"/>
                    <w:left w:val="single" w:color="auto" w:sz="4" w:space="0"/>
                    <w:bottom w:val="single" w:color="auto" w:sz="4" w:space="0"/>
                    <w:right w:val="nil"/>
                  </w:tcBorders>
                  <w:noWrap w:val="0"/>
                  <w:vAlign w:val="center"/>
                </w:tcPr>
                <w:p w14:paraId="0EC7F814">
                  <w:pPr>
                    <w:keepNext w:val="0"/>
                    <w:keepLines w:val="0"/>
                    <w:widowControl/>
                    <w:suppressLineNumbers w:val="0"/>
                    <w:jc w:val="center"/>
                    <w:textAlignment w:val="center"/>
                    <w:rPr>
                      <w:rFonts w:hint="eastAsia"/>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0.002</w:t>
                  </w:r>
                </w:p>
              </w:tc>
            </w:tr>
            <w:tr w14:paraId="00AE2016">
              <w:tblPrEx>
                <w:tblCellMar>
                  <w:top w:w="0" w:type="dxa"/>
                  <w:left w:w="108" w:type="dxa"/>
                  <w:bottom w:w="0" w:type="dxa"/>
                  <w:right w:w="108" w:type="dxa"/>
                </w:tblCellMar>
              </w:tblPrEx>
              <w:trPr>
                <w:trHeight w:val="308" w:hRule="atLeast"/>
              </w:trPr>
              <w:tc>
                <w:tcPr>
                  <w:tcW w:w="775" w:type="dxa"/>
                  <w:vMerge w:val="continue"/>
                  <w:tcBorders>
                    <w:top w:val="single" w:color="auto" w:sz="4" w:space="0"/>
                    <w:left w:val="nil"/>
                    <w:bottom w:val="single" w:color="auto" w:sz="4" w:space="0"/>
                    <w:right w:val="single" w:color="auto" w:sz="4" w:space="0"/>
                  </w:tcBorders>
                  <w:noWrap w:val="0"/>
                  <w:vAlign w:val="center"/>
                </w:tcPr>
                <w:p w14:paraId="33819DA1">
                  <w:pPr>
                    <w:pStyle w:val="67"/>
                    <w:rPr>
                      <w:rFonts w:hint="eastAsia"/>
                      <w:color w:val="auto"/>
                    </w:rPr>
                  </w:pPr>
                </w:p>
              </w:tc>
              <w:tc>
                <w:tcPr>
                  <w:tcW w:w="657" w:type="dxa"/>
                  <w:vMerge w:val="continue"/>
                  <w:tcBorders>
                    <w:top w:val="single" w:color="auto" w:sz="4" w:space="0"/>
                    <w:left w:val="single" w:color="auto" w:sz="4" w:space="0"/>
                    <w:bottom w:val="single" w:color="auto" w:sz="4" w:space="0"/>
                    <w:right w:val="single" w:color="auto" w:sz="4" w:space="0"/>
                  </w:tcBorders>
                  <w:noWrap w:val="0"/>
                  <w:vAlign w:val="center"/>
                </w:tcPr>
                <w:p w14:paraId="5BFB1B2E">
                  <w:pPr>
                    <w:pStyle w:val="67"/>
                    <w:rPr>
                      <w:rFonts w:hint="eastAsia"/>
                      <w:color w:val="auto"/>
                    </w:rPr>
                  </w:pPr>
                </w:p>
              </w:tc>
              <w:tc>
                <w:tcPr>
                  <w:tcW w:w="1153" w:type="dxa"/>
                  <w:tcBorders>
                    <w:top w:val="single" w:color="auto" w:sz="4" w:space="0"/>
                    <w:left w:val="single" w:color="auto" w:sz="4" w:space="0"/>
                    <w:bottom w:val="single" w:color="auto" w:sz="4" w:space="0"/>
                    <w:right w:val="single" w:color="auto" w:sz="4" w:space="0"/>
                  </w:tcBorders>
                  <w:noWrap w:val="0"/>
                  <w:vAlign w:val="center"/>
                </w:tcPr>
                <w:p w14:paraId="5EF4B816">
                  <w:pPr>
                    <w:pStyle w:val="67"/>
                    <w:rPr>
                      <w:rFonts w:hint="eastAsia"/>
                      <w:color w:val="auto"/>
                    </w:rPr>
                  </w:pPr>
                  <w:r>
                    <w:rPr>
                      <w:rFonts w:hint="eastAsia"/>
                      <w:color w:val="auto"/>
                    </w:rPr>
                    <w:t>化粪池进口浓度</w:t>
                  </w:r>
                </w:p>
                <w:p w14:paraId="17A39DE1">
                  <w:pPr>
                    <w:pStyle w:val="67"/>
                    <w:rPr>
                      <w:rFonts w:hint="eastAsia"/>
                      <w:color w:val="auto"/>
                    </w:rPr>
                  </w:pPr>
                  <w:r>
                    <w:rPr>
                      <w:rFonts w:hint="eastAsia"/>
                      <w:color w:val="auto"/>
                    </w:rPr>
                    <w:t>mg/L</w:t>
                  </w:r>
                </w:p>
              </w:tc>
              <w:tc>
                <w:tcPr>
                  <w:tcW w:w="842" w:type="dxa"/>
                  <w:tcBorders>
                    <w:top w:val="single" w:color="auto" w:sz="4" w:space="0"/>
                    <w:left w:val="single" w:color="auto" w:sz="4" w:space="0"/>
                    <w:bottom w:val="single" w:color="auto" w:sz="4" w:space="0"/>
                    <w:right w:val="single" w:color="auto" w:sz="4" w:space="0"/>
                  </w:tcBorders>
                  <w:noWrap w:val="0"/>
                  <w:vAlign w:val="center"/>
                </w:tcPr>
                <w:p w14:paraId="381E6B57">
                  <w:pPr>
                    <w:keepNext w:val="0"/>
                    <w:keepLines w:val="0"/>
                    <w:widowControl/>
                    <w:suppressLineNumbers w:val="0"/>
                    <w:jc w:val="center"/>
                    <w:textAlignment w:val="center"/>
                    <w:rPr>
                      <w:rFonts w:hint="eastAsia"/>
                      <w:color w:val="auto"/>
                    </w:rPr>
                  </w:pPr>
                  <w:r>
                    <w:rPr>
                      <w:rFonts w:hint="default" w:ascii="Times New Roman" w:hAnsi="Times New Roman" w:eastAsia="宋体" w:cs="Times New Roman"/>
                      <w:i w:val="0"/>
                      <w:iCs w:val="0"/>
                      <w:color w:val="auto"/>
                      <w:kern w:val="0"/>
                      <w:sz w:val="21"/>
                      <w:szCs w:val="21"/>
                      <w:u w:val="none"/>
                      <w:lang w:val="en-US" w:eastAsia="zh-CN" w:bidi="ar"/>
                    </w:rPr>
                    <w:t>395.6</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6D098855">
                  <w:pPr>
                    <w:keepNext w:val="0"/>
                    <w:keepLines w:val="0"/>
                    <w:widowControl/>
                    <w:suppressLineNumbers w:val="0"/>
                    <w:jc w:val="center"/>
                    <w:textAlignment w:val="center"/>
                    <w:rPr>
                      <w:rFonts w:hint="eastAsia"/>
                      <w:color w:val="auto"/>
                    </w:rPr>
                  </w:pPr>
                  <w:r>
                    <w:rPr>
                      <w:rFonts w:hint="default" w:ascii="Times New Roman" w:hAnsi="Times New Roman" w:eastAsia="宋体" w:cs="Times New Roman"/>
                      <w:i w:val="0"/>
                      <w:iCs w:val="0"/>
                      <w:color w:val="auto"/>
                      <w:kern w:val="0"/>
                      <w:sz w:val="21"/>
                      <w:szCs w:val="21"/>
                      <w:u w:val="none"/>
                      <w:lang w:val="en-US" w:eastAsia="zh-CN" w:bidi="ar"/>
                    </w:rPr>
                    <w:t>196.1</w:t>
                  </w:r>
                </w:p>
              </w:tc>
              <w:tc>
                <w:tcPr>
                  <w:tcW w:w="836" w:type="dxa"/>
                  <w:tcBorders>
                    <w:top w:val="single" w:color="auto" w:sz="4" w:space="0"/>
                    <w:left w:val="single" w:color="auto" w:sz="4" w:space="0"/>
                    <w:bottom w:val="single" w:color="auto" w:sz="4" w:space="0"/>
                    <w:right w:val="single" w:color="auto" w:sz="4" w:space="0"/>
                  </w:tcBorders>
                  <w:noWrap w:val="0"/>
                  <w:vAlign w:val="center"/>
                </w:tcPr>
                <w:p w14:paraId="18ACC3AD">
                  <w:pPr>
                    <w:keepNext w:val="0"/>
                    <w:keepLines w:val="0"/>
                    <w:widowControl/>
                    <w:suppressLineNumbers w:val="0"/>
                    <w:jc w:val="center"/>
                    <w:textAlignment w:val="center"/>
                    <w:rPr>
                      <w:rFonts w:hint="eastAsia"/>
                      <w:color w:val="auto"/>
                    </w:rPr>
                  </w:pPr>
                  <w:r>
                    <w:rPr>
                      <w:rFonts w:hint="default" w:ascii="Times New Roman" w:hAnsi="Times New Roman" w:eastAsia="宋体" w:cs="Times New Roman"/>
                      <w:i w:val="0"/>
                      <w:iCs w:val="0"/>
                      <w:color w:val="auto"/>
                      <w:kern w:val="0"/>
                      <w:sz w:val="21"/>
                      <w:szCs w:val="21"/>
                      <w:u w:val="none"/>
                      <w:lang w:val="en-US" w:eastAsia="zh-CN" w:bidi="ar"/>
                    </w:rPr>
                    <w:t>193</w:t>
                  </w:r>
                </w:p>
              </w:tc>
              <w:tc>
                <w:tcPr>
                  <w:tcW w:w="804" w:type="dxa"/>
                  <w:tcBorders>
                    <w:top w:val="single" w:color="auto" w:sz="4" w:space="0"/>
                    <w:left w:val="single" w:color="auto" w:sz="4" w:space="0"/>
                    <w:bottom w:val="single" w:color="auto" w:sz="4" w:space="0"/>
                    <w:right w:val="single" w:color="auto" w:sz="4" w:space="0"/>
                  </w:tcBorders>
                  <w:noWrap w:val="0"/>
                  <w:vAlign w:val="center"/>
                </w:tcPr>
                <w:p w14:paraId="4AF6E220">
                  <w:pPr>
                    <w:keepNext w:val="0"/>
                    <w:keepLines w:val="0"/>
                    <w:widowControl/>
                    <w:suppressLineNumbers w:val="0"/>
                    <w:jc w:val="center"/>
                    <w:textAlignment w:val="center"/>
                    <w:rPr>
                      <w:rFonts w:hint="eastAsia"/>
                      <w:color w:val="auto"/>
                    </w:rPr>
                  </w:pPr>
                  <w:r>
                    <w:rPr>
                      <w:rFonts w:hint="default" w:ascii="Times New Roman" w:hAnsi="Times New Roman" w:eastAsia="宋体" w:cs="Times New Roman"/>
                      <w:i w:val="0"/>
                      <w:iCs w:val="0"/>
                      <w:color w:val="auto"/>
                      <w:kern w:val="0"/>
                      <w:sz w:val="21"/>
                      <w:szCs w:val="21"/>
                      <w:u w:val="none"/>
                      <w:lang w:val="en-US" w:eastAsia="zh-CN" w:bidi="ar"/>
                    </w:rPr>
                    <w:t>38.9</w:t>
                  </w:r>
                </w:p>
              </w:tc>
              <w:tc>
                <w:tcPr>
                  <w:tcW w:w="1059" w:type="dxa"/>
                  <w:tcBorders>
                    <w:top w:val="single" w:color="auto" w:sz="4" w:space="0"/>
                    <w:left w:val="single" w:color="auto" w:sz="4" w:space="0"/>
                    <w:bottom w:val="single" w:color="auto" w:sz="4" w:space="0"/>
                    <w:right w:val="single" w:color="auto" w:sz="4" w:space="0"/>
                  </w:tcBorders>
                  <w:noWrap w:val="0"/>
                  <w:vAlign w:val="center"/>
                </w:tcPr>
                <w:p w14:paraId="755DD688">
                  <w:pPr>
                    <w:keepNext w:val="0"/>
                    <w:keepLines w:val="0"/>
                    <w:widowControl/>
                    <w:suppressLineNumbers w:val="0"/>
                    <w:jc w:val="center"/>
                    <w:textAlignment w:val="center"/>
                    <w:rPr>
                      <w:color w:val="auto"/>
                    </w:rPr>
                  </w:pPr>
                  <w:r>
                    <w:rPr>
                      <w:rFonts w:hint="default" w:ascii="Times New Roman" w:hAnsi="Times New Roman" w:eastAsia="宋体" w:cs="Times New Roman"/>
                      <w:i w:val="0"/>
                      <w:iCs w:val="0"/>
                      <w:color w:val="auto"/>
                      <w:kern w:val="0"/>
                      <w:sz w:val="21"/>
                      <w:szCs w:val="21"/>
                      <w:u w:val="none"/>
                      <w:lang w:val="en-US" w:eastAsia="zh-CN" w:bidi="ar"/>
                    </w:rPr>
                    <w:t>32</w:t>
                  </w:r>
                  <w:r>
                    <w:rPr>
                      <w:rFonts w:hint="eastAsia" w:ascii="宋体" w:hAnsi="宋体" w:eastAsia="宋体" w:cs="宋体"/>
                      <w:i w:val="0"/>
                      <w:iCs w:val="0"/>
                      <w:color w:val="auto"/>
                      <w:kern w:val="0"/>
                      <w:sz w:val="21"/>
                      <w:szCs w:val="21"/>
                      <w:u w:val="none"/>
                      <w:lang w:val="en-US" w:eastAsia="zh-CN" w:bidi="ar"/>
                    </w:rPr>
                    <w:t>个</w:t>
                  </w:r>
                  <w:r>
                    <w:rPr>
                      <w:rFonts w:hint="default" w:ascii="Times New Roman" w:hAnsi="Times New Roman" w:eastAsia="宋体" w:cs="Times New Roman"/>
                      <w:i w:val="0"/>
                      <w:iCs w:val="0"/>
                      <w:color w:val="auto"/>
                      <w:kern w:val="0"/>
                      <w:sz w:val="21"/>
                      <w:szCs w:val="21"/>
                      <w:u w:val="none"/>
                      <w:lang w:val="en-US" w:eastAsia="zh-CN" w:bidi="ar"/>
                    </w:rPr>
                    <w:t>/L</w:t>
                  </w:r>
                </w:p>
              </w:tc>
              <w:tc>
                <w:tcPr>
                  <w:tcW w:w="1059" w:type="dxa"/>
                  <w:tcBorders>
                    <w:top w:val="single" w:color="auto" w:sz="4" w:space="0"/>
                    <w:left w:val="single" w:color="auto" w:sz="4" w:space="0"/>
                    <w:bottom w:val="single" w:color="auto" w:sz="4" w:space="0"/>
                    <w:right w:val="nil"/>
                  </w:tcBorders>
                  <w:noWrap w:val="0"/>
                  <w:vAlign w:val="center"/>
                </w:tcPr>
                <w:p w14:paraId="3C209E41">
                  <w:pPr>
                    <w:keepNext w:val="0"/>
                    <w:keepLines w:val="0"/>
                    <w:widowControl/>
                    <w:suppressLineNumbers w:val="0"/>
                    <w:jc w:val="center"/>
                    <w:textAlignment w:val="center"/>
                    <w:rPr>
                      <w:rFonts w:hint="eastAsia"/>
                      <w:color w:val="auto"/>
                    </w:rPr>
                  </w:pPr>
                  <w:r>
                    <w:rPr>
                      <w:rFonts w:hint="default" w:ascii="Times New Roman" w:hAnsi="Times New Roman" w:eastAsia="宋体" w:cs="Times New Roman"/>
                      <w:i w:val="0"/>
                      <w:iCs w:val="0"/>
                      <w:color w:val="auto"/>
                      <w:kern w:val="0"/>
                      <w:sz w:val="21"/>
                      <w:szCs w:val="21"/>
                      <w:u w:val="none"/>
                      <w:lang w:val="en-US" w:eastAsia="zh-CN" w:bidi="ar"/>
                    </w:rPr>
                    <w:t>6.9</w:t>
                  </w:r>
                </w:p>
              </w:tc>
            </w:tr>
            <w:tr w14:paraId="56AD617F">
              <w:tblPrEx>
                <w:tblCellMar>
                  <w:top w:w="0" w:type="dxa"/>
                  <w:left w:w="108" w:type="dxa"/>
                  <w:bottom w:w="0" w:type="dxa"/>
                  <w:right w:w="108" w:type="dxa"/>
                </w:tblCellMar>
              </w:tblPrEx>
              <w:trPr>
                <w:trHeight w:val="340" w:hRule="atLeast"/>
              </w:trPr>
              <w:tc>
                <w:tcPr>
                  <w:tcW w:w="775" w:type="dxa"/>
                  <w:vMerge w:val="continue"/>
                  <w:tcBorders>
                    <w:top w:val="single" w:color="auto" w:sz="4" w:space="0"/>
                    <w:left w:val="nil"/>
                    <w:bottom w:val="single" w:color="auto" w:sz="4" w:space="0"/>
                    <w:right w:val="single" w:color="auto" w:sz="4" w:space="0"/>
                  </w:tcBorders>
                  <w:noWrap w:val="0"/>
                  <w:vAlign w:val="center"/>
                </w:tcPr>
                <w:p w14:paraId="1EB3134B">
                  <w:pPr>
                    <w:pStyle w:val="67"/>
                    <w:rPr>
                      <w:rFonts w:hint="eastAsia"/>
                      <w:color w:val="auto"/>
                    </w:rPr>
                  </w:pPr>
                </w:p>
              </w:tc>
              <w:tc>
                <w:tcPr>
                  <w:tcW w:w="657" w:type="dxa"/>
                  <w:vMerge w:val="continue"/>
                  <w:tcBorders>
                    <w:top w:val="single" w:color="auto" w:sz="4" w:space="0"/>
                    <w:left w:val="single" w:color="auto" w:sz="4" w:space="0"/>
                    <w:bottom w:val="single" w:color="auto" w:sz="4" w:space="0"/>
                    <w:right w:val="single" w:color="auto" w:sz="4" w:space="0"/>
                  </w:tcBorders>
                  <w:noWrap w:val="0"/>
                  <w:vAlign w:val="center"/>
                </w:tcPr>
                <w:p w14:paraId="37390F13">
                  <w:pPr>
                    <w:pStyle w:val="67"/>
                    <w:rPr>
                      <w:rFonts w:hint="eastAsia"/>
                      <w:color w:val="auto"/>
                    </w:rPr>
                  </w:pPr>
                </w:p>
              </w:tc>
              <w:tc>
                <w:tcPr>
                  <w:tcW w:w="1153" w:type="dxa"/>
                  <w:tcBorders>
                    <w:top w:val="single" w:color="auto" w:sz="4" w:space="0"/>
                    <w:left w:val="single" w:color="auto" w:sz="4" w:space="0"/>
                    <w:bottom w:val="single" w:color="auto" w:sz="4" w:space="0"/>
                    <w:right w:val="single" w:color="auto" w:sz="4" w:space="0"/>
                  </w:tcBorders>
                  <w:noWrap w:val="0"/>
                  <w:vAlign w:val="center"/>
                </w:tcPr>
                <w:p w14:paraId="5C1DD0A3">
                  <w:pPr>
                    <w:pStyle w:val="67"/>
                    <w:rPr>
                      <w:rFonts w:hint="eastAsia"/>
                      <w:color w:val="auto"/>
                    </w:rPr>
                  </w:pPr>
                  <w:r>
                    <w:rPr>
                      <w:rFonts w:hint="eastAsia"/>
                      <w:color w:val="auto"/>
                    </w:rPr>
                    <w:t>化粪池处理效率%</w:t>
                  </w:r>
                </w:p>
              </w:tc>
              <w:tc>
                <w:tcPr>
                  <w:tcW w:w="842" w:type="dxa"/>
                  <w:tcBorders>
                    <w:top w:val="single" w:color="auto" w:sz="4" w:space="0"/>
                    <w:left w:val="single" w:color="auto" w:sz="4" w:space="0"/>
                    <w:bottom w:val="single" w:color="auto" w:sz="4" w:space="0"/>
                    <w:right w:val="single" w:color="auto" w:sz="4" w:space="0"/>
                  </w:tcBorders>
                  <w:noWrap w:val="0"/>
                  <w:vAlign w:val="center"/>
                </w:tcPr>
                <w:p w14:paraId="02B73F24">
                  <w:pPr>
                    <w:keepNext w:val="0"/>
                    <w:keepLines w:val="0"/>
                    <w:widowControl/>
                    <w:suppressLineNumbers w:val="0"/>
                    <w:jc w:val="center"/>
                    <w:textAlignment w:val="center"/>
                    <w:rPr>
                      <w:color w:val="auto"/>
                    </w:rPr>
                  </w:pPr>
                  <w:r>
                    <w:rPr>
                      <w:rFonts w:hint="default" w:ascii="Times New Roman" w:hAnsi="Times New Roman" w:eastAsia="宋体" w:cs="Times New Roman"/>
                      <w:i w:val="0"/>
                      <w:iCs w:val="0"/>
                      <w:color w:val="auto"/>
                      <w:kern w:val="0"/>
                      <w:sz w:val="21"/>
                      <w:szCs w:val="21"/>
                      <w:u w:val="none"/>
                      <w:lang w:val="en-US" w:eastAsia="zh-CN" w:bidi="ar"/>
                    </w:rPr>
                    <w:t>15</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43ED79F3">
                  <w:pPr>
                    <w:keepNext w:val="0"/>
                    <w:keepLines w:val="0"/>
                    <w:widowControl/>
                    <w:suppressLineNumbers w:val="0"/>
                    <w:jc w:val="center"/>
                    <w:textAlignment w:val="center"/>
                    <w:rPr>
                      <w:color w:val="auto"/>
                    </w:rPr>
                  </w:pPr>
                  <w:r>
                    <w:rPr>
                      <w:rFonts w:hint="default" w:ascii="Times New Roman" w:hAnsi="Times New Roman" w:eastAsia="宋体" w:cs="Times New Roman"/>
                      <w:i w:val="0"/>
                      <w:iCs w:val="0"/>
                      <w:color w:val="auto"/>
                      <w:kern w:val="0"/>
                      <w:sz w:val="21"/>
                      <w:szCs w:val="21"/>
                      <w:u w:val="none"/>
                      <w:lang w:val="en-US" w:eastAsia="zh-CN" w:bidi="ar"/>
                    </w:rPr>
                    <w:t>11</w:t>
                  </w:r>
                </w:p>
              </w:tc>
              <w:tc>
                <w:tcPr>
                  <w:tcW w:w="836" w:type="dxa"/>
                  <w:tcBorders>
                    <w:top w:val="single" w:color="auto" w:sz="4" w:space="0"/>
                    <w:left w:val="single" w:color="auto" w:sz="4" w:space="0"/>
                    <w:bottom w:val="single" w:color="auto" w:sz="4" w:space="0"/>
                    <w:right w:val="single" w:color="auto" w:sz="4" w:space="0"/>
                  </w:tcBorders>
                  <w:noWrap w:val="0"/>
                  <w:vAlign w:val="center"/>
                </w:tcPr>
                <w:p w14:paraId="5BDF7772">
                  <w:pPr>
                    <w:keepNext w:val="0"/>
                    <w:keepLines w:val="0"/>
                    <w:widowControl/>
                    <w:suppressLineNumbers w:val="0"/>
                    <w:jc w:val="center"/>
                    <w:textAlignment w:val="center"/>
                    <w:rPr>
                      <w:color w:val="auto"/>
                    </w:rPr>
                  </w:pPr>
                  <w:r>
                    <w:rPr>
                      <w:rFonts w:hint="default" w:ascii="Times New Roman" w:hAnsi="Times New Roman" w:eastAsia="宋体" w:cs="Times New Roman"/>
                      <w:i w:val="0"/>
                      <w:iCs w:val="0"/>
                      <w:color w:val="auto"/>
                      <w:kern w:val="0"/>
                      <w:sz w:val="21"/>
                      <w:szCs w:val="21"/>
                      <w:u w:val="none"/>
                      <w:lang w:val="en-US" w:eastAsia="zh-CN" w:bidi="ar"/>
                    </w:rPr>
                    <w:t>47</w:t>
                  </w:r>
                </w:p>
              </w:tc>
              <w:tc>
                <w:tcPr>
                  <w:tcW w:w="804" w:type="dxa"/>
                  <w:tcBorders>
                    <w:top w:val="single" w:color="auto" w:sz="4" w:space="0"/>
                    <w:left w:val="single" w:color="auto" w:sz="4" w:space="0"/>
                    <w:bottom w:val="single" w:color="auto" w:sz="4" w:space="0"/>
                    <w:right w:val="single" w:color="auto" w:sz="4" w:space="0"/>
                  </w:tcBorders>
                  <w:noWrap w:val="0"/>
                  <w:vAlign w:val="center"/>
                </w:tcPr>
                <w:p w14:paraId="7785F531">
                  <w:pPr>
                    <w:keepNext w:val="0"/>
                    <w:keepLines w:val="0"/>
                    <w:widowControl/>
                    <w:suppressLineNumbers w:val="0"/>
                    <w:jc w:val="center"/>
                    <w:textAlignment w:val="center"/>
                    <w:rPr>
                      <w:rFonts w:hint="eastAsia"/>
                      <w:color w:val="auto"/>
                    </w:rPr>
                  </w:pPr>
                  <w:r>
                    <w:rPr>
                      <w:rFonts w:hint="default" w:ascii="Times New Roman" w:hAnsi="Times New Roman" w:eastAsia="宋体" w:cs="Times New Roman"/>
                      <w:i w:val="0"/>
                      <w:iCs w:val="0"/>
                      <w:color w:val="auto"/>
                      <w:kern w:val="0"/>
                      <w:sz w:val="21"/>
                      <w:szCs w:val="21"/>
                      <w:u w:val="none"/>
                      <w:lang w:val="en-US" w:eastAsia="zh-CN" w:bidi="ar"/>
                    </w:rPr>
                    <w:t>3</w:t>
                  </w:r>
                </w:p>
              </w:tc>
              <w:tc>
                <w:tcPr>
                  <w:tcW w:w="1059" w:type="dxa"/>
                  <w:tcBorders>
                    <w:top w:val="single" w:color="auto" w:sz="4" w:space="0"/>
                    <w:left w:val="single" w:color="auto" w:sz="4" w:space="0"/>
                    <w:bottom w:val="single" w:color="auto" w:sz="4" w:space="0"/>
                    <w:right w:val="single" w:color="auto" w:sz="4" w:space="0"/>
                  </w:tcBorders>
                  <w:noWrap w:val="0"/>
                  <w:vAlign w:val="center"/>
                </w:tcPr>
                <w:p w14:paraId="3849B4C2">
                  <w:pPr>
                    <w:keepNext w:val="0"/>
                    <w:keepLines w:val="0"/>
                    <w:widowControl/>
                    <w:suppressLineNumbers w:val="0"/>
                    <w:jc w:val="center"/>
                    <w:textAlignment w:val="center"/>
                    <w:rPr>
                      <w:rFonts w:hint="eastAsia"/>
                      <w:color w:val="auto"/>
                    </w:rPr>
                  </w:pPr>
                  <w:r>
                    <w:rPr>
                      <w:rFonts w:hint="eastAsia" w:ascii="Times New Roman" w:hAnsi="Times New Roman" w:eastAsia="宋体" w:cs="Times New Roman"/>
                      <w:i w:val="0"/>
                      <w:iCs w:val="0"/>
                      <w:color w:val="auto"/>
                      <w:kern w:val="0"/>
                      <w:sz w:val="21"/>
                      <w:szCs w:val="21"/>
                      <w:u w:val="none"/>
                      <w:lang w:val="en-US" w:eastAsia="zh-CN" w:bidi="ar"/>
                    </w:rPr>
                    <w:t>0</w:t>
                  </w:r>
                </w:p>
              </w:tc>
              <w:tc>
                <w:tcPr>
                  <w:tcW w:w="1059" w:type="dxa"/>
                  <w:tcBorders>
                    <w:top w:val="single" w:color="auto" w:sz="4" w:space="0"/>
                    <w:left w:val="single" w:color="auto" w:sz="4" w:space="0"/>
                    <w:bottom w:val="single" w:color="auto" w:sz="4" w:space="0"/>
                    <w:right w:val="nil"/>
                  </w:tcBorders>
                  <w:noWrap w:val="0"/>
                  <w:vAlign w:val="center"/>
                </w:tcPr>
                <w:p w14:paraId="469F16BA">
                  <w:pPr>
                    <w:keepNext w:val="0"/>
                    <w:keepLines w:val="0"/>
                    <w:widowControl/>
                    <w:suppressLineNumbers w:val="0"/>
                    <w:jc w:val="center"/>
                    <w:textAlignment w:val="center"/>
                    <w:rPr>
                      <w:rFonts w:hint="eastAsia"/>
                      <w:color w:val="auto"/>
                    </w:rPr>
                  </w:pPr>
                  <w:r>
                    <w:rPr>
                      <w:rFonts w:hint="default" w:ascii="Times New Roman" w:hAnsi="Times New Roman" w:eastAsia="宋体" w:cs="Times New Roman"/>
                      <w:i w:val="0"/>
                      <w:iCs w:val="0"/>
                      <w:color w:val="auto"/>
                      <w:kern w:val="0"/>
                      <w:sz w:val="21"/>
                      <w:szCs w:val="21"/>
                      <w:u w:val="none"/>
                      <w:lang w:val="en-US" w:eastAsia="zh-CN" w:bidi="ar"/>
                    </w:rPr>
                    <w:t>0</w:t>
                  </w:r>
                </w:p>
              </w:tc>
            </w:tr>
            <w:tr w14:paraId="78A83F8F">
              <w:tblPrEx>
                <w:tblCellMar>
                  <w:top w:w="0" w:type="dxa"/>
                  <w:left w:w="108" w:type="dxa"/>
                  <w:bottom w:w="0" w:type="dxa"/>
                  <w:right w:w="108" w:type="dxa"/>
                </w:tblCellMar>
              </w:tblPrEx>
              <w:trPr>
                <w:trHeight w:val="340" w:hRule="atLeast"/>
              </w:trPr>
              <w:tc>
                <w:tcPr>
                  <w:tcW w:w="775" w:type="dxa"/>
                  <w:vMerge w:val="continue"/>
                  <w:tcBorders>
                    <w:top w:val="single" w:color="auto" w:sz="4" w:space="0"/>
                    <w:left w:val="nil"/>
                    <w:bottom w:val="single" w:color="auto" w:sz="4" w:space="0"/>
                    <w:right w:val="single" w:color="auto" w:sz="4" w:space="0"/>
                  </w:tcBorders>
                  <w:noWrap w:val="0"/>
                  <w:vAlign w:val="center"/>
                </w:tcPr>
                <w:p w14:paraId="5C23161B">
                  <w:pPr>
                    <w:pStyle w:val="67"/>
                    <w:rPr>
                      <w:rFonts w:hint="eastAsia"/>
                      <w:color w:val="auto"/>
                    </w:rPr>
                  </w:pPr>
                </w:p>
              </w:tc>
              <w:tc>
                <w:tcPr>
                  <w:tcW w:w="657" w:type="dxa"/>
                  <w:vMerge w:val="continue"/>
                  <w:tcBorders>
                    <w:top w:val="single" w:color="auto" w:sz="4" w:space="0"/>
                    <w:left w:val="single" w:color="auto" w:sz="4" w:space="0"/>
                    <w:bottom w:val="single" w:color="auto" w:sz="4" w:space="0"/>
                    <w:right w:val="single" w:color="auto" w:sz="4" w:space="0"/>
                  </w:tcBorders>
                  <w:noWrap w:val="0"/>
                  <w:vAlign w:val="center"/>
                </w:tcPr>
                <w:p w14:paraId="52AA0AEF">
                  <w:pPr>
                    <w:pStyle w:val="67"/>
                    <w:rPr>
                      <w:rFonts w:hint="eastAsia"/>
                      <w:color w:val="auto"/>
                    </w:rPr>
                  </w:pPr>
                </w:p>
              </w:tc>
              <w:tc>
                <w:tcPr>
                  <w:tcW w:w="1153" w:type="dxa"/>
                  <w:tcBorders>
                    <w:top w:val="single" w:color="auto" w:sz="4" w:space="0"/>
                    <w:left w:val="single" w:color="auto" w:sz="4" w:space="0"/>
                    <w:bottom w:val="single" w:color="auto" w:sz="4" w:space="0"/>
                    <w:right w:val="single" w:color="auto" w:sz="4" w:space="0"/>
                  </w:tcBorders>
                  <w:noWrap w:val="0"/>
                  <w:vAlign w:val="center"/>
                </w:tcPr>
                <w:p w14:paraId="3FE7EB55">
                  <w:pPr>
                    <w:pStyle w:val="67"/>
                    <w:rPr>
                      <w:rFonts w:hint="eastAsia"/>
                      <w:color w:val="auto"/>
                    </w:rPr>
                  </w:pPr>
                  <w:r>
                    <w:rPr>
                      <w:rFonts w:hint="eastAsia"/>
                      <w:color w:val="auto"/>
                    </w:rPr>
                    <w:t>化粪池出口排放量t/a</w:t>
                  </w:r>
                </w:p>
              </w:tc>
              <w:tc>
                <w:tcPr>
                  <w:tcW w:w="842" w:type="dxa"/>
                  <w:tcBorders>
                    <w:top w:val="single" w:color="auto" w:sz="4" w:space="0"/>
                    <w:left w:val="single" w:color="auto" w:sz="4" w:space="0"/>
                    <w:bottom w:val="single" w:color="auto" w:sz="4" w:space="0"/>
                    <w:right w:val="single" w:color="auto" w:sz="4" w:space="0"/>
                  </w:tcBorders>
                  <w:noWrap w:val="0"/>
                  <w:vAlign w:val="center"/>
                </w:tcPr>
                <w:p w14:paraId="6464BC28">
                  <w:pPr>
                    <w:keepNext w:val="0"/>
                    <w:keepLines w:val="0"/>
                    <w:widowControl/>
                    <w:suppressLineNumbers w:val="0"/>
                    <w:jc w:val="center"/>
                    <w:textAlignment w:val="center"/>
                    <w:rPr>
                      <w:rFonts w:hint="eastAsia"/>
                      <w:color w:val="auto"/>
                    </w:rPr>
                  </w:pPr>
                  <w:r>
                    <w:rPr>
                      <w:rFonts w:hint="default" w:ascii="Times New Roman" w:hAnsi="Times New Roman" w:eastAsia="宋体" w:cs="Times New Roman"/>
                      <w:i w:val="0"/>
                      <w:iCs w:val="0"/>
                      <w:color w:val="auto"/>
                      <w:kern w:val="0"/>
                      <w:sz w:val="21"/>
                      <w:szCs w:val="21"/>
                      <w:u w:val="none"/>
                      <w:lang w:val="en-US" w:eastAsia="zh-CN" w:bidi="ar"/>
                    </w:rPr>
                    <w:t>0.098</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441E1177">
                  <w:pPr>
                    <w:keepNext w:val="0"/>
                    <w:keepLines w:val="0"/>
                    <w:widowControl/>
                    <w:suppressLineNumbers w:val="0"/>
                    <w:jc w:val="center"/>
                    <w:textAlignment w:val="center"/>
                    <w:rPr>
                      <w:rFonts w:hint="eastAsia"/>
                      <w:color w:val="auto"/>
                    </w:rPr>
                  </w:pPr>
                  <w:r>
                    <w:rPr>
                      <w:rFonts w:hint="default" w:ascii="Times New Roman" w:hAnsi="Times New Roman" w:eastAsia="宋体" w:cs="Times New Roman"/>
                      <w:i w:val="0"/>
                      <w:iCs w:val="0"/>
                      <w:color w:val="auto"/>
                      <w:kern w:val="0"/>
                      <w:sz w:val="21"/>
                      <w:szCs w:val="21"/>
                      <w:u w:val="none"/>
                      <w:lang w:val="en-US" w:eastAsia="zh-CN" w:bidi="ar"/>
                    </w:rPr>
                    <w:t>0.051</w:t>
                  </w:r>
                </w:p>
              </w:tc>
              <w:tc>
                <w:tcPr>
                  <w:tcW w:w="836" w:type="dxa"/>
                  <w:tcBorders>
                    <w:top w:val="single" w:color="auto" w:sz="4" w:space="0"/>
                    <w:left w:val="single" w:color="auto" w:sz="4" w:space="0"/>
                    <w:bottom w:val="single" w:color="auto" w:sz="4" w:space="0"/>
                    <w:right w:val="single" w:color="auto" w:sz="4" w:space="0"/>
                  </w:tcBorders>
                  <w:noWrap w:val="0"/>
                  <w:vAlign w:val="center"/>
                </w:tcPr>
                <w:p w14:paraId="0DFA44A2">
                  <w:pPr>
                    <w:keepNext w:val="0"/>
                    <w:keepLines w:val="0"/>
                    <w:widowControl/>
                    <w:suppressLineNumbers w:val="0"/>
                    <w:jc w:val="center"/>
                    <w:textAlignment w:val="center"/>
                    <w:rPr>
                      <w:rFonts w:hint="eastAsia"/>
                      <w:color w:val="auto"/>
                    </w:rPr>
                  </w:pPr>
                  <w:r>
                    <w:rPr>
                      <w:rFonts w:hint="default" w:ascii="Times New Roman" w:hAnsi="Times New Roman" w:eastAsia="宋体" w:cs="Times New Roman"/>
                      <w:i w:val="0"/>
                      <w:iCs w:val="0"/>
                      <w:color w:val="auto"/>
                      <w:kern w:val="0"/>
                      <w:sz w:val="21"/>
                      <w:szCs w:val="21"/>
                      <w:u w:val="none"/>
                      <w:lang w:val="en-US" w:eastAsia="zh-CN" w:bidi="ar"/>
                    </w:rPr>
                    <w:t>0.03</w:t>
                  </w:r>
                </w:p>
              </w:tc>
              <w:tc>
                <w:tcPr>
                  <w:tcW w:w="804" w:type="dxa"/>
                  <w:tcBorders>
                    <w:top w:val="single" w:color="auto" w:sz="4" w:space="0"/>
                    <w:left w:val="single" w:color="auto" w:sz="4" w:space="0"/>
                    <w:bottom w:val="single" w:color="auto" w:sz="4" w:space="0"/>
                    <w:right w:val="single" w:color="auto" w:sz="4" w:space="0"/>
                  </w:tcBorders>
                  <w:noWrap w:val="0"/>
                  <w:vAlign w:val="center"/>
                </w:tcPr>
                <w:p w14:paraId="4F79FA3C">
                  <w:pPr>
                    <w:keepNext w:val="0"/>
                    <w:keepLines w:val="0"/>
                    <w:widowControl/>
                    <w:suppressLineNumbers w:val="0"/>
                    <w:jc w:val="center"/>
                    <w:textAlignment w:val="center"/>
                    <w:rPr>
                      <w:rFonts w:hint="eastAsia"/>
                      <w:color w:val="auto"/>
                    </w:rPr>
                  </w:pPr>
                  <w:r>
                    <w:rPr>
                      <w:rFonts w:hint="default" w:ascii="Times New Roman" w:hAnsi="Times New Roman" w:eastAsia="宋体" w:cs="Times New Roman"/>
                      <w:i w:val="0"/>
                      <w:iCs w:val="0"/>
                      <w:color w:val="auto"/>
                      <w:kern w:val="0"/>
                      <w:sz w:val="21"/>
                      <w:szCs w:val="21"/>
                      <w:u w:val="none"/>
                      <w:lang w:val="en-US" w:eastAsia="zh-CN" w:bidi="ar"/>
                    </w:rPr>
                    <w:t>0.011</w:t>
                  </w:r>
                </w:p>
              </w:tc>
              <w:tc>
                <w:tcPr>
                  <w:tcW w:w="1059" w:type="dxa"/>
                  <w:tcBorders>
                    <w:top w:val="single" w:color="auto" w:sz="4" w:space="0"/>
                    <w:left w:val="single" w:color="auto" w:sz="4" w:space="0"/>
                    <w:bottom w:val="single" w:color="auto" w:sz="4" w:space="0"/>
                    <w:right w:val="single" w:color="auto" w:sz="4" w:space="0"/>
                  </w:tcBorders>
                  <w:noWrap w:val="0"/>
                  <w:vAlign w:val="center"/>
                </w:tcPr>
                <w:p w14:paraId="5CE7FE22">
                  <w:pPr>
                    <w:keepNext w:val="0"/>
                    <w:keepLines w:val="0"/>
                    <w:widowControl/>
                    <w:suppressLineNumbers w:val="0"/>
                    <w:jc w:val="center"/>
                    <w:textAlignment w:val="center"/>
                    <w:rPr>
                      <w:rFonts w:hint="eastAsia"/>
                      <w:color w:val="auto"/>
                    </w:rPr>
                  </w:pPr>
                  <w:r>
                    <w:rPr>
                      <w:rFonts w:hint="default" w:ascii="Times New Roman" w:hAnsi="Times New Roman" w:eastAsia="宋体" w:cs="Times New Roman"/>
                      <w:i w:val="0"/>
                      <w:iCs w:val="0"/>
                      <w:color w:val="auto"/>
                      <w:kern w:val="0"/>
                      <w:sz w:val="21"/>
                      <w:szCs w:val="21"/>
                      <w:u w:val="none"/>
                      <w:lang w:val="en-US" w:eastAsia="zh-CN" w:bidi="ar"/>
                    </w:rPr>
                    <w:t>/</w:t>
                  </w:r>
                </w:p>
              </w:tc>
              <w:tc>
                <w:tcPr>
                  <w:tcW w:w="1059" w:type="dxa"/>
                  <w:tcBorders>
                    <w:top w:val="single" w:color="auto" w:sz="4" w:space="0"/>
                    <w:left w:val="single" w:color="auto" w:sz="4" w:space="0"/>
                    <w:bottom w:val="single" w:color="auto" w:sz="4" w:space="0"/>
                    <w:right w:val="nil"/>
                  </w:tcBorders>
                  <w:noWrap w:val="0"/>
                  <w:vAlign w:val="center"/>
                </w:tcPr>
                <w:p w14:paraId="3AFC0B7C">
                  <w:pPr>
                    <w:keepNext w:val="0"/>
                    <w:keepLines w:val="0"/>
                    <w:widowControl/>
                    <w:suppressLineNumbers w:val="0"/>
                    <w:jc w:val="center"/>
                    <w:textAlignment w:val="center"/>
                    <w:rPr>
                      <w:color w:val="auto"/>
                    </w:rPr>
                  </w:pPr>
                  <w:r>
                    <w:rPr>
                      <w:rFonts w:hint="default" w:ascii="Times New Roman" w:hAnsi="Times New Roman" w:eastAsia="宋体" w:cs="Times New Roman"/>
                      <w:i w:val="0"/>
                      <w:iCs w:val="0"/>
                      <w:color w:val="auto"/>
                      <w:kern w:val="0"/>
                      <w:sz w:val="21"/>
                      <w:szCs w:val="21"/>
                      <w:u w:val="none"/>
                      <w:lang w:val="en-US" w:eastAsia="zh-CN" w:bidi="ar"/>
                    </w:rPr>
                    <w:t>0.002</w:t>
                  </w:r>
                </w:p>
              </w:tc>
            </w:tr>
            <w:tr w14:paraId="33FCEA5F">
              <w:tblPrEx>
                <w:tblCellMar>
                  <w:top w:w="0" w:type="dxa"/>
                  <w:left w:w="108" w:type="dxa"/>
                  <w:bottom w:w="0" w:type="dxa"/>
                  <w:right w:w="108" w:type="dxa"/>
                </w:tblCellMar>
              </w:tblPrEx>
              <w:trPr>
                <w:trHeight w:val="340" w:hRule="atLeast"/>
              </w:trPr>
              <w:tc>
                <w:tcPr>
                  <w:tcW w:w="775" w:type="dxa"/>
                  <w:vMerge w:val="continue"/>
                  <w:tcBorders>
                    <w:top w:val="single" w:color="auto" w:sz="4" w:space="0"/>
                    <w:left w:val="nil"/>
                    <w:bottom w:val="single" w:color="auto" w:sz="4" w:space="0"/>
                    <w:right w:val="single" w:color="auto" w:sz="4" w:space="0"/>
                  </w:tcBorders>
                  <w:noWrap w:val="0"/>
                  <w:vAlign w:val="center"/>
                </w:tcPr>
                <w:p w14:paraId="154E085C">
                  <w:pPr>
                    <w:pStyle w:val="67"/>
                    <w:rPr>
                      <w:rFonts w:hint="eastAsia"/>
                      <w:color w:val="auto"/>
                    </w:rPr>
                  </w:pPr>
                </w:p>
              </w:tc>
              <w:tc>
                <w:tcPr>
                  <w:tcW w:w="657" w:type="dxa"/>
                  <w:vMerge w:val="continue"/>
                  <w:tcBorders>
                    <w:top w:val="single" w:color="auto" w:sz="4" w:space="0"/>
                    <w:left w:val="single" w:color="auto" w:sz="4" w:space="0"/>
                    <w:bottom w:val="single" w:color="auto" w:sz="4" w:space="0"/>
                    <w:right w:val="single" w:color="auto" w:sz="4" w:space="0"/>
                  </w:tcBorders>
                  <w:noWrap w:val="0"/>
                  <w:vAlign w:val="center"/>
                </w:tcPr>
                <w:p w14:paraId="3F45A42D">
                  <w:pPr>
                    <w:pStyle w:val="67"/>
                    <w:rPr>
                      <w:rFonts w:hint="eastAsia"/>
                      <w:color w:val="auto"/>
                    </w:rPr>
                  </w:pPr>
                </w:p>
              </w:tc>
              <w:tc>
                <w:tcPr>
                  <w:tcW w:w="1153" w:type="dxa"/>
                  <w:tcBorders>
                    <w:top w:val="single" w:color="auto" w:sz="4" w:space="0"/>
                    <w:left w:val="single" w:color="auto" w:sz="4" w:space="0"/>
                    <w:bottom w:val="single" w:color="auto" w:sz="4" w:space="0"/>
                    <w:right w:val="single" w:color="auto" w:sz="4" w:space="0"/>
                  </w:tcBorders>
                  <w:noWrap w:val="0"/>
                  <w:vAlign w:val="center"/>
                </w:tcPr>
                <w:p w14:paraId="2ED92475">
                  <w:pPr>
                    <w:pStyle w:val="67"/>
                    <w:rPr>
                      <w:rFonts w:hint="eastAsia"/>
                      <w:color w:val="auto"/>
                    </w:rPr>
                  </w:pPr>
                  <w:r>
                    <w:rPr>
                      <w:rFonts w:hint="eastAsia"/>
                      <w:color w:val="auto"/>
                    </w:rPr>
                    <w:t>化粪池出口排放浓度</w:t>
                  </w:r>
                </w:p>
                <w:p w14:paraId="5BF8F68F">
                  <w:pPr>
                    <w:pStyle w:val="67"/>
                    <w:rPr>
                      <w:rFonts w:hint="eastAsia"/>
                      <w:color w:val="auto"/>
                    </w:rPr>
                  </w:pPr>
                  <w:r>
                    <w:rPr>
                      <w:rFonts w:hint="eastAsia"/>
                      <w:color w:val="auto"/>
                    </w:rPr>
                    <w:t>mg/L</w:t>
                  </w:r>
                </w:p>
              </w:tc>
              <w:tc>
                <w:tcPr>
                  <w:tcW w:w="842" w:type="dxa"/>
                  <w:tcBorders>
                    <w:top w:val="single" w:color="auto" w:sz="4" w:space="0"/>
                    <w:left w:val="single" w:color="auto" w:sz="4" w:space="0"/>
                    <w:bottom w:val="single" w:color="auto" w:sz="4" w:space="0"/>
                    <w:right w:val="single" w:color="auto" w:sz="4" w:space="0"/>
                  </w:tcBorders>
                  <w:noWrap w:val="0"/>
                  <w:vAlign w:val="center"/>
                </w:tcPr>
                <w:p w14:paraId="771CE7FC">
                  <w:pPr>
                    <w:keepNext w:val="0"/>
                    <w:keepLines w:val="0"/>
                    <w:widowControl/>
                    <w:suppressLineNumbers w:val="0"/>
                    <w:jc w:val="center"/>
                    <w:textAlignment w:val="center"/>
                    <w:rPr>
                      <w:rFonts w:hint="eastAsia"/>
                      <w:color w:val="auto"/>
                    </w:rPr>
                  </w:pPr>
                  <w:r>
                    <w:rPr>
                      <w:rFonts w:hint="default" w:ascii="Times New Roman" w:hAnsi="Times New Roman" w:eastAsia="宋体" w:cs="Times New Roman"/>
                      <w:i w:val="0"/>
                      <w:iCs w:val="0"/>
                      <w:color w:val="auto"/>
                      <w:kern w:val="0"/>
                      <w:sz w:val="21"/>
                      <w:szCs w:val="21"/>
                      <w:u w:val="none"/>
                      <w:lang w:val="en-US" w:eastAsia="zh-CN" w:bidi="ar"/>
                    </w:rPr>
                    <w:t>337.1</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70B75010">
                  <w:pPr>
                    <w:keepNext w:val="0"/>
                    <w:keepLines w:val="0"/>
                    <w:widowControl/>
                    <w:suppressLineNumbers w:val="0"/>
                    <w:jc w:val="center"/>
                    <w:textAlignment w:val="center"/>
                    <w:rPr>
                      <w:rFonts w:hint="eastAsia"/>
                      <w:color w:val="auto"/>
                    </w:rPr>
                  </w:pPr>
                  <w:r>
                    <w:rPr>
                      <w:rFonts w:hint="default" w:ascii="Times New Roman" w:hAnsi="Times New Roman" w:eastAsia="宋体" w:cs="Times New Roman"/>
                      <w:i w:val="0"/>
                      <w:iCs w:val="0"/>
                      <w:color w:val="auto"/>
                      <w:kern w:val="0"/>
                      <w:sz w:val="21"/>
                      <w:szCs w:val="21"/>
                      <w:u w:val="none"/>
                      <w:lang w:val="en-US" w:eastAsia="zh-CN" w:bidi="ar"/>
                    </w:rPr>
                    <w:t>175.4</w:t>
                  </w:r>
                </w:p>
              </w:tc>
              <w:tc>
                <w:tcPr>
                  <w:tcW w:w="836" w:type="dxa"/>
                  <w:tcBorders>
                    <w:top w:val="single" w:color="auto" w:sz="4" w:space="0"/>
                    <w:left w:val="single" w:color="auto" w:sz="4" w:space="0"/>
                    <w:bottom w:val="single" w:color="auto" w:sz="4" w:space="0"/>
                    <w:right w:val="single" w:color="auto" w:sz="4" w:space="0"/>
                  </w:tcBorders>
                  <w:noWrap w:val="0"/>
                  <w:vAlign w:val="center"/>
                </w:tcPr>
                <w:p w14:paraId="6FF7A76F">
                  <w:pPr>
                    <w:keepNext w:val="0"/>
                    <w:keepLines w:val="0"/>
                    <w:widowControl/>
                    <w:suppressLineNumbers w:val="0"/>
                    <w:jc w:val="center"/>
                    <w:textAlignment w:val="center"/>
                    <w:rPr>
                      <w:rFonts w:hint="eastAsia"/>
                      <w:color w:val="auto"/>
                    </w:rPr>
                  </w:pPr>
                  <w:r>
                    <w:rPr>
                      <w:rFonts w:hint="default" w:ascii="Times New Roman" w:hAnsi="Times New Roman" w:eastAsia="宋体" w:cs="Times New Roman"/>
                      <w:i w:val="0"/>
                      <w:iCs w:val="0"/>
                      <w:color w:val="auto"/>
                      <w:kern w:val="0"/>
                      <w:sz w:val="21"/>
                      <w:szCs w:val="21"/>
                      <w:u w:val="none"/>
                      <w:lang w:val="en-US" w:eastAsia="zh-CN" w:bidi="ar"/>
                    </w:rPr>
                    <w:t>103.2</w:t>
                  </w:r>
                </w:p>
              </w:tc>
              <w:tc>
                <w:tcPr>
                  <w:tcW w:w="804" w:type="dxa"/>
                  <w:tcBorders>
                    <w:top w:val="single" w:color="auto" w:sz="4" w:space="0"/>
                    <w:left w:val="single" w:color="auto" w:sz="4" w:space="0"/>
                    <w:bottom w:val="single" w:color="auto" w:sz="4" w:space="0"/>
                    <w:right w:val="single" w:color="auto" w:sz="4" w:space="0"/>
                  </w:tcBorders>
                  <w:noWrap w:val="0"/>
                  <w:vAlign w:val="center"/>
                </w:tcPr>
                <w:p w14:paraId="0CB1252E">
                  <w:pPr>
                    <w:keepNext w:val="0"/>
                    <w:keepLines w:val="0"/>
                    <w:widowControl/>
                    <w:suppressLineNumbers w:val="0"/>
                    <w:jc w:val="center"/>
                    <w:textAlignment w:val="center"/>
                    <w:rPr>
                      <w:rFonts w:hint="eastAsia"/>
                      <w:color w:val="auto"/>
                    </w:rPr>
                  </w:pPr>
                  <w:r>
                    <w:rPr>
                      <w:rFonts w:hint="default" w:ascii="Times New Roman" w:hAnsi="Times New Roman" w:eastAsia="宋体" w:cs="Times New Roman"/>
                      <w:i w:val="0"/>
                      <w:iCs w:val="0"/>
                      <w:color w:val="auto"/>
                      <w:kern w:val="0"/>
                      <w:sz w:val="21"/>
                      <w:szCs w:val="21"/>
                      <w:u w:val="none"/>
                      <w:lang w:val="en-US" w:eastAsia="zh-CN" w:bidi="ar"/>
                    </w:rPr>
                    <w:t>37.8</w:t>
                  </w:r>
                </w:p>
              </w:tc>
              <w:tc>
                <w:tcPr>
                  <w:tcW w:w="1059" w:type="dxa"/>
                  <w:tcBorders>
                    <w:top w:val="single" w:color="auto" w:sz="4" w:space="0"/>
                    <w:left w:val="single" w:color="auto" w:sz="4" w:space="0"/>
                    <w:bottom w:val="single" w:color="auto" w:sz="4" w:space="0"/>
                    <w:right w:val="single" w:color="auto" w:sz="4" w:space="0"/>
                  </w:tcBorders>
                  <w:noWrap w:val="0"/>
                  <w:vAlign w:val="center"/>
                </w:tcPr>
                <w:p w14:paraId="66CE0325">
                  <w:pPr>
                    <w:keepNext w:val="0"/>
                    <w:keepLines w:val="0"/>
                    <w:widowControl/>
                    <w:suppressLineNumbers w:val="0"/>
                    <w:jc w:val="center"/>
                    <w:textAlignment w:val="center"/>
                    <w:rPr>
                      <w:rFonts w:hint="eastAsia"/>
                      <w:color w:val="auto"/>
                    </w:rPr>
                  </w:pPr>
                  <w:r>
                    <w:rPr>
                      <w:rFonts w:hint="default" w:ascii="Times New Roman" w:hAnsi="Times New Roman" w:eastAsia="宋体" w:cs="Times New Roman"/>
                      <w:i w:val="0"/>
                      <w:iCs w:val="0"/>
                      <w:color w:val="auto"/>
                      <w:kern w:val="0"/>
                      <w:sz w:val="21"/>
                      <w:szCs w:val="21"/>
                      <w:u w:val="none"/>
                      <w:lang w:val="en-US" w:eastAsia="zh-CN" w:bidi="ar"/>
                    </w:rPr>
                    <w:t>32</w:t>
                  </w:r>
                  <w:r>
                    <w:rPr>
                      <w:rFonts w:hint="eastAsia" w:ascii="宋体" w:hAnsi="宋体" w:eastAsia="宋体" w:cs="宋体"/>
                      <w:i w:val="0"/>
                      <w:iCs w:val="0"/>
                      <w:color w:val="auto"/>
                      <w:kern w:val="0"/>
                      <w:sz w:val="21"/>
                      <w:szCs w:val="21"/>
                      <w:u w:val="none"/>
                      <w:lang w:val="en-US" w:eastAsia="zh-CN" w:bidi="ar"/>
                    </w:rPr>
                    <w:t>个</w:t>
                  </w:r>
                  <w:r>
                    <w:rPr>
                      <w:rFonts w:hint="default" w:ascii="Times New Roman" w:hAnsi="Times New Roman" w:eastAsia="宋体" w:cs="Times New Roman"/>
                      <w:i w:val="0"/>
                      <w:iCs w:val="0"/>
                      <w:color w:val="auto"/>
                      <w:kern w:val="0"/>
                      <w:sz w:val="21"/>
                      <w:szCs w:val="21"/>
                      <w:u w:val="none"/>
                      <w:lang w:val="en-US" w:eastAsia="zh-CN" w:bidi="ar"/>
                    </w:rPr>
                    <w:t>/L</w:t>
                  </w:r>
                </w:p>
              </w:tc>
              <w:tc>
                <w:tcPr>
                  <w:tcW w:w="1059" w:type="dxa"/>
                  <w:tcBorders>
                    <w:top w:val="single" w:color="auto" w:sz="4" w:space="0"/>
                    <w:left w:val="single" w:color="auto" w:sz="4" w:space="0"/>
                    <w:bottom w:val="single" w:color="auto" w:sz="4" w:space="0"/>
                    <w:right w:val="nil"/>
                  </w:tcBorders>
                  <w:noWrap w:val="0"/>
                  <w:vAlign w:val="center"/>
                </w:tcPr>
                <w:p w14:paraId="0D6686AF">
                  <w:pPr>
                    <w:keepNext w:val="0"/>
                    <w:keepLines w:val="0"/>
                    <w:widowControl/>
                    <w:suppressLineNumbers w:val="0"/>
                    <w:jc w:val="center"/>
                    <w:textAlignment w:val="center"/>
                    <w:rPr>
                      <w:rFonts w:hint="eastAsia"/>
                      <w:color w:val="auto"/>
                    </w:rPr>
                  </w:pPr>
                  <w:r>
                    <w:rPr>
                      <w:rFonts w:hint="default" w:ascii="Times New Roman" w:hAnsi="Times New Roman" w:eastAsia="宋体" w:cs="Times New Roman"/>
                      <w:i w:val="0"/>
                      <w:iCs w:val="0"/>
                      <w:color w:val="auto"/>
                      <w:kern w:val="0"/>
                      <w:sz w:val="21"/>
                      <w:szCs w:val="21"/>
                      <w:u w:val="none"/>
                      <w:lang w:val="en-US" w:eastAsia="zh-CN" w:bidi="ar"/>
                    </w:rPr>
                    <w:t>6.9</w:t>
                  </w:r>
                </w:p>
              </w:tc>
            </w:tr>
            <w:tr w14:paraId="099B5FB8">
              <w:tblPrEx>
                <w:tblCellMar>
                  <w:top w:w="0" w:type="dxa"/>
                  <w:left w:w="108" w:type="dxa"/>
                  <w:bottom w:w="0" w:type="dxa"/>
                  <w:right w:w="108" w:type="dxa"/>
                </w:tblCellMar>
              </w:tblPrEx>
              <w:trPr>
                <w:trHeight w:val="340" w:hRule="atLeast"/>
              </w:trPr>
              <w:tc>
                <w:tcPr>
                  <w:tcW w:w="2585" w:type="dxa"/>
                  <w:gridSpan w:val="3"/>
                  <w:tcBorders>
                    <w:top w:val="single" w:color="auto" w:sz="4" w:space="0"/>
                    <w:left w:val="nil"/>
                    <w:bottom w:val="single" w:color="000000" w:sz="12" w:space="0"/>
                    <w:right w:val="single" w:color="auto" w:sz="4" w:space="0"/>
                  </w:tcBorders>
                  <w:noWrap w:val="0"/>
                  <w:vAlign w:val="center"/>
                </w:tcPr>
                <w:p w14:paraId="6D88A961">
                  <w:pPr>
                    <w:pStyle w:val="67"/>
                    <w:rPr>
                      <w:color w:val="auto"/>
                    </w:rPr>
                  </w:pPr>
                  <w:r>
                    <w:rPr>
                      <w:rFonts w:hint="eastAsia"/>
                      <w:color w:val="auto"/>
                      <w:lang w:val="en-US" w:eastAsia="zh-CN"/>
                    </w:rPr>
                    <w:t>综合废水执行</w:t>
                  </w:r>
                  <w:r>
                    <w:rPr>
                      <w:color w:val="auto"/>
                    </w:rPr>
                    <w:t>GB8978-1996</w:t>
                  </w:r>
                  <w:r>
                    <w:rPr>
                      <w:rFonts w:hint="eastAsia"/>
                      <w:color w:val="auto"/>
                    </w:rPr>
                    <w:t>标准</w:t>
                  </w:r>
                </w:p>
              </w:tc>
              <w:tc>
                <w:tcPr>
                  <w:tcW w:w="842" w:type="dxa"/>
                  <w:tcBorders>
                    <w:top w:val="single" w:color="auto" w:sz="4" w:space="0"/>
                    <w:left w:val="single" w:color="auto" w:sz="4" w:space="0"/>
                    <w:bottom w:val="single" w:color="000000" w:sz="12" w:space="0"/>
                    <w:right w:val="single" w:color="auto" w:sz="4" w:space="0"/>
                  </w:tcBorders>
                  <w:noWrap w:val="0"/>
                  <w:vAlign w:val="center"/>
                </w:tcPr>
                <w:p w14:paraId="4AF4DC1C">
                  <w:pPr>
                    <w:pStyle w:val="67"/>
                    <w:rPr>
                      <w:color w:val="auto"/>
                    </w:rPr>
                  </w:pPr>
                  <w:r>
                    <w:rPr>
                      <w:rFonts w:hint="eastAsia"/>
                      <w:color w:val="auto"/>
                    </w:rPr>
                    <w:t>500</w:t>
                  </w:r>
                </w:p>
              </w:tc>
              <w:tc>
                <w:tcPr>
                  <w:tcW w:w="752" w:type="dxa"/>
                  <w:tcBorders>
                    <w:top w:val="single" w:color="auto" w:sz="4" w:space="0"/>
                    <w:left w:val="single" w:color="auto" w:sz="4" w:space="0"/>
                    <w:bottom w:val="single" w:color="000000" w:sz="12" w:space="0"/>
                    <w:right w:val="single" w:color="auto" w:sz="4" w:space="0"/>
                  </w:tcBorders>
                  <w:noWrap w:val="0"/>
                  <w:vAlign w:val="center"/>
                </w:tcPr>
                <w:p w14:paraId="2B0FA422">
                  <w:pPr>
                    <w:widowControl/>
                    <w:jc w:val="center"/>
                    <w:textAlignment w:val="center"/>
                    <w:rPr>
                      <w:color w:val="auto"/>
                    </w:rPr>
                  </w:pPr>
                  <w:r>
                    <w:rPr>
                      <w:rFonts w:hint="eastAsia"/>
                      <w:color w:val="auto"/>
                      <w:kern w:val="0"/>
                      <w:sz w:val="21"/>
                      <w:szCs w:val="21"/>
                      <w:lang w:bidi="ar"/>
                    </w:rPr>
                    <w:t>300</w:t>
                  </w:r>
                </w:p>
              </w:tc>
              <w:tc>
                <w:tcPr>
                  <w:tcW w:w="836" w:type="dxa"/>
                  <w:tcBorders>
                    <w:top w:val="single" w:color="auto" w:sz="4" w:space="0"/>
                    <w:left w:val="single" w:color="auto" w:sz="4" w:space="0"/>
                    <w:bottom w:val="single" w:color="000000" w:sz="12" w:space="0"/>
                    <w:right w:val="single" w:color="auto" w:sz="4" w:space="0"/>
                  </w:tcBorders>
                  <w:noWrap w:val="0"/>
                  <w:vAlign w:val="center"/>
                </w:tcPr>
                <w:p w14:paraId="46ECE085">
                  <w:pPr>
                    <w:pStyle w:val="67"/>
                    <w:rPr>
                      <w:color w:val="auto"/>
                    </w:rPr>
                  </w:pPr>
                  <w:r>
                    <w:rPr>
                      <w:rFonts w:hint="eastAsia"/>
                      <w:color w:val="auto"/>
                    </w:rPr>
                    <w:t>400</w:t>
                  </w:r>
                </w:p>
              </w:tc>
              <w:tc>
                <w:tcPr>
                  <w:tcW w:w="804" w:type="dxa"/>
                  <w:tcBorders>
                    <w:top w:val="single" w:color="auto" w:sz="4" w:space="0"/>
                    <w:left w:val="single" w:color="auto" w:sz="4" w:space="0"/>
                    <w:bottom w:val="single" w:color="000000" w:sz="12" w:space="0"/>
                    <w:right w:val="single" w:color="auto" w:sz="4" w:space="0"/>
                  </w:tcBorders>
                  <w:noWrap w:val="0"/>
                  <w:vAlign w:val="center"/>
                </w:tcPr>
                <w:p w14:paraId="4C4BEEE7">
                  <w:pPr>
                    <w:pStyle w:val="67"/>
                    <w:rPr>
                      <w:color w:val="auto"/>
                    </w:rPr>
                  </w:pPr>
                  <w:r>
                    <w:rPr>
                      <w:rFonts w:hint="eastAsia"/>
                      <w:color w:val="auto"/>
                    </w:rPr>
                    <w:t>45</w:t>
                  </w:r>
                </w:p>
              </w:tc>
              <w:tc>
                <w:tcPr>
                  <w:tcW w:w="1059" w:type="dxa"/>
                  <w:tcBorders>
                    <w:top w:val="single" w:color="auto" w:sz="4" w:space="0"/>
                    <w:left w:val="single" w:color="auto" w:sz="4" w:space="0"/>
                    <w:bottom w:val="single" w:color="000000" w:sz="12" w:space="0"/>
                    <w:right w:val="single" w:color="auto" w:sz="4" w:space="0"/>
                  </w:tcBorders>
                  <w:noWrap w:val="0"/>
                  <w:vAlign w:val="center"/>
                </w:tcPr>
                <w:p w14:paraId="4E5D4727">
                  <w:pPr>
                    <w:pStyle w:val="67"/>
                    <w:rPr>
                      <w:rFonts w:hint="eastAsia"/>
                      <w:color w:val="auto"/>
                    </w:rPr>
                  </w:pPr>
                  <w:r>
                    <w:rPr>
                      <w:color w:val="auto"/>
                    </w:rPr>
                    <w:t>≤5000</w:t>
                  </w:r>
                  <w:r>
                    <w:rPr>
                      <w:rFonts w:hint="eastAsia"/>
                      <w:color w:val="auto"/>
                    </w:rPr>
                    <w:t>个/L</w:t>
                  </w:r>
                </w:p>
              </w:tc>
              <w:tc>
                <w:tcPr>
                  <w:tcW w:w="1059" w:type="dxa"/>
                  <w:tcBorders>
                    <w:top w:val="single" w:color="auto" w:sz="4" w:space="0"/>
                    <w:left w:val="single" w:color="auto" w:sz="4" w:space="0"/>
                    <w:bottom w:val="single" w:color="000000" w:sz="12" w:space="0"/>
                    <w:right w:val="nil"/>
                  </w:tcBorders>
                  <w:noWrap w:val="0"/>
                  <w:vAlign w:val="center"/>
                </w:tcPr>
                <w:p w14:paraId="17A7EAF3">
                  <w:pPr>
                    <w:pStyle w:val="67"/>
                    <w:rPr>
                      <w:color w:val="auto"/>
                    </w:rPr>
                  </w:pPr>
                  <w:r>
                    <w:rPr>
                      <w:rFonts w:hint="eastAsia"/>
                      <w:color w:val="auto"/>
                    </w:rPr>
                    <w:t>20</w:t>
                  </w:r>
                </w:p>
              </w:tc>
            </w:tr>
          </w:tbl>
          <w:p w14:paraId="083E5C46">
            <w:pPr>
              <w:pStyle w:val="6"/>
              <w:numPr>
                <w:ilvl w:val="0"/>
                <w:numId w:val="0"/>
              </w:numPr>
              <w:tabs>
                <w:tab w:val="left" w:pos="0"/>
              </w:tabs>
              <w:ind w:left="993" w:leftChars="0" w:hanging="993" w:firstLineChars="0"/>
            </w:pPr>
            <w:r>
              <w:rPr>
                <w:rFonts w:hint="eastAsia" w:ascii="Times New Roman" w:hAnsi="Times New Roman" w:eastAsia="宋体" w:cs="宋体"/>
                <w:b/>
                <w:bCs/>
                <w:kern w:val="2"/>
                <w:sz w:val="28"/>
                <w:szCs w:val="32"/>
                <w:lang w:val="en-US" w:eastAsia="zh-CN" w:bidi="ar-SA"/>
              </w:rPr>
              <w:t>4.5.2</w:t>
            </w:r>
            <w:r>
              <w:rPr>
                <w:rFonts w:hint="eastAsia"/>
              </w:rPr>
              <w:t>措施可行性分析</w:t>
            </w:r>
          </w:p>
          <w:p w14:paraId="34C9F2C3">
            <w:pPr>
              <w:pStyle w:val="76"/>
              <w:ind w:firstLine="480"/>
              <w:rPr>
                <w:rFonts w:hint="default"/>
              </w:rPr>
            </w:pPr>
            <w:r>
              <w:t>（1）宠物医疗废水措施有效性分析</w:t>
            </w:r>
          </w:p>
          <w:p w14:paraId="1DB9A8D9">
            <w:pPr>
              <w:pStyle w:val="76"/>
              <w:ind w:firstLine="480"/>
              <w:rPr>
                <w:rFonts w:hint="default"/>
              </w:rPr>
            </w:pPr>
            <w:r>
              <w:t>①</w:t>
            </w:r>
            <w:r>
              <w:rPr>
                <w:rFonts w:cs="Times New Roman"/>
              </w:rPr>
              <w:t>小型一体化医疗废水处理设施原理</w:t>
            </w:r>
          </w:p>
          <w:p w14:paraId="51DAC83F">
            <w:pPr>
              <w:pStyle w:val="76"/>
              <w:ind w:firstLine="480"/>
            </w:pPr>
            <w:r>
              <w:t>本项目设有小型一体化污水处理设施，该设施设有过滤网及采用二氧化氯消毒。过滤网对项目产生废水中的大部分悬浮物进行去除，二氧化氯消毒可减少水中三卤甲烷等氯化副产物的形成；当水中含有氨时不与氨反应，其氧化和消毒作用不受影响；能杀灭水中的病原微生物；消毒作用不受水质酸碱度的影响；消毒后水中余氯稳定持久，防止再污染的能力强。</w:t>
            </w:r>
          </w:p>
          <w:p w14:paraId="2D7EF993">
            <w:pPr>
              <w:pStyle w:val="76"/>
              <w:ind w:firstLine="480"/>
              <w:rPr>
                <w:rFonts w:hint="default" w:cs="Times New Roman"/>
              </w:rPr>
            </w:pPr>
            <w:r>
              <w:t>本次项目采用的小</w:t>
            </w:r>
            <w:r>
              <w:rPr>
                <w:rFonts w:cs="Times New Roman"/>
              </w:rPr>
              <w:t>型一体化医疗废水处理设施（过滤网+二氧化氯消毒）措施有效性参考《排污许可证申请与核发技术规范 医疗机构》（HJ 1105</w:t>
            </w:r>
            <w:r>
              <w:rPr>
                <w:rFonts w:hint="eastAsia" w:cs="Times New Roman"/>
                <w:lang w:val="en-US" w:eastAsia="zh-CN"/>
              </w:rPr>
              <w:t>-</w:t>
            </w:r>
            <w:r>
              <w:rPr>
                <w:rFonts w:cs="Times New Roman"/>
              </w:rPr>
              <w:t>2020）中“表 A.2 医疗机构排污单位污水治理可行技术参照表”，医疗废水排入城镇污水处理厂的应采取“一级处理/一级强化处理+消毒工艺”，本项目小型一体化医疗废水处理采用过滤网+二氧化氯工艺，过滤网属于“表 A.2 医疗机构排污单位污水治理可行技术参照表”中列明的一级处理工艺中的“筛滤法”。二氧化氯消毒属于“表 A.2 医疗机构排污单位污水治理可行技术参照表”中列明的消毒工艺“二氧化氯消毒法”。因此，</w:t>
            </w:r>
            <w:r>
              <w:t>本次项目采用的小</w:t>
            </w:r>
            <w:r>
              <w:rPr>
                <w:rFonts w:cs="Times New Roman"/>
              </w:rPr>
              <w:t>型一体化医疗废水处理设施（过滤网+二氧化氯消毒）属于可行性技术。</w:t>
            </w:r>
          </w:p>
          <w:p w14:paraId="2D0D638C">
            <w:pPr>
              <w:pStyle w:val="76"/>
              <w:ind w:firstLine="480"/>
              <w:rPr>
                <w:rFonts w:hint="default"/>
              </w:rPr>
            </w:pPr>
            <w:r>
              <w:t>②医疗废水出水达标性分析</w:t>
            </w:r>
          </w:p>
          <w:p w14:paraId="5CBBA1E7">
            <w:pPr>
              <w:pStyle w:val="76"/>
              <w:ind w:firstLine="480"/>
              <w:rPr>
                <w:rFonts w:cs="Times New Roman"/>
              </w:rPr>
            </w:pPr>
            <w:r>
              <w:t>本项目宠物诊疗手术等过程中产生废水量较小，在满足</w:t>
            </w:r>
            <w:r>
              <w:rPr>
                <w:rFonts w:cs="Times New Roman"/>
              </w:rPr>
              <w:t>400mg/L稳定性二氧化氯溶液浓度，并满足8min以上的停留时间。宠物医疗废水污染经</w:t>
            </w:r>
            <w:r>
              <w:t>小型一体化污水处理设施处理后污染物浓度分别为</w:t>
            </w:r>
            <w:r>
              <w:rPr>
                <w:rFonts w:hint="default" w:cs="Times New Roman"/>
              </w:rPr>
              <w:t>COD</w:t>
            </w:r>
            <w:r>
              <w:rPr>
                <w:rFonts w:hint="eastAsia" w:cs="Times New Roman"/>
                <w:vertAlign w:val="subscript"/>
                <w:lang w:val="en-US" w:eastAsia="zh-CN"/>
              </w:rPr>
              <w:t>Cr</w:t>
            </w:r>
            <w:r>
              <w:rPr>
                <w:rFonts w:cs="Times New Roman"/>
              </w:rPr>
              <w:t>：</w:t>
            </w:r>
            <w:r>
              <w:rPr>
                <w:rFonts w:hint="default" w:cs="Times New Roman"/>
              </w:rPr>
              <w:t>250mg/L，BOD</w:t>
            </w:r>
            <w:r>
              <w:rPr>
                <w:rFonts w:hint="default" w:cs="Times New Roman"/>
                <w:vertAlign w:val="subscript"/>
              </w:rPr>
              <w:t>5</w:t>
            </w:r>
            <w:r>
              <w:rPr>
                <w:rFonts w:cs="Times New Roman"/>
              </w:rPr>
              <w:t>：</w:t>
            </w:r>
            <w:r>
              <w:rPr>
                <w:rFonts w:hint="default" w:cs="Times New Roman"/>
              </w:rPr>
              <w:t>100mg/L，SS</w:t>
            </w:r>
            <w:r>
              <w:rPr>
                <w:rFonts w:cs="Times New Roman"/>
              </w:rPr>
              <w:t>：16</w:t>
            </w:r>
            <w:r>
              <w:rPr>
                <w:rFonts w:hint="default" w:cs="Times New Roman"/>
              </w:rPr>
              <w:t>mg/L，氨氮</w:t>
            </w:r>
            <w:r>
              <w:rPr>
                <w:rFonts w:cs="Times New Roman"/>
              </w:rPr>
              <w:t>：</w:t>
            </w:r>
            <w:r>
              <w:rPr>
                <w:rFonts w:hint="default" w:cs="Times New Roman"/>
              </w:rPr>
              <w:t>30mg/L，粪大肠杆菌数</w:t>
            </w:r>
            <w:r>
              <w:rPr>
                <w:rFonts w:cs="Times New Roman"/>
              </w:rPr>
              <w:t>1000</w:t>
            </w:r>
            <w:r>
              <w:rPr>
                <w:rFonts w:hint="default" w:cs="Times New Roman"/>
              </w:rPr>
              <w:t>个/L</w:t>
            </w:r>
            <w:r>
              <w:rPr>
                <w:rFonts w:hint="eastAsia" w:cs="Times New Roman"/>
                <w:lang w:eastAsia="zh-CN"/>
              </w:rPr>
              <w:t>，</w:t>
            </w:r>
            <w:r>
              <w:rPr>
                <w:rFonts w:cs="Times New Roman"/>
              </w:rPr>
              <w:t>满足</w:t>
            </w:r>
            <w:r>
              <w:rPr>
                <w:rFonts w:hint="default" w:cs="Times New Roman"/>
              </w:rPr>
              <w:t>《医疗机构水污染物排放标准》（GB18466-2005）表2中的预处理标准</w:t>
            </w:r>
            <w:r>
              <w:rPr>
                <w:rFonts w:cs="Times New Roman"/>
              </w:rPr>
              <w:t>：</w:t>
            </w:r>
            <w:r>
              <w:rPr>
                <w:rFonts w:hint="default" w:cs="Times New Roman"/>
              </w:rPr>
              <w:t>COD</w:t>
            </w:r>
            <w:r>
              <w:rPr>
                <w:rFonts w:hint="eastAsia" w:cs="Times New Roman"/>
                <w:vertAlign w:val="subscript"/>
                <w:lang w:val="en-US" w:eastAsia="zh-CN"/>
              </w:rPr>
              <w:t>Cr</w:t>
            </w:r>
            <w:r>
              <w:rPr>
                <w:rFonts w:cs="Times New Roman"/>
              </w:rPr>
              <w:t>≤250</w:t>
            </w:r>
            <w:r>
              <w:rPr>
                <w:rFonts w:hint="default" w:cs="Times New Roman"/>
              </w:rPr>
              <w:t>mg/L、BOD</w:t>
            </w:r>
            <w:r>
              <w:rPr>
                <w:rFonts w:hint="default" w:cs="Times New Roman"/>
                <w:vertAlign w:val="subscript"/>
              </w:rPr>
              <w:t>5</w:t>
            </w:r>
            <w:r>
              <w:rPr>
                <w:rFonts w:cs="Times New Roman"/>
              </w:rPr>
              <w:t>≤100</w:t>
            </w:r>
            <w:r>
              <w:rPr>
                <w:rFonts w:hint="default" w:cs="Times New Roman"/>
              </w:rPr>
              <w:t>mg/L、SS</w:t>
            </w:r>
            <w:r>
              <w:rPr>
                <w:rFonts w:cs="Times New Roman"/>
              </w:rPr>
              <w:t>≤60</w:t>
            </w:r>
            <w:r>
              <w:rPr>
                <w:rFonts w:hint="default" w:cs="Times New Roman"/>
              </w:rPr>
              <w:t>mg/L、氨氮</w:t>
            </w:r>
            <w:r>
              <w:rPr>
                <w:rFonts w:cs="Times New Roman"/>
              </w:rPr>
              <w:t>≤45</w:t>
            </w:r>
            <w:r>
              <w:rPr>
                <w:rFonts w:hint="default" w:cs="Times New Roman"/>
              </w:rPr>
              <w:t>mg/L</w:t>
            </w:r>
            <w:r>
              <w:rPr>
                <w:rFonts w:cs="Times New Roman"/>
              </w:rPr>
              <w:t>、粪大肠菌群≤5000MPN/L。该部分废水经预处理后经化粪池后排入污水管网。</w:t>
            </w:r>
          </w:p>
          <w:p w14:paraId="7DEE1F9D">
            <w:pPr>
              <w:pStyle w:val="76"/>
              <w:ind w:firstLine="480"/>
              <w:rPr>
                <w:rFonts w:hint="default" w:cs="Times New Roman"/>
              </w:rPr>
            </w:pPr>
            <w:r>
              <w:rPr>
                <w:rFonts w:cs="Times New Roman"/>
              </w:rPr>
              <w:t>管理要求：</w:t>
            </w:r>
          </w:p>
          <w:p w14:paraId="57ED5037">
            <w:pPr>
              <w:pStyle w:val="76"/>
              <w:ind w:firstLine="480"/>
              <w:rPr>
                <w:rFonts w:hint="default" w:cs="Times New Roman"/>
              </w:rPr>
            </w:pPr>
            <w:r>
              <w:rPr>
                <w:rFonts w:cs="Times New Roman"/>
              </w:rPr>
              <w:t>根据</w:t>
            </w:r>
            <w:r>
              <w:rPr>
                <w:rFonts w:hint="default" w:cs="Times New Roman"/>
              </w:rPr>
              <w:t>《医疗机构水污染物排放标准》（GB18466-2005）表2</w:t>
            </w:r>
            <w:r>
              <w:t>预处理标准：消毒接触池接触时间≥1h，接触池出口总余氯2~8mg/L。项目在保证消毒接触时间大于1h情况下，定期检测。</w:t>
            </w:r>
          </w:p>
          <w:p w14:paraId="426E962A">
            <w:pPr>
              <w:pStyle w:val="76"/>
              <w:ind w:firstLine="480"/>
              <w:rPr>
                <w:rFonts w:hint="default" w:cs="Times New Roman"/>
              </w:rPr>
            </w:pPr>
            <w:r>
              <w:rPr>
                <w:rFonts w:cs="Times New Roman"/>
              </w:rPr>
              <w:t>③小型一体化医疗废水处理设施处理能力可行性分析</w:t>
            </w:r>
          </w:p>
          <w:p w14:paraId="3A8B37C8">
            <w:pPr>
              <w:pStyle w:val="76"/>
              <w:ind w:firstLine="480"/>
              <w:rPr>
                <w:rFonts w:hint="default" w:cs="Times New Roman"/>
              </w:rPr>
            </w:pPr>
            <w:r>
              <w:rPr>
                <w:rFonts w:cs="Times New Roman"/>
                <w:color w:val="auto"/>
              </w:rPr>
              <w:t>项目拟设</w:t>
            </w:r>
            <w:r>
              <w:rPr>
                <w:rFonts w:hint="eastAsia" w:cs="Times New Roman"/>
                <w:color w:val="auto"/>
                <w:lang w:val="en-US" w:eastAsia="zh-CN"/>
              </w:rPr>
              <w:t>1</w:t>
            </w:r>
            <w:r>
              <w:rPr>
                <w:rFonts w:cs="Times New Roman"/>
                <w:color w:val="auto"/>
              </w:rPr>
              <w:t>台小型一体化医疗废水处理设施，处理能力约50L/d（0.05t/d），项目医疗废水产生量约合0.0</w:t>
            </w:r>
            <w:r>
              <w:rPr>
                <w:rFonts w:hint="eastAsia" w:cs="Times New Roman"/>
                <w:color w:val="auto"/>
                <w:lang w:val="en-US" w:eastAsia="zh-CN"/>
              </w:rPr>
              <w:t>26</w:t>
            </w:r>
            <w:r>
              <w:rPr>
                <w:rFonts w:cs="Times New Roman"/>
                <w:color w:val="auto"/>
              </w:rPr>
              <w:t>t/d，</w:t>
            </w:r>
            <w:r>
              <w:rPr>
                <w:rFonts w:cs="Times New Roman"/>
              </w:rPr>
              <w:t>则项目配套的小型一体化医疗废水处理设施处理能力可满足医疗废水处理。</w:t>
            </w:r>
          </w:p>
          <w:p w14:paraId="79A9545D">
            <w:pPr>
              <w:pStyle w:val="76"/>
              <w:ind w:firstLine="480"/>
              <w:rPr>
                <w:rFonts w:hint="default" w:cs="Times New Roman"/>
              </w:rPr>
            </w:pPr>
            <w:r>
              <w:rPr>
                <w:rFonts w:cs="Times New Roman"/>
              </w:rPr>
              <w:t>综上所述，宠物医疗废水处理措施有效可行。</w:t>
            </w:r>
          </w:p>
          <w:p w14:paraId="5B33F753">
            <w:pPr>
              <w:pStyle w:val="76"/>
              <w:ind w:firstLine="480"/>
              <w:rPr>
                <w:rFonts w:hint="default"/>
              </w:rPr>
            </w:pPr>
            <w:r>
              <w:t>（2）综合废水措施有效性分析</w:t>
            </w:r>
          </w:p>
          <w:p w14:paraId="46A8C754">
            <w:pPr>
              <w:pStyle w:val="76"/>
              <w:ind w:firstLine="480"/>
              <w:rPr>
                <w:rFonts w:hint="default"/>
              </w:rPr>
            </w:pPr>
            <w:r>
              <w:t>①废水达标排放分析</w:t>
            </w:r>
          </w:p>
          <w:p w14:paraId="04854ABA">
            <w:pPr>
              <w:pStyle w:val="76"/>
              <w:ind w:firstLine="480"/>
              <w:rPr>
                <w:rFonts w:cs="Times New Roman"/>
                <w:color w:val="FF0000"/>
              </w:rPr>
            </w:pPr>
            <w:r>
              <w:rPr>
                <w:color w:val="auto"/>
              </w:rPr>
              <w:t>根据表4.5-1核算，项目宠物医疗废水、生活污水、宠物美容清洗废水综合经化粪池处理后污染物排放浓度为</w:t>
            </w:r>
            <w:r>
              <w:rPr>
                <w:rFonts w:hint="default" w:cs="Times New Roman"/>
                <w:color w:val="auto"/>
              </w:rPr>
              <w:t>COD</w:t>
            </w:r>
            <w:r>
              <w:rPr>
                <w:rFonts w:hint="eastAsia" w:cs="Times New Roman"/>
                <w:color w:val="auto"/>
                <w:vertAlign w:val="subscript"/>
                <w:lang w:val="en-US" w:eastAsia="zh-CN"/>
              </w:rPr>
              <w:t>C</w:t>
            </w:r>
            <w:r>
              <w:rPr>
                <w:rFonts w:cs="Times New Roman"/>
                <w:color w:val="auto"/>
                <w:vertAlign w:val="subscript"/>
              </w:rPr>
              <w:t>r</w:t>
            </w:r>
            <w:r>
              <w:rPr>
                <w:rFonts w:cs="Times New Roman"/>
                <w:color w:val="auto"/>
              </w:rPr>
              <w:t>:</w:t>
            </w:r>
            <w:r>
              <w:rPr>
                <w:rFonts w:hint="eastAsia" w:cs="Times New Roman"/>
                <w:color w:val="auto"/>
                <w:lang w:val="en-US" w:eastAsia="zh-CN"/>
              </w:rPr>
              <w:t>337.1</w:t>
            </w:r>
            <w:r>
              <w:rPr>
                <w:rFonts w:hint="default" w:cs="Times New Roman"/>
                <w:color w:val="auto"/>
              </w:rPr>
              <w:t>mg/L、BOD</w:t>
            </w:r>
            <w:r>
              <w:rPr>
                <w:rFonts w:hint="default" w:cs="Times New Roman"/>
                <w:color w:val="auto"/>
                <w:vertAlign w:val="subscript"/>
              </w:rPr>
              <w:t>5</w:t>
            </w:r>
            <w:r>
              <w:rPr>
                <w:rFonts w:cs="Times New Roman"/>
                <w:color w:val="auto"/>
              </w:rPr>
              <w:t>：17</w:t>
            </w:r>
            <w:r>
              <w:rPr>
                <w:rFonts w:hint="eastAsia" w:cs="Times New Roman"/>
                <w:color w:val="auto"/>
                <w:lang w:val="en-US" w:eastAsia="zh-CN"/>
              </w:rPr>
              <w:t>5.4</w:t>
            </w:r>
            <w:r>
              <w:rPr>
                <w:rFonts w:hint="default" w:cs="Times New Roman"/>
                <w:color w:val="auto"/>
              </w:rPr>
              <w:t>mg/L、SS</w:t>
            </w:r>
            <w:r>
              <w:rPr>
                <w:rFonts w:cs="Times New Roman"/>
                <w:color w:val="auto"/>
              </w:rPr>
              <w:t>：10</w:t>
            </w:r>
            <w:r>
              <w:rPr>
                <w:rFonts w:hint="eastAsia" w:cs="Times New Roman"/>
                <w:color w:val="auto"/>
                <w:lang w:val="en-US" w:eastAsia="zh-CN"/>
              </w:rPr>
              <w:t>3.2</w:t>
            </w:r>
            <w:r>
              <w:rPr>
                <w:rFonts w:hint="default" w:cs="Times New Roman"/>
                <w:color w:val="auto"/>
              </w:rPr>
              <w:t>mg/L、氨氮</w:t>
            </w:r>
            <w:r>
              <w:rPr>
                <w:rFonts w:cs="Times New Roman"/>
                <w:color w:val="auto"/>
              </w:rPr>
              <w:t>：3</w:t>
            </w:r>
            <w:r>
              <w:rPr>
                <w:rFonts w:hint="eastAsia" w:cs="Times New Roman"/>
                <w:color w:val="auto"/>
                <w:lang w:val="en-US" w:eastAsia="zh-CN"/>
              </w:rPr>
              <w:t>7.8</w:t>
            </w:r>
            <w:r>
              <w:rPr>
                <w:rFonts w:hint="default" w:cs="Times New Roman"/>
                <w:color w:val="auto"/>
              </w:rPr>
              <w:t>mg/L</w:t>
            </w:r>
            <w:r>
              <w:rPr>
                <w:rFonts w:cs="Times New Roman"/>
                <w:color w:val="auto"/>
              </w:rPr>
              <w:t>、粪大肠菌群：3</w:t>
            </w:r>
            <w:r>
              <w:rPr>
                <w:rFonts w:hint="eastAsia" w:cs="Times New Roman"/>
                <w:color w:val="auto"/>
                <w:lang w:val="en-US" w:eastAsia="zh-CN"/>
              </w:rPr>
              <w:t>2</w:t>
            </w:r>
            <w:r>
              <w:rPr>
                <w:rFonts w:cs="Times New Roman"/>
                <w:color w:val="auto"/>
              </w:rPr>
              <w:t>个/L、LAS：</w:t>
            </w:r>
            <w:r>
              <w:rPr>
                <w:rFonts w:hint="eastAsia" w:cs="Times New Roman"/>
                <w:color w:val="auto"/>
                <w:lang w:val="en-US" w:eastAsia="zh-CN"/>
              </w:rPr>
              <w:t>6.9</w:t>
            </w:r>
            <w:r>
              <w:rPr>
                <w:rFonts w:hint="default" w:cs="Times New Roman"/>
                <w:color w:val="auto"/>
              </w:rPr>
              <w:t>mg/L</w:t>
            </w:r>
            <w:r>
              <w:rPr>
                <w:rFonts w:hint="eastAsia" w:cs="Times New Roman"/>
                <w:color w:val="auto"/>
                <w:lang w:eastAsia="zh-CN"/>
              </w:rPr>
              <w:t>，</w:t>
            </w:r>
            <w:r>
              <w:rPr>
                <w:rFonts w:cs="Times New Roman"/>
                <w:color w:val="auto"/>
              </w:rPr>
              <w:t>可满足《污水综合排放标准》（GB8978-1996）表4中的三级标准排放标准（氨氮排放标准参考《污水排入城镇下水道水质标准》（GB/T31962-2015）B等级标准限值）：</w:t>
            </w:r>
            <w:r>
              <w:rPr>
                <w:rFonts w:hint="default" w:cs="Times New Roman"/>
                <w:color w:val="auto"/>
              </w:rPr>
              <w:t>COD</w:t>
            </w:r>
            <w:r>
              <w:rPr>
                <w:rFonts w:cs="Times New Roman"/>
                <w:color w:val="auto"/>
              </w:rPr>
              <w:t>cr≤500</w:t>
            </w:r>
            <w:r>
              <w:rPr>
                <w:rFonts w:hint="default" w:cs="Times New Roman"/>
                <w:color w:val="auto"/>
              </w:rPr>
              <w:t>mg/L、BOD</w:t>
            </w:r>
            <w:r>
              <w:rPr>
                <w:rFonts w:hint="default" w:cs="Times New Roman"/>
                <w:color w:val="auto"/>
                <w:vertAlign w:val="subscript"/>
              </w:rPr>
              <w:t>5</w:t>
            </w:r>
            <w:r>
              <w:rPr>
                <w:rFonts w:cs="Times New Roman"/>
                <w:color w:val="auto"/>
              </w:rPr>
              <w:t>≤300</w:t>
            </w:r>
            <w:r>
              <w:rPr>
                <w:rFonts w:hint="default" w:cs="Times New Roman"/>
                <w:color w:val="auto"/>
              </w:rPr>
              <w:t>mg/L、SS</w:t>
            </w:r>
            <w:r>
              <w:rPr>
                <w:rFonts w:cs="Times New Roman"/>
                <w:color w:val="auto"/>
              </w:rPr>
              <w:t>≤400</w:t>
            </w:r>
            <w:r>
              <w:rPr>
                <w:rFonts w:hint="default" w:cs="Times New Roman"/>
                <w:color w:val="auto"/>
              </w:rPr>
              <w:t>mg/L、氨氮</w:t>
            </w:r>
            <w:r>
              <w:rPr>
                <w:rFonts w:cs="Times New Roman"/>
                <w:color w:val="auto"/>
              </w:rPr>
              <w:t>≤45</w:t>
            </w:r>
            <w:r>
              <w:rPr>
                <w:rFonts w:hint="default" w:cs="Times New Roman"/>
                <w:color w:val="auto"/>
              </w:rPr>
              <w:t>mg/L</w:t>
            </w:r>
            <w:r>
              <w:rPr>
                <w:rFonts w:cs="Times New Roman"/>
                <w:color w:val="auto"/>
              </w:rPr>
              <w:t>、粪大肠菌群≤5000个/L、LAS≤20</w:t>
            </w:r>
            <w:r>
              <w:rPr>
                <w:rFonts w:hint="default" w:cs="Times New Roman"/>
                <w:color w:val="auto"/>
              </w:rPr>
              <w:t>mg/L</w:t>
            </w:r>
            <w:r>
              <w:rPr>
                <w:rFonts w:cs="Times New Roman"/>
                <w:color w:val="auto"/>
              </w:rPr>
              <w:t>。</w:t>
            </w:r>
          </w:p>
          <w:p w14:paraId="0EE508BD">
            <w:pPr>
              <w:pStyle w:val="76"/>
              <w:ind w:firstLine="480"/>
              <w:rPr>
                <w:rFonts w:hint="default"/>
              </w:rPr>
            </w:pPr>
            <w:r>
              <w:t>②依托现有化粪池处理可行性分析</w:t>
            </w:r>
          </w:p>
          <w:p w14:paraId="5A607E51">
            <w:pPr>
              <w:pStyle w:val="76"/>
              <w:ind w:firstLine="480"/>
              <w:rPr>
                <w:rFonts w:hint="default"/>
              </w:rPr>
            </w:pPr>
            <w:r>
              <w:t>项目综合废水依托</w:t>
            </w:r>
            <w:r>
              <w:rPr>
                <w:color w:val="auto"/>
              </w:rPr>
              <w:t>现有商业楼建设的化粪池（</w:t>
            </w:r>
            <w:r>
              <w:rPr>
                <w:rFonts w:hint="eastAsia"/>
                <w:color w:val="auto"/>
                <w:lang w:val="en-US" w:eastAsia="zh-CN"/>
              </w:rPr>
              <w:t>9</w:t>
            </w:r>
            <w:r>
              <w:rPr>
                <w:color w:val="auto"/>
              </w:rPr>
              <w:t>m</w:t>
            </w:r>
            <w:r>
              <w:rPr>
                <w:color w:val="auto"/>
                <w:vertAlign w:val="superscript"/>
              </w:rPr>
              <w:t>3</w:t>
            </w:r>
            <w:r>
              <w:rPr>
                <w:color w:val="auto"/>
              </w:rPr>
              <w:t>）处理</w:t>
            </w:r>
            <w:r>
              <w:t>后可达到纳管标准后进入市政污水管网，项目日产生污水量</w:t>
            </w:r>
            <w:r>
              <w:rPr>
                <w:rFonts w:hint="eastAsia"/>
                <w:lang w:val="en-US" w:eastAsia="zh-CN"/>
              </w:rPr>
              <w:t>0.808</w:t>
            </w:r>
            <w:r>
              <w:t>m</w:t>
            </w:r>
            <w:r>
              <w:rPr>
                <w:vertAlign w:val="superscript"/>
              </w:rPr>
              <w:t>3</w:t>
            </w:r>
            <w:r>
              <w:t>/d，污水量占化粪池处理能力</w:t>
            </w:r>
            <w:r>
              <w:rPr>
                <w:color w:val="auto"/>
              </w:rPr>
              <w:t>负荷</w:t>
            </w:r>
            <w:r>
              <w:rPr>
                <w:rFonts w:hint="eastAsia"/>
                <w:color w:val="auto"/>
                <w:lang w:val="en-US" w:eastAsia="zh-CN"/>
              </w:rPr>
              <w:t>8.97</w:t>
            </w:r>
            <w:r>
              <w:rPr>
                <w:color w:val="auto"/>
              </w:rPr>
              <w:t>8%，本</w:t>
            </w:r>
            <w:r>
              <w:t>项目产生的废水对依托设施的负荷较小，本项目依托现有化粪池有效可行。</w:t>
            </w:r>
          </w:p>
          <w:p w14:paraId="0745471A">
            <w:pPr>
              <w:pStyle w:val="76"/>
              <w:ind w:firstLine="480"/>
              <w:rPr>
                <w:rFonts w:hint="default"/>
              </w:rPr>
            </w:pPr>
            <w:r>
              <w:t>③项目废水排入污水处理厂可行性分析</w:t>
            </w:r>
          </w:p>
          <w:p w14:paraId="67532771">
            <w:pPr>
              <w:pStyle w:val="76"/>
              <w:ind w:firstLine="480"/>
              <w:rPr>
                <w:rFonts w:hint="default"/>
              </w:rPr>
            </w:pPr>
            <w:r>
              <w:t>项目综合废水日产生量为</w:t>
            </w:r>
            <w:r>
              <w:rPr>
                <w:rFonts w:hint="eastAsia"/>
                <w:lang w:val="en-US" w:eastAsia="zh-CN"/>
              </w:rPr>
              <w:t>0.808</w:t>
            </w:r>
            <w:r>
              <w:t>m</w:t>
            </w:r>
            <w:r>
              <w:rPr>
                <w:vertAlign w:val="superscript"/>
              </w:rPr>
              <w:t>3</w:t>
            </w:r>
            <w:r>
              <w:t>/d</w:t>
            </w:r>
            <w:r>
              <w:rPr>
                <w:color w:val="auto"/>
              </w:rPr>
              <w:t>，经</w:t>
            </w:r>
            <w:r>
              <w:rPr>
                <w:rFonts w:cs="Times New Roman"/>
                <w:color w:val="auto"/>
              </w:rPr>
              <w:t>一体化医疗废水处理设施</w:t>
            </w:r>
            <w:r>
              <w:rPr>
                <w:rFonts w:hint="eastAsia" w:cs="Times New Roman"/>
                <w:color w:val="auto"/>
                <w:lang w:val="en-US" w:eastAsia="zh-CN"/>
              </w:rPr>
              <w:t>及</w:t>
            </w:r>
            <w:r>
              <w:rPr>
                <w:color w:val="auto"/>
              </w:rPr>
              <w:t>化粪池处理后可达到</w:t>
            </w:r>
            <w:r>
              <w:rPr>
                <w:rFonts w:cs="Times New Roman"/>
                <w:color w:val="auto"/>
              </w:rPr>
              <w:t>《污水综合排放标准》（GB8978-1996）表4中的三级标准排放标准（</w:t>
            </w:r>
            <w:r>
              <w:rPr>
                <w:rFonts w:hint="default"/>
                <w:color w:val="auto"/>
              </w:rPr>
              <w:t>氨氮指标参照执行《污水排入城镇下水道水质标准》（GB/T31962-2015）表1中B级标准</w:t>
            </w:r>
            <w:r>
              <w:rPr>
                <w:rFonts w:cs="Times New Roman"/>
                <w:color w:val="auto"/>
              </w:rPr>
              <w:t>）</w:t>
            </w:r>
            <w:r>
              <w:rPr>
                <w:color w:val="auto"/>
              </w:rPr>
              <w:t>后进入祥坂污水处理厂处理，祥坂污水处理厂污</w:t>
            </w:r>
            <w:r>
              <w:t>水处理工艺采用A</w:t>
            </w:r>
            <w:r>
              <w:rPr>
                <w:vertAlign w:val="superscript"/>
              </w:rPr>
              <w:t>2</w:t>
            </w:r>
            <w:r>
              <w:t>/O-MBR工艺，处理能力为9×10</w:t>
            </w:r>
            <w:r>
              <w:rPr>
                <w:vertAlign w:val="superscript"/>
              </w:rPr>
              <w:t>4</w:t>
            </w:r>
            <w:r>
              <w:t>m</w:t>
            </w:r>
            <w:r>
              <w:rPr>
                <w:vertAlign w:val="superscript"/>
              </w:rPr>
              <w:t>3</w:t>
            </w:r>
            <w:r>
              <w:t>/d。MBR膜工艺是高效膜分离技术与活性污泥法相结合的新型污水处理技术，具有较好的生物脱氮除磷处理效果，能够高效地进行固液分离，可以根据进水特性和环境条件变化，耐冲击负荷，灵活调整运行模式。</w:t>
            </w:r>
          </w:p>
          <w:p w14:paraId="089F772B">
            <w:pPr>
              <w:pStyle w:val="76"/>
              <w:ind w:firstLine="480"/>
              <w:rPr>
                <w:rFonts w:hint="default"/>
                <w:color w:val="FF0000"/>
              </w:rPr>
            </w:pPr>
            <w:r>
              <w:rPr>
                <w:color w:val="auto"/>
              </w:rPr>
              <w:t>本项目污水量仅占福州市祥坂污水处理厂建设规模9×10</w:t>
            </w:r>
            <w:r>
              <w:rPr>
                <w:color w:val="auto"/>
                <w:vertAlign w:val="superscript"/>
              </w:rPr>
              <w:t>4</w:t>
            </w:r>
            <w:r>
              <w:rPr>
                <w:color w:val="auto"/>
              </w:rPr>
              <w:t>m</w:t>
            </w:r>
            <w:r>
              <w:rPr>
                <w:color w:val="auto"/>
                <w:vertAlign w:val="superscript"/>
              </w:rPr>
              <w:t>3</w:t>
            </w:r>
            <w:r>
              <w:rPr>
                <w:color w:val="auto"/>
              </w:rPr>
              <w:t>/d的0.0019%，因此，本工程建设污水排放量较小，不会对福州市祥坂污水处理厂产生冲击。项目废水经化粪池处理后排入福州市祥坂污水处理厂有效可行。</w:t>
            </w:r>
          </w:p>
          <w:p w14:paraId="2F297F41">
            <w:pPr>
              <w:pStyle w:val="76"/>
              <w:ind w:firstLine="480"/>
            </w:pPr>
            <w:r>
              <w:t>综上所述，工程废水处理措施有效可行。</w:t>
            </w:r>
          </w:p>
          <w:p w14:paraId="7B5F5261">
            <w:pPr>
              <w:pStyle w:val="76"/>
              <w:ind w:firstLine="480"/>
            </w:pPr>
            <w:r>
              <w:object>
                <v:shape id="_x0000_i1026" o:spt="75" type="#_x0000_t75" style="height:88.75pt;width:314pt;" o:ole="t" filled="f" o:preferrelative="t" stroked="f" coordsize="21600,21600">
                  <v:path/>
                  <v:fill on="f" focussize="0,0"/>
                  <v:stroke on="f"/>
                  <v:imagedata r:id="rId18" o:title=""/>
                  <o:lock v:ext="edit" aspectratio="t"/>
                  <w10:wrap type="none"/>
                  <w10:anchorlock/>
                </v:shape>
                <o:OLEObject Type="Embed" ProgID="Visio.Drawing.11" ShapeID="_x0000_i1026" DrawAspect="Content" ObjectID="_1468075726" r:id="rId17">
                  <o:LockedField>false</o:LockedField>
                </o:OLEObject>
              </w:object>
            </w:r>
          </w:p>
          <w:p w14:paraId="57C5A6B7">
            <w:pPr>
              <w:pStyle w:val="78"/>
              <w:numPr>
                <w:ilvl w:val="0"/>
                <w:numId w:val="0"/>
              </w:numPr>
              <w:ind w:left="0" w:leftChars="0" w:firstLine="0" w:firstLineChars="0"/>
            </w:pPr>
            <w:r>
              <w:rPr>
                <w:rFonts w:hint="eastAsia" w:ascii="Times New Roman" w:hAnsi="Times New Roman" w:eastAsia="宋体" w:cs="宋体"/>
                <w:b/>
                <w:kern w:val="2"/>
                <w:sz w:val="24"/>
                <w:szCs w:val="24"/>
                <w:lang w:val="en-US" w:eastAsia="zh-CN" w:bidi="ar-SA"/>
              </w:rPr>
              <w:t>图4.5-1</w:t>
            </w:r>
            <w:r>
              <w:rPr>
                <w:rFonts w:hint="eastAsia"/>
              </w:rPr>
              <w:t>废水处理工艺</w:t>
            </w:r>
          </w:p>
          <w:p w14:paraId="13B163A5">
            <w:pPr>
              <w:pStyle w:val="5"/>
              <w:numPr>
                <w:ilvl w:val="0"/>
                <w:numId w:val="0"/>
              </w:numPr>
              <w:spacing w:before="120" w:after="120"/>
              <w:ind w:left="0" w:leftChars="0" w:firstLine="0" w:firstLineChars="0"/>
            </w:pPr>
            <w:r>
              <w:rPr>
                <w:rFonts w:hint="eastAsia" w:ascii="Times New Roman" w:hAnsi="Times New Roman" w:eastAsia="宋体" w:cs="宋体"/>
                <w:b/>
                <w:bCs/>
                <w:color w:val="000000"/>
                <w:kern w:val="44"/>
                <w:sz w:val="30"/>
                <w:szCs w:val="32"/>
                <w:lang w:val="en-US" w:eastAsia="zh-CN" w:bidi="ar-SA"/>
              </w:rPr>
              <w:t>4.6</w:t>
            </w:r>
            <w:r>
              <w:rPr>
                <w:rFonts w:hint="eastAsia"/>
              </w:rPr>
              <w:t>废气</w:t>
            </w:r>
          </w:p>
          <w:p w14:paraId="617C9AC3">
            <w:pPr>
              <w:pStyle w:val="6"/>
              <w:numPr>
                <w:ilvl w:val="0"/>
                <w:numId w:val="0"/>
              </w:numPr>
              <w:tabs>
                <w:tab w:val="left" w:pos="0"/>
              </w:tabs>
              <w:ind w:left="993" w:leftChars="0" w:hanging="993" w:firstLineChars="0"/>
            </w:pPr>
            <w:r>
              <w:rPr>
                <w:rFonts w:hint="eastAsia" w:ascii="Times New Roman" w:hAnsi="Times New Roman" w:eastAsia="宋体" w:cs="宋体"/>
                <w:b/>
                <w:bCs/>
                <w:kern w:val="2"/>
                <w:sz w:val="28"/>
                <w:szCs w:val="32"/>
                <w:lang w:val="en-US" w:eastAsia="zh-CN" w:bidi="ar-SA"/>
              </w:rPr>
              <w:t>4.6.1</w:t>
            </w:r>
            <w:r>
              <w:rPr>
                <w:rFonts w:hint="eastAsia"/>
              </w:rPr>
              <w:t>污染源强分析</w:t>
            </w:r>
          </w:p>
          <w:p w14:paraId="130AB285">
            <w:pPr>
              <w:pStyle w:val="76"/>
              <w:ind w:firstLine="480"/>
            </w:pPr>
            <w:r>
              <w:t>本项目无燃煤、燃油、燃气设施，不设食堂。污水处理设施只进行消毒，无厌氧和好氧工艺，消毒过程会有少量臭气和消毒药水气味，废水消毒装置安装在室内且密闭，异味基本无逸散出去。本项目经营过程中主要为宠物散发的臭味。</w:t>
            </w:r>
          </w:p>
          <w:p w14:paraId="76DDEBDE">
            <w:pPr>
              <w:pStyle w:val="76"/>
              <w:ind w:firstLine="480"/>
            </w:pPr>
            <w:r>
              <w:t>本项目对宠物产生的粪便及时清理，美容室、洗浴室、住院室进行定期清洁消毒。通过采取安装新风系统加强通风换气及摆放除臭剂等措施后宠物散发的臭味可得到有效控制，同时新风换气系统中增加过滤网对恶臭气体进行过滤；通过加强管理、使用猫砂等，再经过项目设置新风系统换气过滤后依托商业楼通风管道排放。对敏感点住宅楼居民无显著影响。则通过以上措施恶臭污染物可达到《恶臭污染物排放标准》（GB14554-93）中相关标准。</w:t>
            </w:r>
          </w:p>
          <w:p w14:paraId="1423FB77">
            <w:pPr>
              <w:pStyle w:val="6"/>
              <w:numPr>
                <w:ilvl w:val="0"/>
                <w:numId w:val="0"/>
              </w:numPr>
              <w:tabs>
                <w:tab w:val="left" w:pos="0"/>
              </w:tabs>
              <w:ind w:left="993" w:leftChars="0" w:hanging="993" w:firstLineChars="0"/>
            </w:pPr>
            <w:r>
              <w:rPr>
                <w:rFonts w:hint="eastAsia" w:ascii="Times New Roman" w:hAnsi="Times New Roman" w:eastAsia="宋体" w:cs="宋体"/>
                <w:b/>
                <w:bCs/>
                <w:kern w:val="2"/>
                <w:sz w:val="28"/>
                <w:szCs w:val="32"/>
                <w:lang w:val="en-US" w:eastAsia="zh-CN" w:bidi="ar-SA"/>
              </w:rPr>
              <w:t>4.6.2</w:t>
            </w:r>
            <w:r>
              <w:rPr>
                <w:rFonts w:hint="eastAsia"/>
              </w:rPr>
              <w:t>废气措施可行性分析</w:t>
            </w:r>
          </w:p>
          <w:p w14:paraId="0786CD45">
            <w:pPr>
              <w:pStyle w:val="76"/>
              <w:ind w:firstLine="480"/>
            </w:pPr>
            <w:r>
              <w:t>本评价要求企业加强室内通风；并采用除臭剂进行室内空气净化，无毒，无害，无二次污染，可以消除难闻的或有害的气体，预防由细菌和寄生虫引起的疾病。</w:t>
            </w:r>
          </w:p>
          <w:p w14:paraId="4FBF940E">
            <w:pPr>
              <w:pStyle w:val="76"/>
              <w:ind w:firstLine="480"/>
            </w:pPr>
            <w:r>
              <w:t>本项目对宠物产生的粪便及时清理，美容室、洗浴室、住院室进行定期清洁消毒，产生的臭味小。通过采取安装新风系统加强通风换气及摆放除臭剂等措施后可以消除难闻的异味。</w:t>
            </w:r>
          </w:p>
          <w:p w14:paraId="04E842A1">
            <w:pPr>
              <w:pStyle w:val="76"/>
              <w:ind w:firstLine="482"/>
            </w:pPr>
            <w:r>
              <w:rPr>
                <w:b/>
                <w:bCs/>
              </w:rPr>
              <w:t>新风系统原理：</w:t>
            </w:r>
            <w:r>
              <w:t>新风系统是根据在密闭的室内一侧用专用设备向室内送新风，再从另一侧由专用设备向室外排出，在室内会形成“新风流动场”，从而满足室内新风换气的需要。实施方案是：采用高风压、大流量风机、依靠机械强力由一侧向室内送风，由另一侧用专门设计的排风风机向室外排出的方式强迫在系统内形成新风流动场。在送风的同时通过滤芯对进入室内的空气进过滤、消毒、杀菌、增氧、预热（冬天）。新风系统的原理图详见图4.6-1。</w:t>
            </w:r>
          </w:p>
          <w:p w14:paraId="20BB1A84">
            <w:pPr>
              <w:pStyle w:val="76"/>
              <w:ind w:firstLine="482"/>
            </w:pPr>
            <w:r>
              <w:rPr>
                <w:b/>
                <w:bCs/>
              </w:rPr>
              <w:t>新风系统功能：</w:t>
            </w:r>
            <w:r>
              <w:t>①用室外的新鲜空气更新室内由于居住及生活过程而污染了的空气，保持室内空气的洁净度达到某一最低标准的水平。②增加体内散热及防止由皮肤潮湿引起的不舒适，此类通风可称为热舒适通风。③当室内气温高于室外的气温时，使建筑构件降温，此类通风名为建筑的降温通风。</w:t>
            </w:r>
          </w:p>
          <w:p w14:paraId="1DFA54ED">
            <w:pPr>
              <w:pStyle w:val="76"/>
              <w:ind w:firstLine="480"/>
            </w:pPr>
            <w:r>
              <w:t>综上所述，项目废气处理措施有效可行。</w:t>
            </w:r>
          </w:p>
          <w:p w14:paraId="6854A88A">
            <w:pPr>
              <w:pStyle w:val="76"/>
              <w:ind w:firstLine="480"/>
              <w:rPr>
                <w:rFonts w:hint="default" w:cs="Times New Roman"/>
              </w:rPr>
            </w:pPr>
            <w:r>
              <w:rPr>
                <w:rFonts w:hint="default" w:cs="Times New Roman"/>
              </w:rPr>
              <w:drawing>
                <wp:inline distT="0" distB="0" distL="114300" distR="114300">
                  <wp:extent cx="4418965" cy="3037205"/>
                  <wp:effectExtent l="9525" t="9525" r="10160" b="20320"/>
                  <wp:docPr id="26"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70"/>
                          <pic:cNvPicPr>
                            <a:picLocks noChangeAspect="1"/>
                          </pic:cNvPicPr>
                        </pic:nvPicPr>
                        <pic:blipFill>
                          <a:blip r:embed="rId19"/>
                          <a:stretch>
                            <a:fillRect/>
                          </a:stretch>
                        </pic:blipFill>
                        <pic:spPr>
                          <a:xfrm>
                            <a:off x="0" y="0"/>
                            <a:ext cx="4418965" cy="3037205"/>
                          </a:xfrm>
                          <a:prstGeom prst="rect">
                            <a:avLst/>
                          </a:prstGeom>
                          <a:noFill/>
                          <a:ln w="9525" cap="flat" cmpd="sng">
                            <a:solidFill>
                              <a:srgbClr val="000000"/>
                            </a:solidFill>
                            <a:prstDash val="solid"/>
                            <a:round/>
                            <a:headEnd type="none" w="med" len="med"/>
                            <a:tailEnd type="none" w="med" len="med"/>
                          </a:ln>
                        </pic:spPr>
                      </pic:pic>
                    </a:graphicData>
                  </a:graphic>
                </wp:inline>
              </w:drawing>
            </w:r>
          </w:p>
          <w:p w14:paraId="778E30D2">
            <w:pPr>
              <w:pStyle w:val="78"/>
              <w:numPr>
                <w:ilvl w:val="0"/>
                <w:numId w:val="0"/>
              </w:numPr>
              <w:ind w:left="0" w:leftChars="0" w:firstLine="0" w:firstLineChars="0"/>
            </w:pPr>
            <w:r>
              <w:rPr>
                <w:rFonts w:hint="eastAsia" w:ascii="Times New Roman" w:hAnsi="Times New Roman" w:eastAsia="宋体" w:cs="宋体"/>
                <w:b/>
                <w:kern w:val="2"/>
                <w:sz w:val="24"/>
                <w:szCs w:val="24"/>
                <w:lang w:val="en-US" w:eastAsia="zh-CN" w:bidi="ar-SA"/>
              </w:rPr>
              <w:t>图4.6-1</w:t>
            </w:r>
            <w:r>
              <w:t>新风系统原理示意图</w:t>
            </w:r>
          </w:p>
          <w:p w14:paraId="3A558C67">
            <w:pPr>
              <w:pStyle w:val="5"/>
              <w:numPr>
                <w:ilvl w:val="0"/>
                <w:numId w:val="0"/>
              </w:numPr>
              <w:spacing w:before="120" w:after="120"/>
              <w:ind w:left="0" w:leftChars="0" w:firstLine="0" w:firstLineChars="0"/>
              <w:rPr>
                <w:rFonts w:hint="eastAsia"/>
              </w:rPr>
            </w:pPr>
            <w:r>
              <w:rPr>
                <w:rFonts w:hint="eastAsia" w:ascii="Times New Roman" w:hAnsi="Times New Roman" w:eastAsia="宋体" w:cs="宋体"/>
                <w:b/>
                <w:bCs/>
                <w:color w:val="000000"/>
                <w:kern w:val="44"/>
                <w:sz w:val="30"/>
                <w:szCs w:val="32"/>
                <w:lang w:val="en-US" w:eastAsia="zh-CN" w:bidi="ar-SA"/>
              </w:rPr>
              <w:t>4.7</w:t>
            </w:r>
            <w:r>
              <w:rPr>
                <w:rFonts w:hint="eastAsia"/>
              </w:rPr>
              <w:t>噪声</w:t>
            </w:r>
          </w:p>
          <w:p w14:paraId="1826F863">
            <w:pPr>
              <w:pStyle w:val="6"/>
              <w:numPr>
                <w:ilvl w:val="0"/>
                <w:numId w:val="0"/>
              </w:numPr>
              <w:tabs>
                <w:tab w:val="left" w:pos="0"/>
              </w:tabs>
              <w:ind w:left="993" w:leftChars="0" w:hanging="993" w:firstLineChars="0"/>
            </w:pPr>
            <w:r>
              <w:rPr>
                <w:rFonts w:hint="eastAsia" w:ascii="Times New Roman" w:hAnsi="Times New Roman" w:eastAsia="宋体" w:cs="宋体"/>
                <w:b/>
                <w:bCs/>
                <w:kern w:val="2"/>
                <w:sz w:val="28"/>
                <w:szCs w:val="32"/>
                <w:lang w:val="en-US" w:eastAsia="zh-CN" w:bidi="ar-SA"/>
              </w:rPr>
              <w:t>4.7.1</w:t>
            </w:r>
            <w:r>
              <w:rPr>
                <w:rFonts w:hint="eastAsia"/>
              </w:rPr>
              <w:t>污染源强分析</w:t>
            </w:r>
          </w:p>
          <w:p w14:paraId="23390A2C">
            <w:pPr>
              <w:pStyle w:val="76"/>
              <w:ind w:firstLine="480"/>
              <w:rPr>
                <w:rFonts w:hint="default"/>
              </w:rPr>
            </w:pPr>
            <w:r>
              <w:t>（1）噪声源强</w:t>
            </w:r>
          </w:p>
          <w:p w14:paraId="7EDCB474">
            <w:pPr>
              <w:pStyle w:val="76"/>
              <w:ind w:firstLine="480"/>
            </w:pPr>
            <w:r>
              <w:t>本项目噪声源主要为动物鸣叫、空调外机等设备运行过程中产生的噪声。</w:t>
            </w:r>
          </w:p>
          <w:p w14:paraId="698CA0B7">
            <w:pPr>
              <w:pStyle w:val="76"/>
              <w:ind w:firstLine="480"/>
            </w:pPr>
            <w:r>
              <w:t>由于动物鸣叫时产生噪声较高，对周围声环境贡献值较大，但动物鸣叫是短促的，要求企业做好隔声降噪工作，对门窗等要使用隔音效果较好的隔声门窗，建议门诊部对伤病动物做好安抚工作，尽量减少动物鸣叫次数，对来诊动物主人进行正确的督导。另外，空调外机也带来一定噪声，由于空调外机设置于室外，噪声源强在55～65dB（A）左右，企业应对空调外机设置消声器。</w:t>
            </w:r>
          </w:p>
          <w:p w14:paraId="306DF6D9">
            <w:pPr>
              <w:pStyle w:val="76"/>
              <w:ind w:firstLine="480"/>
            </w:pPr>
          </w:p>
          <w:p w14:paraId="162258CA">
            <w:pPr>
              <w:pStyle w:val="76"/>
              <w:ind w:firstLine="480"/>
            </w:pPr>
          </w:p>
          <w:p w14:paraId="1F6E698E">
            <w:pPr>
              <w:pStyle w:val="76"/>
              <w:ind w:firstLine="480"/>
            </w:pPr>
          </w:p>
          <w:p w14:paraId="02B18CD0">
            <w:pPr>
              <w:pStyle w:val="76"/>
              <w:ind w:firstLine="480"/>
            </w:pPr>
          </w:p>
          <w:p w14:paraId="14700BE7">
            <w:pPr>
              <w:pStyle w:val="76"/>
              <w:ind w:firstLine="480"/>
            </w:pPr>
          </w:p>
          <w:p w14:paraId="4388672A">
            <w:pPr>
              <w:pStyle w:val="63"/>
              <w:numPr>
                <w:ilvl w:val="0"/>
                <w:numId w:val="0"/>
              </w:numPr>
              <w:ind w:left="0" w:leftChars="0" w:firstLine="0" w:firstLineChars="0"/>
              <w:rPr>
                <w:rFonts w:hint="eastAsia"/>
              </w:rPr>
            </w:pPr>
            <w:r>
              <w:rPr>
                <w:rFonts w:hint="eastAsia" w:ascii="Times New Roman" w:hAnsi="Times New Roman" w:eastAsia="宋体" w:cs="宋体"/>
                <w:b/>
                <w:kern w:val="2"/>
                <w:sz w:val="24"/>
                <w:szCs w:val="24"/>
                <w:lang w:val="en-US" w:eastAsia="zh-CN" w:bidi="ar-SA"/>
              </w:rPr>
              <w:t>表4.7-1</w:t>
            </w:r>
            <w:r>
              <w:rPr>
                <w:rFonts w:hint="eastAsia"/>
              </w:rPr>
              <w:t>工业企业噪声源强调查清单（室外声源）</w:t>
            </w:r>
          </w:p>
          <w:tbl>
            <w:tblPr>
              <w:tblStyle w:val="25"/>
              <w:tblW w:w="0" w:type="auto"/>
              <w:tblInd w:w="10" w:type="dxa"/>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Layout w:type="autofit"/>
              <w:tblCellMar>
                <w:top w:w="0" w:type="dxa"/>
                <w:left w:w="108" w:type="dxa"/>
                <w:bottom w:w="0" w:type="dxa"/>
                <w:right w:w="108" w:type="dxa"/>
              </w:tblCellMar>
            </w:tblPr>
            <w:tblGrid>
              <w:gridCol w:w="881"/>
              <w:gridCol w:w="881"/>
              <w:gridCol w:w="882"/>
              <w:gridCol w:w="882"/>
              <w:gridCol w:w="882"/>
              <w:gridCol w:w="883"/>
              <w:gridCol w:w="882"/>
              <w:gridCol w:w="882"/>
              <w:gridCol w:w="882"/>
            </w:tblGrid>
            <w:tr w14:paraId="7B0789C7">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40" w:hRule="atLeast"/>
              </w:trPr>
              <w:tc>
                <w:tcPr>
                  <w:tcW w:w="882" w:type="dxa"/>
                  <w:vMerge w:val="restart"/>
                  <w:noWrap w:val="0"/>
                  <w:vAlign w:val="center"/>
                </w:tcPr>
                <w:p w14:paraId="5E8E6AE9">
                  <w:pPr>
                    <w:pStyle w:val="67"/>
                    <w:rPr>
                      <w:rFonts w:hint="eastAsia"/>
                    </w:rPr>
                  </w:pPr>
                  <w:r>
                    <w:rPr>
                      <w:rFonts w:hint="eastAsia"/>
                    </w:rPr>
                    <w:t>序号</w:t>
                  </w:r>
                </w:p>
              </w:tc>
              <w:tc>
                <w:tcPr>
                  <w:tcW w:w="882" w:type="dxa"/>
                  <w:vMerge w:val="restart"/>
                  <w:noWrap w:val="0"/>
                  <w:vAlign w:val="center"/>
                </w:tcPr>
                <w:p w14:paraId="167378D9">
                  <w:pPr>
                    <w:pStyle w:val="67"/>
                    <w:rPr>
                      <w:rFonts w:hint="eastAsia"/>
                    </w:rPr>
                  </w:pPr>
                  <w:r>
                    <w:rPr>
                      <w:rFonts w:hint="eastAsia"/>
                    </w:rPr>
                    <w:t>声源名称</w:t>
                  </w:r>
                </w:p>
              </w:tc>
              <w:tc>
                <w:tcPr>
                  <w:tcW w:w="883" w:type="dxa"/>
                  <w:vMerge w:val="restart"/>
                  <w:noWrap w:val="0"/>
                  <w:vAlign w:val="center"/>
                </w:tcPr>
                <w:p w14:paraId="1B40B5CE">
                  <w:pPr>
                    <w:pStyle w:val="67"/>
                    <w:rPr>
                      <w:rFonts w:hint="eastAsia"/>
                    </w:rPr>
                  </w:pPr>
                  <w:r>
                    <w:rPr>
                      <w:rFonts w:hint="eastAsia"/>
                    </w:rPr>
                    <w:t>型号</w:t>
                  </w:r>
                </w:p>
              </w:tc>
              <w:tc>
                <w:tcPr>
                  <w:tcW w:w="2650" w:type="dxa"/>
                  <w:gridSpan w:val="3"/>
                  <w:noWrap w:val="0"/>
                  <w:vAlign w:val="center"/>
                </w:tcPr>
                <w:p w14:paraId="6DE60879">
                  <w:pPr>
                    <w:pStyle w:val="67"/>
                    <w:rPr>
                      <w:rFonts w:hint="eastAsia"/>
                    </w:rPr>
                  </w:pPr>
                  <w:r>
                    <w:rPr>
                      <w:rFonts w:hint="eastAsia"/>
                    </w:rPr>
                    <w:t>空间相对位置/m</w:t>
                  </w:r>
                </w:p>
              </w:tc>
              <w:tc>
                <w:tcPr>
                  <w:tcW w:w="883" w:type="dxa"/>
                  <w:noWrap w:val="0"/>
                  <w:vAlign w:val="center"/>
                </w:tcPr>
                <w:p w14:paraId="4A6B70DC">
                  <w:pPr>
                    <w:pStyle w:val="67"/>
                    <w:rPr>
                      <w:rFonts w:hint="eastAsia"/>
                    </w:rPr>
                  </w:pPr>
                  <w:r>
                    <w:rPr>
                      <w:rFonts w:hint="eastAsia"/>
                    </w:rPr>
                    <w:t>声源源强</w:t>
                  </w:r>
                </w:p>
              </w:tc>
              <w:tc>
                <w:tcPr>
                  <w:tcW w:w="883" w:type="dxa"/>
                  <w:vMerge w:val="restart"/>
                  <w:noWrap w:val="0"/>
                  <w:vAlign w:val="center"/>
                </w:tcPr>
                <w:p w14:paraId="5B765D1A">
                  <w:pPr>
                    <w:pStyle w:val="67"/>
                    <w:rPr>
                      <w:rFonts w:hint="eastAsia"/>
                    </w:rPr>
                  </w:pPr>
                  <w:r>
                    <w:rPr>
                      <w:rFonts w:hint="eastAsia"/>
                    </w:rPr>
                    <w:t>声源控制措施</w:t>
                  </w:r>
                </w:p>
              </w:tc>
              <w:tc>
                <w:tcPr>
                  <w:tcW w:w="883" w:type="dxa"/>
                  <w:vMerge w:val="restart"/>
                  <w:noWrap w:val="0"/>
                  <w:vAlign w:val="center"/>
                </w:tcPr>
                <w:p w14:paraId="3016168C">
                  <w:pPr>
                    <w:pStyle w:val="67"/>
                    <w:rPr>
                      <w:rFonts w:hint="eastAsia"/>
                    </w:rPr>
                  </w:pPr>
                  <w:r>
                    <w:rPr>
                      <w:rFonts w:hint="eastAsia"/>
                    </w:rPr>
                    <w:t>运行时段</w:t>
                  </w:r>
                </w:p>
              </w:tc>
            </w:tr>
            <w:tr w14:paraId="0B0DDF6B">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40" w:hRule="atLeast"/>
              </w:trPr>
              <w:tc>
                <w:tcPr>
                  <w:tcW w:w="882" w:type="dxa"/>
                  <w:vMerge w:val="continue"/>
                  <w:noWrap w:val="0"/>
                  <w:vAlign w:val="center"/>
                </w:tcPr>
                <w:p w14:paraId="7CC941A2">
                  <w:pPr>
                    <w:pStyle w:val="67"/>
                    <w:rPr>
                      <w:rFonts w:hint="eastAsia"/>
                    </w:rPr>
                  </w:pPr>
                </w:p>
              </w:tc>
              <w:tc>
                <w:tcPr>
                  <w:tcW w:w="882" w:type="dxa"/>
                  <w:vMerge w:val="continue"/>
                  <w:noWrap w:val="0"/>
                  <w:vAlign w:val="center"/>
                </w:tcPr>
                <w:p w14:paraId="545F2CF5">
                  <w:pPr>
                    <w:pStyle w:val="67"/>
                    <w:rPr>
                      <w:rFonts w:hint="eastAsia"/>
                    </w:rPr>
                  </w:pPr>
                </w:p>
              </w:tc>
              <w:tc>
                <w:tcPr>
                  <w:tcW w:w="883" w:type="dxa"/>
                  <w:vMerge w:val="continue"/>
                  <w:noWrap w:val="0"/>
                  <w:vAlign w:val="center"/>
                </w:tcPr>
                <w:p w14:paraId="1FD38B3D">
                  <w:pPr>
                    <w:pStyle w:val="67"/>
                    <w:rPr>
                      <w:rFonts w:hint="eastAsia"/>
                    </w:rPr>
                  </w:pPr>
                </w:p>
              </w:tc>
              <w:tc>
                <w:tcPr>
                  <w:tcW w:w="883" w:type="dxa"/>
                  <w:noWrap w:val="0"/>
                  <w:vAlign w:val="center"/>
                </w:tcPr>
                <w:p w14:paraId="183F2A11">
                  <w:pPr>
                    <w:pStyle w:val="67"/>
                  </w:pPr>
                  <w:r>
                    <w:t>X</w:t>
                  </w:r>
                </w:p>
              </w:tc>
              <w:tc>
                <w:tcPr>
                  <w:tcW w:w="883" w:type="dxa"/>
                  <w:noWrap w:val="0"/>
                  <w:vAlign w:val="center"/>
                </w:tcPr>
                <w:p w14:paraId="52FB710B">
                  <w:pPr>
                    <w:pStyle w:val="67"/>
                  </w:pPr>
                  <w:r>
                    <w:t>Y</w:t>
                  </w:r>
                </w:p>
              </w:tc>
              <w:tc>
                <w:tcPr>
                  <w:tcW w:w="884" w:type="dxa"/>
                  <w:noWrap w:val="0"/>
                  <w:vAlign w:val="center"/>
                </w:tcPr>
                <w:p w14:paraId="00C2D157">
                  <w:pPr>
                    <w:pStyle w:val="67"/>
                  </w:pPr>
                  <w:r>
                    <w:t>Z</w:t>
                  </w:r>
                </w:p>
              </w:tc>
              <w:tc>
                <w:tcPr>
                  <w:tcW w:w="883" w:type="dxa"/>
                  <w:noWrap w:val="0"/>
                  <w:vAlign w:val="center"/>
                </w:tcPr>
                <w:p w14:paraId="71BB2A5B">
                  <w:pPr>
                    <w:pStyle w:val="67"/>
                    <w:rPr>
                      <w:rFonts w:hint="eastAsia"/>
                    </w:rPr>
                  </w:pPr>
                  <w:r>
                    <w:rPr>
                      <w:rFonts w:hint="eastAsia"/>
                    </w:rPr>
                    <w:t>声功率级/dB（A)</w:t>
                  </w:r>
                </w:p>
              </w:tc>
              <w:tc>
                <w:tcPr>
                  <w:tcW w:w="883" w:type="dxa"/>
                  <w:vMerge w:val="continue"/>
                  <w:noWrap w:val="0"/>
                  <w:vAlign w:val="center"/>
                </w:tcPr>
                <w:p w14:paraId="24C8C2DA">
                  <w:pPr>
                    <w:pStyle w:val="67"/>
                    <w:rPr>
                      <w:rFonts w:hint="eastAsia"/>
                    </w:rPr>
                  </w:pPr>
                </w:p>
              </w:tc>
              <w:tc>
                <w:tcPr>
                  <w:tcW w:w="883" w:type="dxa"/>
                  <w:vMerge w:val="continue"/>
                  <w:noWrap w:val="0"/>
                  <w:vAlign w:val="center"/>
                </w:tcPr>
                <w:p w14:paraId="494D727D">
                  <w:pPr>
                    <w:pStyle w:val="67"/>
                    <w:rPr>
                      <w:rFonts w:hint="eastAsia"/>
                    </w:rPr>
                  </w:pPr>
                </w:p>
              </w:tc>
            </w:tr>
            <w:tr w14:paraId="63C7EC6A">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40" w:hRule="atLeast"/>
              </w:trPr>
              <w:tc>
                <w:tcPr>
                  <w:tcW w:w="882" w:type="dxa"/>
                  <w:noWrap w:val="0"/>
                  <w:vAlign w:val="center"/>
                </w:tcPr>
                <w:p w14:paraId="09AD3B6F">
                  <w:pPr>
                    <w:pStyle w:val="67"/>
                  </w:pPr>
                  <w:r>
                    <w:t>1</w:t>
                  </w:r>
                </w:p>
              </w:tc>
              <w:tc>
                <w:tcPr>
                  <w:tcW w:w="882" w:type="dxa"/>
                  <w:noWrap w:val="0"/>
                  <w:vAlign w:val="center"/>
                </w:tcPr>
                <w:p w14:paraId="3B634C6C">
                  <w:pPr>
                    <w:pStyle w:val="67"/>
                    <w:rPr>
                      <w:rFonts w:hint="eastAsia"/>
                    </w:rPr>
                  </w:pPr>
                  <w:r>
                    <w:rPr>
                      <w:rFonts w:hint="eastAsia"/>
                    </w:rPr>
                    <w:t>空调外机</w:t>
                  </w:r>
                </w:p>
              </w:tc>
              <w:tc>
                <w:tcPr>
                  <w:tcW w:w="883" w:type="dxa"/>
                  <w:noWrap w:val="0"/>
                  <w:vAlign w:val="center"/>
                </w:tcPr>
                <w:p w14:paraId="2CA5DBF9">
                  <w:pPr>
                    <w:pStyle w:val="67"/>
                  </w:pPr>
                  <w:r>
                    <w:rPr>
                      <w:rFonts w:hint="eastAsia"/>
                    </w:rPr>
                    <w:t>KFR-50lw</w:t>
                  </w:r>
                </w:p>
              </w:tc>
              <w:tc>
                <w:tcPr>
                  <w:tcW w:w="883" w:type="dxa"/>
                  <w:noWrap w:val="0"/>
                  <w:vAlign w:val="center"/>
                </w:tcPr>
                <w:p w14:paraId="43E59DB2">
                  <w:pPr>
                    <w:pStyle w:val="67"/>
                    <w:rPr>
                      <w:rFonts w:hint="eastAsia"/>
                      <w:color w:val="auto"/>
                    </w:rPr>
                  </w:pPr>
                  <w:r>
                    <w:rPr>
                      <w:rFonts w:hint="eastAsia"/>
                      <w:color w:val="auto"/>
                      <w:lang w:val="en-US" w:eastAsia="zh-CN"/>
                    </w:rPr>
                    <w:t>4.5</w:t>
                  </w:r>
                </w:p>
              </w:tc>
              <w:tc>
                <w:tcPr>
                  <w:tcW w:w="883" w:type="dxa"/>
                  <w:noWrap w:val="0"/>
                  <w:vAlign w:val="center"/>
                </w:tcPr>
                <w:p w14:paraId="27053E85">
                  <w:pPr>
                    <w:pStyle w:val="67"/>
                    <w:rPr>
                      <w:rFonts w:hint="eastAsia"/>
                      <w:color w:val="auto"/>
                    </w:rPr>
                  </w:pPr>
                  <w:r>
                    <w:rPr>
                      <w:rFonts w:hint="eastAsia"/>
                      <w:color w:val="auto"/>
                      <w:lang w:val="en-US" w:eastAsia="zh-CN"/>
                    </w:rPr>
                    <w:t>10</w:t>
                  </w:r>
                </w:p>
              </w:tc>
              <w:tc>
                <w:tcPr>
                  <w:tcW w:w="884" w:type="dxa"/>
                  <w:noWrap w:val="0"/>
                  <w:vAlign w:val="center"/>
                </w:tcPr>
                <w:p w14:paraId="2023ACB1">
                  <w:pPr>
                    <w:pStyle w:val="67"/>
                    <w:rPr>
                      <w:rFonts w:hint="eastAsia" w:eastAsia="宋体"/>
                      <w:lang w:eastAsia="zh-CN"/>
                    </w:rPr>
                  </w:pPr>
                  <w:r>
                    <w:rPr>
                      <w:rFonts w:hint="eastAsia"/>
                      <w:lang w:val="en-US" w:eastAsia="zh-CN"/>
                    </w:rPr>
                    <w:t>3</w:t>
                  </w:r>
                </w:p>
              </w:tc>
              <w:tc>
                <w:tcPr>
                  <w:tcW w:w="883" w:type="dxa"/>
                  <w:noWrap w:val="0"/>
                  <w:vAlign w:val="center"/>
                </w:tcPr>
                <w:p w14:paraId="55D00079">
                  <w:pPr>
                    <w:pStyle w:val="67"/>
                  </w:pPr>
                  <w:r>
                    <w:rPr>
                      <w:rFonts w:hint="eastAsia"/>
                    </w:rPr>
                    <w:t>65</w:t>
                  </w:r>
                </w:p>
              </w:tc>
              <w:tc>
                <w:tcPr>
                  <w:tcW w:w="883" w:type="dxa"/>
                  <w:noWrap w:val="0"/>
                  <w:vAlign w:val="center"/>
                </w:tcPr>
                <w:p w14:paraId="79FDB087">
                  <w:pPr>
                    <w:pStyle w:val="67"/>
                  </w:pPr>
                  <w:r>
                    <w:rPr>
                      <w:rFonts w:hint="eastAsia"/>
                    </w:rPr>
                    <w:t>减震、隔声</w:t>
                  </w:r>
                </w:p>
              </w:tc>
              <w:tc>
                <w:tcPr>
                  <w:tcW w:w="883" w:type="dxa"/>
                  <w:noWrap w:val="0"/>
                  <w:vAlign w:val="center"/>
                </w:tcPr>
                <w:p w14:paraId="4200D4CD">
                  <w:pPr>
                    <w:pStyle w:val="67"/>
                  </w:pPr>
                  <w:r>
                    <w:t>8</w:t>
                  </w:r>
                  <w:r>
                    <w:rPr>
                      <w:rFonts w:hint="eastAsia"/>
                    </w:rPr>
                    <w:t>：00</w:t>
                  </w:r>
                  <w:r>
                    <w:t>~20</w:t>
                  </w:r>
                  <w:r>
                    <w:rPr>
                      <w:rFonts w:hint="eastAsia"/>
                    </w:rPr>
                    <w:t>：00</w:t>
                  </w:r>
                </w:p>
              </w:tc>
            </w:tr>
          </w:tbl>
          <w:p w14:paraId="050B278A">
            <w:pPr>
              <w:pStyle w:val="63"/>
              <w:numPr>
                <w:ilvl w:val="0"/>
                <w:numId w:val="0"/>
              </w:numPr>
              <w:ind w:left="0" w:leftChars="0" w:firstLine="0" w:firstLineChars="0"/>
              <w:rPr>
                <w:rFonts w:hint="eastAsia"/>
              </w:rPr>
            </w:pPr>
            <w:r>
              <w:rPr>
                <w:rFonts w:hint="eastAsia" w:ascii="Times New Roman" w:hAnsi="Times New Roman" w:eastAsia="宋体" w:cs="宋体"/>
                <w:b/>
                <w:kern w:val="2"/>
                <w:sz w:val="24"/>
                <w:szCs w:val="24"/>
                <w:lang w:val="en-US" w:eastAsia="zh-CN" w:bidi="ar-SA"/>
              </w:rPr>
              <w:t>表4.7-2</w:t>
            </w:r>
            <w:r>
              <w:rPr>
                <w:rFonts w:hint="eastAsia"/>
              </w:rPr>
              <w:t>工业企业噪声源强调查清单（室内声源）</w:t>
            </w:r>
          </w:p>
          <w:tbl>
            <w:tblPr>
              <w:tblStyle w:val="25"/>
              <w:tblW w:w="0" w:type="auto"/>
              <w:tblInd w:w="10" w:type="dxa"/>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Layout w:type="autofit"/>
              <w:tblCellMar>
                <w:top w:w="0" w:type="dxa"/>
                <w:left w:w="108" w:type="dxa"/>
                <w:bottom w:w="0" w:type="dxa"/>
                <w:right w:w="108" w:type="dxa"/>
              </w:tblCellMar>
            </w:tblPr>
            <w:tblGrid>
              <w:gridCol w:w="429"/>
              <w:gridCol w:w="430"/>
              <w:gridCol w:w="430"/>
              <w:gridCol w:w="439"/>
              <w:gridCol w:w="1047"/>
              <w:gridCol w:w="528"/>
              <w:gridCol w:w="531"/>
              <w:gridCol w:w="390"/>
              <w:gridCol w:w="376"/>
              <w:gridCol w:w="438"/>
              <w:gridCol w:w="430"/>
              <w:gridCol w:w="951"/>
              <w:gridCol w:w="430"/>
              <w:gridCol w:w="657"/>
              <w:gridCol w:w="431"/>
            </w:tblGrid>
            <w:tr w14:paraId="17205774">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40" w:hRule="atLeast"/>
              </w:trPr>
              <w:tc>
                <w:tcPr>
                  <w:tcW w:w="437" w:type="dxa"/>
                  <w:vMerge w:val="restart"/>
                  <w:noWrap w:val="0"/>
                  <w:vAlign w:val="center"/>
                </w:tcPr>
                <w:p w14:paraId="7F21B0AD">
                  <w:pPr>
                    <w:widowControl/>
                    <w:jc w:val="center"/>
                    <w:textAlignment w:val="top"/>
                    <w:rPr>
                      <w:rFonts w:hint="eastAsia" w:ascii="宋体" w:hAnsi="宋体" w:cs="宋体"/>
                      <w:sz w:val="21"/>
                      <w:szCs w:val="21"/>
                    </w:rPr>
                  </w:pPr>
                  <w:r>
                    <w:rPr>
                      <w:rFonts w:hint="eastAsia" w:ascii="宋体" w:hAnsi="宋体" w:cs="宋体"/>
                      <w:kern w:val="0"/>
                      <w:sz w:val="21"/>
                      <w:szCs w:val="21"/>
                      <w:lang w:bidi="ar"/>
                    </w:rPr>
                    <w:t>序号</w:t>
                  </w:r>
                </w:p>
              </w:tc>
              <w:tc>
                <w:tcPr>
                  <w:tcW w:w="437" w:type="dxa"/>
                  <w:vMerge w:val="restart"/>
                  <w:noWrap w:val="0"/>
                  <w:vAlign w:val="center"/>
                </w:tcPr>
                <w:p w14:paraId="0B6428CA">
                  <w:pPr>
                    <w:widowControl/>
                    <w:jc w:val="center"/>
                    <w:textAlignment w:val="top"/>
                    <w:rPr>
                      <w:rFonts w:hint="eastAsia" w:ascii="宋体" w:hAnsi="宋体" w:cs="宋体"/>
                      <w:sz w:val="21"/>
                      <w:szCs w:val="21"/>
                    </w:rPr>
                  </w:pPr>
                  <w:r>
                    <w:rPr>
                      <w:rFonts w:hint="eastAsia" w:ascii="宋体" w:hAnsi="宋体" w:cs="宋体"/>
                      <w:kern w:val="0"/>
                      <w:sz w:val="21"/>
                      <w:szCs w:val="21"/>
                      <w:lang w:bidi="ar"/>
                    </w:rPr>
                    <w:t>建筑物名称</w:t>
                  </w:r>
                </w:p>
              </w:tc>
              <w:tc>
                <w:tcPr>
                  <w:tcW w:w="437" w:type="dxa"/>
                  <w:vMerge w:val="restart"/>
                  <w:noWrap w:val="0"/>
                  <w:vAlign w:val="center"/>
                </w:tcPr>
                <w:p w14:paraId="47D045C8">
                  <w:pPr>
                    <w:widowControl/>
                    <w:jc w:val="center"/>
                    <w:textAlignment w:val="top"/>
                    <w:rPr>
                      <w:rFonts w:hint="eastAsia" w:ascii="宋体" w:hAnsi="宋体" w:cs="宋体"/>
                      <w:sz w:val="21"/>
                      <w:szCs w:val="21"/>
                    </w:rPr>
                  </w:pPr>
                  <w:r>
                    <w:rPr>
                      <w:rFonts w:hint="eastAsia" w:ascii="宋体" w:hAnsi="宋体" w:cs="宋体"/>
                      <w:kern w:val="0"/>
                      <w:sz w:val="21"/>
                      <w:szCs w:val="21"/>
                      <w:lang w:bidi="ar"/>
                    </w:rPr>
                    <w:t>声源名称</w:t>
                  </w:r>
                </w:p>
              </w:tc>
              <w:tc>
                <w:tcPr>
                  <w:tcW w:w="465" w:type="dxa"/>
                  <w:vMerge w:val="restart"/>
                  <w:noWrap w:val="0"/>
                  <w:vAlign w:val="center"/>
                </w:tcPr>
                <w:p w14:paraId="2A239E25">
                  <w:pPr>
                    <w:widowControl/>
                    <w:jc w:val="center"/>
                    <w:textAlignment w:val="top"/>
                    <w:rPr>
                      <w:rFonts w:hint="eastAsia" w:ascii="宋体" w:hAnsi="宋体" w:cs="宋体"/>
                      <w:sz w:val="21"/>
                      <w:szCs w:val="21"/>
                    </w:rPr>
                  </w:pPr>
                  <w:r>
                    <w:rPr>
                      <w:rFonts w:hint="eastAsia" w:ascii="宋体" w:hAnsi="宋体" w:cs="宋体"/>
                      <w:kern w:val="0"/>
                      <w:sz w:val="21"/>
                      <w:szCs w:val="21"/>
                      <w:lang w:bidi="ar"/>
                    </w:rPr>
                    <w:t>型号</w:t>
                  </w:r>
                </w:p>
              </w:tc>
              <w:tc>
                <w:tcPr>
                  <w:tcW w:w="1243" w:type="dxa"/>
                  <w:noWrap w:val="0"/>
                  <w:vAlign w:val="center"/>
                </w:tcPr>
                <w:p w14:paraId="139EA87A">
                  <w:pPr>
                    <w:widowControl/>
                    <w:jc w:val="center"/>
                    <w:textAlignment w:val="top"/>
                    <w:rPr>
                      <w:rFonts w:hint="eastAsia" w:ascii="宋体" w:hAnsi="宋体" w:cs="宋体"/>
                      <w:sz w:val="21"/>
                      <w:szCs w:val="21"/>
                    </w:rPr>
                  </w:pPr>
                  <w:r>
                    <w:rPr>
                      <w:rFonts w:hint="eastAsia" w:ascii="宋体" w:hAnsi="宋体" w:cs="宋体"/>
                      <w:kern w:val="0"/>
                      <w:sz w:val="21"/>
                      <w:szCs w:val="21"/>
                      <w:lang w:bidi="ar"/>
                    </w:rPr>
                    <w:t>声源源强</w:t>
                  </w:r>
                  <w:r>
                    <w:rPr>
                      <w:rFonts w:hint="eastAsia"/>
                      <w:kern w:val="0"/>
                      <w:sz w:val="21"/>
                      <w:szCs w:val="21"/>
                      <w:lang w:bidi="ar"/>
                    </w:rPr>
                    <w:t>（</w:t>
                  </w:r>
                  <w:r>
                    <w:rPr>
                      <w:rFonts w:hint="eastAsia" w:ascii="宋体" w:hAnsi="宋体" w:cs="宋体"/>
                      <w:kern w:val="0"/>
                      <w:sz w:val="21"/>
                      <w:szCs w:val="21"/>
                      <w:lang w:bidi="ar"/>
                    </w:rPr>
                    <w:t>任选一种）</w:t>
                  </w:r>
                </w:p>
              </w:tc>
              <w:tc>
                <w:tcPr>
                  <w:tcW w:w="736" w:type="dxa"/>
                  <w:vMerge w:val="restart"/>
                  <w:noWrap w:val="0"/>
                  <w:vAlign w:val="center"/>
                </w:tcPr>
                <w:p w14:paraId="51B280C1">
                  <w:pPr>
                    <w:widowControl/>
                    <w:jc w:val="center"/>
                    <w:textAlignment w:val="top"/>
                    <w:rPr>
                      <w:rFonts w:hint="eastAsia" w:ascii="宋体" w:hAnsi="宋体" w:cs="宋体"/>
                      <w:sz w:val="21"/>
                      <w:szCs w:val="21"/>
                    </w:rPr>
                  </w:pPr>
                  <w:r>
                    <w:rPr>
                      <w:rFonts w:hint="eastAsia" w:ascii="宋体" w:hAnsi="宋体" w:cs="宋体"/>
                      <w:kern w:val="0"/>
                      <w:sz w:val="21"/>
                      <w:szCs w:val="21"/>
                      <w:lang w:bidi="ar"/>
                    </w:rPr>
                    <w:t>声源控制措施</w:t>
                  </w:r>
                </w:p>
              </w:tc>
              <w:tc>
                <w:tcPr>
                  <w:tcW w:w="1310" w:type="dxa"/>
                  <w:gridSpan w:val="3"/>
                  <w:noWrap w:val="0"/>
                  <w:vAlign w:val="center"/>
                </w:tcPr>
                <w:p w14:paraId="458E108A">
                  <w:pPr>
                    <w:widowControl/>
                    <w:jc w:val="center"/>
                    <w:textAlignment w:val="top"/>
                    <w:rPr>
                      <w:rFonts w:hint="eastAsia" w:ascii="宋体" w:hAnsi="宋体" w:cs="宋体"/>
                      <w:sz w:val="21"/>
                      <w:szCs w:val="21"/>
                    </w:rPr>
                  </w:pPr>
                  <w:r>
                    <w:rPr>
                      <w:rFonts w:hint="eastAsia" w:ascii="宋体" w:hAnsi="宋体" w:cs="宋体"/>
                      <w:kern w:val="0"/>
                      <w:sz w:val="21"/>
                      <w:szCs w:val="21"/>
                      <w:lang w:bidi="ar"/>
                    </w:rPr>
                    <w:t>空间相对位置</w:t>
                  </w:r>
                  <w:r>
                    <w:rPr>
                      <w:kern w:val="0"/>
                      <w:sz w:val="21"/>
                      <w:szCs w:val="21"/>
                      <w:lang w:bidi="ar"/>
                    </w:rPr>
                    <w:t>/m</w:t>
                  </w:r>
                </w:p>
              </w:tc>
              <w:tc>
                <w:tcPr>
                  <w:tcW w:w="439" w:type="dxa"/>
                  <w:vMerge w:val="restart"/>
                  <w:noWrap w:val="0"/>
                  <w:vAlign w:val="center"/>
                </w:tcPr>
                <w:p w14:paraId="031B8362">
                  <w:pPr>
                    <w:widowControl/>
                    <w:jc w:val="center"/>
                    <w:textAlignment w:val="top"/>
                    <w:rPr>
                      <w:rFonts w:hint="eastAsia" w:ascii="宋体" w:hAnsi="宋体" w:cs="宋体"/>
                      <w:sz w:val="21"/>
                      <w:szCs w:val="21"/>
                    </w:rPr>
                  </w:pPr>
                  <w:r>
                    <w:rPr>
                      <w:rFonts w:hint="eastAsia" w:ascii="宋体" w:hAnsi="宋体" w:cs="宋体"/>
                      <w:kern w:val="0"/>
                      <w:sz w:val="21"/>
                      <w:szCs w:val="21"/>
                      <w:lang w:bidi="ar"/>
                    </w:rPr>
                    <w:t>距室内边界距离</w:t>
                  </w:r>
                  <w:r>
                    <w:rPr>
                      <w:kern w:val="0"/>
                      <w:sz w:val="21"/>
                      <w:szCs w:val="21"/>
                      <w:lang w:bidi="ar"/>
                    </w:rPr>
                    <w:t>/m</w:t>
                  </w:r>
                </w:p>
              </w:tc>
              <w:tc>
                <w:tcPr>
                  <w:tcW w:w="439" w:type="dxa"/>
                  <w:vMerge w:val="restart"/>
                  <w:noWrap w:val="0"/>
                  <w:vAlign w:val="center"/>
                </w:tcPr>
                <w:p w14:paraId="41493BAE">
                  <w:pPr>
                    <w:widowControl/>
                    <w:jc w:val="center"/>
                    <w:textAlignment w:val="top"/>
                    <w:rPr>
                      <w:rFonts w:hint="eastAsia" w:ascii="宋体" w:hAnsi="宋体" w:cs="宋体"/>
                      <w:sz w:val="21"/>
                      <w:szCs w:val="21"/>
                    </w:rPr>
                  </w:pPr>
                  <w:r>
                    <w:rPr>
                      <w:rFonts w:hint="eastAsia" w:ascii="宋体" w:hAnsi="宋体" w:cs="宋体"/>
                      <w:kern w:val="0"/>
                      <w:sz w:val="21"/>
                      <w:szCs w:val="21"/>
                      <w:lang w:bidi="ar"/>
                    </w:rPr>
                    <w:t>室内边界</w:t>
                  </w:r>
                </w:p>
              </w:tc>
              <w:tc>
                <w:tcPr>
                  <w:tcW w:w="439" w:type="dxa"/>
                  <w:vMerge w:val="restart"/>
                  <w:noWrap w:val="0"/>
                  <w:vAlign w:val="center"/>
                </w:tcPr>
                <w:p w14:paraId="4F39714A">
                  <w:pPr>
                    <w:widowControl/>
                    <w:jc w:val="center"/>
                    <w:textAlignment w:val="top"/>
                    <w:rPr>
                      <w:rFonts w:hint="eastAsia" w:ascii="宋体" w:hAnsi="宋体" w:cs="宋体"/>
                      <w:sz w:val="21"/>
                      <w:szCs w:val="21"/>
                    </w:rPr>
                  </w:pPr>
                  <w:r>
                    <w:rPr>
                      <w:rFonts w:hint="eastAsia" w:ascii="宋体" w:hAnsi="宋体" w:cs="宋体"/>
                      <w:kern w:val="0"/>
                      <w:sz w:val="21"/>
                      <w:szCs w:val="21"/>
                      <w:lang w:bidi="ar"/>
                    </w:rPr>
                    <w:t>运行时段</w:t>
                  </w:r>
                </w:p>
              </w:tc>
              <w:tc>
                <w:tcPr>
                  <w:tcW w:w="439" w:type="dxa"/>
                  <w:vMerge w:val="restart"/>
                  <w:noWrap w:val="0"/>
                  <w:vAlign w:val="center"/>
                </w:tcPr>
                <w:p w14:paraId="6B0CF8CC">
                  <w:pPr>
                    <w:widowControl/>
                    <w:jc w:val="center"/>
                    <w:textAlignment w:val="top"/>
                    <w:rPr>
                      <w:rFonts w:hint="eastAsia" w:ascii="宋体" w:hAnsi="宋体" w:cs="宋体"/>
                      <w:sz w:val="21"/>
                      <w:szCs w:val="21"/>
                    </w:rPr>
                  </w:pPr>
                  <w:r>
                    <w:rPr>
                      <w:rFonts w:hint="eastAsia" w:ascii="宋体" w:hAnsi="宋体" w:cs="宋体"/>
                      <w:kern w:val="0"/>
                      <w:sz w:val="21"/>
                      <w:szCs w:val="21"/>
                      <w:lang w:bidi="ar"/>
                    </w:rPr>
                    <w:t>建筑物</w:t>
                  </w:r>
                </w:p>
              </w:tc>
              <w:tc>
                <w:tcPr>
                  <w:tcW w:w="1116" w:type="dxa"/>
                  <w:gridSpan w:val="2"/>
                  <w:noWrap w:val="0"/>
                  <w:vAlign w:val="center"/>
                </w:tcPr>
                <w:p w14:paraId="77F3DEA5">
                  <w:pPr>
                    <w:widowControl/>
                    <w:jc w:val="center"/>
                    <w:textAlignment w:val="top"/>
                    <w:rPr>
                      <w:rFonts w:hint="eastAsia" w:ascii="宋体" w:hAnsi="宋体" w:cs="宋体"/>
                      <w:sz w:val="21"/>
                      <w:szCs w:val="21"/>
                    </w:rPr>
                  </w:pPr>
                  <w:r>
                    <w:rPr>
                      <w:rFonts w:hint="eastAsia" w:ascii="宋体" w:hAnsi="宋体" w:cs="宋体"/>
                      <w:kern w:val="0"/>
                      <w:sz w:val="21"/>
                      <w:szCs w:val="21"/>
                      <w:lang w:bidi="ar"/>
                    </w:rPr>
                    <w:t>建筑物外噪声</w:t>
                  </w:r>
                </w:p>
              </w:tc>
            </w:tr>
            <w:tr w14:paraId="035FDD6B">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40" w:hRule="atLeast"/>
              </w:trPr>
              <w:tc>
                <w:tcPr>
                  <w:tcW w:w="437" w:type="dxa"/>
                  <w:vMerge w:val="continue"/>
                  <w:noWrap w:val="0"/>
                  <w:vAlign w:val="center"/>
                </w:tcPr>
                <w:p w14:paraId="67515514">
                  <w:pPr>
                    <w:jc w:val="center"/>
                    <w:rPr>
                      <w:rFonts w:hint="eastAsia" w:ascii="宋体" w:hAnsi="宋体" w:cs="宋体"/>
                      <w:sz w:val="21"/>
                      <w:szCs w:val="21"/>
                    </w:rPr>
                  </w:pPr>
                </w:p>
              </w:tc>
              <w:tc>
                <w:tcPr>
                  <w:tcW w:w="437" w:type="dxa"/>
                  <w:vMerge w:val="continue"/>
                  <w:noWrap w:val="0"/>
                  <w:vAlign w:val="center"/>
                </w:tcPr>
                <w:p w14:paraId="31440021">
                  <w:pPr>
                    <w:jc w:val="center"/>
                    <w:rPr>
                      <w:rFonts w:hint="eastAsia" w:ascii="宋体" w:hAnsi="宋体" w:cs="宋体"/>
                      <w:sz w:val="21"/>
                      <w:szCs w:val="21"/>
                    </w:rPr>
                  </w:pPr>
                </w:p>
              </w:tc>
              <w:tc>
                <w:tcPr>
                  <w:tcW w:w="437" w:type="dxa"/>
                  <w:vMerge w:val="continue"/>
                  <w:noWrap w:val="0"/>
                  <w:vAlign w:val="center"/>
                </w:tcPr>
                <w:p w14:paraId="237F04C3">
                  <w:pPr>
                    <w:jc w:val="center"/>
                    <w:rPr>
                      <w:rFonts w:hint="eastAsia" w:ascii="宋体" w:hAnsi="宋体" w:cs="宋体"/>
                      <w:sz w:val="21"/>
                      <w:szCs w:val="21"/>
                    </w:rPr>
                  </w:pPr>
                </w:p>
              </w:tc>
              <w:tc>
                <w:tcPr>
                  <w:tcW w:w="465" w:type="dxa"/>
                  <w:vMerge w:val="continue"/>
                  <w:noWrap w:val="0"/>
                  <w:vAlign w:val="center"/>
                </w:tcPr>
                <w:p w14:paraId="0CFB386F">
                  <w:pPr>
                    <w:jc w:val="center"/>
                    <w:rPr>
                      <w:rFonts w:hint="eastAsia" w:ascii="宋体" w:hAnsi="宋体" w:cs="宋体"/>
                      <w:sz w:val="21"/>
                      <w:szCs w:val="21"/>
                    </w:rPr>
                  </w:pPr>
                </w:p>
              </w:tc>
              <w:tc>
                <w:tcPr>
                  <w:tcW w:w="1243" w:type="dxa"/>
                  <w:noWrap w:val="0"/>
                  <w:vAlign w:val="center"/>
                </w:tcPr>
                <w:p w14:paraId="6BB8279E">
                  <w:pPr>
                    <w:widowControl/>
                    <w:jc w:val="center"/>
                    <w:textAlignment w:val="top"/>
                    <w:rPr>
                      <w:rFonts w:hint="eastAsia" w:ascii="宋体" w:hAnsi="宋体" w:cs="宋体"/>
                      <w:sz w:val="21"/>
                      <w:szCs w:val="21"/>
                    </w:rPr>
                  </w:pPr>
                  <w:r>
                    <w:rPr>
                      <w:rFonts w:hint="eastAsia" w:ascii="宋体" w:hAnsi="宋体" w:cs="宋体"/>
                      <w:kern w:val="0"/>
                      <w:sz w:val="21"/>
                      <w:szCs w:val="21"/>
                      <w:lang w:bidi="ar"/>
                    </w:rPr>
                    <w:t>（声压级/距声源距离）/（dB（A)/m)</w:t>
                  </w:r>
                </w:p>
              </w:tc>
              <w:tc>
                <w:tcPr>
                  <w:tcW w:w="736" w:type="dxa"/>
                  <w:vMerge w:val="continue"/>
                  <w:noWrap w:val="0"/>
                  <w:vAlign w:val="center"/>
                </w:tcPr>
                <w:p w14:paraId="65289225">
                  <w:pPr>
                    <w:jc w:val="center"/>
                    <w:rPr>
                      <w:rFonts w:hint="eastAsia" w:ascii="宋体" w:hAnsi="宋体" w:cs="宋体"/>
                      <w:sz w:val="21"/>
                      <w:szCs w:val="21"/>
                    </w:rPr>
                  </w:pPr>
                </w:p>
              </w:tc>
              <w:tc>
                <w:tcPr>
                  <w:tcW w:w="435" w:type="dxa"/>
                  <w:noWrap w:val="0"/>
                  <w:vAlign w:val="center"/>
                </w:tcPr>
                <w:p w14:paraId="651BC40D">
                  <w:pPr>
                    <w:widowControl/>
                    <w:jc w:val="center"/>
                    <w:textAlignment w:val="top"/>
                    <w:rPr>
                      <w:sz w:val="21"/>
                      <w:szCs w:val="21"/>
                    </w:rPr>
                  </w:pPr>
                  <w:r>
                    <w:rPr>
                      <w:kern w:val="0"/>
                      <w:sz w:val="21"/>
                      <w:szCs w:val="21"/>
                      <w:lang w:bidi="ar"/>
                    </w:rPr>
                    <w:t>X</w:t>
                  </w:r>
                </w:p>
              </w:tc>
              <w:tc>
                <w:tcPr>
                  <w:tcW w:w="435" w:type="dxa"/>
                  <w:noWrap w:val="0"/>
                  <w:vAlign w:val="center"/>
                </w:tcPr>
                <w:p w14:paraId="47F6DBCC">
                  <w:pPr>
                    <w:widowControl/>
                    <w:jc w:val="center"/>
                    <w:textAlignment w:val="top"/>
                    <w:rPr>
                      <w:sz w:val="21"/>
                      <w:szCs w:val="21"/>
                    </w:rPr>
                  </w:pPr>
                  <w:r>
                    <w:rPr>
                      <w:kern w:val="0"/>
                      <w:sz w:val="21"/>
                      <w:szCs w:val="21"/>
                      <w:lang w:bidi="ar"/>
                    </w:rPr>
                    <w:t>Y</w:t>
                  </w:r>
                </w:p>
              </w:tc>
              <w:tc>
                <w:tcPr>
                  <w:tcW w:w="440" w:type="dxa"/>
                  <w:noWrap w:val="0"/>
                  <w:vAlign w:val="center"/>
                </w:tcPr>
                <w:p w14:paraId="2504844E">
                  <w:pPr>
                    <w:widowControl/>
                    <w:jc w:val="center"/>
                    <w:textAlignment w:val="top"/>
                    <w:rPr>
                      <w:sz w:val="21"/>
                      <w:szCs w:val="21"/>
                    </w:rPr>
                  </w:pPr>
                  <w:r>
                    <w:rPr>
                      <w:kern w:val="0"/>
                      <w:sz w:val="21"/>
                      <w:szCs w:val="21"/>
                      <w:lang w:bidi="ar"/>
                    </w:rPr>
                    <w:t>Z</w:t>
                  </w:r>
                </w:p>
              </w:tc>
              <w:tc>
                <w:tcPr>
                  <w:tcW w:w="439" w:type="dxa"/>
                  <w:vMerge w:val="continue"/>
                  <w:noWrap w:val="0"/>
                  <w:vAlign w:val="center"/>
                </w:tcPr>
                <w:p w14:paraId="40047DD6">
                  <w:pPr>
                    <w:jc w:val="center"/>
                    <w:rPr>
                      <w:rFonts w:hint="eastAsia" w:ascii="宋体" w:hAnsi="宋体" w:cs="宋体"/>
                      <w:sz w:val="21"/>
                      <w:szCs w:val="21"/>
                    </w:rPr>
                  </w:pPr>
                </w:p>
              </w:tc>
              <w:tc>
                <w:tcPr>
                  <w:tcW w:w="439" w:type="dxa"/>
                  <w:vMerge w:val="continue"/>
                  <w:noWrap w:val="0"/>
                  <w:vAlign w:val="center"/>
                </w:tcPr>
                <w:p w14:paraId="0C1EF596">
                  <w:pPr>
                    <w:jc w:val="center"/>
                    <w:rPr>
                      <w:rFonts w:hint="eastAsia" w:ascii="宋体" w:hAnsi="宋体" w:cs="宋体"/>
                      <w:sz w:val="21"/>
                      <w:szCs w:val="21"/>
                    </w:rPr>
                  </w:pPr>
                </w:p>
              </w:tc>
              <w:tc>
                <w:tcPr>
                  <w:tcW w:w="439" w:type="dxa"/>
                  <w:vMerge w:val="continue"/>
                  <w:noWrap w:val="0"/>
                  <w:vAlign w:val="center"/>
                </w:tcPr>
                <w:p w14:paraId="560081E2">
                  <w:pPr>
                    <w:jc w:val="center"/>
                    <w:rPr>
                      <w:rFonts w:hint="eastAsia" w:ascii="宋体" w:hAnsi="宋体" w:cs="宋体"/>
                      <w:sz w:val="21"/>
                      <w:szCs w:val="21"/>
                    </w:rPr>
                  </w:pPr>
                </w:p>
              </w:tc>
              <w:tc>
                <w:tcPr>
                  <w:tcW w:w="439" w:type="dxa"/>
                  <w:vMerge w:val="continue"/>
                  <w:noWrap w:val="0"/>
                  <w:vAlign w:val="center"/>
                </w:tcPr>
                <w:p w14:paraId="458FD098">
                  <w:pPr>
                    <w:jc w:val="center"/>
                    <w:rPr>
                      <w:rFonts w:hint="eastAsia" w:ascii="宋体" w:hAnsi="宋体" w:cs="宋体"/>
                      <w:sz w:val="21"/>
                      <w:szCs w:val="21"/>
                    </w:rPr>
                  </w:pPr>
                </w:p>
              </w:tc>
              <w:tc>
                <w:tcPr>
                  <w:tcW w:w="674" w:type="dxa"/>
                  <w:noWrap w:val="0"/>
                  <w:vAlign w:val="center"/>
                </w:tcPr>
                <w:p w14:paraId="45DCAB07">
                  <w:pPr>
                    <w:widowControl/>
                    <w:jc w:val="center"/>
                    <w:textAlignment w:val="top"/>
                    <w:rPr>
                      <w:rFonts w:hint="eastAsia" w:ascii="宋体" w:hAnsi="宋体" w:cs="宋体"/>
                      <w:sz w:val="21"/>
                      <w:szCs w:val="21"/>
                    </w:rPr>
                  </w:pPr>
                  <w:r>
                    <w:rPr>
                      <w:rFonts w:hint="eastAsia" w:ascii="宋体" w:hAnsi="宋体" w:cs="宋体"/>
                      <w:kern w:val="0"/>
                      <w:sz w:val="21"/>
                      <w:szCs w:val="21"/>
                      <w:lang w:bidi="ar"/>
                    </w:rPr>
                    <w:t>声压级</w:t>
                  </w:r>
                  <w:r>
                    <w:rPr>
                      <w:kern w:val="0"/>
                      <w:sz w:val="21"/>
                      <w:szCs w:val="21"/>
                      <w:lang w:bidi="ar"/>
                    </w:rPr>
                    <w:t>/dB</w:t>
                  </w:r>
                  <w:r>
                    <w:rPr>
                      <w:rFonts w:hint="eastAsia"/>
                      <w:kern w:val="0"/>
                      <w:sz w:val="21"/>
                      <w:szCs w:val="21"/>
                      <w:lang w:bidi="ar"/>
                    </w:rPr>
                    <w:t>（</w:t>
                  </w:r>
                  <w:r>
                    <w:rPr>
                      <w:kern w:val="0"/>
                      <w:sz w:val="21"/>
                      <w:szCs w:val="21"/>
                      <w:lang w:bidi="ar"/>
                    </w:rPr>
                    <w:t>A)</w:t>
                  </w:r>
                </w:p>
              </w:tc>
              <w:tc>
                <w:tcPr>
                  <w:tcW w:w="442" w:type="dxa"/>
                  <w:noWrap w:val="0"/>
                  <w:vAlign w:val="center"/>
                </w:tcPr>
                <w:p w14:paraId="485C1A9C">
                  <w:pPr>
                    <w:widowControl/>
                    <w:jc w:val="center"/>
                    <w:textAlignment w:val="top"/>
                    <w:rPr>
                      <w:rFonts w:ascii="宋体" w:hAnsi="宋体" w:cs="宋体"/>
                      <w:sz w:val="21"/>
                      <w:szCs w:val="21"/>
                    </w:rPr>
                  </w:pPr>
                  <w:r>
                    <w:rPr>
                      <w:rFonts w:hint="eastAsia" w:ascii="宋体" w:hAnsi="宋体" w:cs="宋体"/>
                      <w:kern w:val="0"/>
                      <w:sz w:val="21"/>
                      <w:szCs w:val="21"/>
                      <w:lang w:bidi="ar"/>
                    </w:rPr>
                    <w:t>建筑物外距离m</w:t>
                  </w:r>
                </w:p>
              </w:tc>
            </w:tr>
            <w:tr w14:paraId="6EEB4F24">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176" w:hRule="atLeast"/>
              </w:trPr>
              <w:tc>
                <w:tcPr>
                  <w:tcW w:w="437" w:type="dxa"/>
                  <w:vMerge w:val="restart"/>
                  <w:noWrap w:val="0"/>
                  <w:vAlign w:val="center"/>
                </w:tcPr>
                <w:p w14:paraId="6D59CE69">
                  <w:pPr>
                    <w:widowControl/>
                    <w:jc w:val="center"/>
                    <w:textAlignment w:val="top"/>
                    <w:rPr>
                      <w:sz w:val="21"/>
                      <w:szCs w:val="21"/>
                    </w:rPr>
                  </w:pPr>
                  <w:r>
                    <w:rPr>
                      <w:kern w:val="0"/>
                      <w:sz w:val="21"/>
                      <w:szCs w:val="21"/>
                      <w:lang w:bidi="ar"/>
                    </w:rPr>
                    <w:t>1</w:t>
                  </w:r>
                </w:p>
              </w:tc>
              <w:tc>
                <w:tcPr>
                  <w:tcW w:w="437" w:type="dxa"/>
                  <w:vMerge w:val="restart"/>
                  <w:noWrap w:val="0"/>
                  <w:vAlign w:val="center"/>
                </w:tcPr>
                <w:p w14:paraId="718EF313">
                  <w:pPr>
                    <w:widowControl/>
                    <w:jc w:val="center"/>
                    <w:textAlignment w:val="top"/>
                    <w:rPr>
                      <w:sz w:val="21"/>
                      <w:szCs w:val="21"/>
                    </w:rPr>
                  </w:pPr>
                  <w:r>
                    <w:rPr>
                      <w:rFonts w:hint="eastAsia"/>
                      <w:sz w:val="21"/>
                      <w:szCs w:val="21"/>
                    </w:rPr>
                    <w:t>商业楼</w:t>
                  </w:r>
                </w:p>
              </w:tc>
              <w:tc>
                <w:tcPr>
                  <w:tcW w:w="437" w:type="dxa"/>
                  <w:vMerge w:val="restart"/>
                  <w:noWrap w:val="0"/>
                  <w:vAlign w:val="center"/>
                </w:tcPr>
                <w:p w14:paraId="00253591">
                  <w:pPr>
                    <w:widowControl/>
                    <w:jc w:val="center"/>
                    <w:textAlignment w:val="top"/>
                    <w:rPr>
                      <w:sz w:val="21"/>
                      <w:szCs w:val="21"/>
                    </w:rPr>
                  </w:pPr>
                  <w:r>
                    <w:rPr>
                      <w:rFonts w:hint="eastAsia"/>
                      <w:sz w:val="21"/>
                      <w:szCs w:val="21"/>
                    </w:rPr>
                    <w:t>宠物鸣叫</w:t>
                  </w:r>
                </w:p>
              </w:tc>
              <w:tc>
                <w:tcPr>
                  <w:tcW w:w="465" w:type="dxa"/>
                  <w:vMerge w:val="restart"/>
                  <w:noWrap w:val="0"/>
                  <w:vAlign w:val="center"/>
                </w:tcPr>
                <w:p w14:paraId="204C1505">
                  <w:pPr>
                    <w:widowControl/>
                    <w:jc w:val="center"/>
                    <w:textAlignment w:val="top"/>
                    <w:rPr>
                      <w:sz w:val="21"/>
                      <w:szCs w:val="21"/>
                    </w:rPr>
                  </w:pPr>
                  <w:r>
                    <w:rPr>
                      <w:rFonts w:hint="eastAsia"/>
                      <w:kern w:val="0"/>
                      <w:sz w:val="21"/>
                      <w:szCs w:val="21"/>
                      <w:lang w:bidi="ar"/>
                    </w:rPr>
                    <w:t>/</w:t>
                  </w:r>
                </w:p>
              </w:tc>
              <w:tc>
                <w:tcPr>
                  <w:tcW w:w="1243" w:type="dxa"/>
                  <w:vMerge w:val="restart"/>
                  <w:noWrap w:val="0"/>
                  <w:vAlign w:val="center"/>
                </w:tcPr>
                <w:p w14:paraId="6BC5D27F">
                  <w:pPr>
                    <w:jc w:val="center"/>
                    <w:rPr>
                      <w:rFonts w:hint="eastAsia" w:ascii="宋体" w:hAnsi="宋体" w:cs="宋体"/>
                      <w:sz w:val="21"/>
                      <w:szCs w:val="21"/>
                    </w:rPr>
                  </w:pPr>
                  <w:r>
                    <w:rPr>
                      <w:rFonts w:hint="eastAsia" w:ascii="宋体" w:hAnsi="宋体" w:cs="宋体"/>
                      <w:sz w:val="21"/>
                      <w:szCs w:val="21"/>
                    </w:rPr>
                    <w:t>70</w:t>
                  </w:r>
                  <w:r>
                    <w:rPr>
                      <w:rFonts w:hint="eastAsia" w:ascii="宋体" w:hAnsi="宋体" w:cs="宋体"/>
                      <w:kern w:val="0"/>
                      <w:sz w:val="21"/>
                      <w:szCs w:val="21"/>
                      <w:lang w:bidi="ar"/>
                    </w:rPr>
                    <w:t>dB（A)/1m</w:t>
                  </w:r>
                </w:p>
              </w:tc>
              <w:tc>
                <w:tcPr>
                  <w:tcW w:w="736" w:type="dxa"/>
                  <w:vMerge w:val="restart"/>
                  <w:noWrap w:val="0"/>
                  <w:vAlign w:val="center"/>
                </w:tcPr>
                <w:p w14:paraId="49F8E252">
                  <w:pPr>
                    <w:jc w:val="center"/>
                    <w:rPr>
                      <w:rFonts w:ascii="宋体" w:hAnsi="宋体" w:cs="宋体"/>
                      <w:sz w:val="21"/>
                      <w:szCs w:val="21"/>
                    </w:rPr>
                  </w:pPr>
                  <w:r>
                    <w:rPr>
                      <w:rFonts w:hint="eastAsia" w:ascii="宋体" w:hAnsi="宋体" w:cs="宋体"/>
                      <w:sz w:val="21"/>
                      <w:szCs w:val="21"/>
                    </w:rPr>
                    <w:t>墙体隔声</w:t>
                  </w:r>
                </w:p>
              </w:tc>
              <w:tc>
                <w:tcPr>
                  <w:tcW w:w="435" w:type="dxa"/>
                  <w:vMerge w:val="restart"/>
                  <w:noWrap w:val="0"/>
                  <w:vAlign w:val="center"/>
                </w:tcPr>
                <w:p w14:paraId="5A32EA10">
                  <w:pPr>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3.5</w:t>
                  </w:r>
                </w:p>
              </w:tc>
              <w:tc>
                <w:tcPr>
                  <w:tcW w:w="435" w:type="dxa"/>
                  <w:vMerge w:val="restart"/>
                  <w:noWrap w:val="0"/>
                  <w:vAlign w:val="center"/>
                </w:tcPr>
                <w:p w14:paraId="2A73DF14">
                  <w:pPr>
                    <w:jc w:val="center"/>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6</w:t>
                  </w:r>
                </w:p>
              </w:tc>
              <w:tc>
                <w:tcPr>
                  <w:tcW w:w="440" w:type="dxa"/>
                  <w:vMerge w:val="restart"/>
                  <w:noWrap w:val="0"/>
                  <w:vAlign w:val="center"/>
                </w:tcPr>
                <w:p w14:paraId="30E2CE3C">
                  <w:pPr>
                    <w:jc w:val="center"/>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3</w:t>
                  </w:r>
                </w:p>
              </w:tc>
              <w:tc>
                <w:tcPr>
                  <w:tcW w:w="439" w:type="dxa"/>
                  <w:noWrap w:val="0"/>
                  <w:vAlign w:val="center"/>
                </w:tcPr>
                <w:p w14:paraId="039C9D56">
                  <w:pPr>
                    <w:jc w:val="center"/>
                    <w:rPr>
                      <w:rFonts w:ascii="宋体" w:hAnsi="宋体" w:cs="宋体"/>
                      <w:sz w:val="21"/>
                      <w:szCs w:val="21"/>
                    </w:rPr>
                  </w:pPr>
                  <w:r>
                    <w:rPr>
                      <w:rFonts w:hint="eastAsia" w:ascii="宋体" w:hAnsi="宋体" w:cs="宋体"/>
                      <w:sz w:val="21"/>
                      <w:szCs w:val="21"/>
                    </w:rPr>
                    <w:t>紧邻</w:t>
                  </w:r>
                </w:p>
              </w:tc>
              <w:tc>
                <w:tcPr>
                  <w:tcW w:w="439" w:type="dxa"/>
                  <w:noWrap w:val="0"/>
                  <w:vAlign w:val="center"/>
                </w:tcPr>
                <w:p w14:paraId="32486A5F">
                  <w:pPr>
                    <w:jc w:val="center"/>
                    <w:rPr>
                      <w:rFonts w:hint="eastAsia" w:ascii="宋体" w:hAnsi="宋体" w:cs="宋体"/>
                      <w:sz w:val="21"/>
                      <w:szCs w:val="21"/>
                    </w:rPr>
                  </w:pPr>
                  <w:r>
                    <w:rPr>
                      <w:rFonts w:hint="eastAsia" w:ascii="宋体" w:hAnsi="宋体" w:cs="宋体"/>
                      <w:sz w:val="21"/>
                      <w:szCs w:val="21"/>
                    </w:rPr>
                    <w:t>东</w:t>
                  </w:r>
                </w:p>
              </w:tc>
              <w:tc>
                <w:tcPr>
                  <w:tcW w:w="439" w:type="dxa"/>
                  <w:vMerge w:val="restart"/>
                  <w:noWrap w:val="0"/>
                  <w:vAlign w:val="center"/>
                </w:tcPr>
                <w:p w14:paraId="11BA7260">
                  <w:pPr>
                    <w:jc w:val="center"/>
                    <w:rPr>
                      <w:rFonts w:hint="eastAsia" w:ascii="宋体" w:hAnsi="宋体" w:cs="宋体"/>
                      <w:sz w:val="21"/>
                      <w:szCs w:val="21"/>
                    </w:rPr>
                  </w:pPr>
                  <w:r>
                    <w:rPr>
                      <w:rFonts w:ascii="宋体" w:hAnsi="宋体" w:cs="宋体"/>
                      <w:kern w:val="0"/>
                      <w:sz w:val="21"/>
                      <w:szCs w:val="21"/>
                      <w:lang w:bidi="ar"/>
                    </w:rPr>
                    <w:t>8</w:t>
                  </w:r>
                  <w:r>
                    <w:rPr>
                      <w:rFonts w:hint="eastAsia" w:ascii="宋体" w:hAnsi="宋体" w:cs="宋体"/>
                      <w:kern w:val="0"/>
                      <w:sz w:val="21"/>
                      <w:szCs w:val="21"/>
                      <w:lang w:bidi="ar"/>
                    </w:rPr>
                    <w:t>：00</w:t>
                  </w:r>
                  <w:r>
                    <w:rPr>
                      <w:rFonts w:ascii="宋体" w:hAnsi="宋体" w:cs="宋体"/>
                      <w:kern w:val="0"/>
                      <w:sz w:val="21"/>
                      <w:szCs w:val="21"/>
                      <w:lang w:bidi="ar"/>
                    </w:rPr>
                    <w:t>~20</w:t>
                  </w:r>
                  <w:r>
                    <w:rPr>
                      <w:rFonts w:hint="eastAsia" w:ascii="宋体" w:hAnsi="宋体" w:cs="宋体"/>
                      <w:kern w:val="0"/>
                      <w:sz w:val="21"/>
                      <w:szCs w:val="21"/>
                      <w:lang w:bidi="ar"/>
                    </w:rPr>
                    <w:t>：00</w:t>
                  </w:r>
                </w:p>
              </w:tc>
              <w:tc>
                <w:tcPr>
                  <w:tcW w:w="439" w:type="dxa"/>
                  <w:vMerge w:val="restart"/>
                  <w:noWrap w:val="0"/>
                  <w:vAlign w:val="center"/>
                </w:tcPr>
                <w:p w14:paraId="07F9211C">
                  <w:pPr>
                    <w:jc w:val="center"/>
                    <w:rPr>
                      <w:rFonts w:hint="eastAsia" w:ascii="宋体" w:hAnsi="宋体" w:cs="宋体"/>
                      <w:sz w:val="21"/>
                      <w:szCs w:val="21"/>
                    </w:rPr>
                  </w:pPr>
                  <w:r>
                    <w:rPr>
                      <w:rFonts w:hint="eastAsia" w:ascii="宋体" w:hAnsi="宋体" w:cs="宋体"/>
                      <w:sz w:val="21"/>
                      <w:szCs w:val="21"/>
                    </w:rPr>
                    <w:t>商业楼</w:t>
                  </w:r>
                </w:p>
              </w:tc>
              <w:tc>
                <w:tcPr>
                  <w:tcW w:w="674" w:type="dxa"/>
                  <w:vMerge w:val="restart"/>
                  <w:noWrap w:val="0"/>
                  <w:vAlign w:val="center"/>
                </w:tcPr>
                <w:p w14:paraId="76E0FF90">
                  <w:pPr>
                    <w:jc w:val="center"/>
                    <w:rPr>
                      <w:rFonts w:ascii="宋体" w:hAnsi="宋体" w:cs="宋体"/>
                      <w:sz w:val="21"/>
                      <w:szCs w:val="21"/>
                    </w:rPr>
                  </w:pPr>
                  <w:r>
                    <w:rPr>
                      <w:rFonts w:hint="eastAsia" w:ascii="宋体" w:hAnsi="宋体" w:cs="宋体"/>
                      <w:sz w:val="21"/>
                      <w:szCs w:val="21"/>
                    </w:rPr>
                    <w:t>49</w:t>
                  </w:r>
                </w:p>
              </w:tc>
              <w:tc>
                <w:tcPr>
                  <w:tcW w:w="442" w:type="dxa"/>
                  <w:vMerge w:val="restart"/>
                  <w:noWrap w:val="0"/>
                  <w:vAlign w:val="center"/>
                </w:tcPr>
                <w:p w14:paraId="6252E56A">
                  <w:pPr>
                    <w:jc w:val="center"/>
                    <w:rPr>
                      <w:rFonts w:ascii="宋体" w:hAnsi="宋体" w:cs="宋体"/>
                      <w:sz w:val="21"/>
                      <w:szCs w:val="21"/>
                    </w:rPr>
                  </w:pPr>
                  <w:r>
                    <w:rPr>
                      <w:rFonts w:hint="eastAsia" w:ascii="宋体" w:hAnsi="宋体" w:cs="宋体"/>
                      <w:sz w:val="21"/>
                      <w:szCs w:val="21"/>
                    </w:rPr>
                    <w:t>1</w:t>
                  </w:r>
                </w:p>
              </w:tc>
            </w:tr>
            <w:tr w14:paraId="0996C342">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169" w:hRule="atLeast"/>
              </w:trPr>
              <w:tc>
                <w:tcPr>
                  <w:tcW w:w="437" w:type="dxa"/>
                  <w:vMerge w:val="continue"/>
                  <w:noWrap w:val="0"/>
                  <w:vAlign w:val="center"/>
                </w:tcPr>
                <w:p w14:paraId="6CB86215">
                  <w:pPr>
                    <w:widowControl/>
                    <w:jc w:val="center"/>
                    <w:textAlignment w:val="top"/>
                    <w:rPr>
                      <w:kern w:val="0"/>
                      <w:sz w:val="21"/>
                      <w:szCs w:val="21"/>
                      <w:lang w:bidi="ar"/>
                    </w:rPr>
                  </w:pPr>
                </w:p>
              </w:tc>
              <w:tc>
                <w:tcPr>
                  <w:tcW w:w="437" w:type="dxa"/>
                  <w:vMerge w:val="continue"/>
                  <w:noWrap w:val="0"/>
                  <w:vAlign w:val="center"/>
                </w:tcPr>
                <w:p w14:paraId="76AD6666">
                  <w:pPr>
                    <w:widowControl/>
                    <w:jc w:val="center"/>
                    <w:textAlignment w:val="top"/>
                    <w:rPr>
                      <w:kern w:val="0"/>
                      <w:sz w:val="21"/>
                      <w:szCs w:val="21"/>
                      <w:lang w:bidi="ar"/>
                    </w:rPr>
                  </w:pPr>
                </w:p>
              </w:tc>
              <w:tc>
                <w:tcPr>
                  <w:tcW w:w="437" w:type="dxa"/>
                  <w:vMerge w:val="continue"/>
                  <w:noWrap w:val="0"/>
                  <w:vAlign w:val="center"/>
                </w:tcPr>
                <w:p w14:paraId="5C494EB2">
                  <w:pPr>
                    <w:widowControl/>
                    <w:jc w:val="center"/>
                    <w:textAlignment w:val="top"/>
                    <w:rPr>
                      <w:kern w:val="0"/>
                      <w:sz w:val="21"/>
                      <w:szCs w:val="21"/>
                      <w:lang w:bidi="ar"/>
                    </w:rPr>
                  </w:pPr>
                </w:p>
              </w:tc>
              <w:tc>
                <w:tcPr>
                  <w:tcW w:w="465" w:type="dxa"/>
                  <w:vMerge w:val="continue"/>
                  <w:noWrap w:val="0"/>
                  <w:vAlign w:val="center"/>
                </w:tcPr>
                <w:p w14:paraId="63B99928">
                  <w:pPr>
                    <w:widowControl/>
                    <w:jc w:val="center"/>
                    <w:textAlignment w:val="top"/>
                    <w:rPr>
                      <w:kern w:val="0"/>
                      <w:sz w:val="21"/>
                      <w:szCs w:val="21"/>
                      <w:lang w:bidi="ar"/>
                    </w:rPr>
                  </w:pPr>
                </w:p>
              </w:tc>
              <w:tc>
                <w:tcPr>
                  <w:tcW w:w="1243" w:type="dxa"/>
                  <w:vMerge w:val="continue"/>
                  <w:noWrap w:val="0"/>
                  <w:vAlign w:val="center"/>
                </w:tcPr>
                <w:p w14:paraId="7F80D05A">
                  <w:pPr>
                    <w:jc w:val="center"/>
                    <w:rPr>
                      <w:rFonts w:hint="eastAsia" w:ascii="宋体" w:hAnsi="宋体" w:cs="宋体"/>
                      <w:sz w:val="21"/>
                      <w:szCs w:val="21"/>
                    </w:rPr>
                  </w:pPr>
                </w:p>
              </w:tc>
              <w:tc>
                <w:tcPr>
                  <w:tcW w:w="736" w:type="dxa"/>
                  <w:vMerge w:val="continue"/>
                  <w:noWrap w:val="0"/>
                  <w:vAlign w:val="center"/>
                </w:tcPr>
                <w:p w14:paraId="5C1B2E35">
                  <w:pPr>
                    <w:jc w:val="center"/>
                    <w:rPr>
                      <w:rFonts w:hint="eastAsia" w:ascii="宋体" w:hAnsi="宋体" w:cs="宋体"/>
                      <w:sz w:val="21"/>
                      <w:szCs w:val="21"/>
                    </w:rPr>
                  </w:pPr>
                </w:p>
              </w:tc>
              <w:tc>
                <w:tcPr>
                  <w:tcW w:w="435" w:type="dxa"/>
                  <w:vMerge w:val="continue"/>
                  <w:noWrap w:val="0"/>
                  <w:vAlign w:val="center"/>
                </w:tcPr>
                <w:p w14:paraId="622CBE84">
                  <w:pPr>
                    <w:jc w:val="center"/>
                    <w:rPr>
                      <w:rFonts w:hint="eastAsia" w:ascii="宋体" w:hAnsi="宋体" w:cs="宋体"/>
                      <w:sz w:val="21"/>
                      <w:szCs w:val="21"/>
                    </w:rPr>
                  </w:pPr>
                </w:p>
              </w:tc>
              <w:tc>
                <w:tcPr>
                  <w:tcW w:w="435" w:type="dxa"/>
                  <w:vMerge w:val="continue"/>
                  <w:noWrap w:val="0"/>
                  <w:vAlign w:val="center"/>
                </w:tcPr>
                <w:p w14:paraId="0CD5940F">
                  <w:pPr>
                    <w:jc w:val="center"/>
                    <w:rPr>
                      <w:rFonts w:hint="eastAsia" w:ascii="宋体" w:hAnsi="宋体" w:cs="宋体"/>
                      <w:sz w:val="21"/>
                      <w:szCs w:val="21"/>
                    </w:rPr>
                  </w:pPr>
                </w:p>
              </w:tc>
              <w:tc>
                <w:tcPr>
                  <w:tcW w:w="440" w:type="dxa"/>
                  <w:vMerge w:val="continue"/>
                  <w:noWrap w:val="0"/>
                  <w:vAlign w:val="center"/>
                </w:tcPr>
                <w:p w14:paraId="21532E43">
                  <w:pPr>
                    <w:jc w:val="center"/>
                    <w:rPr>
                      <w:rFonts w:hint="eastAsia" w:ascii="宋体" w:hAnsi="宋体" w:cs="宋体"/>
                      <w:sz w:val="21"/>
                      <w:szCs w:val="21"/>
                    </w:rPr>
                  </w:pPr>
                </w:p>
              </w:tc>
              <w:tc>
                <w:tcPr>
                  <w:tcW w:w="439" w:type="dxa"/>
                  <w:noWrap w:val="0"/>
                  <w:vAlign w:val="center"/>
                </w:tcPr>
                <w:p w14:paraId="67504328">
                  <w:pPr>
                    <w:jc w:val="center"/>
                    <w:rPr>
                      <w:rFonts w:ascii="宋体" w:hAnsi="宋体" w:cs="宋体"/>
                      <w:sz w:val="21"/>
                      <w:szCs w:val="21"/>
                    </w:rPr>
                  </w:pPr>
                  <w:r>
                    <w:rPr>
                      <w:rFonts w:hint="eastAsia" w:ascii="宋体" w:hAnsi="宋体" w:cs="宋体"/>
                      <w:sz w:val="21"/>
                      <w:szCs w:val="21"/>
                    </w:rPr>
                    <w:t>紧邻</w:t>
                  </w:r>
                </w:p>
              </w:tc>
              <w:tc>
                <w:tcPr>
                  <w:tcW w:w="439" w:type="dxa"/>
                  <w:noWrap w:val="0"/>
                  <w:vAlign w:val="center"/>
                </w:tcPr>
                <w:p w14:paraId="6E583FA0">
                  <w:pPr>
                    <w:jc w:val="center"/>
                    <w:rPr>
                      <w:rFonts w:hint="eastAsia" w:ascii="宋体" w:hAnsi="宋体" w:cs="宋体"/>
                      <w:sz w:val="21"/>
                      <w:szCs w:val="21"/>
                    </w:rPr>
                  </w:pPr>
                  <w:r>
                    <w:rPr>
                      <w:rFonts w:hint="eastAsia" w:ascii="宋体" w:hAnsi="宋体" w:cs="宋体"/>
                      <w:sz w:val="21"/>
                      <w:szCs w:val="21"/>
                    </w:rPr>
                    <w:t>南</w:t>
                  </w:r>
                </w:p>
              </w:tc>
              <w:tc>
                <w:tcPr>
                  <w:tcW w:w="439" w:type="dxa"/>
                  <w:vMerge w:val="continue"/>
                  <w:noWrap w:val="0"/>
                  <w:vAlign w:val="center"/>
                </w:tcPr>
                <w:p w14:paraId="5329BD3D">
                  <w:pPr>
                    <w:jc w:val="center"/>
                    <w:rPr>
                      <w:rFonts w:hint="eastAsia" w:ascii="宋体" w:hAnsi="宋体" w:cs="宋体"/>
                      <w:sz w:val="21"/>
                      <w:szCs w:val="21"/>
                    </w:rPr>
                  </w:pPr>
                </w:p>
              </w:tc>
              <w:tc>
                <w:tcPr>
                  <w:tcW w:w="439" w:type="dxa"/>
                  <w:vMerge w:val="continue"/>
                  <w:noWrap w:val="0"/>
                  <w:vAlign w:val="center"/>
                </w:tcPr>
                <w:p w14:paraId="03E22D3C">
                  <w:pPr>
                    <w:jc w:val="center"/>
                    <w:rPr>
                      <w:rFonts w:hint="eastAsia" w:ascii="宋体" w:hAnsi="宋体" w:cs="宋体"/>
                      <w:sz w:val="21"/>
                      <w:szCs w:val="21"/>
                    </w:rPr>
                  </w:pPr>
                </w:p>
              </w:tc>
              <w:tc>
                <w:tcPr>
                  <w:tcW w:w="674" w:type="dxa"/>
                  <w:vMerge w:val="continue"/>
                  <w:noWrap w:val="0"/>
                  <w:vAlign w:val="center"/>
                </w:tcPr>
                <w:p w14:paraId="001FBA52">
                  <w:pPr>
                    <w:jc w:val="center"/>
                    <w:rPr>
                      <w:rFonts w:hint="eastAsia" w:ascii="宋体" w:hAnsi="宋体" w:cs="宋体"/>
                      <w:sz w:val="21"/>
                      <w:szCs w:val="21"/>
                    </w:rPr>
                  </w:pPr>
                </w:p>
              </w:tc>
              <w:tc>
                <w:tcPr>
                  <w:tcW w:w="442" w:type="dxa"/>
                  <w:vMerge w:val="continue"/>
                  <w:noWrap w:val="0"/>
                  <w:vAlign w:val="center"/>
                </w:tcPr>
                <w:p w14:paraId="7C3993DE">
                  <w:pPr>
                    <w:jc w:val="center"/>
                    <w:rPr>
                      <w:rFonts w:hint="eastAsia" w:ascii="宋体" w:hAnsi="宋体" w:cs="宋体"/>
                      <w:sz w:val="21"/>
                      <w:szCs w:val="21"/>
                    </w:rPr>
                  </w:pPr>
                </w:p>
              </w:tc>
            </w:tr>
            <w:tr w14:paraId="1184CEEF">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162" w:hRule="atLeast"/>
              </w:trPr>
              <w:tc>
                <w:tcPr>
                  <w:tcW w:w="437" w:type="dxa"/>
                  <w:vMerge w:val="continue"/>
                  <w:noWrap w:val="0"/>
                  <w:vAlign w:val="center"/>
                </w:tcPr>
                <w:p w14:paraId="4181E232">
                  <w:pPr>
                    <w:widowControl/>
                    <w:jc w:val="center"/>
                    <w:textAlignment w:val="top"/>
                    <w:rPr>
                      <w:kern w:val="0"/>
                      <w:sz w:val="21"/>
                      <w:szCs w:val="21"/>
                      <w:lang w:bidi="ar"/>
                    </w:rPr>
                  </w:pPr>
                </w:p>
              </w:tc>
              <w:tc>
                <w:tcPr>
                  <w:tcW w:w="437" w:type="dxa"/>
                  <w:vMerge w:val="continue"/>
                  <w:noWrap w:val="0"/>
                  <w:vAlign w:val="center"/>
                </w:tcPr>
                <w:p w14:paraId="20AFECCA">
                  <w:pPr>
                    <w:widowControl/>
                    <w:jc w:val="center"/>
                    <w:textAlignment w:val="top"/>
                    <w:rPr>
                      <w:kern w:val="0"/>
                      <w:sz w:val="21"/>
                      <w:szCs w:val="21"/>
                      <w:lang w:bidi="ar"/>
                    </w:rPr>
                  </w:pPr>
                </w:p>
              </w:tc>
              <w:tc>
                <w:tcPr>
                  <w:tcW w:w="437" w:type="dxa"/>
                  <w:vMerge w:val="continue"/>
                  <w:noWrap w:val="0"/>
                  <w:vAlign w:val="center"/>
                </w:tcPr>
                <w:p w14:paraId="73433D09">
                  <w:pPr>
                    <w:widowControl/>
                    <w:jc w:val="center"/>
                    <w:textAlignment w:val="top"/>
                    <w:rPr>
                      <w:kern w:val="0"/>
                      <w:sz w:val="21"/>
                      <w:szCs w:val="21"/>
                      <w:lang w:bidi="ar"/>
                    </w:rPr>
                  </w:pPr>
                </w:p>
              </w:tc>
              <w:tc>
                <w:tcPr>
                  <w:tcW w:w="465" w:type="dxa"/>
                  <w:vMerge w:val="continue"/>
                  <w:noWrap w:val="0"/>
                  <w:vAlign w:val="center"/>
                </w:tcPr>
                <w:p w14:paraId="0732EB2C">
                  <w:pPr>
                    <w:widowControl/>
                    <w:jc w:val="center"/>
                    <w:textAlignment w:val="top"/>
                    <w:rPr>
                      <w:kern w:val="0"/>
                      <w:sz w:val="21"/>
                      <w:szCs w:val="21"/>
                      <w:lang w:bidi="ar"/>
                    </w:rPr>
                  </w:pPr>
                </w:p>
              </w:tc>
              <w:tc>
                <w:tcPr>
                  <w:tcW w:w="1243" w:type="dxa"/>
                  <w:vMerge w:val="continue"/>
                  <w:noWrap w:val="0"/>
                  <w:vAlign w:val="center"/>
                </w:tcPr>
                <w:p w14:paraId="3C76818D">
                  <w:pPr>
                    <w:jc w:val="center"/>
                    <w:rPr>
                      <w:rFonts w:hint="eastAsia" w:ascii="宋体" w:hAnsi="宋体" w:cs="宋体"/>
                      <w:sz w:val="21"/>
                      <w:szCs w:val="21"/>
                    </w:rPr>
                  </w:pPr>
                </w:p>
              </w:tc>
              <w:tc>
                <w:tcPr>
                  <w:tcW w:w="736" w:type="dxa"/>
                  <w:vMerge w:val="continue"/>
                  <w:noWrap w:val="0"/>
                  <w:vAlign w:val="center"/>
                </w:tcPr>
                <w:p w14:paraId="752A5F66">
                  <w:pPr>
                    <w:jc w:val="center"/>
                    <w:rPr>
                      <w:rFonts w:hint="eastAsia" w:ascii="宋体" w:hAnsi="宋体" w:cs="宋体"/>
                      <w:sz w:val="21"/>
                      <w:szCs w:val="21"/>
                    </w:rPr>
                  </w:pPr>
                </w:p>
              </w:tc>
              <w:tc>
                <w:tcPr>
                  <w:tcW w:w="435" w:type="dxa"/>
                  <w:vMerge w:val="continue"/>
                  <w:noWrap w:val="0"/>
                  <w:vAlign w:val="center"/>
                </w:tcPr>
                <w:p w14:paraId="2DCEEF6B">
                  <w:pPr>
                    <w:jc w:val="center"/>
                    <w:rPr>
                      <w:rFonts w:hint="eastAsia" w:ascii="宋体" w:hAnsi="宋体" w:cs="宋体"/>
                      <w:sz w:val="21"/>
                      <w:szCs w:val="21"/>
                    </w:rPr>
                  </w:pPr>
                </w:p>
              </w:tc>
              <w:tc>
                <w:tcPr>
                  <w:tcW w:w="435" w:type="dxa"/>
                  <w:vMerge w:val="continue"/>
                  <w:noWrap w:val="0"/>
                  <w:vAlign w:val="center"/>
                </w:tcPr>
                <w:p w14:paraId="44066BE7">
                  <w:pPr>
                    <w:jc w:val="center"/>
                    <w:rPr>
                      <w:rFonts w:hint="eastAsia" w:ascii="宋体" w:hAnsi="宋体" w:cs="宋体"/>
                      <w:sz w:val="21"/>
                      <w:szCs w:val="21"/>
                    </w:rPr>
                  </w:pPr>
                </w:p>
              </w:tc>
              <w:tc>
                <w:tcPr>
                  <w:tcW w:w="440" w:type="dxa"/>
                  <w:vMerge w:val="continue"/>
                  <w:noWrap w:val="0"/>
                  <w:vAlign w:val="center"/>
                </w:tcPr>
                <w:p w14:paraId="247CE4B0">
                  <w:pPr>
                    <w:jc w:val="center"/>
                    <w:rPr>
                      <w:rFonts w:hint="eastAsia" w:ascii="宋体" w:hAnsi="宋体" w:cs="宋体"/>
                      <w:sz w:val="21"/>
                      <w:szCs w:val="21"/>
                    </w:rPr>
                  </w:pPr>
                </w:p>
              </w:tc>
              <w:tc>
                <w:tcPr>
                  <w:tcW w:w="439" w:type="dxa"/>
                  <w:noWrap w:val="0"/>
                  <w:vAlign w:val="center"/>
                </w:tcPr>
                <w:p w14:paraId="55569140">
                  <w:pPr>
                    <w:jc w:val="center"/>
                    <w:rPr>
                      <w:rFonts w:ascii="宋体" w:hAnsi="宋体" w:cs="宋体"/>
                      <w:sz w:val="21"/>
                      <w:szCs w:val="21"/>
                    </w:rPr>
                  </w:pPr>
                  <w:r>
                    <w:rPr>
                      <w:rFonts w:hint="eastAsia" w:ascii="宋体" w:hAnsi="宋体" w:cs="宋体"/>
                      <w:sz w:val="21"/>
                      <w:szCs w:val="21"/>
                    </w:rPr>
                    <w:t>紧邻</w:t>
                  </w:r>
                </w:p>
              </w:tc>
              <w:tc>
                <w:tcPr>
                  <w:tcW w:w="439" w:type="dxa"/>
                  <w:noWrap w:val="0"/>
                  <w:vAlign w:val="center"/>
                </w:tcPr>
                <w:p w14:paraId="35698C54">
                  <w:pPr>
                    <w:jc w:val="center"/>
                    <w:rPr>
                      <w:rFonts w:hint="eastAsia" w:ascii="宋体" w:hAnsi="宋体" w:cs="宋体"/>
                      <w:sz w:val="21"/>
                      <w:szCs w:val="21"/>
                    </w:rPr>
                  </w:pPr>
                  <w:r>
                    <w:rPr>
                      <w:rFonts w:hint="eastAsia" w:ascii="宋体" w:hAnsi="宋体" w:cs="宋体"/>
                      <w:sz w:val="21"/>
                      <w:szCs w:val="21"/>
                    </w:rPr>
                    <w:t>西</w:t>
                  </w:r>
                </w:p>
              </w:tc>
              <w:tc>
                <w:tcPr>
                  <w:tcW w:w="439" w:type="dxa"/>
                  <w:vMerge w:val="continue"/>
                  <w:noWrap w:val="0"/>
                  <w:vAlign w:val="center"/>
                </w:tcPr>
                <w:p w14:paraId="233FE5B1">
                  <w:pPr>
                    <w:jc w:val="center"/>
                    <w:rPr>
                      <w:rFonts w:hint="eastAsia" w:ascii="宋体" w:hAnsi="宋体" w:cs="宋体"/>
                      <w:sz w:val="21"/>
                      <w:szCs w:val="21"/>
                    </w:rPr>
                  </w:pPr>
                </w:p>
              </w:tc>
              <w:tc>
                <w:tcPr>
                  <w:tcW w:w="439" w:type="dxa"/>
                  <w:vMerge w:val="continue"/>
                  <w:noWrap w:val="0"/>
                  <w:vAlign w:val="center"/>
                </w:tcPr>
                <w:p w14:paraId="3A1E6F38">
                  <w:pPr>
                    <w:jc w:val="center"/>
                    <w:rPr>
                      <w:rFonts w:hint="eastAsia" w:ascii="宋体" w:hAnsi="宋体" w:cs="宋体"/>
                      <w:sz w:val="21"/>
                      <w:szCs w:val="21"/>
                    </w:rPr>
                  </w:pPr>
                </w:p>
              </w:tc>
              <w:tc>
                <w:tcPr>
                  <w:tcW w:w="674" w:type="dxa"/>
                  <w:vMerge w:val="continue"/>
                  <w:noWrap w:val="0"/>
                  <w:vAlign w:val="center"/>
                </w:tcPr>
                <w:p w14:paraId="4790B616">
                  <w:pPr>
                    <w:jc w:val="center"/>
                    <w:rPr>
                      <w:rFonts w:hint="eastAsia" w:ascii="宋体" w:hAnsi="宋体" w:cs="宋体"/>
                      <w:sz w:val="21"/>
                      <w:szCs w:val="21"/>
                    </w:rPr>
                  </w:pPr>
                </w:p>
              </w:tc>
              <w:tc>
                <w:tcPr>
                  <w:tcW w:w="442" w:type="dxa"/>
                  <w:vMerge w:val="continue"/>
                  <w:noWrap w:val="0"/>
                  <w:vAlign w:val="center"/>
                </w:tcPr>
                <w:p w14:paraId="1316F4FD">
                  <w:pPr>
                    <w:jc w:val="center"/>
                    <w:rPr>
                      <w:rFonts w:hint="eastAsia" w:ascii="宋体" w:hAnsi="宋体" w:cs="宋体"/>
                      <w:sz w:val="21"/>
                      <w:szCs w:val="21"/>
                    </w:rPr>
                  </w:pPr>
                </w:p>
              </w:tc>
            </w:tr>
            <w:tr w14:paraId="7F41EF06">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130" w:hRule="atLeast"/>
              </w:trPr>
              <w:tc>
                <w:tcPr>
                  <w:tcW w:w="437" w:type="dxa"/>
                  <w:vMerge w:val="continue"/>
                  <w:noWrap w:val="0"/>
                  <w:vAlign w:val="center"/>
                </w:tcPr>
                <w:p w14:paraId="1D23FEDF">
                  <w:pPr>
                    <w:widowControl/>
                    <w:jc w:val="center"/>
                    <w:textAlignment w:val="top"/>
                    <w:rPr>
                      <w:kern w:val="0"/>
                      <w:sz w:val="21"/>
                      <w:szCs w:val="21"/>
                      <w:lang w:bidi="ar"/>
                    </w:rPr>
                  </w:pPr>
                </w:p>
              </w:tc>
              <w:tc>
                <w:tcPr>
                  <w:tcW w:w="437" w:type="dxa"/>
                  <w:vMerge w:val="continue"/>
                  <w:noWrap w:val="0"/>
                  <w:vAlign w:val="center"/>
                </w:tcPr>
                <w:p w14:paraId="0C7AE9ED">
                  <w:pPr>
                    <w:widowControl/>
                    <w:jc w:val="center"/>
                    <w:textAlignment w:val="top"/>
                    <w:rPr>
                      <w:kern w:val="0"/>
                      <w:sz w:val="21"/>
                      <w:szCs w:val="21"/>
                      <w:lang w:bidi="ar"/>
                    </w:rPr>
                  </w:pPr>
                </w:p>
              </w:tc>
              <w:tc>
                <w:tcPr>
                  <w:tcW w:w="437" w:type="dxa"/>
                  <w:vMerge w:val="continue"/>
                  <w:noWrap w:val="0"/>
                  <w:vAlign w:val="center"/>
                </w:tcPr>
                <w:p w14:paraId="04FEC954">
                  <w:pPr>
                    <w:widowControl/>
                    <w:jc w:val="center"/>
                    <w:textAlignment w:val="top"/>
                    <w:rPr>
                      <w:kern w:val="0"/>
                      <w:sz w:val="21"/>
                      <w:szCs w:val="21"/>
                      <w:lang w:bidi="ar"/>
                    </w:rPr>
                  </w:pPr>
                </w:p>
              </w:tc>
              <w:tc>
                <w:tcPr>
                  <w:tcW w:w="465" w:type="dxa"/>
                  <w:vMerge w:val="continue"/>
                  <w:noWrap w:val="0"/>
                  <w:vAlign w:val="center"/>
                </w:tcPr>
                <w:p w14:paraId="4B63B5F1">
                  <w:pPr>
                    <w:widowControl/>
                    <w:jc w:val="center"/>
                    <w:textAlignment w:val="top"/>
                    <w:rPr>
                      <w:kern w:val="0"/>
                      <w:sz w:val="21"/>
                      <w:szCs w:val="21"/>
                      <w:lang w:bidi="ar"/>
                    </w:rPr>
                  </w:pPr>
                </w:p>
              </w:tc>
              <w:tc>
                <w:tcPr>
                  <w:tcW w:w="1243" w:type="dxa"/>
                  <w:vMerge w:val="continue"/>
                  <w:noWrap w:val="0"/>
                  <w:vAlign w:val="center"/>
                </w:tcPr>
                <w:p w14:paraId="11E53082">
                  <w:pPr>
                    <w:jc w:val="center"/>
                    <w:rPr>
                      <w:rFonts w:hint="eastAsia" w:ascii="宋体" w:hAnsi="宋体" w:cs="宋体"/>
                      <w:sz w:val="21"/>
                      <w:szCs w:val="21"/>
                    </w:rPr>
                  </w:pPr>
                </w:p>
              </w:tc>
              <w:tc>
                <w:tcPr>
                  <w:tcW w:w="736" w:type="dxa"/>
                  <w:vMerge w:val="continue"/>
                  <w:noWrap w:val="0"/>
                  <w:vAlign w:val="center"/>
                </w:tcPr>
                <w:p w14:paraId="508A2F4E">
                  <w:pPr>
                    <w:jc w:val="center"/>
                    <w:rPr>
                      <w:rFonts w:hint="eastAsia" w:ascii="宋体" w:hAnsi="宋体" w:cs="宋体"/>
                      <w:sz w:val="21"/>
                      <w:szCs w:val="21"/>
                    </w:rPr>
                  </w:pPr>
                </w:p>
              </w:tc>
              <w:tc>
                <w:tcPr>
                  <w:tcW w:w="435" w:type="dxa"/>
                  <w:vMerge w:val="continue"/>
                  <w:noWrap w:val="0"/>
                  <w:vAlign w:val="center"/>
                </w:tcPr>
                <w:p w14:paraId="24982CC7">
                  <w:pPr>
                    <w:jc w:val="center"/>
                    <w:rPr>
                      <w:rFonts w:hint="eastAsia" w:ascii="宋体" w:hAnsi="宋体" w:cs="宋体"/>
                      <w:sz w:val="21"/>
                      <w:szCs w:val="21"/>
                    </w:rPr>
                  </w:pPr>
                </w:p>
              </w:tc>
              <w:tc>
                <w:tcPr>
                  <w:tcW w:w="435" w:type="dxa"/>
                  <w:vMerge w:val="continue"/>
                  <w:noWrap w:val="0"/>
                  <w:vAlign w:val="center"/>
                </w:tcPr>
                <w:p w14:paraId="6C6D232A">
                  <w:pPr>
                    <w:jc w:val="center"/>
                    <w:rPr>
                      <w:rFonts w:hint="eastAsia" w:ascii="宋体" w:hAnsi="宋体" w:cs="宋体"/>
                      <w:sz w:val="21"/>
                      <w:szCs w:val="21"/>
                    </w:rPr>
                  </w:pPr>
                </w:p>
              </w:tc>
              <w:tc>
                <w:tcPr>
                  <w:tcW w:w="440" w:type="dxa"/>
                  <w:vMerge w:val="continue"/>
                  <w:noWrap w:val="0"/>
                  <w:vAlign w:val="center"/>
                </w:tcPr>
                <w:p w14:paraId="7F598855">
                  <w:pPr>
                    <w:jc w:val="center"/>
                    <w:rPr>
                      <w:rFonts w:hint="eastAsia" w:ascii="宋体" w:hAnsi="宋体" w:cs="宋体"/>
                      <w:sz w:val="21"/>
                      <w:szCs w:val="21"/>
                    </w:rPr>
                  </w:pPr>
                </w:p>
              </w:tc>
              <w:tc>
                <w:tcPr>
                  <w:tcW w:w="439" w:type="dxa"/>
                  <w:noWrap w:val="0"/>
                  <w:vAlign w:val="center"/>
                </w:tcPr>
                <w:p w14:paraId="6FDEA871">
                  <w:pPr>
                    <w:jc w:val="center"/>
                    <w:rPr>
                      <w:rFonts w:ascii="宋体" w:hAnsi="宋体" w:cs="宋体"/>
                      <w:sz w:val="21"/>
                      <w:szCs w:val="21"/>
                    </w:rPr>
                  </w:pPr>
                  <w:r>
                    <w:rPr>
                      <w:rFonts w:hint="eastAsia" w:ascii="宋体" w:hAnsi="宋体" w:cs="宋体"/>
                      <w:sz w:val="21"/>
                      <w:szCs w:val="21"/>
                    </w:rPr>
                    <w:t>紧邻</w:t>
                  </w:r>
                </w:p>
              </w:tc>
              <w:tc>
                <w:tcPr>
                  <w:tcW w:w="439" w:type="dxa"/>
                  <w:noWrap w:val="0"/>
                  <w:vAlign w:val="center"/>
                </w:tcPr>
                <w:p w14:paraId="59C0F432">
                  <w:pPr>
                    <w:jc w:val="center"/>
                    <w:rPr>
                      <w:rFonts w:hint="eastAsia" w:ascii="宋体" w:hAnsi="宋体" w:cs="宋体"/>
                      <w:sz w:val="21"/>
                      <w:szCs w:val="21"/>
                    </w:rPr>
                  </w:pPr>
                  <w:r>
                    <w:rPr>
                      <w:rFonts w:hint="eastAsia" w:ascii="宋体" w:hAnsi="宋体" w:cs="宋体"/>
                      <w:sz w:val="21"/>
                      <w:szCs w:val="21"/>
                    </w:rPr>
                    <w:t>北</w:t>
                  </w:r>
                </w:p>
              </w:tc>
              <w:tc>
                <w:tcPr>
                  <w:tcW w:w="439" w:type="dxa"/>
                  <w:vMerge w:val="continue"/>
                  <w:noWrap w:val="0"/>
                  <w:vAlign w:val="center"/>
                </w:tcPr>
                <w:p w14:paraId="3EF80A14">
                  <w:pPr>
                    <w:jc w:val="center"/>
                    <w:rPr>
                      <w:rFonts w:hint="eastAsia" w:ascii="宋体" w:hAnsi="宋体" w:cs="宋体"/>
                      <w:sz w:val="21"/>
                      <w:szCs w:val="21"/>
                    </w:rPr>
                  </w:pPr>
                </w:p>
              </w:tc>
              <w:tc>
                <w:tcPr>
                  <w:tcW w:w="439" w:type="dxa"/>
                  <w:vMerge w:val="continue"/>
                  <w:noWrap w:val="0"/>
                  <w:vAlign w:val="center"/>
                </w:tcPr>
                <w:p w14:paraId="38A039CA">
                  <w:pPr>
                    <w:jc w:val="center"/>
                    <w:rPr>
                      <w:rFonts w:hint="eastAsia" w:ascii="宋体" w:hAnsi="宋体" w:cs="宋体"/>
                      <w:sz w:val="21"/>
                      <w:szCs w:val="21"/>
                    </w:rPr>
                  </w:pPr>
                </w:p>
              </w:tc>
              <w:tc>
                <w:tcPr>
                  <w:tcW w:w="674" w:type="dxa"/>
                  <w:vMerge w:val="continue"/>
                  <w:noWrap w:val="0"/>
                  <w:vAlign w:val="center"/>
                </w:tcPr>
                <w:p w14:paraId="0E7C4199">
                  <w:pPr>
                    <w:jc w:val="center"/>
                    <w:rPr>
                      <w:rFonts w:hint="eastAsia" w:ascii="宋体" w:hAnsi="宋体" w:cs="宋体"/>
                      <w:sz w:val="21"/>
                      <w:szCs w:val="21"/>
                    </w:rPr>
                  </w:pPr>
                </w:p>
              </w:tc>
              <w:tc>
                <w:tcPr>
                  <w:tcW w:w="442" w:type="dxa"/>
                  <w:vMerge w:val="continue"/>
                  <w:noWrap w:val="0"/>
                  <w:vAlign w:val="center"/>
                </w:tcPr>
                <w:p w14:paraId="2B8A0DD6">
                  <w:pPr>
                    <w:jc w:val="center"/>
                    <w:rPr>
                      <w:rFonts w:hint="eastAsia" w:ascii="宋体" w:hAnsi="宋体" w:cs="宋体"/>
                      <w:sz w:val="21"/>
                      <w:szCs w:val="21"/>
                    </w:rPr>
                  </w:pPr>
                </w:p>
              </w:tc>
            </w:tr>
          </w:tbl>
          <w:p w14:paraId="0D9678E4">
            <w:pPr>
              <w:pStyle w:val="76"/>
              <w:ind w:firstLine="480"/>
              <w:rPr>
                <w:rFonts w:hint="default" w:eastAsia="宋体"/>
                <w:lang w:val="en-US" w:eastAsia="zh-CN"/>
              </w:rPr>
            </w:pPr>
            <w:r>
              <w:rPr>
                <w:rFonts w:hint="eastAsia"/>
                <w:lang w:val="en-US" w:eastAsia="zh-CN"/>
              </w:rPr>
              <w:t>上表均以西南角点为坐标原点。</w:t>
            </w:r>
          </w:p>
          <w:p w14:paraId="4BD93C64">
            <w:pPr>
              <w:pStyle w:val="76"/>
              <w:ind w:firstLine="480"/>
              <w:rPr>
                <w:rFonts w:hint="default"/>
              </w:rPr>
            </w:pPr>
            <w:r>
              <w:t>（2）噪声预测</w:t>
            </w:r>
          </w:p>
          <w:p w14:paraId="643E9878">
            <w:pPr>
              <w:pStyle w:val="76"/>
              <w:ind w:firstLine="480"/>
            </w:pPr>
            <w:r>
              <w:t>本次环评采用《环境影响评价技术导则声环境》（HJ2.4-2021）“附录A 户外声传播的衰减”及“附录B 典型行业噪声预测模型”对本项目噪声影响进行预测。</w:t>
            </w:r>
          </w:p>
          <w:p w14:paraId="6DFEFF9F">
            <w:pPr>
              <w:pStyle w:val="76"/>
              <w:ind w:firstLine="480"/>
              <w:rPr>
                <w:rFonts w:hint="default"/>
              </w:rPr>
            </w:pPr>
            <w:r>
              <w:t>①户外声传播的衰减</w:t>
            </w:r>
          </w:p>
          <w:p w14:paraId="138B610B">
            <w:pPr>
              <w:pStyle w:val="76"/>
              <w:ind w:firstLine="480"/>
              <w:rPr>
                <w:rFonts w:hint="default"/>
              </w:rPr>
            </w:pPr>
            <w:r>
              <w:rPr>
                <w:rFonts w:hint="default"/>
              </w:rPr>
              <w:t>户外声传播衰减包括几何发散</w:t>
            </w:r>
            <w:r>
              <w:t>（</w:t>
            </w:r>
            <w:r>
              <w:rPr>
                <w:rFonts w:hint="default"/>
              </w:rPr>
              <w:t>Adiv)、大气吸收</w:t>
            </w:r>
            <w:r>
              <w:t>（</w:t>
            </w:r>
            <w:r>
              <w:rPr>
                <w:rFonts w:hint="default"/>
              </w:rPr>
              <w:t>Aatm)、地面效应</w:t>
            </w:r>
            <w:r>
              <w:t>（</w:t>
            </w:r>
            <w:r>
              <w:rPr>
                <w:rFonts w:hint="default"/>
              </w:rPr>
              <w:t>Agr)、障碍物屏蔽</w:t>
            </w:r>
            <w:r>
              <w:t>（</w:t>
            </w:r>
            <w:r>
              <w:rPr>
                <w:rFonts w:hint="default"/>
              </w:rPr>
              <w:t>Abar)、其他多方面效应</w:t>
            </w:r>
            <w:r>
              <w:t>（</w:t>
            </w:r>
            <w:r>
              <w:rPr>
                <w:rFonts w:hint="default"/>
              </w:rPr>
              <w:t>Amisc</w:t>
            </w:r>
            <w:r>
              <w:t>）</w:t>
            </w:r>
            <w:r>
              <w:rPr>
                <w:rFonts w:hint="default"/>
              </w:rPr>
              <w:t>引起的衰减。</w:t>
            </w:r>
          </w:p>
          <w:p w14:paraId="5DB1E55E">
            <w:pPr>
              <w:pStyle w:val="76"/>
              <w:ind w:firstLine="480"/>
              <w:rPr>
                <w:rFonts w:hint="default"/>
              </w:rPr>
            </w:pPr>
            <w:r>
              <w:rPr>
                <w:rFonts w:hint="default"/>
              </w:rPr>
              <w:t>在环境影响评价中，应根据声源声功率级或参考位置处的声压级、户外声传播衰减，计算预测点的声级，分别按式</w:t>
            </w:r>
            <w:r>
              <w:t>（</w:t>
            </w:r>
            <w:r>
              <w:rPr>
                <w:rFonts w:hint="default"/>
              </w:rPr>
              <w:t>A.1</w:t>
            </w:r>
            <w:r>
              <w:t>）</w:t>
            </w:r>
            <w:r>
              <w:rPr>
                <w:rFonts w:hint="default"/>
              </w:rPr>
              <w:t>或式</w:t>
            </w:r>
            <w:r>
              <w:t>（</w:t>
            </w:r>
            <w:r>
              <w:rPr>
                <w:rFonts w:hint="default"/>
              </w:rPr>
              <w:t>A.2</w:t>
            </w:r>
            <w:r>
              <w:t>）</w:t>
            </w:r>
            <w:r>
              <w:rPr>
                <w:rFonts w:hint="default"/>
              </w:rPr>
              <w:t>计算。</w:t>
            </w:r>
          </w:p>
          <w:p w14:paraId="157A93AE">
            <w:pPr>
              <w:pStyle w:val="76"/>
              <w:ind w:firstLine="0" w:firstLineChars="0"/>
              <w:jc w:val="center"/>
              <w:rPr>
                <w:rFonts w:hint="default"/>
              </w:rPr>
            </w:pPr>
            <w:r>
              <w:rPr>
                <w:rFonts w:hint="default"/>
              </w:rPr>
              <w:t>Lp</w:t>
            </w:r>
            <w:r>
              <w:t>（</w:t>
            </w:r>
            <w:r>
              <w:rPr>
                <w:rFonts w:hint="default"/>
              </w:rPr>
              <w:t>r)＝Lw+DC－</w:t>
            </w:r>
            <w:r>
              <w:t>（</w:t>
            </w:r>
            <w:r>
              <w:rPr>
                <w:rFonts w:hint="default"/>
              </w:rPr>
              <w:t>A</w:t>
            </w:r>
            <w:r>
              <w:rPr>
                <w:rFonts w:hint="default"/>
                <w:vertAlign w:val="subscript"/>
              </w:rPr>
              <w:t>div</w:t>
            </w:r>
            <w:r>
              <w:rPr>
                <w:rFonts w:hint="default"/>
              </w:rPr>
              <w:t>＋A</w:t>
            </w:r>
            <w:r>
              <w:rPr>
                <w:rFonts w:hint="default"/>
                <w:vertAlign w:val="subscript"/>
              </w:rPr>
              <w:t>atm</w:t>
            </w:r>
            <w:r>
              <w:rPr>
                <w:rFonts w:hint="default"/>
              </w:rPr>
              <w:t>＋A</w:t>
            </w:r>
            <w:r>
              <w:rPr>
                <w:rFonts w:hint="default"/>
                <w:vertAlign w:val="subscript"/>
              </w:rPr>
              <w:t>gr</w:t>
            </w:r>
            <w:r>
              <w:rPr>
                <w:rFonts w:hint="default"/>
              </w:rPr>
              <w:t>＋A</w:t>
            </w:r>
            <w:r>
              <w:rPr>
                <w:rFonts w:hint="default"/>
                <w:vertAlign w:val="subscript"/>
              </w:rPr>
              <w:t>bar</w:t>
            </w:r>
            <w:r>
              <w:rPr>
                <w:rFonts w:hint="default"/>
              </w:rPr>
              <w:t>＋A</w:t>
            </w:r>
            <w:r>
              <w:rPr>
                <w:rFonts w:hint="default"/>
                <w:vertAlign w:val="subscript"/>
              </w:rPr>
              <w:t>misc</w:t>
            </w:r>
            <w:r>
              <w:rPr>
                <w:rFonts w:hint="default"/>
              </w:rPr>
              <w:t>)</w:t>
            </w:r>
          </w:p>
          <w:p w14:paraId="1130C866">
            <w:pPr>
              <w:pStyle w:val="76"/>
              <w:ind w:firstLine="480"/>
              <w:rPr>
                <w:rFonts w:hint="default"/>
              </w:rPr>
            </w:pPr>
            <w:r>
              <w:rPr>
                <w:rFonts w:hint="default"/>
              </w:rPr>
              <w:t>式中：Lp</w:t>
            </w:r>
            <w:r>
              <w:t>（</w:t>
            </w:r>
            <w:r>
              <w:rPr>
                <w:rFonts w:hint="default"/>
              </w:rPr>
              <w:t>r)——预测点处声压级，dB；</w:t>
            </w:r>
          </w:p>
          <w:p w14:paraId="3906F471">
            <w:pPr>
              <w:pStyle w:val="76"/>
              <w:ind w:firstLine="480"/>
              <w:rPr>
                <w:rFonts w:hint="default"/>
              </w:rPr>
            </w:pPr>
            <w:r>
              <w:rPr>
                <w:rFonts w:hint="default"/>
              </w:rPr>
              <w:t>L</w:t>
            </w:r>
            <w:r>
              <w:rPr>
                <w:rFonts w:hint="default"/>
                <w:vertAlign w:val="subscript"/>
              </w:rPr>
              <w:t>w</w:t>
            </w:r>
            <w:r>
              <w:rPr>
                <w:rFonts w:hint="default"/>
              </w:rPr>
              <w:t>——由点声源产生的声功率级</w:t>
            </w:r>
            <w:r>
              <w:t>（</w:t>
            </w:r>
            <w:r>
              <w:rPr>
                <w:rFonts w:hint="default"/>
              </w:rPr>
              <w:t>A计权或倍频带</w:t>
            </w:r>
            <w:r>
              <w:t>）</w:t>
            </w:r>
            <w:r>
              <w:rPr>
                <w:rFonts w:hint="default"/>
              </w:rPr>
              <w:t>，dB；</w:t>
            </w:r>
          </w:p>
          <w:p w14:paraId="548AD34A">
            <w:pPr>
              <w:pStyle w:val="76"/>
              <w:ind w:firstLine="480"/>
              <w:rPr>
                <w:rFonts w:hint="default"/>
              </w:rPr>
            </w:pPr>
            <w:r>
              <w:rPr>
                <w:rFonts w:hint="default"/>
              </w:rPr>
              <w:t>DC——指向性校正，它描述点声源的等效连续声压级与产生声功率级Lw的全向点声源在规定方向的声级的偏差程度，dB；</w:t>
            </w:r>
          </w:p>
          <w:p w14:paraId="069C953D">
            <w:pPr>
              <w:pStyle w:val="76"/>
              <w:ind w:firstLine="480"/>
              <w:rPr>
                <w:rFonts w:hint="default"/>
              </w:rPr>
            </w:pPr>
            <w:r>
              <w:rPr>
                <w:rFonts w:hint="default"/>
              </w:rPr>
              <w:t>A</w:t>
            </w:r>
            <w:r>
              <w:rPr>
                <w:rFonts w:hint="default"/>
                <w:vertAlign w:val="subscript"/>
              </w:rPr>
              <w:t>div</w:t>
            </w:r>
            <w:r>
              <w:rPr>
                <w:rFonts w:hint="default"/>
              </w:rPr>
              <w:t>——几何发散引起的衰减，dB；</w:t>
            </w:r>
          </w:p>
          <w:p w14:paraId="443873A6">
            <w:pPr>
              <w:pStyle w:val="76"/>
              <w:ind w:firstLine="480"/>
              <w:rPr>
                <w:rFonts w:hint="default"/>
              </w:rPr>
            </w:pPr>
            <w:r>
              <w:rPr>
                <w:rFonts w:hint="default"/>
              </w:rPr>
              <w:t>A</w:t>
            </w:r>
            <w:r>
              <w:rPr>
                <w:rFonts w:hint="default"/>
                <w:vertAlign w:val="subscript"/>
              </w:rPr>
              <w:t>atm</w:t>
            </w:r>
            <w:r>
              <w:rPr>
                <w:rFonts w:hint="default"/>
              </w:rPr>
              <w:t>——大气吸收引起的衰减，dB；</w:t>
            </w:r>
          </w:p>
          <w:p w14:paraId="1C84803D">
            <w:pPr>
              <w:pStyle w:val="76"/>
              <w:ind w:firstLine="480"/>
              <w:rPr>
                <w:rFonts w:hint="default"/>
              </w:rPr>
            </w:pPr>
            <w:r>
              <w:rPr>
                <w:rFonts w:hint="default"/>
              </w:rPr>
              <w:t>A</w:t>
            </w:r>
            <w:r>
              <w:rPr>
                <w:rFonts w:hint="default"/>
                <w:vertAlign w:val="subscript"/>
              </w:rPr>
              <w:t>gr</w:t>
            </w:r>
            <w:r>
              <w:rPr>
                <w:rFonts w:hint="default"/>
              </w:rPr>
              <w:t>——地面效应引起的衰减，dB；</w:t>
            </w:r>
          </w:p>
          <w:p w14:paraId="0E8A7A29">
            <w:pPr>
              <w:pStyle w:val="76"/>
              <w:ind w:firstLine="480"/>
              <w:rPr>
                <w:rFonts w:hint="default"/>
              </w:rPr>
            </w:pPr>
            <w:r>
              <w:rPr>
                <w:rFonts w:hint="default"/>
              </w:rPr>
              <w:t>A</w:t>
            </w:r>
            <w:r>
              <w:rPr>
                <w:rFonts w:hint="default"/>
                <w:vertAlign w:val="subscript"/>
              </w:rPr>
              <w:t>bar</w:t>
            </w:r>
            <w:r>
              <w:rPr>
                <w:rFonts w:hint="default"/>
              </w:rPr>
              <w:t>——障碍物屏蔽引起的衰减，dB；</w:t>
            </w:r>
          </w:p>
          <w:p w14:paraId="5775BA89">
            <w:pPr>
              <w:pStyle w:val="76"/>
              <w:ind w:firstLine="480"/>
              <w:rPr>
                <w:rFonts w:hint="default"/>
              </w:rPr>
            </w:pPr>
            <w:r>
              <w:rPr>
                <w:rFonts w:hint="default"/>
              </w:rPr>
              <w:t>A</w:t>
            </w:r>
            <w:r>
              <w:rPr>
                <w:rFonts w:hint="default"/>
                <w:vertAlign w:val="subscript"/>
              </w:rPr>
              <w:t>misc</w:t>
            </w:r>
            <w:r>
              <w:rPr>
                <w:rFonts w:hint="default"/>
              </w:rPr>
              <w:t>——其他多方面效应引起的衰减，dB。</w:t>
            </w:r>
          </w:p>
          <w:p w14:paraId="73BA2FCA">
            <w:pPr>
              <w:pStyle w:val="76"/>
              <w:ind w:firstLine="480"/>
            </w:pPr>
            <w:r>
              <w:t>②点声源的几何发散衰减</w:t>
            </w:r>
          </w:p>
          <w:p w14:paraId="551001F4">
            <w:pPr>
              <w:pStyle w:val="76"/>
              <w:ind w:firstLine="480"/>
            </w:pPr>
            <w:r>
              <w:t>如果已知点声源的倍频带声功率级或A计权声功率级（L</w:t>
            </w:r>
            <w:r>
              <w:rPr>
                <w:vertAlign w:val="subscript"/>
              </w:rPr>
              <w:t>Aw</w:t>
            </w:r>
            <w:r>
              <w:t>)，且声源处于自由声场：</w:t>
            </w:r>
          </w:p>
          <w:p w14:paraId="24399BE6">
            <w:pPr>
              <w:pStyle w:val="76"/>
              <w:ind w:firstLine="0" w:firstLineChars="0"/>
              <w:jc w:val="center"/>
              <w:rPr>
                <w:rFonts w:eastAsia="Times New Roman" w:cs="Times New Roman"/>
                <w:sz w:val="22"/>
                <w:szCs w:val="22"/>
              </w:rPr>
            </w:pPr>
            <m:oMathPara>
              <m:oMath>
                <m:r>
                  <m:rPr/>
                  <w:rPr>
                    <w:rFonts w:hint="default" w:ascii="Times New Roman" w:hAnsi="Times New Roman" w:eastAsia="Times New Roman" w:cs="Times New Roman"/>
                    <w:color w:val="auto"/>
                    <w:spacing w:val="-2"/>
                    <w:position w:val="10"/>
                    <w:sz w:val="22"/>
                    <w:szCs w:val="22"/>
                  </w:rPr>
                  <m:t>L</m:t>
                </m:r>
                <m:r>
                  <m:rPr/>
                  <w:rPr>
                    <w:rFonts w:hint="default" w:ascii="Times New Roman" w:hAnsi="Times New Roman" w:eastAsia="Times New Roman" w:cs="Times New Roman"/>
                    <w:color w:val="auto"/>
                    <w:spacing w:val="-2"/>
                    <w:position w:val="5"/>
                    <w:sz w:val="13"/>
                    <w:szCs w:val="13"/>
                  </w:rPr>
                  <m:t>p</m:t>
                </m:r>
                <m:r>
                  <m:rPr>
                    <m:sty m:val="p"/>
                  </m:rPr>
                  <w:rPr>
                    <w:rFonts w:hint="default" w:ascii="Symbol" w:hAnsi="Symbol" w:eastAsia="Symbol" w:cs="Symbol"/>
                    <w:color w:val="auto"/>
                    <w:spacing w:val="-2"/>
                    <w:position w:val="10"/>
                    <w:sz w:val="29"/>
                    <w:szCs w:val="29"/>
                  </w:rPr>
                  <m:t>(</m:t>
                </m:r>
                <m:r>
                  <m:rPr/>
                  <w:rPr>
                    <w:rFonts w:hint="default" w:ascii="Times New Roman" w:hAnsi="Times New Roman" w:eastAsia="Times New Roman" w:cs="Times New Roman"/>
                    <w:color w:val="auto"/>
                    <w:spacing w:val="-2"/>
                    <w:position w:val="10"/>
                    <w:sz w:val="22"/>
                    <w:szCs w:val="22"/>
                  </w:rPr>
                  <m:t>r</m:t>
                </m:r>
                <m:r>
                  <m:rPr>
                    <m:sty m:val="p"/>
                  </m:rPr>
                  <w:rPr>
                    <w:rFonts w:hint="default" w:ascii="Symbol" w:hAnsi="Symbol" w:eastAsia="Symbol" w:cs="Symbol"/>
                    <w:color w:val="auto"/>
                    <w:spacing w:val="-2"/>
                    <w:position w:val="10"/>
                    <w:sz w:val="29"/>
                    <w:szCs w:val="29"/>
                  </w:rPr>
                  <m:t xml:space="preserve">) </m:t>
                </m:r>
                <m:r>
                  <m:rPr>
                    <m:sty m:val="p"/>
                  </m:rPr>
                  <w:rPr>
                    <w:rFonts w:hint="default" w:ascii="Symbol" w:hAnsi="Symbol" w:eastAsia="Symbol" w:cs="Symbol"/>
                    <w:color w:val="auto"/>
                    <w:spacing w:val="-2"/>
                    <w:position w:val="10"/>
                    <w:sz w:val="22"/>
                    <w:szCs w:val="22"/>
                  </w:rPr>
                  <m:t xml:space="preserve">= </m:t>
                </m:r>
                <m:r>
                  <m:rPr/>
                  <w:rPr>
                    <w:rFonts w:hint="default" w:ascii="Times New Roman" w:hAnsi="Times New Roman" w:eastAsia="Times New Roman" w:cs="Times New Roman"/>
                    <w:color w:val="auto"/>
                    <w:spacing w:val="-2"/>
                    <w:position w:val="10"/>
                    <w:sz w:val="22"/>
                    <w:szCs w:val="22"/>
                  </w:rPr>
                  <m:t>L</m:t>
                </m:r>
                <m:r>
                  <m:rPr/>
                  <w:rPr>
                    <w:rFonts w:hint="default" w:ascii="Times New Roman" w:hAnsi="Times New Roman" w:eastAsia="Times New Roman" w:cs="Times New Roman"/>
                    <w:color w:val="auto"/>
                    <w:spacing w:val="-2"/>
                    <w:position w:val="5"/>
                    <w:sz w:val="13"/>
                    <w:szCs w:val="13"/>
                  </w:rPr>
                  <m:t>w</m:t>
                </m:r>
                <m:r>
                  <m:rPr/>
                  <w:rPr>
                    <w:rFonts w:hint="default" w:ascii="Cambria Math" w:hAnsi="Cambria Math" w:eastAsia="宋体" w:cs="Times New Roman"/>
                    <w:color w:val="auto"/>
                    <w:position w:val="10"/>
                    <w:sz w:val="22"/>
                    <w:szCs w:val="22"/>
                    <w:lang w:val="en-US" w:eastAsia="zh-CN"/>
                  </w:rPr>
                  <m:t>−</m:t>
                </m:r>
                <m:r>
                  <m:rPr>
                    <m:sty m:val="p"/>
                  </m:rPr>
                  <w:rPr>
                    <w:rFonts w:hint="default" w:ascii="Times New Roman" w:hAnsi="Times New Roman" w:eastAsia="Times New Roman" w:cs="Times New Roman"/>
                    <w:color w:val="auto"/>
                    <w:spacing w:val="-2"/>
                    <w:position w:val="10"/>
                    <w:sz w:val="22"/>
                    <w:szCs w:val="22"/>
                  </w:rPr>
                  <m:t>20lg</m:t>
                </m:r>
                <m:r>
                  <m:rPr/>
                  <w:rPr>
                    <w:rFonts w:hint="default" w:ascii="Times New Roman" w:hAnsi="Times New Roman" w:eastAsia="Times New Roman" w:cs="Times New Roman"/>
                    <w:color w:val="auto"/>
                    <w:position w:val="10"/>
                    <w:sz w:val="22"/>
                    <w:szCs w:val="22"/>
                  </w:rPr>
                  <m:t>r</m:t>
                </m:r>
                <m:r>
                  <m:rPr/>
                  <w:rPr>
                    <w:rFonts w:hint="default" w:ascii="Cambria Math" w:hAnsi="Cambria Math" w:eastAsia="宋体" w:cs="Times New Roman"/>
                    <w:color w:val="auto"/>
                    <w:position w:val="10"/>
                    <w:sz w:val="22"/>
                    <w:szCs w:val="22"/>
                    <w:lang w:val="en-US" w:eastAsia="zh-CN"/>
                  </w:rPr>
                  <m:t>−</m:t>
                </m:r>
                <m:r>
                  <m:rPr>
                    <m:sty m:val="p"/>
                  </m:rPr>
                  <w:rPr>
                    <w:rFonts w:hint="default" w:ascii="Times New Roman" w:hAnsi="Times New Roman" w:eastAsia="Times New Roman" w:cs="Times New Roman"/>
                    <w:color w:val="auto"/>
                    <w:spacing w:val="-2"/>
                    <w:position w:val="10"/>
                    <w:sz w:val="22"/>
                    <w:szCs w:val="22"/>
                  </w:rPr>
                  <m:t>11</m:t>
                </m:r>
              </m:oMath>
            </m:oMathPara>
          </w:p>
          <w:p w14:paraId="7611D24A">
            <w:pPr>
              <w:pStyle w:val="76"/>
              <w:ind w:firstLine="480"/>
              <w:jc w:val="both"/>
            </w:pPr>
            <w:r>
              <w:t>式中：L</w:t>
            </w:r>
            <w:r>
              <w:rPr>
                <w:vertAlign w:val="subscript"/>
              </w:rPr>
              <w:t>p</w:t>
            </w:r>
            <w:r>
              <w:t>（r)—预测点处声压级，dB；</w:t>
            </w:r>
          </w:p>
          <w:p w14:paraId="6BE9817D">
            <w:pPr>
              <w:pStyle w:val="76"/>
              <w:ind w:firstLine="1200" w:firstLineChars="500"/>
              <w:jc w:val="both"/>
            </w:pPr>
            <w:r>
              <w:t>L</w:t>
            </w:r>
            <w:r>
              <w:rPr>
                <w:vertAlign w:val="subscript"/>
              </w:rPr>
              <w:t>w</w:t>
            </w:r>
            <w:r>
              <w:t>—由点声源产生的倍频带声功率级，dB；</w:t>
            </w:r>
          </w:p>
          <w:p w14:paraId="5D439603">
            <w:pPr>
              <w:pStyle w:val="76"/>
              <w:ind w:firstLine="1200" w:firstLineChars="500"/>
              <w:jc w:val="both"/>
            </w:pPr>
            <w:r>
              <w:t>r—预测点距声源的距离。</w:t>
            </w:r>
          </w:p>
          <w:p w14:paraId="6CBAB214">
            <w:pPr>
              <w:pStyle w:val="76"/>
              <w:ind w:firstLine="0" w:firstLineChars="0"/>
              <w:jc w:val="center"/>
              <w:rPr>
                <w:rFonts w:eastAsia="Times New Roman" w:cs="Times New Roman"/>
                <w:szCs w:val="24"/>
              </w:rPr>
            </w:pPr>
            <m:oMathPara>
              <m:oMath>
                <m:r>
                  <m:rPr/>
                  <w:rPr>
                    <w:rFonts w:hint="default" w:ascii="Times New Roman" w:hAnsi="Times New Roman" w:eastAsia="Times New Roman" w:cs="Times New Roman"/>
                    <w:color w:val="auto"/>
                    <w:spacing w:val="-8"/>
                    <w:sz w:val="24"/>
                    <w:szCs w:val="24"/>
                  </w:rPr>
                  <m:t>L</m:t>
                </m:r>
                <m:r>
                  <m:rPr>
                    <m:sty m:val="p"/>
                  </m:rPr>
                  <w:rPr>
                    <w:rFonts w:hint="default" w:ascii="Times New Roman" w:hAnsi="Times New Roman" w:eastAsia="Times New Roman" w:cs="Times New Roman"/>
                    <w:color w:val="auto"/>
                    <w:spacing w:val="-8"/>
                    <w:position w:val="-5"/>
                    <w:sz w:val="13"/>
                    <w:szCs w:val="13"/>
                  </w:rPr>
                  <m:t>A</m:t>
                </m:r>
                <m:r>
                  <m:rPr>
                    <m:sty m:val="p"/>
                  </m:rPr>
                  <w:rPr>
                    <w:rFonts w:hint="default" w:ascii="Symbol" w:hAnsi="Symbol" w:eastAsia="Symbol" w:cs="Symbol"/>
                    <w:color w:val="auto"/>
                    <w:spacing w:val="-8"/>
                    <w:sz w:val="31"/>
                    <w:szCs w:val="31"/>
                  </w:rPr>
                  <m:t>(</m:t>
                </m:r>
                <m:r>
                  <m:rPr/>
                  <w:rPr>
                    <w:rFonts w:hint="default" w:ascii="Times New Roman" w:hAnsi="Times New Roman" w:eastAsia="Times New Roman" w:cs="Times New Roman"/>
                    <w:color w:val="auto"/>
                    <w:spacing w:val="-8"/>
                    <w:sz w:val="24"/>
                    <w:szCs w:val="24"/>
                  </w:rPr>
                  <m:t>r</m:t>
                </m:r>
                <m:r>
                  <m:rPr>
                    <m:sty m:val="p"/>
                  </m:rPr>
                  <w:rPr>
                    <w:rFonts w:hint="default" w:ascii="Symbol" w:hAnsi="Symbol" w:eastAsia="Symbol" w:cs="Symbol"/>
                    <w:color w:val="auto"/>
                    <w:spacing w:val="-8"/>
                    <w:sz w:val="31"/>
                    <w:szCs w:val="31"/>
                  </w:rPr>
                  <m:t xml:space="preserve">) </m:t>
                </m:r>
                <m:r>
                  <m:rPr>
                    <m:sty m:val="p"/>
                  </m:rPr>
                  <w:rPr>
                    <w:rFonts w:hint="default" w:ascii="Symbol" w:hAnsi="Symbol" w:eastAsia="Symbol" w:cs="Symbol"/>
                    <w:color w:val="auto"/>
                    <w:spacing w:val="-8"/>
                    <w:sz w:val="24"/>
                    <w:szCs w:val="24"/>
                  </w:rPr>
                  <m:t xml:space="preserve">= </m:t>
                </m:r>
                <m:r>
                  <m:rPr/>
                  <w:rPr>
                    <w:rFonts w:hint="default" w:ascii="Times New Roman" w:hAnsi="Times New Roman" w:eastAsia="Times New Roman" w:cs="Times New Roman"/>
                    <w:color w:val="auto"/>
                    <w:spacing w:val="-8"/>
                    <w:sz w:val="24"/>
                    <w:szCs w:val="24"/>
                  </w:rPr>
                  <m:t>L</m:t>
                </m:r>
                <m:r>
                  <m:rPr>
                    <m:sty m:val="p"/>
                  </m:rPr>
                  <w:rPr>
                    <w:rFonts w:hint="default" w:ascii="Times New Roman" w:hAnsi="Times New Roman" w:eastAsia="Times New Roman" w:cs="Times New Roman"/>
                    <w:color w:val="auto"/>
                    <w:spacing w:val="-8"/>
                    <w:position w:val="-5"/>
                    <w:sz w:val="13"/>
                    <w:szCs w:val="13"/>
                  </w:rPr>
                  <m:t>A</m:t>
                </m:r>
                <m:r>
                  <m:rPr/>
                  <w:rPr>
                    <w:rFonts w:hint="default" w:ascii="Times New Roman" w:hAnsi="Times New Roman" w:eastAsia="Times New Roman" w:cs="Times New Roman"/>
                    <w:color w:val="auto"/>
                    <w:spacing w:val="-8"/>
                    <w:position w:val="-5"/>
                    <w:sz w:val="13"/>
                    <w:szCs w:val="13"/>
                  </w:rPr>
                  <m:t>w</m:t>
                </m:r>
                <m:r>
                  <m:rPr/>
                  <w:rPr>
                    <w:rFonts w:hint="default" w:ascii="Cambria Math" w:hAnsi="Cambria Math" w:eastAsia="宋体" w:cs="Times New Roman"/>
                    <w:color w:val="auto"/>
                    <w:spacing w:val="-8"/>
                    <w:sz w:val="24"/>
                    <w:szCs w:val="24"/>
                    <w:lang w:val="en-US" w:eastAsia="zh-CN"/>
                  </w:rPr>
                  <m:t>−</m:t>
                </m:r>
                <m:r>
                  <m:rPr>
                    <m:sty m:val="p"/>
                  </m:rPr>
                  <w:rPr>
                    <w:rFonts w:hint="default" w:ascii="Times New Roman" w:hAnsi="Times New Roman" w:eastAsia="Times New Roman" w:cs="Times New Roman"/>
                    <w:color w:val="auto"/>
                    <w:spacing w:val="-8"/>
                    <w:sz w:val="24"/>
                    <w:szCs w:val="24"/>
                  </w:rPr>
                  <m:t>20lg</m:t>
                </m:r>
                <m:r>
                  <m:rPr/>
                  <w:rPr>
                    <w:rFonts w:hint="default" w:ascii="Times New Roman" w:hAnsi="Times New Roman" w:eastAsia="Times New Roman" w:cs="Times New Roman"/>
                    <w:color w:val="auto"/>
                    <w:spacing w:val="-8"/>
                    <w:sz w:val="24"/>
                    <w:szCs w:val="24"/>
                  </w:rPr>
                  <m:t>r</m:t>
                </m:r>
                <m:r>
                  <m:rPr/>
                  <w:rPr>
                    <w:rFonts w:hint="default" w:ascii="Cambria Math" w:hAnsi="Cambria Math" w:eastAsia="宋体" w:cs="Times New Roman"/>
                    <w:color w:val="auto"/>
                    <w:spacing w:val="-8"/>
                    <w:sz w:val="24"/>
                    <w:szCs w:val="24"/>
                    <w:lang w:val="en-US" w:eastAsia="zh-CN"/>
                  </w:rPr>
                  <m:t>−</m:t>
                </m:r>
                <m:r>
                  <m:rPr>
                    <m:sty m:val="p"/>
                  </m:rPr>
                  <w:rPr>
                    <w:rFonts w:hint="default" w:ascii="Times New Roman" w:hAnsi="Times New Roman" w:eastAsia="Times New Roman" w:cs="Times New Roman"/>
                    <w:color w:val="auto"/>
                    <w:spacing w:val="-8"/>
                    <w:sz w:val="24"/>
                    <w:szCs w:val="24"/>
                  </w:rPr>
                  <m:t>11</m:t>
                </m:r>
              </m:oMath>
            </m:oMathPara>
          </w:p>
          <w:p w14:paraId="4B74C8F5">
            <w:pPr>
              <w:pStyle w:val="76"/>
              <w:ind w:firstLine="480"/>
              <w:jc w:val="both"/>
            </w:pPr>
            <w:r>
              <w:t>式中：L</w:t>
            </w:r>
            <w:r>
              <w:rPr>
                <w:vertAlign w:val="subscript"/>
              </w:rPr>
              <w:t>A</w:t>
            </w:r>
            <w:r>
              <w:t>（r)—距声源r处的A声级，dB（A)；</w:t>
            </w:r>
          </w:p>
          <w:p w14:paraId="7A4FBF1B">
            <w:pPr>
              <w:pStyle w:val="76"/>
              <w:ind w:firstLine="1200" w:firstLineChars="500"/>
              <w:jc w:val="both"/>
            </w:pPr>
            <w:r>
              <w:t>L</w:t>
            </w:r>
            <w:r>
              <w:rPr>
                <w:vertAlign w:val="subscript"/>
              </w:rPr>
              <w:t>Aw</w:t>
            </w:r>
            <w:r>
              <w:t>—点声源A计权声功率级，dB；</w:t>
            </w:r>
          </w:p>
          <w:p w14:paraId="441EB989">
            <w:pPr>
              <w:pStyle w:val="76"/>
              <w:ind w:firstLine="1200" w:firstLineChars="500"/>
              <w:jc w:val="both"/>
            </w:pPr>
            <w:r>
              <w:t>r—预测点距声源的距离。</w:t>
            </w:r>
          </w:p>
          <w:p w14:paraId="2B0FB859">
            <w:pPr>
              <w:pStyle w:val="76"/>
              <w:ind w:firstLine="480"/>
              <w:jc w:val="both"/>
            </w:pPr>
            <w:r>
              <w:t>③室内声源等效室外声源声功率级计算方法</w:t>
            </w:r>
          </w:p>
          <w:p w14:paraId="5CC843DC">
            <w:pPr>
              <w:pStyle w:val="76"/>
              <w:ind w:firstLine="480"/>
              <w:jc w:val="both"/>
            </w:pPr>
            <w:r>
              <w:t>如图4.7-1所示，声源位于室内，室内声源可采用等效室外声源声功率级法进行计算。设靠近开口处（或窗户）室内、室外某倍频带的声压级或A声级分别为L</w:t>
            </w:r>
            <w:r>
              <w:rPr>
                <w:vertAlign w:val="subscript"/>
              </w:rPr>
              <w:t>p1</w:t>
            </w:r>
            <w:r>
              <w:t>和L</w:t>
            </w:r>
            <w:r>
              <w:rPr>
                <w:vertAlign w:val="subscript"/>
              </w:rPr>
              <w:t>p2</w:t>
            </w:r>
            <w:r>
              <w:t>。若声源所在室内声场为近似扩散声场，则室外的倍频带声压级可按式（B.1）近似求出：</w:t>
            </w:r>
          </w:p>
          <w:p w14:paraId="0E95CB13">
            <w:pPr>
              <w:pStyle w:val="76"/>
              <w:ind w:firstLine="0" w:firstLineChars="0"/>
              <w:jc w:val="center"/>
              <w:rPr>
                <w:rFonts w:ascii="微软雅黑" w:hAnsi="微软雅黑" w:eastAsia="微软雅黑" w:cs="微软雅黑"/>
                <w:szCs w:val="24"/>
              </w:rPr>
            </w:pPr>
            <m:oMathPara>
              <m:oMath>
                <m:r>
                  <m:rPr/>
                  <w:rPr>
                    <w:rFonts w:hint="default" w:ascii="Times New Roman" w:hAnsi="Times New Roman" w:eastAsia="Times New Roman" w:cs="Times New Roman"/>
                    <w:color w:val="auto"/>
                    <w:position w:val="1"/>
                    <w:sz w:val="19"/>
                    <w:szCs w:val="19"/>
                  </w:rPr>
                  <m:t>L</m:t>
                </m:r>
                <m:r>
                  <m:rPr/>
                  <w:rPr>
                    <w:rFonts w:hint="default" w:ascii="Times New Roman" w:hAnsi="Times New Roman" w:eastAsia="Times New Roman" w:cs="Times New Roman"/>
                    <w:color w:val="auto"/>
                    <w:position w:val="-3"/>
                    <w:sz w:val="11"/>
                    <w:szCs w:val="11"/>
                  </w:rPr>
                  <m:t>p</m:t>
                </m:r>
                <m:r>
                  <m:rPr>
                    <m:sty m:val="p"/>
                  </m:rPr>
                  <w:rPr>
                    <w:rFonts w:hint="default" w:ascii="Times New Roman" w:hAnsi="Times New Roman" w:eastAsia="Times New Roman" w:cs="Times New Roman"/>
                    <w:color w:val="auto"/>
                    <w:spacing w:val="10"/>
                    <w:position w:val="-3"/>
                    <w:sz w:val="11"/>
                    <w:szCs w:val="11"/>
                  </w:rPr>
                  <m:t>2</m:t>
                </m:r>
                <m:r>
                  <m:rPr>
                    <m:sty m:val="p"/>
                  </m:rPr>
                  <w:rPr>
                    <w:rFonts w:hint="default" w:ascii="微软雅黑" w:hAnsi="微软雅黑" w:eastAsia="微软雅黑" w:cs="微软雅黑"/>
                    <w:color w:val="auto"/>
                    <w:spacing w:val="6"/>
                    <w:position w:val="1"/>
                    <w:sz w:val="19"/>
                    <w:szCs w:val="19"/>
                  </w:rPr>
                  <m:t>=</m:t>
                </m:r>
                <m:r>
                  <m:rPr/>
                  <w:rPr>
                    <w:rFonts w:hint="default" w:ascii="Times New Roman" w:hAnsi="Times New Roman" w:eastAsia="Times New Roman" w:cs="Times New Roman"/>
                    <w:color w:val="auto"/>
                    <w:position w:val="1"/>
                    <w:sz w:val="19"/>
                    <w:szCs w:val="19"/>
                  </w:rPr>
                  <m:t>L</m:t>
                </m:r>
                <m:r>
                  <m:rPr/>
                  <w:rPr>
                    <w:rFonts w:hint="default" w:ascii="Times New Roman" w:hAnsi="Times New Roman" w:eastAsia="Times New Roman" w:cs="Times New Roman"/>
                    <w:color w:val="auto"/>
                    <w:position w:val="-3"/>
                    <w:sz w:val="11"/>
                    <w:szCs w:val="11"/>
                  </w:rPr>
                  <m:t>p</m:t>
                </m:r>
                <m:r>
                  <m:rPr>
                    <m:sty m:val="p"/>
                  </m:rPr>
                  <w:rPr>
                    <w:rFonts w:hint="default" w:ascii="Times New Roman" w:hAnsi="Times New Roman" w:eastAsia="Times New Roman" w:cs="Times New Roman"/>
                    <w:color w:val="auto"/>
                    <w:spacing w:val="6"/>
                    <w:position w:val="-3"/>
                    <w:sz w:val="11"/>
                    <w:szCs w:val="11"/>
                  </w:rPr>
                  <m:t>1</m:t>
                </m:r>
                <m:r>
                  <m:rPr>
                    <m:sty m:val="p"/>
                  </m:rPr>
                  <w:rPr>
                    <w:rFonts w:hint="default" w:ascii="微软雅黑" w:hAnsi="微软雅黑" w:eastAsia="微软雅黑" w:cs="微软雅黑"/>
                    <w:color w:val="auto"/>
                    <w:spacing w:val="6"/>
                    <w:position w:val="1"/>
                    <w:sz w:val="19"/>
                    <w:szCs w:val="19"/>
                  </w:rPr>
                  <m:t>−</m:t>
                </m:r>
                <m:r>
                  <m:rPr>
                    <m:sty m:val="p"/>
                  </m:rPr>
                  <w:rPr>
                    <w:rFonts w:hint="default" w:ascii="微软雅黑" w:hAnsi="微软雅黑" w:eastAsia="微软雅黑" w:cs="微软雅黑"/>
                    <w:color w:val="auto"/>
                    <w:spacing w:val="6"/>
                    <w:sz w:val="24"/>
                    <w:szCs w:val="24"/>
                  </w:rPr>
                  <m:t>(</m:t>
                </m:r>
                <m:r>
                  <m:rPr/>
                  <w:rPr>
                    <w:rFonts w:hint="default" w:ascii="Times New Roman" w:hAnsi="Times New Roman" w:eastAsia="Times New Roman" w:cs="Times New Roman"/>
                    <w:color w:val="auto"/>
                    <w:position w:val="1"/>
                    <w:sz w:val="19"/>
                    <w:szCs w:val="19"/>
                  </w:rPr>
                  <m:t>TL</m:t>
                </m:r>
                <m:r>
                  <m:rPr>
                    <m:sty m:val="p"/>
                  </m:rPr>
                  <w:rPr>
                    <w:rFonts w:hint="default" w:ascii="微软雅黑" w:hAnsi="微软雅黑" w:eastAsia="微软雅黑" w:cs="微软雅黑"/>
                    <w:color w:val="auto"/>
                    <w:spacing w:val="6"/>
                    <w:position w:val="1"/>
                    <w:sz w:val="19"/>
                    <w:szCs w:val="19"/>
                  </w:rPr>
                  <m:t>+</m:t>
                </m:r>
                <m:r>
                  <m:rPr>
                    <m:sty m:val="p"/>
                  </m:rPr>
                  <w:rPr>
                    <w:rFonts w:hint="default" w:ascii="Times New Roman" w:hAnsi="Times New Roman" w:eastAsia="Times New Roman" w:cs="Times New Roman"/>
                    <w:color w:val="auto"/>
                    <w:spacing w:val="6"/>
                    <w:position w:val="1"/>
                    <w:sz w:val="19"/>
                    <w:szCs w:val="19"/>
                  </w:rPr>
                  <m:t>6</m:t>
                </m:r>
                <m:r>
                  <m:rPr>
                    <m:sty m:val="p"/>
                  </m:rPr>
                  <w:rPr>
                    <w:rFonts w:hint="default" w:ascii="微软雅黑" w:hAnsi="微软雅黑" w:eastAsia="微软雅黑" w:cs="微软雅黑"/>
                    <w:color w:val="auto"/>
                    <w:spacing w:val="6"/>
                    <w:sz w:val="24"/>
                    <w:szCs w:val="24"/>
                  </w:rPr>
                  <m:t>)</m:t>
                </m:r>
              </m:oMath>
            </m:oMathPara>
          </w:p>
          <w:p w14:paraId="014A8A9D">
            <w:pPr>
              <w:pStyle w:val="76"/>
              <w:ind w:firstLine="0" w:firstLineChars="0"/>
              <w:jc w:val="both"/>
            </w:pPr>
            <w:r>
              <w:t>式中：L</w:t>
            </w:r>
            <w:r>
              <w:rPr>
                <w:vertAlign w:val="subscript"/>
              </w:rPr>
              <w:t>p1</w:t>
            </w:r>
            <w:r>
              <w:t>—靠近开口处（或窗户）室内某倍频带的声压级或A声级，dB；</w:t>
            </w:r>
          </w:p>
          <w:p w14:paraId="4DB488E2">
            <w:pPr>
              <w:pStyle w:val="76"/>
              <w:ind w:firstLineChars="300"/>
              <w:jc w:val="both"/>
            </w:pPr>
            <w:r>
              <w:t>L</w:t>
            </w:r>
            <w:r>
              <w:rPr>
                <w:vertAlign w:val="subscript"/>
              </w:rPr>
              <w:t>p2</w:t>
            </w:r>
            <w:r>
              <w:t>—靠近开口处（或窗户）室外某倍频带的声压级或A声级，dB；</w:t>
            </w:r>
          </w:p>
          <w:p w14:paraId="2ACE46A2">
            <w:pPr>
              <w:pStyle w:val="76"/>
              <w:ind w:firstLineChars="300"/>
              <w:jc w:val="both"/>
            </w:pPr>
            <w:r>
              <w:t>TL—隔墙（或窗户）倍频带或A声级的隔声量，dB。</w:t>
            </w:r>
          </w:p>
          <w:p w14:paraId="15D3431E">
            <w:pPr>
              <w:pStyle w:val="76"/>
              <w:ind w:firstLine="0" w:firstLineChars="0"/>
              <w:jc w:val="center"/>
            </w:pPr>
            <w:r>
              <w:drawing>
                <wp:inline distT="0" distB="0" distL="114300" distR="114300">
                  <wp:extent cx="3733800" cy="1809750"/>
                  <wp:effectExtent l="0" t="0" r="0" b="0"/>
                  <wp:docPr id="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
                          <pic:cNvPicPr>
                            <a:picLocks noChangeAspect="1"/>
                          </pic:cNvPicPr>
                        </pic:nvPicPr>
                        <pic:blipFill>
                          <a:blip r:embed="rId20"/>
                          <a:stretch>
                            <a:fillRect/>
                          </a:stretch>
                        </pic:blipFill>
                        <pic:spPr>
                          <a:xfrm>
                            <a:off x="0" y="0"/>
                            <a:ext cx="3733800" cy="1809750"/>
                          </a:xfrm>
                          <a:prstGeom prst="rect">
                            <a:avLst/>
                          </a:prstGeom>
                          <a:noFill/>
                          <a:ln>
                            <a:noFill/>
                          </a:ln>
                        </pic:spPr>
                      </pic:pic>
                    </a:graphicData>
                  </a:graphic>
                </wp:inline>
              </w:drawing>
            </w:r>
          </w:p>
          <w:p w14:paraId="776439A5">
            <w:pPr>
              <w:pStyle w:val="78"/>
              <w:numPr>
                <w:ilvl w:val="0"/>
                <w:numId w:val="0"/>
              </w:numPr>
              <w:ind w:left="0" w:leftChars="0" w:firstLine="0" w:firstLineChars="0"/>
              <w:rPr>
                <w:rFonts w:hint="eastAsia"/>
              </w:rPr>
            </w:pPr>
            <w:r>
              <w:rPr>
                <w:rFonts w:hint="eastAsia" w:ascii="Times New Roman" w:hAnsi="Times New Roman" w:eastAsia="宋体" w:cs="宋体"/>
                <w:b/>
                <w:kern w:val="2"/>
                <w:sz w:val="24"/>
                <w:szCs w:val="24"/>
                <w:lang w:val="en-US" w:eastAsia="zh-CN" w:bidi="ar-SA"/>
              </w:rPr>
              <w:t>图4.7-1</w:t>
            </w:r>
            <w:r>
              <w:rPr>
                <w:rFonts w:hint="eastAsia"/>
              </w:rPr>
              <w:t>室内声源等效为室外声源图例</w:t>
            </w:r>
          </w:p>
          <w:p w14:paraId="49265D68">
            <w:pPr>
              <w:pStyle w:val="76"/>
              <w:ind w:firstLine="480"/>
            </w:pPr>
            <w:r>
              <w:t>④贡献值</w:t>
            </w:r>
          </w:p>
          <w:p w14:paraId="3DF6BEAE">
            <w:pPr>
              <w:pStyle w:val="76"/>
              <w:ind w:firstLine="0" w:firstLineChars="0"/>
              <w:jc w:val="center"/>
            </w:pPr>
            <w:r>
              <w:rPr>
                <w:position w:val="-30"/>
              </w:rPr>
              <w:object>
                <v:shape id="_x0000_i1027" o:spt="75" type="#_x0000_t75" style="height:38.2pt;width:101pt;" o:ole="t" filled="f" o:preferrelative="t" stroked="f" coordsize="21600,21600">
                  <v:path/>
                  <v:fill on="f" focussize="0,0"/>
                  <v:stroke on="f"/>
                  <v:imagedata r:id="rId22" o:title=""/>
                  <o:lock v:ext="edit" aspectratio="t"/>
                  <w10:wrap type="none"/>
                  <w10:anchorlock/>
                </v:shape>
                <o:OLEObject Type="Embed" ProgID="Equation.3" ShapeID="_x0000_i1027" DrawAspect="Content" ObjectID="_1468075727" r:id="rId21">
                  <o:LockedField>false</o:LockedField>
                </o:OLEObject>
              </w:object>
            </w:r>
          </w:p>
          <w:p w14:paraId="2FA8CA4A">
            <w:pPr>
              <w:pStyle w:val="76"/>
              <w:ind w:firstLine="480"/>
            </w:pPr>
            <w:r>
              <w:t>式中：L</w:t>
            </w:r>
            <w:r>
              <w:rPr>
                <w:vertAlign w:val="subscript"/>
              </w:rPr>
              <w:t>Aeq</w:t>
            </w:r>
            <w:r>
              <w:t>,T —等效连续A声级， dB；</w:t>
            </w:r>
          </w:p>
          <w:p w14:paraId="564BF9C7">
            <w:pPr>
              <w:pStyle w:val="76"/>
              <w:ind w:firstLine="1200" w:firstLineChars="500"/>
            </w:pPr>
            <w:r>
              <w:t>L</w:t>
            </w:r>
            <w:r>
              <w:rPr>
                <w:vertAlign w:val="subscript"/>
              </w:rPr>
              <w:t>A</w:t>
            </w:r>
            <w:r>
              <w:t>—t 时刻的瞬时A声级，dB；</w:t>
            </w:r>
          </w:p>
          <w:p w14:paraId="7D3104B5">
            <w:pPr>
              <w:pStyle w:val="76"/>
              <w:ind w:firstLine="1200" w:firstLineChars="500"/>
            </w:pPr>
            <w:r>
              <w:t>T—规定的测量时间段，s。</w:t>
            </w:r>
          </w:p>
          <w:p w14:paraId="19F86007">
            <w:pPr>
              <w:pStyle w:val="76"/>
              <w:ind w:firstLine="480"/>
            </w:pPr>
            <w:r>
              <w:t>⑤预测值</w:t>
            </w:r>
          </w:p>
          <w:p w14:paraId="684B454A">
            <w:pPr>
              <w:pStyle w:val="76"/>
              <w:ind w:firstLine="480"/>
              <w:jc w:val="center"/>
            </w:pPr>
            <w:r>
              <w:rPr>
                <w:position w:val="-14"/>
              </w:rPr>
              <w:object>
                <v:shape id="_x0000_i1028" o:spt="75" type="#_x0000_t75" style="height:22.3pt;width:104.1pt;" o:ole="t" filled="f" o:preferrelative="t" stroked="f" coordsize="21600,21600">
                  <v:path/>
                  <v:fill on="f" focussize="0,0"/>
                  <v:stroke on="f"/>
                  <v:imagedata r:id="rId24" o:title=""/>
                  <o:lock v:ext="edit" aspectratio="t"/>
                  <w10:wrap type="none"/>
                  <w10:anchorlock/>
                </v:shape>
                <o:OLEObject Type="Embed" ProgID="Equation.3" ShapeID="_x0000_i1028" DrawAspect="Content" ObjectID="_1468075728" r:id="rId23">
                  <o:LockedField>false</o:LockedField>
                </o:OLEObject>
              </w:object>
            </w:r>
          </w:p>
          <w:p w14:paraId="4A2EA448">
            <w:pPr>
              <w:pStyle w:val="76"/>
              <w:ind w:firstLine="480"/>
              <w:rPr>
                <w:rFonts w:hint="default"/>
              </w:rPr>
            </w:pPr>
            <w:r>
              <w:rPr>
                <w:rFonts w:hint="default"/>
              </w:rPr>
              <w:t>式中：L</w:t>
            </w:r>
            <w:r>
              <w:rPr>
                <w:rFonts w:hint="default"/>
                <w:vertAlign w:val="subscript"/>
              </w:rPr>
              <w:t>eq</w:t>
            </w:r>
            <w:r>
              <w:rPr>
                <w:rFonts w:hint="default"/>
              </w:rPr>
              <w:t>—预测点的噪声预测值，dB；</w:t>
            </w:r>
          </w:p>
          <w:p w14:paraId="2862E576">
            <w:pPr>
              <w:pStyle w:val="76"/>
              <w:ind w:firstLine="1200" w:firstLineChars="500"/>
              <w:rPr>
                <w:rFonts w:hint="default"/>
              </w:rPr>
            </w:pPr>
            <w:r>
              <w:rPr>
                <w:rFonts w:hint="default"/>
              </w:rPr>
              <w:t>L</w:t>
            </w:r>
            <w:r>
              <w:rPr>
                <w:rFonts w:hint="default"/>
                <w:vertAlign w:val="subscript"/>
              </w:rPr>
              <w:t>eqg</w:t>
            </w:r>
            <w:r>
              <w:rPr>
                <w:rFonts w:hint="default"/>
              </w:rPr>
              <w:t>—建设项目声源在预测点产生的噪声贡献值，dB；</w:t>
            </w:r>
          </w:p>
          <w:p w14:paraId="3C11E29C">
            <w:pPr>
              <w:pStyle w:val="76"/>
              <w:ind w:firstLine="1200" w:firstLineChars="500"/>
              <w:rPr>
                <w:rFonts w:hint="default"/>
              </w:rPr>
            </w:pPr>
            <w:r>
              <w:rPr>
                <w:rFonts w:hint="default"/>
              </w:rPr>
              <w:t>L</w:t>
            </w:r>
            <w:r>
              <w:rPr>
                <w:rFonts w:hint="default"/>
                <w:vertAlign w:val="subscript"/>
              </w:rPr>
              <w:t>eqb</w:t>
            </w:r>
            <w:r>
              <w:rPr>
                <w:rFonts w:hint="default"/>
              </w:rPr>
              <w:t>—预测点的背景噪声值， dB。</w:t>
            </w:r>
          </w:p>
          <w:p w14:paraId="4C5DC938">
            <w:pPr>
              <w:pStyle w:val="76"/>
              <w:ind w:firstLine="480"/>
            </w:pPr>
            <w:r>
              <w:t>⑥噪声叠加</w:t>
            </w:r>
          </w:p>
          <w:p w14:paraId="5BE376DF">
            <w:pPr>
              <w:pStyle w:val="76"/>
              <w:ind w:firstLine="480"/>
            </w:pPr>
            <w:r>
              <w:t>对两个以上多个声源同时存在时，其预测点总声压级采用下面公式：</w:t>
            </w:r>
          </w:p>
          <w:p w14:paraId="71C49F5A">
            <w:pPr>
              <w:spacing w:line="360" w:lineRule="auto"/>
              <w:jc w:val="center"/>
              <w:textAlignment w:val="center"/>
            </w:pPr>
            <w:r>
              <w:object>
                <v:shape id="_x0000_i1029" o:spt="75" type="#_x0000_t75" style="height:38.2pt;width:101pt;" o:ole="t" filled="f" o:preferrelative="t" stroked="f" coordsize="21600,21600">
                  <v:path/>
                  <v:fill on="f" focussize="0,0"/>
                  <v:stroke on="f"/>
                  <v:imagedata r:id="rId26" o:title=""/>
                  <o:lock v:ext="edit" aspectratio="t"/>
                  <w10:wrap type="none"/>
                  <w10:anchorlock/>
                </v:shape>
                <o:OLEObject Type="Embed" ProgID="Equation.3" ShapeID="_x0000_i1029" DrawAspect="Content" ObjectID="_1468075729" r:id="rId25">
                  <o:LockedField>false</o:LockedField>
                </o:OLEObject>
              </w:object>
            </w:r>
          </w:p>
          <w:p w14:paraId="5B56B5D8">
            <w:pPr>
              <w:pStyle w:val="76"/>
              <w:ind w:firstLine="480"/>
            </w:pPr>
            <w:r>
              <w:t>式中：L——噪声源叠加A声级，dB（A）；</w:t>
            </w:r>
          </w:p>
          <w:p w14:paraId="4227E9AE">
            <w:pPr>
              <w:spacing w:line="360" w:lineRule="auto"/>
              <w:ind w:firstLine="420"/>
              <w:textAlignment w:val="center"/>
            </w:pPr>
            <w:r>
              <w:t xml:space="preserve">      pi——每台设备最大A声级，dB</w:t>
            </w:r>
            <w:r>
              <w:rPr>
                <w:rFonts w:hint="eastAsia"/>
              </w:rPr>
              <w:t>（</w:t>
            </w:r>
            <w:r>
              <w:t>A</w:t>
            </w:r>
            <w:r>
              <w:rPr>
                <w:rFonts w:hint="eastAsia"/>
              </w:rPr>
              <w:t>）</w:t>
            </w:r>
            <w:r>
              <w:t>；</w:t>
            </w:r>
          </w:p>
          <w:p w14:paraId="249D07F9">
            <w:pPr>
              <w:pStyle w:val="76"/>
              <w:ind w:firstLine="480"/>
            </w:pPr>
            <w:r>
              <w:t xml:space="preserve">      n——设备总台数。</w:t>
            </w:r>
          </w:p>
          <w:p w14:paraId="69149B29">
            <w:pPr>
              <w:pStyle w:val="76"/>
              <w:ind w:firstLine="480"/>
            </w:pPr>
            <w:r>
              <w:t>根据平面布置可知，本项目噪声主要来自动物及空调机。根据《环境影响评价技术导则声环境》（HJ2.4-2021）：“8.5.2预测和评价建设项目在施工期和运营期厂界（厂界、边界）噪声贡献值，评价其超标和达标情况”。</w:t>
            </w:r>
          </w:p>
          <w:p w14:paraId="5C1048B2">
            <w:pPr>
              <w:pStyle w:val="76"/>
              <w:ind w:firstLine="480"/>
            </w:pPr>
            <w:r>
              <w:t>由于项目占地面积较小，本次环评宠物鸣对四周厂界的影响叫在仅考虑墙体隔声量的情况下即为厂界噪声贡献值，空调外机设在项</w:t>
            </w:r>
            <w:r>
              <w:rPr>
                <w:color w:val="auto"/>
              </w:rPr>
              <w:t>目</w:t>
            </w:r>
            <w:r>
              <w:rPr>
                <w:rFonts w:hint="eastAsia"/>
                <w:color w:val="auto"/>
                <w:lang w:val="en-US" w:eastAsia="zh-CN"/>
              </w:rPr>
              <w:t>北</w:t>
            </w:r>
            <w:r>
              <w:rPr>
                <w:color w:val="auto"/>
              </w:rPr>
              <w:t>侧厂界</w:t>
            </w:r>
            <w:r>
              <w:t>外墙上，对西侧、东侧的影响仅考虑距离衰减，对北侧厂界的影响考虑建筑隔声。</w:t>
            </w:r>
          </w:p>
          <w:p w14:paraId="1D6E91B7">
            <w:pPr>
              <w:pStyle w:val="76"/>
              <w:ind w:firstLine="480"/>
              <w:rPr>
                <w:rFonts w:hint="default"/>
              </w:rPr>
            </w:pPr>
            <w:r>
              <w:t>本次环评预测噪声衰减仅考虑建筑物墙体隔声及距离衰减。且本项目运营时段为昼间，因此，本次仅对昼间厂界噪声贡献值及敏感点预测值进行评价。</w:t>
            </w:r>
          </w:p>
          <w:p w14:paraId="3470965C">
            <w:pPr>
              <w:pStyle w:val="76"/>
              <w:ind w:firstLine="480"/>
            </w:pPr>
            <w:r>
              <w:t>本项目对建设后噪声对厂界噪声贡献值详见表4.7-3，</w:t>
            </w:r>
            <w:r>
              <w:rPr>
                <w:rFonts w:hint="eastAsia"/>
                <w:lang w:val="en-US" w:eastAsia="zh-CN"/>
              </w:rPr>
              <w:t>东、西厂界与商铺相邻，不进行预测，最近</w:t>
            </w:r>
            <w:r>
              <w:t>敏感点叠加影响详见表4.7-4。</w:t>
            </w:r>
          </w:p>
          <w:p w14:paraId="25F20B5C">
            <w:pPr>
              <w:pStyle w:val="63"/>
              <w:numPr>
                <w:ilvl w:val="0"/>
                <w:numId w:val="0"/>
              </w:numPr>
              <w:ind w:left="0" w:leftChars="0" w:firstLine="0" w:firstLineChars="0"/>
            </w:pPr>
            <w:r>
              <w:rPr>
                <w:rFonts w:hint="eastAsia" w:ascii="Times New Roman" w:hAnsi="Times New Roman" w:eastAsia="宋体" w:cs="宋体"/>
                <w:b/>
                <w:kern w:val="2"/>
                <w:sz w:val="24"/>
                <w:szCs w:val="24"/>
                <w:lang w:val="en-US" w:eastAsia="zh-CN" w:bidi="ar-SA"/>
              </w:rPr>
              <w:t>表4.7-3</w:t>
            </w:r>
            <w:r>
              <w:rPr>
                <w:rFonts w:hint="eastAsia"/>
              </w:rPr>
              <w:t xml:space="preserve">厂界噪声噪声贡献值计算 单位：dB（A） </w:t>
            </w:r>
          </w:p>
          <w:tbl>
            <w:tblPr>
              <w:tblStyle w:val="25"/>
              <w:tblW w:w="7946" w:type="dxa"/>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610"/>
              <w:gridCol w:w="1307"/>
              <w:gridCol w:w="1286"/>
              <w:gridCol w:w="1612"/>
              <w:gridCol w:w="1071"/>
              <w:gridCol w:w="1060"/>
            </w:tblGrid>
            <w:tr w14:paraId="0148B7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1610" w:type="dxa"/>
                  <w:vMerge w:val="restart"/>
                  <w:noWrap w:val="0"/>
                  <w:vAlign w:val="center"/>
                </w:tcPr>
                <w:p w14:paraId="2F78EF9A">
                  <w:pPr>
                    <w:pStyle w:val="67"/>
                  </w:pPr>
                  <w:r>
                    <w:rPr>
                      <w:rFonts w:hint="eastAsia"/>
                    </w:rPr>
                    <w:t>名称</w:t>
                  </w:r>
                </w:p>
              </w:tc>
              <w:tc>
                <w:tcPr>
                  <w:tcW w:w="2593" w:type="dxa"/>
                  <w:gridSpan w:val="2"/>
                  <w:noWrap w:val="0"/>
                  <w:vAlign w:val="center"/>
                </w:tcPr>
                <w:p w14:paraId="692C285C">
                  <w:pPr>
                    <w:pStyle w:val="67"/>
                  </w:pPr>
                  <w:r>
                    <w:rPr>
                      <w:rFonts w:hint="eastAsia"/>
                    </w:rPr>
                    <w:t>空间相对位置（预测点）</w:t>
                  </w:r>
                </w:p>
              </w:tc>
              <w:tc>
                <w:tcPr>
                  <w:tcW w:w="1612" w:type="dxa"/>
                  <w:vMerge w:val="restart"/>
                  <w:noWrap w:val="0"/>
                  <w:vAlign w:val="center"/>
                </w:tcPr>
                <w:p w14:paraId="3FAEDAB0">
                  <w:pPr>
                    <w:pStyle w:val="67"/>
                  </w:pPr>
                  <w:r>
                    <w:rPr>
                      <w:rFonts w:hint="eastAsia"/>
                    </w:rPr>
                    <w:t>贡献值</w:t>
                  </w:r>
                </w:p>
              </w:tc>
              <w:tc>
                <w:tcPr>
                  <w:tcW w:w="1071" w:type="dxa"/>
                  <w:vMerge w:val="restart"/>
                  <w:noWrap w:val="0"/>
                  <w:vAlign w:val="center"/>
                </w:tcPr>
                <w:p w14:paraId="76E5C30F">
                  <w:pPr>
                    <w:pStyle w:val="67"/>
                    <w:rPr>
                      <w:rFonts w:hint="eastAsia"/>
                    </w:rPr>
                  </w:pPr>
                  <w:r>
                    <w:rPr>
                      <w:rFonts w:hint="eastAsia"/>
                    </w:rPr>
                    <w:t>执行标准</w:t>
                  </w:r>
                </w:p>
                <w:p w14:paraId="61B76417">
                  <w:r>
                    <w:rPr>
                      <w:rFonts w:hint="eastAsia"/>
                    </w:rPr>
                    <w:t>（昼间）</w:t>
                  </w:r>
                </w:p>
              </w:tc>
              <w:tc>
                <w:tcPr>
                  <w:tcW w:w="1060" w:type="dxa"/>
                  <w:vMerge w:val="restart"/>
                  <w:noWrap w:val="0"/>
                  <w:vAlign w:val="center"/>
                </w:tcPr>
                <w:p w14:paraId="1B5AB95B">
                  <w:pPr>
                    <w:pStyle w:val="67"/>
                  </w:pPr>
                  <w:r>
                    <w:rPr>
                      <w:rFonts w:hint="eastAsia"/>
                    </w:rPr>
                    <w:t>达标情况</w:t>
                  </w:r>
                </w:p>
              </w:tc>
            </w:tr>
            <w:tr w14:paraId="52DE02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1610" w:type="dxa"/>
                  <w:vMerge w:val="continue"/>
                  <w:noWrap w:val="0"/>
                  <w:vAlign w:val="center"/>
                </w:tcPr>
                <w:p w14:paraId="514490DA">
                  <w:pPr>
                    <w:pStyle w:val="67"/>
                    <w:rPr>
                      <w:rFonts w:hint="eastAsia"/>
                    </w:rPr>
                  </w:pPr>
                </w:p>
              </w:tc>
              <w:tc>
                <w:tcPr>
                  <w:tcW w:w="1307" w:type="dxa"/>
                  <w:noWrap w:val="0"/>
                  <w:vAlign w:val="center"/>
                </w:tcPr>
                <w:p w14:paraId="1218B504">
                  <w:pPr>
                    <w:pStyle w:val="67"/>
                    <w:rPr>
                      <w:rFonts w:hint="eastAsia"/>
                    </w:rPr>
                  </w:pPr>
                  <w:r>
                    <w:rPr>
                      <w:rFonts w:hint="eastAsia"/>
                    </w:rPr>
                    <w:t>X</w:t>
                  </w:r>
                </w:p>
              </w:tc>
              <w:tc>
                <w:tcPr>
                  <w:tcW w:w="1286" w:type="dxa"/>
                  <w:noWrap w:val="0"/>
                  <w:vAlign w:val="center"/>
                </w:tcPr>
                <w:p w14:paraId="304FE9B3">
                  <w:pPr>
                    <w:pStyle w:val="67"/>
                    <w:rPr>
                      <w:rFonts w:hint="eastAsia"/>
                    </w:rPr>
                  </w:pPr>
                  <w:r>
                    <w:rPr>
                      <w:rFonts w:hint="eastAsia"/>
                    </w:rPr>
                    <w:t>Y</w:t>
                  </w:r>
                </w:p>
              </w:tc>
              <w:tc>
                <w:tcPr>
                  <w:tcW w:w="1612" w:type="dxa"/>
                  <w:vMerge w:val="continue"/>
                  <w:noWrap w:val="0"/>
                  <w:vAlign w:val="center"/>
                </w:tcPr>
                <w:p w14:paraId="4549CCCA">
                  <w:pPr>
                    <w:pStyle w:val="67"/>
                    <w:rPr>
                      <w:rFonts w:hint="eastAsia"/>
                    </w:rPr>
                  </w:pPr>
                </w:p>
              </w:tc>
              <w:tc>
                <w:tcPr>
                  <w:tcW w:w="1071" w:type="dxa"/>
                  <w:vMerge w:val="continue"/>
                  <w:noWrap w:val="0"/>
                  <w:vAlign w:val="center"/>
                </w:tcPr>
                <w:p w14:paraId="06970235">
                  <w:pPr>
                    <w:pStyle w:val="67"/>
                    <w:rPr>
                      <w:rFonts w:hint="eastAsia"/>
                    </w:rPr>
                  </w:pPr>
                </w:p>
              </w:tc>
              <w:tc>
                <w:tcPr>
                  <w:tcW w:w="1060" w:type="dxa"/>
                  <w:vMerge w:val="continue"/>
                  <w:noWrap w:val="0"/>
                  <w:vAlign w:val="center"/>
                </w:tcPr>
                <w:p w14:paraId="3CFA833A">
                  <w:pPr>
                    <w:pStyle w:val="67"/>
                    <w:rPr>
                      <w:rFonts w:hint="eastAsia"/>
                    </w:rPr>
                  </w:pPr>
                </w:p>
              </w:tc>
            </w:tr>
            <w:tr w14:paraId="6DB709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610" w:type="dxa"/>
                  <w:noWrap w:val="0"/>
                  <w:vAlign w:val="center"/>
                </w:tcPr>
                <w:p w14:paraId="5B629EC9">
                  <w:pPr>
                    <w:pStyle w:val="67"/>
                    <w:rPr>
                      <w:rFonts w:hint="eastAsia"/>
                    </w:rPr>
                  </w:pPr>
                  <w:r>
                    <w:rPr>
                      <w:rFonts w:hint="eastAsia"/>
                    </w:rPr>
                    <w:t>南侧厂界外1m</w:t>
                  </w:r>
                </w:p>
              </w:tc>
              <w:tc>
                <w:tcPr>
                  <w:tcW w:w="1307" w:type="dxa"/>
                  <w:noWrap w:val="0"/>
                  <w:vAlign w:val="center"/>
                </w:tcPr>
                <w:p w14:paraId="0D13328F">
                  <w:pPr>
                    <w:pStyle w:val="67"/>
                    <w:rPr>
                      <w:rFonts w:hint="eastAsia" w:eastAsia="宋体"/>
                      <w:color w:val="auto"/>
                      <w:lang w:val="en-US" w:eastAsia="zh-CN"/>
                    </w:rPr>
                  </w:pPr>
                  <w:r>
                    <w:rPr>
                      <w:rFonts w:hint="eastAsia"/>
                      <w:color w:val="auto"/>
                      <w:lang w:val="en-US" w:eastAsia="zh-CN"/>
                    </w:rPr>
                    <w:t>4</w:t>
                  </w:r>
                </w:p>
              </w:tc>
              <w:tc>
                <w:tcPr>
                  <w:tcW w:w="1286" w:type="dxa"/>
                  <w:noWrap w:val="0"/>
                  <w:vAlign w:val="center"/>
                </w:tcPr>
                <w:p w14:paraId="62409F0D">
                  <w:pPr>
                    <w:pStyle w:val="67"/>
                    <w:rPr>
                      <w:rFonts w:hint="default" w:eastAsia="宋体"/>
                      <w:color w:val="auto"/>
                      <w:lang w:val="en-US" w:eastAsia="zh-CN"/>
                    </w:rPr>
                  </w:pPr>
                  <w:r>
                    <w:rPr>
                      <w:rFonts w:hint="eastAsia"/>
                      <w:color w:val="auto"/>
                      <w:lang w:val="en-US" w:eastAsia="zh-CN"/>
                    </w:rPr>
                    <w:t>0.3</w:t>
                  </w:r>
                </w:p>
              </w:tc>
              <w:tc>
                <w:tcPr>
                  <w:tcW w:w="1612" w:type="dxa"/>
                  <w:noWrap w:val="0"/>
                  <w:vAlign w:val="center"/>
                </w:tcPr>
                <w:p w14:paraId="03EAA87A">
                  <w:pPr>
                    <w:pStyle w:val="67"/>
                    <w:rPr>
                      <w:rFonts w:hint="default" w:eastAsia="宋体"/>
                      <w:color w:val="auto"/>
                      <w:lang w:val="en-US" w:eastAsia="zh-CN"/>
                    </w:rPr>
                  </w:pPr>
                  <w:r>
                    <w:rPr>
                      <w:rFonts w:hint="eastAsia"/>
                      <w:color w:val="auto"/>
                      <w:lang w:val="en-US" w:eastAsia="zh-CN"/>
                    </w:rPr>
                    <w:t>66.2</w:t>
                  </w:r>
                </w:p>
              </w:tc>
              <w:tc>
                <w:tcPr>
                  <w:tcW w:w="1071" w:type="dxa"/>
                  <w:noWrap w:val="0"/>
                  <w:vAlign w:val="center"/>
                </w:tcPr>
                <w:p w14:paraId="04657334">
                  <w:pPr>
                    <w:pStyle w:val="67"/>
                    <w:rPr>
                      <w:rFonts w:hint="default" w:eastAsia="宋体"/>
                      <w:color w:val="auto"/>
                      <w:lang w:val="en-US" w:eastAsia="zh-CN"/>
                    </w:rPr>
                  </w:pPr>
                  <w:r>
                    <w:rPr>
                      <w:rFonts w:hint="eastAsia"/>
                      <w:color w:val="auto"/>
                      <w:lang w:val="en-US" w:eastAsia="zh-CN"/>
                    </w:rPr>
                    <w:t>70</w:t>
                  </w:r>
                </w:p>
              </w:tc>
              <w:tc>
                <w:tcPr>
                  <w:tcW w:w="1060" w:type="dxa"/>
                  <w:noWrap w:val="0"/>
                  <w:vAlign w:val="center"/>
                </w:tcPr>
                <w:p w14:paraId="012538F7">
                  <w:pPr>
                    <w:pStyle w:val="67"/>
                    <w:rPr>
                      <w:rFonts w:hint="eastAsia"/>
                    </w:rPr>
                  </w:pPr>
                  <w:r>
                    <w:rPr>
                      <w:rFonts w:hint="eastAsia"/>
                    </w:rPr>
                    <w:t>达标</w:t>
                  </w:r>
                </w:p>
              </w:tc>
            </w:tr>
            <w:tr w14:paraId="5FE981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610" w:type="dxa"/>
                  <w:noWrap w:val="0"/>
                  <w:vAlign w:val="center"/>
                </w:tcPr>
                <w:p w14:paraId="6B956512">
                  <w:pPr>
                    <w:pStyle w:val="67"/>
                    <w:rPr>
                      <w:rFonts w:hint="eastAsia"/>
                    </w:rPr>
                  </w:pPr>
                  <w:r>
                    <w:rPr>
                      <w:rFonts w:hint="eastAsia"/>
                    </w:rPr>
                    <w:t>北侧厂界外1m</w:t>
                  </w:r>
                </w:p>
              </w:tc>
              <w:tc>
                <w:tcPr>
                  <w:tcW w:w="1307" w:type="dxa"/>
                  <w:noWrap w:val="0"/>
                  <w:vAlign w:val="center"/>
                </w:tcPr>
                <w:p w14:paraId="1EAF1E42">
                  <w:pPr>
                    <w:pStyle w:val="67"/>
                    <w:rPr>
                      <w:rFonts w:hint="default" w:eastAsia="宋体"/>
                      <w:color w:val="auto"/>
                      <w:lang w:val="en-US" w:eastAsia="zh-CN"/>
                    </w:rPr>
                  </w:pPr>
                  <w:r>
                    <w:rPr>
                      <w:rFonts w:hint="eastAsia"/>
                      <w:color w:val="auto"/>
                      <w:lang w:val="en-US" w:eastAsia="zh-CN"/>
                    </w:rPr>
                    <w:t>3.6</w:t>
                  </w:r>
                </w:p>
              </w:tc>
              <w:tc>
                <w:tcPr>
                  <w:tcW w:w="1286" w:type="dxa"/>
                  <w:noWrap w:val="0"/>
                  <w:vAlign w:val="center"/>
                </w:tcPr>
                <w:p w14:paraId="699AFEBB">
                  <w:pPr>
                    <w:pStyle w:val="67"/>
                    <w:rPr>
                      <w:rFonts w:hint="default" w:eastAsia="宋体"/>
                      <w:color w:val="auto"/>
                      <w:lang w:val="en-US" w:eastAsia="zh-CN"/>
                    </w:rPr>
                  </w:pPr>
                  <w:r>
                    <w:rPr>
                      <w:rFonts w:hint="eastAsia"/>
                      <w:color w:val="auto"/>
                      <w:lang w:val="en-US" w:eastAsia="zh-CN"/>
                    </w:rPr>
                    <w:t>12</w:t>
                  </w:r>
                </w:p>
              </w:tc>
              <w:tc>
                <w:tcPr>
                  <w:tcW w:w="1612" w:type="dxa"/>
                  <w:noWrap w:val="0"/>
                  <w:vAlign w:val="center"/>
                </w:tcPr>
                <w:p w14:paraId="1DC0186B">
                  <w:pPr>
                    <w:pStyle w:val="67"/>
                    <w:rPr>
                      <w:rFonts w:hint="default" w:eastAsia="宋体"/>
                      <w:color w:val="auto"/>
                      <w:lang w:val="en-US" w:eastAsia="zh-CN"/>
                    </w:rPr>
                  </w:pPr>
                  <w:r>
                    <w:rPr>
                      <w:rFonts w:hint="eastAsia"/>
                      <w:color w:val="auto"/>
                      <w:lang w:val="en-US" w:eastAsia="zh-CN"/>
                    </w:rPr>
                    <w:t>49</w:t>
                  </w:r>
                </w:p>
              </w:tc>
              <w:tc>
                <w:tcPr>
                  <w:tcW w:w="1071" w:type="dxa"/>
                  <w:noWrap w:val="0"/>
                  <w:vAlign w:val="center"/>
                </w:tcPr>
                <w:p w14:paraId="2A4C0E78">
                  <w:pPr>
                    <w:pStyle w:val="67"/>
                    <w:rPr>
                      <w:rFonts w:hint="default" w:eastAsia="宋体"/>
                      <w:color w:val="auto"/>
                      <w:lang w:val="en-US" w:eastAsia="zh-CN"/>
                    </w:rPr>
                  </w:pPr>
                  <w:r>
                    <w:rPr>
                      <w:rFonts w:hint="eastAsia"/>
                      <w:color w:val="auto"/>
                      <w:lang w:val="en-US" w:eastAsia="zh-CN"/>
                    </w:rPr>
                    <w:t>70</w:t>
                  </w:r>
                </w:p>
              </w:tc>
              <w:tc>
                <w:tcPr>
                  <w:tcW w:w="1060" w:type="dxa"/>
                  <w:noWrap w:val="0"/>
                  <w:vAlign w:val="center"/>
                </w:tcPr>
                <w:p w14:paraId="30283E84">
                  <w:pPr>
                    <w:pStyle w:val="67"/>
                    <w:rPr>
                      <w:rFonts w:hint="eastAsia"/>
                    </w:rPr>
                  </w:pPr>
                  <w:r>
                    <w:rPr>
                      <w:rFonts w:hint="eastAsia"/>
                    </w:rPr>
                    <w:t>达标</w:t>
                  </w:r>
                </w:p>
              </w:tc>
            </w:tr>
          </w:tbl>
          <w:p w14:paraId="40EAA3F7">
            <w:pPr>
              <w:rPr>
                <w:rFonts w:hint="default" w:eastAsia="宋体"/>
                <w:lang w:val="en-US" w:eastAsia="zh-CN"/>
              </w:rPr>
            </w:pPr>
            <w:r>
              <w:rPr>
                <w:rFonts w:hint="eastAsia"/>
                <w:lang w:val="en-US" w:eastAsia="zh-CN"/>
              </w:rPr>
              <w:t>上表以厂界西南角点为坐标原点。</w:t>
            </w:r>
          </w:p>
          <w:p w14:paraId="40BA6D63">
            <w:pPr>
              <w:pStyle w:val="63"/>
              <w:numPr>
                <w:ilvl w:val="0"/>
                <w:numId w:val="0"/>
              </w:numPr>
              <w:ind w:left="0" w:leftChars="0" w:firstLine="0" w:firstLineChars="0"/>
              <w:rPr>
                <w:rFonts w:hint="eastAsia"/>
              </w:rPr>
            </w:pPr>
            <w:r>
              <w:rPr>
                <w:rFonts w:hint="eastAsia" w:ascii="Times New Roman" w:hAnsi="Times New Roman" w:eastAsia="宋体" w:cs="宋体"/>
                <w:b/>
                <w:kern w:val="2"/>
                <w:sz w:val="24"/>
                <w:szCs w:val="24"/>
                <w:lang w:val="en-US" w:eastAsia="zh-CN" w:bidi="ar-SA"/>
              </w:rPr>
              <w:t>表4.7-4</w:t>
            </w:r>
            <w:r>
              <w:rPr>
                <w:rFonts w:hint="eastAsia"/>
              </w:rPr>
              <w:t>声环境保护目标噪声</w:t>
            </w:r>
            <w:r>
              <w:rPr>
                <w:rFonts w:hint="eastAsia"/>
                <w:lang w:val="en-US" w:eastAsia="zh-CN"/>
              </w:rPr>
              <w:t>昼间</w:t>
            </w:r>
            <w:r>
              <w:t>预测结果</w:t>
            </w:r>
            <w:r>
              <w:rPr>
                <w:rFonts w:hint="eastAsia"/>
              </w:rPr>
              <w:t>与达标分析表 单位：dB（A）</w:t>
            </w:r>
          </w:p>
          <w:tbl>
            <w:tblPr>
              <w:tblStyle w:val="25"/>
              <w:tblW w:w="4996"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2200"/>
              <w:gridCol w:w="969"/>
              <w:gridCol w:w="1039"/>
              <w:gridCol w:w="1030"/>
              <w:gridCol w:w="880"/>
              <w:gridCol w:w="1143"/>
            </w:tblGrid>
            <w:tr w14:paraId="198980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428" w:type="pct"/>
                  <w:vMerge w:val="restart"/>
                  <w:noWrap w:val="0"/>
                  <w:vAlign w:val="center"/>
                </w:tcPr>
                <w:p w14:paraId="4C69D16D">
                  <w:pPr>
                    <w:pStyle w:val="67"/>
                    <w:rPr>
                      <w:rFonts w:hint="eastAsia"/>
                    </w:rPr>
                  </w:pPr>
                  <w:r>
                    <w:rPr>
                      <w:rFonts w:hint="eastAsia"/>
                    </w:rPr>
                    <w:t>序号</w:t>
                  </w:r>
                </w:p>
              </w:tc>
              <w:tc>
                <w:tcPr>
                  <w:tcW w:w="1385" w:type="pct"/>
                  <w:vMerge w:val="restart"/>
                  <w:noWrap w:val="0"/>
                  <w:vAlign w:val="center"/>
                </w:tcPr>
                <w:p w14:paraId="22BFC663">
                  <w:pPr>
                    <w:pStyle w:val="67"/>
                    <w:rPr>
                      <w:rFonts w:hint="eastAsia"/>
                      <w:color w:val="auto"/>
                    </w:rPr>
                  </w:pPr>
                  <w:r>
                    <w:rPr>
                      <w:rFonts w:hint="eastAsia"/>
                      <w:color w:val="auto"/>
                    </w:rPr>
                    <w:t>声环境保护目标名称</w:t>
                  </w:r>
                </w:p>
              </w:tc>
              <w:tc>
                <w:tcPr>
                  <w:tcW w:w="610" w:type="pct"/>
                  <w:vMerge w:val="restart"/>
                  <w:noWrap w:val="0"/>
                  <w:vAlign w:val="center"/>
                </w:tcPr>
                <w:p w14:paraId="508D7167">
                  <w:pPr>
                    <w:pStyle w:val="67"/>
                    <w:rPr>
                      <w:rFonts w:hint="eastAsia"/>
                      <w:color w:val="auto"/>
                    </w:rPr>
                  </w:pPr>
                  <w:r>
                    <w:rPr>
                      <w:rFonts w:hint="eastAsia"/>
                      <w:color w:val="auto"/>
                    </w:rPr>
                    <w:t>噪声背景值</w:t>
                  </w:r>
                </w:p>
              </w:tc>
              <w:tc>
                <w:tcPr>
                  <w:tcW w:w="654" w:type="pct"/>
                  <w:vMerge w:val="restart"/>
                  <w:noWrap w:val="0"/>
                  <w:vAlign w:val="center"/>
                </w:tcPr>
                <w:p w14:paraId="4489F4C7">
                  <w:pPr>
                    <w:pStyle w:val="67"/>
                    <w:rPr>
                      <w:rFonts w:hint="eastAsia"/>
                      <w:color w:val="auto"/>
                    </w:rPr>
                  </w:pPr>
                  <w:r>
                    <w:rPr>
                      <w:rFonts w:hint="eastAsia"/>
                      <w:color w:val="auto"/>
                    </w:rPr>
                    <w:t>噪声贡献值</w:t>
                  </w:r>
                </w:p>
              </w:tc>
              <w:tc>
                <w:tcPr>
                  <w:tcW w:w="648" w:type="pct"/>
                  <w:vMerge w:val="restart"/>
                  <w:noWrap w:val="0"/>
                  <w:vAlign w:val="center"/>
                </w:tcPr>
                <w:p w14:paraId="6C73E779">
                  <w:pPr>
                    <w:pStyle w:val="67"/>
                    <w:rPr>
                      <w:rFonts w:hint="eastAsia"/>
                      <w:color w:val="auto"/>
                    </w:rPr>
                  </w:pPr>
                  <w:r>
                    <w:rPr>
                      <w:rFonts w:hint="eastAsia"/>
                      <w:color w:val="auto"/>
                    </w:rPr>
                    <w:t>噪声预测值</w:t>
                  </w:r>
                </w:p>
              </w:tc>
              <w:tc>
                <w:tcPr>
                  <w:tcW w:w="554" w:type="pct"/>
                  <w:vMerge w:val="restart"/>
                  <w:noWrap w:val="0"/>
                  <w:vAlign w:val="center"/>
                </w:tcPr>
                <w:p w14:paraId="79E7352F">
                  <w:pPr>
                    <w:pStyle w:val="67"/>
                    <w:rPr>
                      <w:rFonts w:hint="eastAsia" w:ascii="Times New Roman" w:hAnsi="Times New Roman" w:eastAsia="宋体"/>
                      <w:color w:val="auto"/>
                      <w:kern w:val="0"/>
                      <w:sz w:val="21"/>
                      <w:szCs w:val="24"/>
                      <w:lang w:val="en-US" w:eastAsia="zh-CN" w:bidi="ar-SA"/>
                    </w:rPr>
                  </w:pPr>
                  <w:r>
                    <w:rPr>
                      <w:rFonts w:hint="eastAsia"/>
                      <w:color w:val="auto"/>
                    </w:rPr>
                    <w:t>噪声标准</w:t>
                  </w:r>
                </w:p>
              </w:tc>
              <w:tc>
                <w:tcPr>
                  <w:tcW w:w="719" w:type="pct"/>
                  <w:vMerge w:val="restart"/>
                  <w:noWrap w:val="0"/>
                  <w:vAlign w:val="center"/>
                </w:tcPr>
                <w:p w14:paraId="5C5C4EE5">
                  <w:pPr>
                    <w:pStyle w:val="67"/>
                    <w:rPr>
                      <w:rFonts w:hint="eastAsia"/>
                      <w:color w:val="auto"/>
                    </w:rPr>
                  </w:pPr>
                  <w:r>
                    <w:rPr>
                      <w:rFonts w:hint="eastAsia"/>
                      <w:color w:val="auto"/>
                    </w:rPr>
                    <w:t>达标情况</w:t>
                  </w:r>
                </w:p>
              </w:tc>
            </w:tr>
            <w:tr w14:paraId="0C0DCC9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428" w:type="pct"/>
                  <w:vMerge w:val="continue"/>
                  <w:noWrap w:val="0"/>
                  <w:vAlign w:val="center"/>
                </w:tcPr>
                <w:p w14:paraId="11397ABC">
                  <w:pPr>
                    <w:pStyle w:val="67"/>
                    <w:rPr>
                      <w:rFonts w:hint="eastAsia"/>
                    </w:rPr>
                  </w:pPr>
                </w:p>
              </w:tc>
              <w:tc>
                <w:tcPr>
                  <w:tcW w:w="1385" w:type="pct"/>
                  <w:vMerge w:val="continue"/>
                  <w:noWrap w:val="0"/>
                  <w:vAlign w:val="center"/>
                </w:tcPr>
                <w:p w14:paraId="54ABCF5A">
                  <w:pPr>
                    <w:pStyle w:val="67"/>
                    <w:rPr>
                      <w:rFonts w:hint="eastAsia"/>
                      <w:color w:val="auto"/>
                    </w:rPr>
                  </w:pPr>
                </w:p>
              </w:tc>
              <w:tc>
                <w:tcPr>
                  <w:tcW w:w="610" w:type="pct"/>
                  <w:vMerge w:val="continue"/>
                  <w:noWrap w:val="0"/>
                  <w:vAlign w:val="center"/>
                </w:tcPr>
                <w:p w14:paraId="3421A090">
                  <w:pPr>
                    <w:pStyle w:val="67"/>
                    <w:rPr>
                      <w:rFonts w:hint="eastAsia"/>
                      <w:color w:val="auto"/>
                    </w:rPr>
                  </w:pPr>
                </w:p>
              </w:tc>
              <w:tc>
                <w:tcPr>
                  <w:tcW w:w="654" w:type="pct"/>
                  <w:vMerge w:val="continue"/>
                  <w:noWrap w:val="0"/>
                  <w:vAlign w:val="center"/>
                </w:tcPr>
                <w:p w14:paraId="19DA6023">
                  <w:pPr>
                    <w:pStyle w:val="67"/>
                    <w:rPr>
                      <w:rFonts w:hint="eastAsia"/>
                      <w:color w:val="auto"/>
                    </w:rPr>
                  </w:pPr>
                </w:p>
              </w:tc>
              <w:tc>
                <w:tcPr>
                  <w:tcW w:w="648" w:type="pct"/>
                  <w:vMerge w:val="continue"/>
                  <w:noWrap w:val="0"/>
                  <w:vAlign w:val="center"/>
                </w:tcPr>
                <w:p w14:paraId="0B3854F1">
                  <w:pPr>
                    <w:pStyle w:val="67"/>
                    <w:rPr>
                      <w:rFonts w:hint="eastAsia"/>
                      <w:color w:val="auto"/>
                    </w:rPr>
                  </w:pPr>
                </w:p>
              </w:tc>
              <w:tc>
                <w:tcPr>
                  <w:tcW w:w="554" w:type="pct"/>
                  <w:vMerge w:val="continue"/>
                  <w:noWrap w:val="0"/>
                  <w:vAlign w:val="center"/>
                </w:tcPr>
                <w:p w14:paraId="1FF08ADC">
                  <w:pPr>
                    <w:pStyle w:val="67"/>
                    <w:rPr>
                      <w:rFonts w:hint="eastAsia" w:ascii="Times New Roman" w:hAnsi="Times New Roman" w:eastAsia="宋体"/>
                      <w:color w:val="auto"/>
                      <w:kern w:val="0"/>
                      <w:sz w:val="21"/>
                      <w:szCs w:val="24"/>
                      <w:lang w:val="en-US" w:eastAsia="zh-CN" w:bidi="ar-SA"/>
                    </w:rPr>
                  </w:pPr>
                </w:p>
              </w:tc>
              <w:tc>
                <w:tcPr>
                  <w:tcW w:w="719" w:type="pct"/>
                  <w:vMerge w:val="continue"/>
                  <w:noWrap w:val="0"/>
                  <w:vAlign w:val="center"/>
                </w:tcPr>
                <w:p w14:paraId="798A805B">
                  <w:pPr>
                    <w:pStyle w:val="67"/>
                    <w:rPr>
                      <w:rFonts w:hint="eastAsia"/>
                      <w:color w:val="auto"/>
                    </w:rPr>
                  </w:pPr>
                </w:p>
              </w:tc>
            </w:tr>
            <w:tr w14:paraId="163FAC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28" w:type="pct"/>
                  <w:noWrap w:val="0"/>
                  <w:vAlign w:val="center"/>
                </w:tcPr>
                <w:p w14:paraId="400DC3EC">
                  <w:pPr>
                    <w:pStyle w:val="67"/>
                    <w:rPr>
                      <w:rFonts w:hint="default"/>
                      <w:lang w:val="en-US" w:eastAsia="zh-CN"/>
                    </w:rPr>
                  </w:pPr>
                  <w:r>
                    <w:rPr>
                      <w:rFonts w:hint="eastAsia"/>
                      <w:lang w:val="en-US" w:eastAsia="zh-CN"/>
                    </w:rPr>
                    <w:t>N2</w:t>
                  </w:r>
                </w:p>
              </w:tc>
              <w:tc>
                <w:tcPr>
                  <w:tcW w:w="1385" w:type="pct"/>
                  <w:noWrap w:val="0"/>
                  <w:vAlign w:val="center"/>
                </w:tcPr>
                <w:p w14:paraId="4D056B3A">
                  <w:pPr>
                    <w:pStyle w:val="67"/>
                    <w:rPr>
                      <w:rFonts w:hint="default"/>
                      <w:color w:val="auto"/>
                      <w:lang w:val="en-US" w:eastAsia="zh-CN"/>
                    </w:rPr>
                  </w:pPr>
                  <w:r>
                    <w:rPr>
                      <w:rFonts w:hint="eastAsia"/>
                      <w:color w:val="auto"/>
                      <w:lang w:val="en-US" w:eastAsia="zh-CN"/>
                    </w:rPr>
                    <w:t>武夷花园</w:t>
                  </w:r>
                </w:p>
              </w:tc>
              <w:tc>
                <w:tcPr>
                  <w:tcW w:w="610" w:type="pct"/>
                  <w:noWrap w:val="0"/>
                  <w:vAlign w:val="center"/>
                </w:tcPr>
                <w:p w14:paraId="2017A06A">
                  <w:pPr>
                    <w:pStyle w:val="67"/>
                    <w:rPr>
                      <w:rFonts w:hint="default" w:eastAsia="宋体"/>
                      <w:color w:val="auto"/>
                      <w:lang w:val="en-US" w:eastAsia="zh-CN"/>
                    </w:rPr>
                  </w:pPr>
                  <w:r>
                    <w:rPr>
                      <w:rFonts w:hint="eastAsia"/>
                      <w:color w:val="auto"/>
                      <w:lang w:val="en-US" w:eastAsia="zh-CN"/>
                    </w:rPr>
                    <w:t>66.4</w:t>
                  </w:r>
                </w:p>
              </w:tc>
              <w:tc>
                <w:tcPr>
                  <w:tcW w:w="654" w:type="pct"/>
                  <w:noWrap w:val="0"/>
                  <w:vAlign w:val="center"/>
                </w:tcPr>
                <w:p w14:paraId="0E5F82F6">
                  <w:pPr>
                    <w:pStyle w:val="67"/>
                    <w:rPr>
                      <w:rFonts w:hint="default" w:eastAsia="宋体"/>
                      <w:color w:val="auto"/>
                      <w:lang w:val="en-US" w:eastAsia="zh-CN"/>
                    </w:rPr>
                  </w:pPr>
                  <w:r>
                    <w:rPr>
                      <w:rFonts w:hint="eastAsia"/>
                      <w:color w:val="auto"/>
                      <w:lang w:val="en-US" w:eastAsia="zh-CN"/>
                    </w:rPr>
                    <w:t>35</w:t>
                  </w:r>
                </w:p>
              </w:tc>
              <w:tc>
                <w:tcPr>
                  <w:tcW w:w="648" w:type="pct"/>
                  <w:noWrap w:val="0"/>
                  <w:vAlign w:val="center"/>
                </w:tcPr>
                <w:p w14:paraId="66BB0F26">
                  <w:pPr>
                    <w:pStyle w:val="67"/>
                    <w:rPr>
                      <w:rFonts w:hint="default" w:eastAsia="宋体"/>
                      <w:color w:val="auto"/>
                      <w:lang w:val="en-US" w:eastAsia="zh-CN"/>
                    </w:rPr>
                  </w:pPr>
                  <w:r>
                    <w:rPr>
                      <w:rFonts w:hint="eastAsia"/>
                      <w:color w:val="auto"/>
                      <w:lang w:val="en-US" w:eastAsia="zh-CN"/>
                    </w:rPr>
                    <w:t>66.4</w:t>
                  </w:r>
                </w:p>
              </w:tc>
              <w:tc>
                <w:tcPr>
                  <w:tcW w:w="554" w:type="pct"/>
                  <w:noWrap w:val="0"/>
                  <w:vAlign w:val="center"/>
                </w:tcPr>
                <w:p w14:paraId="61416952">
                  <w:pPr>
                    <w:pStyle w:val="67"/>
                    <w:rPr>
                      <w:rFonts w:hint="default" w:ascii="Times New Roman" w:hAnsi="Times New Roman" w:eastAsia="宋体"/>
                      <w:color w:val="auto"/>
                      <w:kern w:val="0"/>
                      <w:sz w:val="21"/>
                      <w:szCs w:val="24"/>
                      <w:lang w:val="en-US" w:eastAsia="zh-CN" w:bidi="ar-SA"/>
                    </w:rPr>
                  </w:pPr>
                  <w:r>
                    <w:rPr>
                      <w:rFonts w:hint="eastAsia"/>
                      <w:color w:val="auto"/>
                      <w:kern w:val="0"/>
                      <w:sz w:val="21"/>
                      <w:szCs w:val="24"/>
                      <w:lang w:val="en-US" w:eastAsia="zh-CN" w:bidi="ar-SA"/>
                    </w:rPr>
                    <w:t>70</w:t>
                  </w:r>
                </w:p>
              </w:tc>
              <w:tc>
                <w:tcPr>
                  <w:tcW w:w="719" w:type="pct"/>
                  <w:noWrap w:val="0"/>
                  <w:vAlign w:val="center"/>
                </w:tcPr>
                <w:p w14:paraId="301D5F48">
                  <w:pPr>
                    <w:pStyle w:val="67"/>
                    <w:rPr>
                      <w:rFonts w:hint="eastAsia"/>
                      <w:color w:val="auto"/>
                    </w:rPr>
                  </w:pPr>
                  <w:r>
                    <w:rPr>
                      <w:rFonts w:hint="eastAsia"/>
                      <w:color w:val="auto"/>
                    </w:rPr>
                    <w:t>达标</w:t>
                  </w:r>
                </w:p>
              </w:tc>
            </w:tr>
            <w:tr w14:paraId="0116CE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28" w:type="pct"/>
                  <w:noWrap w:val="0"/>
                  <w:vAlign w:val="center"/>
                </w:tcPr>
                <w:p w14:paraId="00FC8665">
                  <w:pPr>
                    <w:pStyle w:val="67"/>
                    <w:rPr>
                      <w:rFonts w:hint="eastAsia" w:eastAsia="宋体"/>
                      <w:lang w:val="en-US" w:eastAsia="zh-CN"/>
                    </w:rPr>
                  </w:pPr>
                  <w:r>
                    <w:rPr>
                      <w:rFonts w:hint="eastAsia"/>
                      <w:lang w:val="en-US" w:eastAsia="zh-CN"/>
                    </w:rPr>
                    <w:t>N3</w:t>
                  </w:r>
                </w:p>
              </w:tc>
              <w:tc>
                <w:tcPr>
                  <w:tcW w:w="1385" w:type="pct"/>
                  <w:noWrap w:val="0"/>
                  <w:vAlign w:val="center"/>
                </w:tcPr>
                <w:p w14:paraId="1D662FFB">
                  <w:pPr>
                    <w:pStyle w:val="67"/>
                    <w:rPr>
                      <w:rFonts w:hint="default"/>
                      <w:color w:val="auto"/>
                      <w:lang w:val="en-US" w:eastAsia="zh-CN"/>
                    </w:rPr>
                  </w:pPr>
                  <w:r>
                    <w:rPr>
                      <w:rFonts w:hint="eastAsia"/>
                      <w:color w:val="auto"/>
                      <w:lang w:val="en-US" w:eastAsia="zh-CN"/>
                    </w:rPr>
                    <w:t>善化新村12栋</w:t>
                  </w:r>
                </w:p>
              </w:tc>
              <w:tc>
                <w:tcPr>
                  <w:tcW w:w="610" w:type="pct"/>
                  <w:noWrap w:val="0"/>
                  <w:vAlign w:val="center"/>
                </w:tcPr>
                <w:p w14:paraId="2F948BEC">
                  <w:pPr>
                    <w:pStyle w:val="67"/>
                    <w:rPr>
                      <w:rFonts w:hint="default" w:eastAsia="宋体"/>
                      <w:color w:val="auto"/>
                      <w:lang w:val="en-US" w:eastAsia="zh-CN"/>
                    </w:rPr>
                  </w:pPr>
                  <w:r>
                    <w:rPr>
                      <w:rFonts w:hint="eastAsia"/>
                      <w:color w:val="auto"/>
                      <w:lang w:val="en-US" w:eastAsia="zh-CN"/>
                    </w:rPr>
                    <w:t>62.5</w:t>
                  </w:r>
                </w:p>
              </w:tc>
              <w:tc>
                <w:tcPr>
                  <w:tcW w:w="654" w:type="pct"/>
                  <w:noWrap w:val="0"/>
                  <w:vAlign w:val="center"/>
                </w:tcPr>
                <w:p w14:paraId="63F7B33A">
                  <w:pPr>
                    <w:pStyle w:val="67"/>
                    <w:rPr>
                      <w:rFonts w:hint="default" w:eastAsia="宋体"/>
                      <w:color w:val="auto"/>
                      <w:lang w:val="en-US" w:eastAsia="zh-CN"/>
                    </w:rPr>
                  </w:pPr>
                  <w:r>
                    <w:rPr>
                      <w:rFonts w:hint="eastAsia"/>
                      <w:color w:val="auto"/>
                      <w:lang w:val="en-US" w:eastAsia="zh-CN"/>
                    </w:rPr>
                    <w:t>28</w:t>
                  </w:r>
                </w:p>
              </w:tc>
              <w:tc>
                <w:tcPr>
                  <w:tcW w:w="648" w:type="pct"/>
                  <w:noWrap w:val="0"/>
                  <w:vAlign w:val="center"/>
                </w:tcPr>
                <w:p w14:paraId="49BA7A5B">
                  <w:pPr>
                    <w:pStyle w:val="67"/>
                    <w:rPr>
                      <w:rFonts w:hint="default" w:eastAsia="宋体"/>
                      <w:color w:val="auto"/>
                      <w:lang w:val="en-US" w:eastAsia="zh-CN"/>
                    </w:rPr>
                  </w:pPr>
                  <w:r>
                    <w:rPr>
                      <w:rFonts w:hint="eastAsia"/>
                      <w:color w:val="auto"/>
                      <w:lang w:val="en-US" w:eastAsia="zh-CN"/>
                    </w:rPr>
                    <w:t>62.5</w:t>
                  </w:r>
                </w:p>
              </w:tc>
              <w:tc>
                <w:tcPr>
                  <w:tcW w:w="554" w:type="pct"/>
                  <w:noWrap w:val="0"/>
                  <w:vAlign w:val="center"/>
                </w:tcPr>
                <w:p w14:paraId="08175DFE">
                  <w:pPr>
                    <w:pStyle w:val="67"/>
                    <w:rPr>
                      <w:rFonts w:hint="default" w:ascii="Times New Roman" w:hAnsi="Times New Roman" w:eastAsia="宋体"/>
                      <w:color w:val="auto"/>
                      <w:kern w:val="0"/>
                      <w:sz w:val="21"/>
                      <w:szCs w:val="24"/>
                      <w:lang w:val="en-US" w:eastAsia="zh-CN" w:bidi="ar-SA"/>
                    </w:rPr>
                  </w:pPr>
                  <w:r>
                    <w:rPr>
                      <w:rFonts w:hint="eastAsia"/>
                      <w:color w:val="auto"/>
                      <w:kern w:val="0"/>
                      <w:sz w:val="21"/>
                      <w:szCs w:val="24"/>
                      <w:lang w:val="en-US" w:eastAsia="zh-CN" w:bidi="ar-SA"/>
                    </w:rPr>
                    <w:t>70</w:t>
                  </w:r>
                </w:p>
              </w:tc>
              <w:tc>
                <w:tcPr>
                  <w:tcW w:w="719" w:type="pct"/>
                  <w:noWrap w:val="0"/>
                  <w:vAlign w:val="center"/>
                </w:tcPr>
                <w:p w14:paraId="09CF5BBA">
                  <w:pPr>
                    <w:pStyle w:val="67"/>
                    <w:rPr>
                      <w:rFonts w:hint="eastAsia"/>
                      <w:color w:val="auto"/>
                    </w:rPr>
                  </w:pPr>
                  <w:r>
                    <w:rPr>
                      <w:rFonts w:hint="eastAsia"/>
                      <w:color w:val="auto"/>
                    </w:rPr>
                    <w:t>达标</w:t>
                  </w:r>
                </w:p>
              </w:tc>
            </w:tr>
            <w:tr w14:paraId="7641F5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28" w:type="pct"/>
                  <w:noWrap w:val="0"/>
                  <w:vAlign w:val="center"/>
                </w:tcPr>
                <w:p w14:paraId="59629EF3">
                  <w:pPr>
                    <w:pStyle w:val="67"/>
                    <w:rPr>
                      <w:rFonts w:hint="eastAsia"/>
                      <w:lang w:val="en-US" w:eastAsia="zh-CN"/>
                    </w:rPr>
                  </w:pPr>
                  <w:r>
                    <w:rPr>
                      <w:rFonts w:hint="eastAsia"/>
                      <w:lang w:val="en-US" w:eastAsia="zh-CN"/>
                    </w:rPr>
                    <w:t>N4</w:t>
                  </w:r>
                </w:p>
              </w:tc>
              <w:tc>
                <w:tcPr>
                  <w:tcW w:w="1385" w:type="pct"/>
                  <w:noWrap w:val="0"/>
                  <w:vAlign w:val="center"/>
                </w:tcPr>
                <w:p w14:paraId="3486A709">
                  <w:pPr>
                    <w:pStyle w:val="67"/>
                    <w:rPr>
                      <w:rFonts w:hint="default"/>
                      <w:color w:val="auto"/>
                      <w:lang w:val="en-US" w:eastAsia="zh-CN"/>
                    </w:rPr>
                  </w:pPr>
                  <w:r>
                    <w:rPr>
                      <w:rFonts w:hint="eastAsia"/>
                      <w:color w:val="auto"/>
                      <w:lang w:val="en-US" w:eastAsia="zh-CN"/>
                    </w:rPr>
                    <w:t>善化新8栋北侧</w:t>
                  </w:r>
                </w:p>
              </w:tc>
              <w:tc>
                <w:tcPr>
                  <w:tcW w:w="610" w:type="pct"/>
                  <w:noWrap w:val="0"/>
                  <w:vAlign w:val="center"/>
                </w:tcPr>
                <w:p w14:paraId="6885A2D6">
                  <w:pPr>
                    <w:pStyle w:val="67"/>
                    <w:rPr>
                      <w:rFonts w:hint="default" w:eastAsia="宋体"/>
                      <w:color w:val="auto"/>
                      <w:lang w:val="en-US" w:eastAsia="zh-CN"/>
                    </w:rPr>
                  </w:pPr>
                  <w:r>
                    <w:rPr>
                      <w:rFonts w:hint="eastAsia"/>
                      <w:color w:val="auto"/>
                      <w:lang w:val="en-US" w:eastAsia="zh-CN"/>
                    </w:rPr>
                    <w:t>53.1</w:t>
                  </w:r>
                </w:p>
              </w:tc>
              <w:tc>
                <w:tcPr>
                  <w:tcW w:w="654" w:type="pct"/>
                  <w:noWrap w:val="0"/>
                  <w:vAlign w:val="center"/>
                </w:tcPr>
                <w:p w14:paraId="5AA07780">
                  <w:pPr>
                    <w:pStyle w:val="67"/>
                    <w:rPr>
                      <w:rFonts w:hint="default" w:eastAsia="宋体"/>
                      <w:color w:val="auto"/>
                      <w:lang w:val="en-US" w:eastAsia="zh-CN"/>
                    </w:rPr>
                  </w:pPr>
                  <w:r>
                    <w:rPr>
                      <w:rFonts w:hint="eastAsia"/>
                      <w:color w:val="auto"/>
                      <w:lang w:val="en-US" w:eastAsia="zh-CN"/>
                    </w:rPr>
                    <w:t>48</w:t>
                  </w:r>
                </w:p>
              </w:tc>
              <w:tc>
                <w:tcPr>
                  <w:tcW w:w="648" w:type="pct"/>
                  <w:noWrap w:val="0"/>
                  <w:vAlign w:val="center"/>
                </w:tcPr>
                <w:p w14:paraId="441A8934">
                  <w:pPr>
                    <w:pStyle w:val="67"/>
                    <w:rPr>
                      <w:rFonts w:hint="default" w:eastAsia="宋体"/>
                      <w:color w:val="auto"/>
                      <w:lang w:val="en-US" w:eastAsia="zh-CN"/>
                    </w:rPr>
                  </w:pPr>
                  <w:r>
                    <w:rPr>
                      <w:rFonts w:hint="eastAsia"/>
                      <w:color w:val="auto"/>
                      <w:lang w:val="en-US" w:eastAsia="zh-CN"/>
                    </w:rPr>
                    <w:t>54.3</w:t>
                  </w:r>
                </w:p>
              </w:tc>
              <w:tc>
                <w:tcPr>
                  <w:tcW w:w="554" w:type="pct"/>
                  <w:noWrap w:val="0"/>
                  <w:vAlign w:val="center"/>
                </w:tcPr>
                <w:p w14:paraId="61709258">
                  <w:pPr>
                    <w:pStyle w:val="67"/>
                    <w:rPr>
                      <w:rFonts w:hint="default" w:ascii="Times New Roman" w:hAnsi="Times New Roman" w:eastAsia="宋体"/>
                      <w:color w:val="auto"/>
                      <w:kern w:val="0"/>
                      <w:sz w:val="21"/>
                      <w:szCs w:val="24"/>
                      <w:lang w:val="en-US" w:eastAsia="zh-CN" w:bidi="ar-SA"/>
                    </w:rPr>
                  </w:pPr>
                  <w:r>
                    <w:rPr>
                      <w:rFonts w:hint="eastAsia"/>
                      <w:color w:val="auto"/>
                      <w:kern w:val="0"/>
                      <w:sz w:val="21"/>
                      <w:szCs w:val="24"/>
                      <w:lang w:val="en-US" w:eastAsia="zh-CN" w:bidi="ar-SA"/>
                    </w:rPr>
                    <w:t>60</w:t>
                  </w:r>
                </w:p>
              </w:tc>
              <w:tc>
                <w:tcPr>
                  <w:tcW w:w="719" w:type="pct"/>
                  <w:noWrap w:val="0"/>
                  <w:vAlign w:val="center"/>
                </w:tcPr>
                <w:p w14:paraId="2192F0CD">
                  <w:pPr>
                    <w:pStyle w:val="67"/>
                    <w:rPr>
                      <w:rFonts w:hint="eastAsia"/>
                      <w:color w:val="auto"/>
                    </w:rPr>
                  </w:pPr>
                  <w:r>
                    <w:rPr>
                      <w:rFonts w:hint="eastAsia"/>
                      <w:color w:val="auto"/>
                    </w:rPr>
                    <w:t>达标</w:t>
                  </w:r>
                </w:p>
              </w:tc>
            </w:tr>
            <w:tr w14:paraId="562888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28" w:type="pct"/>
                  <w:noWrap w:val="0"/>
                  <w:vAlign w:val="center"/>
                </w:tcPr>
                <w:p w14:paraId="773D0D1D">
                  <w:pPr>
                    <w:pStyle w:val="67"/>
                    <w:rPr>
                      <w:rFonts w:hint="eastAsia" w:eastAsia="宋体"/>
                      <w:lang w:eastAsia="zh-CN"/>
                    </w:rPr>
                  </w:pPr>
                  <w:r>
                    <w:rPr>
                      <w:rFonts w:hint="eastAsia"/>
                      <w:lang w:val="en-US" w:eastAsia="zh-CN"/>
                    </w:rPr>
                    <w:t>N5</w:t>
                  </w:r>
                </w:p>
              </w:tc>
              <w:tc>
                <w:tcPr>
                  <w:tcW w:w="1385" w:type="pct"/>
                  <w:noWrap w:val="0"/>
                  <w:vAlign w:val="center"/>
                </w:tcPr>
                <w:p w14:paraId="0496598F">
                  <w:pPr>
                    <w:pStyle w:val="67"/>
                    <w:rPr>
                      <w:color w:val="auto"/>
                    </w:rPr>
                  </w:pPr>
                  <w:r>
                    <w:rPr>
                      <w:rFonts w:hint="eastAsia"/>
                      <w:color w:val="auto"/>
                      <w:lang w:val="en-US" w:eastAsia="zh-CN"/>
                    </w:rPr>
                    <w:t>善化新8栋东侧</w:t>
                  </w:r>
                </w:p>
              </w:tc>
              <w:tc>
                <w:tcPr>
                  <w:tcW w:w="610" w:type="pct"/>
                  <w:noWrap w:val="0"/>
                  <w:vAlign w:val="center"/>
                </w:tcPr>
                <w:p w14:paraId="2719C8BC">
                  <w:pPr>
                    <w:pStyle w:val="67"/>
                    <w:rPr>
                      <w:rFonts w:hint="default" w:eastAsia="宋体"/>
                      <w:color w:val="auto"/>
                      <w:lang w:val="en-US" w:eastAsia="zh-CN"/>
                    </w:rPr>
                  </w:pPr>
                  <w:r>
                    <w:rPr>
                      <w:rFonts w:hint="eastAsia"/>
                      <w:color w:val="auto"/>
                      <w:lang w:val="en-US" w:eastAsia="zh-CN"/>
                    </w:rPr>
                    <w:t>61.4</w:t>
                  </w:r>
                </w:p>
              </w:tc>
              <w:tc>
                <w:tcPr>
                  <w:tcW w:w="654" w:type="pct"/>
                  <w:noWrap w:val="0"/>
                  <w:vAlign w:val="center"/>
                </w:tcPr>
                <w:p w14:paraId="16BDE97F">
                  <w:pPr>
                    <w:pStyle w:val="67"/>
                    <w:rPr>
                      <w:rFonts w:hint="default" w:eastAsia="宋体"/>
                      <w:color w:val="auto"/>
                      <w:lang w:val="en-US" w:eastAsia="zh-CN"/>
                    </w:rPr>
                  </w:pPr>
                  <w:r>
                    <w:rPr>
                      <w:rFonts w:hint="eastAsia"/>
                      <w:color w:val="auto"/>
                      <w:lang w:val="en-US" w:eastAsia="zh-CN"/>
                    </w:rPr>
                    <w:t>36</w:t>
                  </w:r>
                </w:p>
              </w:tc>
              <w:tc>
                <w:tcPr>
                  <w:tcW w:w="648" w:type="pct"/>
                  <w:noWrap w:val="0"/>
                  <w:vAlign w:val="center"/>
                </w:tcPr>
                <w:p w14:paraId="43C313EE">
                  <w:pPr>
                    <w:pStyle w:val="67"/>
                    <w:rPr>
                      <w:rFonts w:hint="default" w:eastAsia="宋体"/>
                      <w:color w:val="auto"/>
                      <w:lang w:val="en-US" w:eastAsia="zh-CN"/>
                    </w:rPr>
                  </w:pPr>
                  <w:r>
                    <w:rPr>
                      <w:rFonts w:hint="eastAsia"/>
                      <w:color w:val="auto"/>
                      <w:lang w:val="en-US" w:eastAsia="zh-CN"/>
                    </w:rPr>
                    <w:t>61.41</w:t>
                  </w:r>
                </w:p>
              </w:tc>
              <w:tc>
                <w:tcPr>
                  <w:tcW w:w="554" w:type="pct"/>
                  <w:noWrap w:val="0"/>
                  <w:vAlign w:val="center"/>
                </w:tcPr>
                <w:p w14:paraId="2152287F">
                  <w:pPr>
                    <w:pStyle w:val="67"/>
                    <w:rPr>
                      <w:rFonts w:hint="default" w:ascii="Times New Roman" w:hAnsi="Times New Roman" w:eastAsia="宋体"/>
                      <w:color w:val="auto"/>
                      <w:kern w:val="0"/>
                      <w:sz w:val="21"/>
                      <w:szCs w:val="24"/>
                      <w:lang w:val="en-US" w:eastAsia="zh-CN" w:bidi="ar-SA"/>
                    </w:rPr>
                  </w:pPr>
                  <w:r>
                    <w:rPr>
                      <w:rFonts w:hint="eastAsia"/>
                      <w:color w:val="auto"/>
                      <w:lang w:val="en-US" w:eastAsia="zh-CN"/>
                    </w:rPr>
                    <w:t>70</w:t>
                  </w:r>
                </w:p>
              </w:tc>
              <w:tc>
                <w:tcPr>
                  <w:tcW w:w="719" w:type="pct"/>
                  <w:noWrap w:val="0"/>
                  <w:vAlign w:val="center"/>
                </w:tcPr>
                <w:p w14:paraId="50A9E972">
                  <w:pPr>
                    <w:pStyle w:val="67"/>
                    <w:rPr>
                      <w:color w:val="auto"/>
                    </w:rPr>
                  </w:pPr>
                  <w:r>
                    <w:rPr>
                      <w:rFonts w:hint="eastAsia"/>
                      <w:color w:val="auto"/>
                    </w:rPr>
                    <w:t>达标</w:t>
                  </w:r>
                </w:p>
              </w:tc>
            </w:tr>
          </w:tbl>
          <w:p w14:paraId="0EA885AD">
            <w:pPr>
              <w:pStyle w:val="76"/>
              <w:ind w:firstLine="480"/>
              <w:rPr>
                <w:color w:val="auto"/>
                <w:szCs w:val="24"/>
              </w:rPr>
            </w:pPr>
            <w:r>
              <w:rPr>
                <w:color w:val="auto"/>
              </w:rPr>
              <w:t>根据预测结果可知，本项目采取有效的降噪措施后厂界贡献值为</w:t>
            </w:r>
            <w:r>
              <w:rPr>
                <w:rFonts w:hint="eastAsia"/>
                <w:color w:val="auto"/>
                <w:lang w:val="en-US" w:eastAsia="zh-CN"/>
              </w:rPr>
              <w:t>49-66.2</w:t>
            </w:r>
            <w:r>
              <w:rPr>
                <w:color w:val="auto"/>
              </w:rPr>
              <w:t>dB（A），符合《社会生活环境噪声排放标准》（GB22337-2008）中的</w:t>
            </w:r>
            <w:r>
              <w:rPr>
                <w:rFonts w:hint="eastAsia"/>
                <w:color w:val="auto"/>
                <w:lang w:val="en-US" w:eastAsia="zh-CN"/>
              </w:rPr>
              <w:t>4</w:t>
            </w:r>
            <w:r>
              <w:rPr>
                <w:color w:val="auto"/>
              </w:rPr>
              <w:t>类标准</w:t>
            </w:r>
            <w:r>
              <w:rPr>
                <w:rFonts w:hint="eastAsia"/>
                <w:color w:val="auto"/>
                <w:lang w:eastAsia="zh-CN"/>
              </w:rPr>
              <w:t>（</w:t>
            </w:r>
            <w:r>
              <w:rPr>
                <w:color w:val="auto"/>
              </w:rPr>
              <w:t>昼间≤</w:t>
            </w:r>
            <w:r>
              <w:rPr>
                <w:rFonts w:hint="eastAsia"/>
                <w:color w:val="auto"/>
                <w:lang w:val="en-US" w:eastAsia="zh-CN"/>
              </w:rPr>
              <w:t>70</w:t>
            </w:r>
            <w:r>
              <w:rPr>
                <w:color w:val="auto"/>
              </w:rPr>
              <w:t>dB（A）</w:t>
            </w:r>
            <w:r>
              <w:rPr>
                <w:rFonts w:hint="eastAsia"/>
                <w:color w:val="auto"/>
                <w:lang w:eastAsia="zh-CN"/>
              </w:rPr>
              <w:t>），</w:t>
            </w:r>
            <w:r>
              <w:rPr>
                <w:rFonts w:hint="eastAsia"/>
                <w:color w:val="auto"/>
                <w:lang w:val="en-US" w:eastAsia="zh-CN"/>
              </w:rPr>
              <w:t>敏感点</w:t>
            </w:r>
            <w:r>
              <w:rPr>
                <w:color w:val="auto"/>
              </w:rPr>
              <w:t>可满足</w:t>
            </w:r>
            <w:r>
              <w:rPr>
                <w:color w:val="auto"/>
                <w:szCs w:val="24"/>
              </w:rPr>
              <w:t>《声环境质量标准》（GB3096-2008）</w:t>
            </w:r>
            <w:r>
              <w:rPr>
                <w:rFonts w:hint="eastAsia"/>
                <w:color w:val="auto"/>
                <w:szCs w:val="24"/>
                <w:lang w:val="en-US" w:eastAsia="zh-CN"/>
              </w:rPr>
              <w:t>4a</w:t>
            </w:r>
            <w:r>
              <w:rPr>
                <w:color w:val="auto"/>
                <w:szCs w:val="24"/>
              </w:rPr>
              <w:t>类标准</w:t>
            </w:r>
            <w:r>
              <w:rPr>
                <w:rFonts w:hint="eastAsia"/>
                <w:color w:val="auto"/>
                <w:szCs w:val="24"/>
                <w:lang w:eastAsia="zh-CN"/>
              </w:rPr>
              <w:t>（</w:t>
            </w:r>
            <w:r>
              <w:rPr>
                <w:color w:val="auto"/>
                <w:szCs w:val="24"/>
              </w:rPr>
              <w:t>昼间≤</w:t>
            </w:r>
            <w:r>
              <w:rPr>
                <w:rFonts w:hint="eastAsia"/>
                <w:color w:val="auto"/>
                <w:szCs w:val="24"/>
                <w:lang w:val="en-US" w:eastAsia="zh-CN"/>
              </w:rPr>
              <w:t>70</w:t>
            </w:r>
            <w:r>
              <w:rPr>
                <w:color w:val="auto"/>
                <w:szCs w:val="24"/>
              </w:rPr>
              <w:t>dB（A）</w:t>
            </w:r>
            <w:r>
              <w:rPr>
                <w:rFonts w:hint="eastAsia"/>
                <w:color w:val="auto"/>
                <w:szCs w:val="24"/>
                <w:lang w:eastAsia="zh-CN"/>
              </w:rPr>
              <w:t>）</w:t>
            </w:r>
            <w:r>
              <w:rPr>
                <w:rFonts w:hint="eastAsia"/>
                <w:color w:val="auto"/>
                <w:szCs w:val="24"/>
                <w:lang w:val="en-US" w:eastAsia="zh-CN"/>
              </w:rPr>
              <w:t>和</w:t>
            </w:r>
            <w:r>
              <w:rPr>
                <w:color w:val="auto"/>
                <w:szCs w:val="24"/>
              </w:rPr>
              <w:t>2类标准</w:t>
            </w:r>
            <w:r>
              <w:rPr>
                <w:rFonts w:hint="eastAsia"/>
                <w:color w:val="auto"/>
                <w:szCs w:val="24"/>
                <w:lang w:eastAsia="zh-CN"/>
              </w:rPr>
              <w:t>（</w:t>
            </w:r>
            <w:r>
              <w:rPr>
                <w:color w:val="auto"/>
                <w:szCs w:val="24"/>
              </w:rPr>
              <w:t>昼间≤60dB（A）</w:t>
            </w:r>
            <w:r>
              <w:rPr>
                <w:rFonts w:hint="eastAsia"/>
                <w:color w:val="auto"/>
                <w:szCs w:val="24"/>
                <w:lang w:eastAsia="zh-CN"/>
              </w:rPr>
              <w:t>）</w:t>
            </w:r>
            <w:r>
              <w:rPr>
                <w:color w:val="auto"/>
                <w:szCs w:val="24"/>
              </w:rPr>
              <w:t>。</w:t>
            </w:r>
          </w:p>
          <w:p w14:paraId="7F4D5755">
            <w:pPr>
              <w:pStyle w:val="76"/>
              <w:ind w:firstLine="480"/>
              <w:rPr>
                <w:color w:val="auto"/>
              </w:rPr>
            </w:pPr>
            <w:r>
              <w:rPr>
                <w:color w:val="auto"/>
              </w:rPr>
              <w:t>因此，本次项目噪声对周边环境影响较小。</w:t>
            </w:r>
          </w:p>
          <w:p w14:paraId="3BD2A37A">
            <w:pPr>
              <w:pStyle w:val="6"/>
              <w:numPr>
                <w:ilvl w:val="0"/>
                <w:numId w:val="0"/>
              </w:numPr>
              <w:tabs>
                <w:tab w:val="left" w:pos="0"/>
              </w:tabs>
              <w:ind w:left="993" w:leftChars="0" w:hanging="993" w:firstLineChars="0"/>
            </w:pPr>
            <w:r>
              <w:rPr>
                <w:rFonts w:hint="eastAsia" w:ascii="Times New Roman" w:hAnsi="Times New Roman" w:eastAsia="宋体" w:cs="宋体"/>
                <w:b/>
                <w:bCs/>
                <w:kern w:val="2"/>
                <w:sz w:val="28"/>
                <w:szCs w:val="32"/>
                <w:lang w:val="en-US" w:eastAsia="zh-CN" w:bidi="ar-SA"/>
              </w:rPr>
              <w:t>4.7.2</w:t>
            </w:r>
            <w:r>
              <w:rPr>
                <w:rFonts w:hint="eastAsia"/>
              </w:rPr>
              <w:t>措施可行性分析</w:t>
            </w:r>
          </w:p>
          <w:p w14:paraId="57269033">
            <w:pPr>
              <w:pStyle w:val="76"/>
              <w:ind w:firstLine="480"/>
              <w:rPr>
                <w:rFonts w:hint="default"/>
              </w:rPr>
            </w:pPr>
            <w:r>
              <w:rPr>
                <w:rFonts w:hint="default"/>
              </w:rPr>
              <w:t>根据工程分析，本项目的主要噪声源是</w:t>
            </w:r>
            <w:r>
              <w:t>空调机及动物鸣叫</w:t>
            </w:r>
            <w:r>
              <w:rPr>
                <w:rFonts w:hint="default"/>
              </w:rPr>
              <w:t>等。为了确保环境噪声符合</w:t>
            </w:r>
            <w:r>
              <w:t>《社会生活环境噪声排放标准》（GB22337-2008）2</w:t>
            </w:r>
            <w:r>
              <w:rPr>
                <w:rFonts w:hint="default"/>
              </w:rPr>
              <w:t>类标准，建设单位应采取如下措施：</w:t>
            </w:r>
          </w:p>
          <w:p w14:paraId="36607B64">
            <w:pPr>
              <w:pStyle w:val="76"/>
              <w:ind w:firstLine="480"/>
              <w:rPr>
                <w:rFonts w:hint="default"/>
              </w:rPr>
            </w:pPr>
            <w:r>
              <w:t>①空调设备应</w:t>
            </w:r>
            <w:r>
              <w:rPr>
                <w:rFonts w:hint="default"/>
              </w:rPr>
              <w:t>加装</w:t>
            </w:r>
            <w:r>
              <w:t>消声器</w:t>
            </w:r>
            <w:r>
              <w:rPr>
                <w:rFonts w:hint="default"/>
              </w:rPr>
              <w:t>，以减少噪声的辐射；</w:t>
            </w:r>
          </w:p>
          <w:p w14:paraId="76FC143C">
            <w:pPr>
              <w:pStyle w:val="76"/>
              <w:ind w:firstLine="480"/>
              <w:rPr>
                <w:rFonts w:hint="default"/>
              </w:rPr>
            </w:pPr>
            <w:r>
              <w:t>②对动物进行安抚，减少动物鸣叫</w:t>
            </w:r>
          </w:p>
          <w:p w14:paraId="7DB679D2">
            <w:pPr>
              <w:pStyle w:val="76"/>
              <w:ind w:firstLine="480"/>
              <w:rPr>
                <w:rFonts w:hint="default"/>
              </w:rPr>
            </w:pPr>
            <w:r>
              <w:t>在采取上述措施后。根据表4.7-3、4.7-4预测结果，项目边界噪声贡献值可满足《社会生活环境噪声排放标准》（GB22337-2008）中的2类标准。周边敏感点噪声叠加预测值满足《声环境质量标准》（GB3096-2008）2类标准。</w:t>
            </w:r>
          </w:p>
          <w:p w14:paraId="04E98997">
            <w:pPr>
              <w:pStyle w:val="76"/>
              <w:ind w:firstLine="480"/>
            </w:pPr>
            <w:r>
              <w:t>综上所述，</w:t>
            </w:r>
            <w:r>
              <w:rPr>
                <w:rFonts w:hint="default"/>
              </w:rPr>
              <w:t>本项目的噪声污染防治措施是可行的。</w:t>
            </w:r>
          </w:p>
          <w:p w14:paraId="42F90CBD">
            <w:pPr>
              <w:pStyle w:val="5"/>
              <w:numPr>
                <w:ilvl w:val="0"/>
                <w:numId w:val="0"/>
              </w:numPr>
              <w:spacing w:before="120" w:after="120"/>
              <w:ind w:left="0" w:leftChars="0" w:firstLine="0" w:firstLineChars="0"/>
              <w:rPr>
                <w:rFonts w:hint="eastAsia"/>
              </w:rPr>
            </w:pPr>
            <w:r>
              <w:rPr>
                <w:rFonts w:hint="eastAsia" w:ascii="Times New Roman" w:hAnsi="Times New Roman" w:eastAsia="宋体" w:cs="宋体"/>
                <w:b/>
                <w:bCs/>
                <w:color w:val="000000"/>
                <w:kern w:val="44"/>
                <w:sz w:val="30"/>
                <w:szCs w:val="32"/>
                <w:lang w:val="en-US" w:eastAsia="zh-CN" w:bidi="ar-SA"/>
              </w:rPr>
              <w:t>4.8</w:t>
            </w:r>
            <w:r>
              <w:rPr>
                <w:rFonts w:hint="eastAsia"/>
              </w:rPr>
              <w:t>固体废物</w:t>
            </w:r>
          </w:p>
          <w:p w14:paraId="3AB094D5">
            <w:pPr>
              <w:pStyle w:val="6"/>
              <w:numPr>
                <w:ilvl w:val="0"/>
                <w:numId w:val="0"/>
              </w:numPr>
              <w:tabs>
                <w:tab w:val="left" w:pos="0"/>
              </w:tabs>
              <w:ind w:left="993" w:leftChars="0" w:hanging="993" w:firstLineChars="0"/>
            </w:pPr>
            <w:r>
              <w:rPr>
                <w:rFonts w:hint="eastAsia" w:ascii="Times New Roman" w:hAnsi="Times New Roman" w:eastAsia="宋体" w:cs="宋体"/>
                <w:b/>
                <w:bCs/>
                <w:kern w:val="2"/>
                <w:sz w:val="28"/>
                <w:szCs w:val="32"/>
                <w:lang w:val="en-US" w:eastAsia="zh-CN" w:bidi="ar-SA"/>
              </w:rPr>
              <w:t>4.8.1</w:t>
            </w:r>
            <w:r>
              <w:rPr>
                <w:rFonts w:hint="eastAsia"/>
              </w:rPr>
              <w:t>污染源强分析</w:t>
            </w:r>
          </w:p>
          <w:p w14:paraId="0DDA6684">
            <w:pPr>
              <w:pStyle w:val="76"/>
              <w:ind w:firstLine="480"/>
              <w:rPr>
                <w:rFonts w:hint="default"/>
              </w:rPr>
            </w:pPr>
            <w:r>
              <w:t>本项目运营期所产生的固体废物主要来自宠物医疗废物、职工产生的生活垃圾。</w:t>
            </w:r>
          </w:p>
          <w:p w14:paraId="0E75ECF0">
            <w:pPr>
              <w:pStyle w:val="76"/>
              <w:ind w:firstLine="480"/>
            </w:pPr>
            <w:r>
              <w:t>（1）生活垃圾</w:t>
            </w:r>
          </w:p>
          <w:p w14:paraId="42C6CB55">
            <w:pPr>
              <w:pStyle w:val="76"/>
              <w:ind w:firstLine="480"/>
              <w:rPr>
                <w:rFonts w:hint="default"/>
                <w:color w:val="FF0000"/>
              </w:rPr>
            </w:pPr>
            <w:r>
              <w:rPr>
                <w:color w:val="auto"/>
              </w:rPr>
              <w:t>本项目</w:t>
            </w:r>
            <w:r>
              <w:rPr>
                <w:rFonts w:hint="default"/>
                <w:color w:val="auto"/>
              </w:rPr>
              <w:t>职工</w:t>
            </w:r>
            <w:r>
              <w:rPr>
                <w:rFonts w:hint="eastAsia"/>
                <w:color w:val="auto"/>
                <w:lang w:val="en-US" w:eastAsia="zh-CN"/>
              </w:rPr>
              <w:t>5</w:t>
            </w:r>
            <w:r>
              <w:rPr>
                <w:rFonts w:hint="default"/>
                <w:color w:val="auto"/>
              </w:rPr>
              <w:t>人，均无住宿，年工作日36</w:t>
            </w:r>
            <w:r>
              <w:rPr>
                <w:rFonts w:hint="eastAsia"/>
                <w:color w:val="auto"/>
                <w:lang w:val="en-US" w:eastAsia="zh-CN"/>
              </w:rPr>
              <w:t>0</w:t>
            </w:r>
            <w:r>
              <w:rPr>
                <w:rFonts w:hint="default"/>
                <w:color w:val="auto"/>
              </w:rPr>
              <w:t>天</w:t>
            </w:r>
            <w:r>
              <w:rPr>
                <w:rFonts w:hint="eastAsia"/>
                <w:color w:val="auto"/>
                <w:lang w:eastAsia="zh-CN"/>
              </w:rPr>
              <w:t>，</w:t>
            </w:r>
            <w:r>
              <w:rPr>
                <w:rFonts w:hint="default" w:cs="Times New Roman"/>
                <w:color w:val="auto"/>
              </w:rPr>
              <w:t>不住宿生活垃圾按0.5kg/人·d</w:t>
            </w:r>
            <w:r>
              <w:rPr>
                <w:color w:val="auto"/>
              </w:rPr>
              <w:t>，则生活垃圾产生量为</w:t>
            </w:r>
            <w:r>
              <w:rPr>
                <w:rFonts w:hint="eastAsia"/>
                <w:color w:val="auto"/>
                <w:lang w:val="en-US" w:eastAsia="zh-CN"/>
              </w:rPr>
              <w:t>0.9</w:t>
            </w:r>
            <w:r>
              <w:rPr>
                <w:color w:val="auto"/>
              </w:rPr>
              <w:t>t/a。生活垃圾由环卫部门统一清运。</w:t>
            </w:r>
          </w:p>
          <w:p w14:paraId="548AC908">
            <w:pPr>
              <w:pStyle w:val="76"/>
              <w:ind w:firstLine="480"/>
              <w:rPr>
                <w:rFonts w:hint="default"/>
              </w:rPr>
            </w:pPr>
            <w:r>
              <w:t>（2）宠物医疗废物</w:t>
            </w:r>
          </w:p>
          <w:p w14:paraId="32D60981">
            <w:pPr>
              <w:pStyle w:val="76"/>
              <w:ind w:firstLine="480"/>
              <w:rPr>
                <w:rFonts w:hint="default"/>
              </w:rPr>
            </w:pPr>
            <w:r>
              <w:t>本项目宠物医疗废物主要为宠物排便、废检测试剂盒、一次性输液管、针管、医用棉球、纱布、针头、废弃药品、手术废弃组织。本项目对病死类动物不进行处理，由原主人带回自行处置。</w:t>
            </w:r>
          </w:p>
          <w:p w14:paraId="5669CFC0">
            <w:pPr>
              <w:pStyle w:val="76"/>
              <w:ind w:firstLine="480"/>
            </w:pPr>
            <w:r>
              <w:t>项目宠物医疗废物产生量类比《济南云宠乐善宠物医院有限公司浆水泉路分公司宠物医院项目竣工环境保护验收监测报告》（2019年6月）中现状产生量。详见表4.8-1。</w:t>
            </w:r>
          </w:p>
          <w:p w14:paraId="6977114F">
            <w:pPr>
              <w:pStyle w:val="76"/>
              <w:ind w:firstLine="480"/>
              <w:rPr>
                <w:color w:val="auto"/>
              </w:rPr>
            </w:pPr>
            <w:r>
              <w:rPr>
                <w:color w:val="auto"/>
              </w:rPr>
              <w:t>（3）污水处理污泥</w:t>
            </w:r>
          </w:p>
          <w:p w14:paraId="57D060D1">
            <w:pPr>
              <w:pStyle w:val="76"/>
              <w:ind w:firstLine="480"/>
              <w:rPr>
                <w:color w:val="auto"/>
              </w:rPr>
            </w:pPr>
            <w:r>
              <w:rPr>
                <w:color w:val="auto"/>
              </w:rPr>
              <w:t>本项目设有一体化污水处理设施，该设施产生的污泥含有病原微生物。污水处理设施处理的污水量为</w:t>
            </w:r>
            <w:r>
              <w:rPr>
                <w:rFonts w:hint="eastAsia"/>
                <w:color w:val="auto"/>
                <w:lang w:val="en-US" w:eastAsia="zh-CN"/>
              </w:rPr>
              <w:t>9.18</w:t>
            </w:r>
            <w:r>
              <w:rPr>
                <w:color w:val="auto"/>
              </w:rPr>
              <w:t>t/a，污泥产生系数按0.1kg污泥/t废水计，则该医院污泥产生量约为0.00</w:t>
            </w:r>
            <w:r>
              <w:rPr>
                <w:rFonts w:hint="eastAsia"/>
                <w:color w:val="auto"/>
                <w:lang w:val="en-US" w:eastAsia="zh-CN"/>
              </w:rPr>
              <w:t>1</w:t>
            </w:r>
            <w:r>
              <w:rPr>
                <w:color w:val="auto"/>
              </w:rPr>
              <w:t>t/a，属于《国家危险废物名录（2021年版）》中的危废（HW01危废代码：831-001-01），定期清掏，交由有资质的单位安全处置。</w:t>
            </w:r>
          </w:p>
          <w:p w14:paraId="1D1AE2DB">
            <w:pPr>
              <w:pStyle w:val="63"/>
              <w:numPr>
                <w:ilvl w:val="0"/>
                <w:numId w:val="0"/>
              </w:numPr>
              <w:ind w:left="0" w:leftChars="0" w:firstLine="0" w:firstLineChars="0"/>
            </w:pPr>
            <w:r>
              <w:rPr>
                <w:rFonts w:hint="eastAsia" w:ascii="Times New Roman" w:hAnsi="Times New Roman" w:eastAsia="宋体" w:cs="宋体"/>
                <w:b/>
                <w:kern w:val="2"/>
                <w:sz w:val="24"/>
                <w:szCs w:val="24"/>
                <w:lang w:val="en-US" w:eastAsia="zh-CN" w:bidi="ar-SA"/>
              </w:rPr>
              <w:t>表4.8-1</w:t>
            </w:r>
            <w:r>
              <w:rPr>
                <w:rFonts w:hint="eastAsia"/>
              </w:rPr>
              <w:t>宠物医疗废物产生量</w:t>
            </w:r>
          </w:p>
          <w:tbl>
            <w:tblPr>
              <w:tblStyle w:val="25"/>
              <w:tblW w:w="0" w:type="auto"/>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24"/>
              <w:gridCol w:w="1559"/>
              <w:gridCol w:w="1357"/>
              <w:gridCol w:w="1144"/>
              <w:gridCol w:w="1469"/>
              <w:gridCol w:w="1589"/>
            </w:tblGrid>
            <w:tr w14:paraId="239A3D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3742" w:type="dxa"/>
                  <w:gridSpan w:val="3"/>
                  <w:noWrap w:val="0"/>
                  <w:vAlign w:val="center"/>
                </w:tcPr>
                <w:p w14:paraId="7526D8DE">
                  <w:pPr>
                    <w:pStyle w:val="67"/>
                  </w:pPr>
                  <w:r>
                    <w:rPr>
                      <w:rFonts w:hint="eastAsia"/>
                    </w:rPr>
                    <w:t>类比项目</w:t>
                  </w:r>
                </w:p>
              </w:tc>
              <w:tc>
                <w:tcPr>
                  <w:tcW w:w="4204" w:type="dxa"/>
                  <w:gridSpan w:val="3"/>
                  <w:noWrap w:val="0"/>
                  <w:vAlign w:val="center"/>
                </w:tcPr>
                <w:p w14:paraId="0D7618C4">
                  <w:pPr>
                    <w:pStyle w:val="67"/>
                  </w:pPr>
                  <w:r>
                    <w:rPr>
                      <w:rFonts w:hint="eastAsia"/>
                    </w:rPr>
                    <w:t>本项目</w:t>
                  </w:r>
                </w:p>
              </w:tc>
            </w:tr>
            <w:tr w14:paraId="63C2AA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824" w:type="dxa"/>
                  <w:noWrap w:val="0"/>
                  <w:vAlign w:val="center"/>
                </w:tcPr>
                <w:p w14:paraId="16BE177E">
                  <w:pPr>
                    <w:pStyle w:val="67"/>
                  </w:pPr>
                  <w:r>
                    <w:rPr>
                      <w:rFonts w:hint="eastAsia"/>
                    </w:rPr>
                    <w:t>规模</w:t>
                  </w:r>
                </w:p>
              </w:tc>
              <w:tc>
                <w:tcPr>
                  <w:tcW w:w="1560" w:type="dxa"/>
                  <w:noWrap w:val="0"/>
                  <w:vAlign w:val="center"/>
                </w:tcPr>
                <w:p w14:paraId="502E7D19">
                  <w:pPr>
                    <w:pStyle w:val="67"/>
                  </w:pPr>
                  <w:r>
                    <w:rPr>
                      <w:rFonts w:hint="eastAsia"/>
                    </w:rPr>
                    <w:t>危废名称</w:t>
                  </w:r>
                </w:p>
              </w:tc>
              <w:tc>
                <w:tcPr>
                  <w:tcW w:w="1358" w:type="dxa"/>
                  <w:noWrap w:val="0"/>
                  <w:vAlign w:val="center"/>
                </w:tcPr>
                <w:p w14:paraId="2E981F40">
                  <w:pPr>
                    <w:pStyle w:val="67"/>
                  </w:pPr>
                  <w:r>
                    <w:rPr>
                      <w:rFonts w:hint="eastAsia"/>
                    </w:rPr>
                    <w:t>产生量t/a</w:t>
                  </w:r>
                </w:p>
              </w:tc>
              <w:tc>
                <w:tcPr>
                  <w:tcW w:w="1144" w:type="dxa"/>
                  <w:noWrap w:val="0"/>
                  <w:vAlign w:val="center"/>
                </w:tcPr>
                <w:p w14:paraId="69AA6929">
                  <w:pPr>
                    <w:pStyle w:val="67"/>
                  </w:pPr>
                  <w:r>
                    <w:rPr>
                      <w:rFonts w:hint="eastAsia"/>
                    </w:rPr>
                    <w:t>规模</w:t>
                  </w:r>
                </w:p>
              </w:tc>
              <w:tc>
                <w:tcPr>
                  <w:tcW w:w="1470" w:type="dxa"/>
                  <w:noWrap w:val="0"/>
                  <w:vAlign w:val="center"/>
                </w:tcPr>
                <w:p w14:paraId="4EFE9D59">
                  <w:pPr>
                    <w:pStyle w:val="67"/>
                  </w:pPr>
                  <w:r>
                    <w:rPr>
                      <w:rFonts w:hint="eastAsia"/>
                    </w:rPr>
                    <w:t>危废名称</w:t>
                  </w:r>
                </w:p>
              </w:tc>
              <w:tc>
                <w:tcPr>
                  <w:tcW w:w="1590" w:type="dxa"/>
                  <w:noWrap w:val="0"/>
                  <w:vAlign w:val="center"/>
                </w:tcPr>
                <w:p w14:paraId="2F31B4D5">
                  <w:pPr>
                    <w:pStyle w:val="67"/>
                  </w:pPr>
                  <w:r>
                    <w:rPr>
                      <w:rFonts w:hint="eastAsia"/>
                    </w:rPr>
                    <w:t>产生量t/a</w:t>
                  </w:r>
                </w:p>
              </w:tc>
            </w:tr>
            <w:tr w14:paraId="5CA337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24" w:type="dxa"/>
                  <w:vMerge w:val="restart"/>
                  <w:noWrap w:val="0"/>
                  <w:vAlign w:val="center"/>
                </w:tcPr>
                <w:p w14:paraId="410223F9">
                  <w:pPr>
                    <w:pStyle w:val="67"/>
                  </w:pPr>
                  <w:r>
                    <w:rPr>
                      <w:rFonts w:hint="eastAsia"/>
                    </w:rPr>
                    <w:t>日接待宠物15例，运营365d/a，每天12h</w:t>
                  </w:r>
                </w:p>
              </w:tc>
              <w:tc>
                <w:tcPr>
                  <w:tcW w:w="1560" w:type="dxa"/>
                  <w:noWrap w:val="0"/>
                  <w:vAlign w:val="center"/>
                </w:tcPr>
                <w:p w14:paraId="52A99B80">
                  <w:pPr>
                    <w:pStyle w:val="67"/>
                  </w:pPr>
                  <w:r>
                    <w:rPr>
                      <w:rFonts w:hint="eastAsia"/>
                    </w:rPr>
                    <w:t>宠物排便、废检测试剂盒、一次性输液管、针管、医用棉球、纱布</w:t>
                  </w:r>
                </w:p>
              </w:tc>
              <w:tc>
                <w:tcPr>
                  <w:tcW w:w="1358" w:type="dxa"/>
                  <w:noWrap w:val="0"/>
                  <w:vAlign w:val="center"/>
                </w:tcPr>
                <w:p w14:paraId="76BAA647">
                  <w:pPr>
                    <w:pStyle w:val="67"/>
                  </w:pPr>
                  <w:r>
                    <w:rPr>
                      <w:rFonts w:hint="eastAsia"/>
                    </w:rPr>
                    <w:t>0.1</w:t>
                  </w:r>
                </w:p>
              </w:tc>
              <w:tc>
                <w:tcPr>
                  <w:tcW w:w="1144" w:type="dxa"/>
                  <w:vMerge w:val="restart"/>
                  <w:noWrap w:val="0"/>
                  <w:vAlign w:val="center"/>
                </w:tcPr>
                <w:p w14:paraId="3EB367A1">
                  <w:pPr>
                    <w:pStyle w:val="67"/>
                  </w:pPr>
                  <w:r>
                    <w:rPr>
                      <w:rFonts w:hint="eastAsia"/>
                    </w:rPr>
                    <w:t>日接待宠物</w:t>
                  </w:r>
                  <w:r>
                    <w:rPr>
                      <w:rFonts w:hint="eastAsia"/>
                      <w:lang w:val="en-US" w:eastAsia="zh-CN"/>
                    </w:rPr>
                    <w:t>2</w:t>
                  </w:r>
                  <w:r>
                    <w:rPr>
                      <w:rFonts w:hint="eastAsia"/>
                    </w:rPr>
                    <w:t>例，运营36</w:t>
                  </w:r>
                  <w:r>
                    <w:rPr>
                      <w:rFonts w:hint="eastAsia"/>
                      <w:lang w:val="en-US" w:eastAsia="zh-CN"/>
                    </w:rPr>
                    <w:t>0</w:t>
                  </w:r>
                  <w:r>
                    <w:rPr>
                      <w:rFonts w:hint="eastAsia"/>
                    </w:rPr>
                    <w:t>d/a，每天12h</w:t>
                  </w:r>
                </w:p>
              </w:tc>
              <w:tc>
                <w:tcPr>
                  <w:tcW w:w="1470" w:type="dxa"/>
                  <w:noWrap w:val="0"/>
                  <w:vAlign w:val="center"/>
                </w:tcPr>
                <w:p w14:paraId="1DFE930F">
                  <w:pPr>
                    <w:pStyle w:val="67"/>
                  </w:pPr>
                  <w:r>
                    <w:rPr>
                      <w:rFonts w:hint="eastAsia"/>
                    </w:rPr>
                    <w:t>宠物排便、废检测试剂盒、一次性输液管、针管、医用棉球、纱布</w:t>
                  </w:r>
                </w:p>
              </w:tc>
              <w:tc>
                <w:tcPr>
                  <w:tcW w:w="1590" w:type="dxa"/>
                  <w:noWrap w:val="0"/>
                  <w:vAlign w:val="center"/>
                </w:tcPr>
                <w:p w14:paraId="7D85F618">
                  <w:pPr>
                    <w:pStyle w:val="67"/>
                  </w:pPr>
                  <w:r>
                    <w:rPr>
                      <w:rFonts w:hint="eastAsia"/>
                    </w:rPr>
                    <w:t>0.0</w:t>
                  </w:r>
                  <w:r>
                    <w:rPr>
                      <w:rFonts w:hint="eastAsia"/>
                      <w:lang w:val="en-US" w:eastAsia="zh-CN"/>
                    </w:rPr>
                    <w:t>1</w:t>
                  </w:r>
                  <w:r>
                    <w:rPr>
                      <w:rFonts w:hint="eastAsia"/>
                    </w:rPr>
                    <w:t>3</w:t>
                  </w:r>
                </w:p>
              </w:tc>
            </w:tr>
            <w:tr w14:paraId="2E37C3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24" w:type="dxa"/>
                  <w:vMerge w:val="continue"/>
                  <w:noWrap w:val="0"/>
                  <w:vAlign w:val="center"/>
                </w:tcPr>
                <w:p w14:paraId="2571EFDE">
                  <w:pPr>
                    <w:pStyle w:val="67"/>
                  </w:pPr>
                </w:p>
              </w:tc>
              <w:tc>
                <w:tcPr>
                  <w:tcW w:w="1560" w:type="dxa"/>
                  <w:noWrap w:val="0"/>
                  <w:vAlign w:val="center"/>
                </w:tcPr>
                <w:p w14:paraId="4490AA37">
                  <w:pPr>
                    <w:pStyle w:val="67"/>
                  </w:pPr>
                  <w:r>
                    <w:rPr>
                      <w:rFonts w:hint="eastAsia"/>
                    </w:rPr>
                    <w:t>针头</w:t>
                  </w:r>
                </w:p>
              </w:tc>
              <w:tc>
                <w:tcPr>
                  <w:tcW w:w="1358" w:type="dxa"/>
                  <w:noWrap w:val="0"/>
                  <w:vAlign w:val="center"/>
                </w:tcPr>
                <w:p w14:paraId="58A92082">
                  <w:pPr>
                    <w:pStyle w:val="67"/>
                  </w:pPr>
                  <w:r>
                    <w:rPr>
                      <w:rFonts w:hint="eastAsia"/>
                    </w:rPr>
                    <w:t>0.01</w:t>
                  </w:r>
                </w:p>
              </w:tc>
              <w:tc>
                <w:tcPr>
                  <w:tcW w:w="1144" w:type="dxa"/>
                  <w:vMerge w:val="continue"/>
                  <w:noWrap w:val="0"/>
                  <w:vAlign w:val="center"/>
                </w:tcPr>
                <w:p w14:paraId="195CFCE4">
                  <w:pPr>
                    <w:pStyle w:val="67"/>
                  </w:pPr>
                </w:p>
              </w:tc>
              <w:tc>
                <w:tcPr>
                  <w:tcW w:w="1470" w:type="dxa"/>
                  <w:noWrap w:val="0"/>
                  <w:vAlign w:val="center"/>
                </w:tcPr>
                <w:p w14:paraId="6FA1677A">
                  <w:pPr>
                    <w:pStyle w:val="67"/>
                  </w:pPr>
                  <w:r>
                    <w:rPr>
                      <w:rFonts w:hint="eastAsia"/>
                    </w:rPr>
                    <w:t>针头</w:t>
                  </w:r>
                </w:p>
              </w:tc>
              <w:tc>
                <w:tcPr>
                  <w:tcW w:w="1590" w:type="dxa"/>
                  <w:noWrap w:val="0"/>
                  <w:vAlign w:val="center"/>
                </w:tcPr>
                <w:p w14:paraId="3D60F63A">
                  <w:pPr>
                    <w:pStyle w:val="67"/>
                    <w:rPr>
                      <w:rFonts w:hint="eastAsia" w:eastAsia="宋体"/>
                      <w:lang w:eastAsia="zh-CN"/>
                    </w:rPr>
                  </w:pPr>
                  <w:r>
                    <w:rPr>
                      <w:rFonts w:hint="eastAsia"/>
                    </w:rPr>
                    <w:t>0.00</w:t>
                  </w:r>
                  <w:r>
                    <w:rPr>
                      <w:rFonts w:hint="eastAsia"/>
                      <w:lang w:val="en-US" w:eastAsia="zh-CN"/>
                    </w:rPr>
                    <w:t>1</w:t>
                  </w:r>
                </w:p>
              </w:tc>
            </w:tr>
            <w:tr w14:paraId="4A808F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24" w:type="dxa"/>
                  <w:vMerge w:val="continue"/>
                  <w:noWrap w:val="0"/>
                  <w:vAlign w:val="center"/>
                </w:tcPr>
                <w:p w14:paraId="2CACAABA">
                  <w:pPr>
                    <w:pStyle w:val="67"/>
                  </w:pPr>
                </w:p>
              </w:tc>
              <w:tc>
                <w:tcPr>
                  <w:tcW w:w="1560" w:type="dxa"/>
                  <w:noWrap w:val="0"/>
                  <w:vAlign w:val="center"/>
                </w:tcPr>
                <w:p w14:paraId="02193B7E">
                  <w:pPr>
                    <w:pStyle w:val="67"/>
                  </w:pPr>
                  <w:r>
                    <w:rPr>
                      <w:rFonts w:hint="eastAsia"/>
                    </w:rPr>
                    <w:t>废弃药品</w:t>
                  </w:r>
                </w:p>
              </w:tc>
              <w:tc>
                <w:tcPr>
                  <w:tcW w:w="1358" w:type="dxa"/>
                  <w:noWrap w:val="0"/>
                  <w:vAlign w:val="center"/>
                </w:tcPr>
                <w:p w14:paraId="333B1D10">
                  <w:pPr>
                    <w:pStyle w:val="67"/>
                  </w:pPr>
                  <w:r>
                    <w:rPr>
                      <w:rFonts w:hint="eastAsia"/>
                    </w:rPr>
                    <w:t>0.002</w:t>
                  </w:r>
                </w:p>
              </w:tc>
              <w:tc>
                <w:tcPr>
                  <w:tcW w:w="1144" w:type="dxa"/>
                  <w:vMerge w:val="continue"/>
                  <w:noWrap w:val="0"/>
                  <w:vAlign w:val="center"/>
                </w:tcPr>
                <w:p w14:paraId="2B25D6BB">
                  <w:pPr>
                    <w:pStyle w:val="67"/>
                  </w:pPr>
                </w:p>
              </w:tc>
              <w:tc>
                <w:tcPr>
                  <w:tcW w:w="1470" w:type="dxa"/>
                  <w:noWrap w:val="0"/>
                  <w:vAlign w:val="center"/>
                </w:tcPr>
                <w:p w14:paraId="401EA55E">
                  <w:pPr>
                    <w:pStyle w:val="67"/>
                  </w:pPr>
                  <w:r>
                    <w:rPr>
                      <w:rFonts w:hint="eastAsia"/>
                    </w:rPr>
                    <w:t>废弃药品</w:t>
                  </w:r>
                </w:p>
              </w:tc>
              <w:tc>
                <w:tcPr>
                  <w:tcW w:w="1590" w:type="dxa"/>
                  <w:noWrap w:val="0"/>
                  <w:vAlign w:val="center"/>
                </w:tcPr>
                <w:p w14:paraId="626D4D98">
                  <w:pPr>
                    <w:pStyle w:val="67"/>
                    <w:rPr>
                      <w:rFonts w:hint="eastAsia" w:eastAsia="宋体"/>
                      <w:lang w:eastAsia="zh-CN"/>
                    </w:rPr>
                  </w:pPr>
                  <w:r>
                    <w:rPr>
                      <w:rFonts w:hint="eastAsia"/>
                    </w:rPr>
                    <w:t>0.000</w:t>
                  </w:r>
                  <w:r>
                    <w:rPr>
                      <w:rFonts w:hint="eastAsia"/>
                      <w:lang w:val="en-US" w:eastAsia="zh-CN"/>
                    </w:rPr>
                    <w:t>3</w:t>
                  </w:r>
                </w:p>
              </w:tc>
            </w:tr>
            <w:tr w14:paraId="78AC78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24" w:type="dxa"/>
                  <w:vMerge w:val="continue"/>
                  <w:noWrap w:val="0"/>
                  <w:vAlign w:val="center"/>
                </w:tcPr>
                <w:p w14:paraId="67CCC618">
                  <w:pPr>
                    <w:pStyle w:val="67"/>
                  </w:pPr>
                </w:p>
              </w:tc>
              <w:tc>
                <w:tcPr>
                  <w:tcW w:w="1560" w:type="dxa"/>
                  <w:noWrap w:val="0"/>
                  <w:vAlign w:val="center"/>
                </w:tcPr>
                <w:p w14:paraId="39AC04B5">
                  <w:pPr>
                    <w:pStyle w:val="67"/>
                  </w:pPr>
                  <w:r>
                    <w:rPr>
                      <w:rFonts w:hint="eastAsia"/>
                    </w:rPr>
                    <w:t>手术废弃组织</w:t>
                  </w:r>
                </w:p>
              </w:tc>
              <w:tc>
                <w:tcPr>
                  <w:tcW w:w="1358" w:type="dxa"/>
                  <w:noWrap w:val="0"/>
                  <w:vAlign w:val="center"/>
                </w:tcPr>
                <w:p w14:paraId="5AFE1C14">
                  <w:pPr>
                    <w:pStyle w:val="67"/>
                  </w:pPr>
                  <w:r>
                    <w:rPr>
                      <w:rFonts w:hint="eastAsia"/>
                    </w:rPr>
                    <w:t>0.004</w:t>
                  </w:r>
                </w:p>
              </w:tc>
              <w:tc>
                <w:tcPr>
                  <w:tcW w:w="1144" w:type="dxa"/>
                  <w:vMerge w:val="continue"/>
                  <w:noWrap w:val="0"/>
                  <w:vAlign w:val="center"/>
                </w:tcPr>
                <w:p w14:paraId="17DBA3C7">
                  <w:pPr>
                    <w:pStyle w:val="67"/>
                  </w:pPr>
                </w:p>
              </w:tc>
              <w:tc>
                <w:tcPr>
                  <w:tcW w:w="1470" w:type="dxa"/>
                  <w:noWrap w:val="0"/>
                  <w:vAlign w:val="center"/>
                </w:tcPr>
                <w:p w14:paraId="57CA7426">
                  <w:pPr>
                    <w:pStyle w:val="67"/>
                  </w:pPr>
                  <w:r>
                    <w:rPr>
                      <w:rFonts w:hint="eastAsia"/>
                    </w:rPr>
                    <w:t>手术废弃组织</w:t>
                  </w:r>
                </w:p>
              </w:tc>
              <w:tc>
                <w:tcPr>
                  <w:tcW w:w="1590" w:type="dxa"/>
                  <w:noWrap w:val="0"/>
                  <w:vAlign w:val="center"/>
                </w:tcPr>
                <w:p w14:paraId="3CEB6EE6">
                  <w:pPr>
                    <w:pStyle w:val="67"/>
                  </w:pPr>
                  <w:r>
                    <w:rPr>
                      <w:rFonts w:hint="eastAsia"/>
                    </w:rPr>
                    <w:t>0.001</w:t>
                  </w:r>
                </w:p>
              </w:tc>
            </w:tr>
          </w:tbl>
          <w:p w14:paraId="409ED5A4">
            <w:pPr>
              <w:pStyle w:val="63"/>
              <w:numPr>
                <w:ilvl w:val="0"/>
                <w:numId w:val="0"/>
              </w:numPr>
              <w:ind w:left="0" w:leftChars="0" w:firstLine="0" w:firstLineChars="0"/>
              <w:rPr>
                <w:rFonts w:hint="eastAsia"/>
              </w:rPr>
            </w:pPr>
            <w:r>
              <w:rPr>
                <w:rFonts w:hint="eastAsia" w:ascii="Times New Roman" w:hAnsi="Times New Roman" w:eastAsia="宋体" w:cs="宋体"/>
                <w:b/>
                <w:kern w:val="2"/>
                <w:sz w:val="24"/>
                <w:szCs w:val="24"/>
                <w:lang w:val="en-US" w:eastAsia="zh-CN" w:bidi="ar-SA"/>
              </w:rPr>
              <w:t>表4.8-2</w:t>
            </w:r>
            <w:r>
              <w:rPr>
                <w:rFonts w:hint="eastAsia"/>
              </w:rPr>
              <w:t>危</w:t>
            </w:r>
            <w:r>
              <w:t>险废物汇总表</w:t>
            </w:r>
          </w:p>
          <w:tbl>
            <w:tblPr>
              <w:tblStyle w:val="25"/>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887"/>
              <w:gridCol w:w="745"/>
              <w:gridCol w:w="809"/>
              <w:gridCol w:w="875"/>
              <w:gridCol w:w="555"/>
              <w:gridCol w:w="748"/>
              <w:gridCol w:w="726"/>
              <w:gridCol w:w="745"/>
              <w:gridCol w:w="515"/>
              <w:gridCol w:w="916"/>
            </w:tblGrid>
            <w:tr w14:paraId="0E378B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9" w:type="dxa"/>
                  <w:noWrap w:val="0"/>
                  <w:vAlign w:val="center"/>
                </w:tcPr>
                <w:p w14:paraId="4F481B56">
                  <w:pPr>
                    <w:pStyle w:val="67"/>
                    <w:rPr>
                      <w:rFonts w:hint="eastAsia"/>
                    </w:rPr>
                  </w:pPr>
                  <w:r>
                    <w:rPr>
                      <w:rFonts w:hint="eastAsia"/>
                    </w:rPr>
                    <w:t>序号</w:t>
                  </w:r>
                </w:p>
              </w:tc>
              <w:tc>
                <w:tcPr>
                  <w:tcW w:w="891" w:type="dxa"/>
                  <w:noWrap w:val="0"/>
                  <w:vAlign w:val="center"/>
                </w:tcPr>
                <w:p w14:paraId="2ED45E18">
                  <w:pPr>
                    <w:pStyle w:val="67"/>
                    <w:rPr>
                      <w:rFonts w:hint="eastAsia"/>
                    </w:rPr>
                  </w:pPr>
                  <w:r>
                    <w:rPr>
                      <w:rFonts w:hint="eastAsia"/>
                    </w:rPr>
                    <w:t>危险废物</w:t>
                  </w:r>
                </w:p>
              </w:tc>
              <w:tc>
                <w:tcPr>
                  <w:tcW w:w="750" w:type="dxa"/>
                  <w:noWrap w:val="0"/>
                  <w:vAlign w:val="center"/>
                </w:tcPr>
                <w:p w14:paraId="31E00A07">
                  <w:pPr>
                    <w:pStyle w:val="67"/>
                    <w:rPr>
                      <w:rFonts w:hint="eastAsia"/>
                    </w:rPr>
                  </w:pPr>
                  <w:r>
                    <w:rPr>
                      <w:rFonts w:hint="eastAsia"/>
                    </w:rPr>
                    <w:t>危险编号</w:t>
                  </w:r>
                </w:p>
              </w:tc>
              <w:tc>
                <w:tcPr>
                  <w:tcW w:w="814" w:type="dxa"/>
                  <w:noWrap w:val="0"/>
                  <w:vAlign w:val="center"/>
                </w:tcPr>
                <w:p w14:paraId="1A417D7A">
                  <w:pPr>
                    <w:pStyle w:val="67"/>
                    <w:rPr>
                      <w:rFonts w:hint="eastAsia"/>
                    </w:rPr>
                  </w:pPr>
                  <w:r>
                    <w:rPr>
                      <w:rFonts w:hint="eastAsia"/>
                    </w:rPr>
                    <w:t>产生量（t/a）</w:t>
                  </w:r>
                </w:p>
              </w:tc>
              <w:tc>
                <w:tcPr>
                  <w:tcW w:w="879" w:type="dxa"/>
                  <w:noWrap w:val="0"/>
                  <w:vAlign w:val="center"/>
                </w:tcPr>
                <w:p w14:paraId="5CECBF43">
                  <w:pPr>
                    <w:pStyle w:val="67"/>
                    <w:rPr>
                      <w:rFonts w:hint="eastAsia"/>
                    </w:rPr>
                  </w:pPr>
                  <w:r>
                    <w:rPr>
                      <w:rFonts w:hint="eastAsia"/>
                    </w:rPr>
                    <w:t>产生工序及装置</w:t>
                  </w:r>
                </w:p>
              </w:tc>
              <w:tc>
                <w:tcPr>
                  <w:tcW w:w="557" w:type="dxa"/>
                  <w:noWrap w:val="0"/>
                  <w:vAlign w:val="center"/>
                </w:tcPr>
                <w:p w14:paraId="31337512">
                  <w:pPr>
                    <w:pStyle w:val="67"/>
                    <w:rPr>
                      <w:rFonts w:hint="eastAsia"/>
                    </w:rPr>
                  </w:pPr>
                  <w:r>
                    <w:rPr>
                      <w:rFonts w:hint="eastAsia"/>
                    </w:rPr>
                    <w:t>形态</w:t>
                  </w:r>
                </w:p>
              </w:tc>
              <w:tc>
                <w:tcPr>
                  <w:tcW w:w="750" w:type="dxa"/>
                  <w:noWrap w:val="0"/>
                  <w:vAlign w:val="center"/>
                </w:tcPr>
                <w:p w14:paraId="1E570D0F">
                  <w:pPr>
                    <w:pStyle w:val="67"/>
                    <w:rPr>
                      <w:rFonts w:hint="eastAsia"/>
                    </w:rPr>
                  </w:pPr>
                  <w:r>
                    <w:rPr>
                      <w:rFonts w:hint="eastAsia"/>
                    </w:rPr>
                    <w:t>主要成分</w:t>
                  </w:r>
                </w:p>
              </w:tc>
              <w:tc>
                <w:tcPr>
                  <w:tcW w:w="728" w:type="dxa"/>
                  <w:noWrap w:val="0"/>
                  <w:vAlign w:val="center"/>
                </w:tcPr>
                <w:p w14:paraId="0F1636D3">
                  <w:pPr>
                    <w:pStyle w:val="67"/>
                    <w:rPr>
                      <w:rFonts w:hint="eastAsia"/>
                    </w:rPr>
                  </w:pPr>
                  <w:r>
                    <w:rPr>
                      <w:rFonts w:hint="eastAsia"/>
                    </w:rPr>
                    <w:t>有害成分</w:t>
                  </w:r>
                </w:p>
              </w:tc>
              <w:tc>
                <w:tcPr>
                  <w:tcW w:w="750" w:type="dxa"/>
                  <w:noWrap w:val="0"/>
                  <w:vAlign w:val="center"/>
                </w:tcPr>
                <w:p w14:paraId="36787013">
                  <w:pPr>
                    <w:pStyle w:val="67"/>
                    <w:rPr>
                      <w:rFonts w:hint="eastAsia"/>
                    </w:rPr>
                  </w:pPr>
                  <w:r>
                    <w:rPr>
                      <w:rFonts w:hint="eastAsia"/>
                    </w:rPr>
                    <w:t>产废周期</w:t>
                  </w:r>
                </w:p>
              </w:tc>
              <w:tc>
                <w:tcPr>
                  <w:tcW w:w="517" w:type="dxa"/>
                  <w:noWrap w:val="0"/>
                  <w:vAlign w:val="center"/>
                </w:tcPr>
                <w:p w14:paraId="1DF45064">
                  <w:pPr>
                    <w:pStyle w:val="67"/>
                    <w:rPr>
                      <w:rFonts w:hint="eastAsia"/>
                    </w:rPr>
                  </w:pPr>
                  <w:r>
                    <w:rPr>
                      <w:rFonts w:hint="eastAsia"/>
                    </w:rPr>
                    <w:t>危险特性</w:t>
                  </w:r>
                </w:p>
              </w:tc>
              <w:tc>
                <w:tcPr>
                  <w:tcW w:w="921" w:type="dxa"/>
                  <w:noWrap w:val="0"/>
                  <w:vAlign w:val="center"/>
                </w:tcPr>
                <w:p w14:paraId="446BD010">
                  <w:pPr>
                    <w:pStyle w:val="67"/>
                    <w:rPr>
                      <w:rFonts w:hint="eastAsia"/>
                    </w:rPr>
                  </w:pPr>
                  <w:r>
                    <w:rPr>
                      <w:rFonts w:hint="eastAsia"/>
                    </w:rPr>
                    <w:t>污染防治措施</w:t>
                  </w:r>
                </w:p>
              </w:tc>
            </w:tr>
            <w:tr w14:paraId="080FF7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389" w:type="dxa"/>
                  <w:noWrap w:val="0"/>
                  <w:vAlign w:val="center"/>
                </w:tcPr>
                <w:p w14:paraId="5B01F2D8">
                  <w:pPr>
                    <w:pStyle w:val="67"/>
                    <w:rPr>
                      <w:rFonts w:hint="eastAsia"/>
                    </w:rPr>
                  </w:pPr>
                  <w:r>
                    <w:rPr>
                      <w:rFonts w:hint="eastAsia"/>
                    </w:rPr>
                    <w:t>1</w:t>
                  </w:r>
                </w:p>
              </w:tc>
              <w:tc>
                <w:tcPr>
                  <w:tcW w:w="891" w:type="dxa"/>
                  <w:noWrap w:val="0"/>
                  <w:vAlign w:val="center"/>
                </w:tcPr>
                <w:p w14:paraId="537C9038">
                  <w:pPr>
                    <w:pStyle w:val="67"/>
                    <w:rPr>
                      <w:rFonts w:hint="eastAsia"/>
                    </w:rPr>
                  </w:pPr>
                  <w:r>
                    <w:rPr>
                      <w:rFonts w:hint="eastAsia"/>
                    </w:rPr>
                    <w:t>宠物排便、废检测试剂盒、一次性输液管、针管、医用棉球、纱布</w:t>
                  </w:r>
                </w:p>
              </w:tc>
              <w:tc>
                <w:tcPr>
                  <w:tcW w:w="750" w:type="dxa"/>
                  <w:noWrap w:val="0"/>
                  <w:vAlign w:val="center"/>
                </w:tcPr>
                <w:p w14:paraId="44F8D2C7">
                  <w:pPr>
                    <w:pStyle w:val="67"/>
                  </w:pPr>
                  <w:r>
                    <w:rPr>
                      <w:rFonts w:hint="eastAsia"/>
                    </w:rPr>
                    <w:t>HW01: 841-001-01</w:t>
                  </w:r>
                </w:p>
              </w:tc>
              <w:tc>
                <w:tcPr>
                  <w:tcW w:w="814" w:type="dxa"/>
                  <w:noWrap w:val="0"/>
                  <w:vAlign w:val="center"/>
                </w:tcPr>
                <w:p w14:paraId="6F205990">
                  <w:pPr>
                    <w:pStyle w:val="67"/>
                    <w:rPr>
                      <w:rFonts w:hint="eastAsia"/>
                    </w:rPr>
                  </w:pPr>
                  <w:r>
                    <w:rPr>
                      <w:rFonts w:hint="eastAsia"/>
                    </w:rPr>
                    <w:t>0.0</w:t>
                  </w:r>
                  <w:r>
                    <w:rPr>
                      <w:rFonts w:hint="eastAsia"/>
                      <w:lang w:val="en-US" w:eastAsia="zh-CN"/>
                    </w:rPr>
                    <w:t>1</w:t>
                  </w:r>
                  <w:r>
                    <w:rPr>
                      <w:rFonts w:hint="eastAsia"/>
                    </w:rPr>
                    <w:t>3</w:t>
                  </w:r>
                </w:p>
              </w:tc>
              <w:tc>
                <w:tcPr>
                  <w:tcW w:w="879" w:type="dxa"/>
                  <w:noWrap w:val="0"/>
                  <w:vAlign w:val="center"/>
                </w:tcPr>
                <w:p w14:paraId="74D24A89">
                  <w:pPr>
                    <w:pStyle w:val="67"/>
                  </w:pPr>
                  <w:r>
                    <w:rPr>
                      <w:rFonts w:hint="eastAsia"/>
                    </w:rPr>
                    <w:t>诊疗、手术</w:t>
                  </w:r>
                </w:p>
              </w:tc>
              <w:tc>
                <w:tcPr>
                  <w:tcW w:w="557" w:type="dxa"/>
                  <w:noWrap w:val="0"/>
                  <w:vAlign w:val="center"/>
                </w:tcPr>
                <w:p w14:paraId="79CD1D95">
                  <w:pPr>
                    <w:pStyle w:val="67"/>
                    <w:rPr>
                      <w:rFonts w:hint="eastAsia"/>
                    </w:rPr>
                  </w:pPr>
                  <w:r>
                    <w:rPr>
                      <w:rFonts w:hint="eastAsia"/>
                    </w:rPr>
                    <w:t>固</w:t>
                  </w:r>
                </w:p>
              </w:tc>
              <w:tc>
                <w:tcPr>
                  <w:tcW w:w="750" w:type="dxa"/>
                  <w:noWrap w:val="0"/>
                  <w:vAlign w:val="center"/>
                </w:tcPr>
                <w:p w14:paraId="6B081B27">
                  <w:pPr>
                    <w:pStyle w:val="67"/>
                    <w:rPr>
                      <w:lang w:val="zh-CN"/>
                    </w:rPr>
                  </w:pPr>
                  <w:r>
                    <w:rPr>
                      <w:lang w:val="zh-CN"/>
                    </w:rPr>
                    <w:t>锐器、药物废物、细胞毒废物、化</w:t>
                  </w:r>
                </w:p>
                <w:p w14:paraId="7B317385">
                  <w:pPr>
                    <w:pStyle w:val="67"/>
                    <w:rPr>
                      <w:rFonts w:hint="eastAsia"/>
                    </w:rPr>
                  </w:pPr>
                  <w:r>
                    <w:rPr>
                      <w:lang w:val="zh-CN"/>
                    </w:rPr>
                    <w:t>学性废物、医疗病理性废物等</w:t>
                  </w:r>
                </w:p>
              </w:tc>
              <w:tc>
                <w:tcPr>
                  <w:tcW w:w="728" w:type="dxa"/>
                  <w:noWrap w:val="0"/>
                  <w:vAlign w:val="center"/>
                </w:tcPr>
                <w:p w14:paraId="042975DE">
                  <w:pPr>
                    <w:pStyle w:val="67"/>
                  </w:pPr>
                  <w:r>
                    <w:rPr>
                      <w:rFonts w:hint="eastAsia"/>
                    </w:rPr>
                    <w:t>病菌、病毒</w:t>
                  </w:r>
                </w:p>
              </w:tc>
              <w:tc>
                <w:tcPr>
                  <w:tcW w:w="750" w:type="dxa"/>
                  <w:noWrap w:val="0"/>
                  <w:vAlign w:val="center"/>
                </w:tcPr>
                <w:p w14:paraId="4D962982">
                  <w:pPr>
                    <w:pStyle w:val="67"/>
                    <w:rPr>
                      <w:rFonts w:hint="eastAsia"/>
                    </w:rPr>
                  </w:pPr>
                  <w:r>
                    <w:rPr>
                      <w:rFonts w:hint="eastAsia"/>
                    </w:rPr>
                    <w:t>每日</w:t>
                  </w:r>
                </w:p>
              </w:tc>
              <w:tc>
                <w:tcPr>
                  <w:tcW w:w="517" w:type="dxa"/>
                  <w:noWrap w:val="0"/>
                  <w:vAlign w:val="center"/>
                </w:tcPr>
                <w:p w14:paraId="5E94072F">
                  <w:pPr>
                    <w:pStyle w:val="67"/>
                    <w:rPr>
                      <w:rFonts w:hint="eastAsia"/>
                    </w:rPr>
                  </w:pPr>
                  <w:r>
                    <w:rPr>
                      <w:rFonts w:hint="eastAsia"/>
                    </w:rPr>
                    <w:t>In</w:t>
                  </w:r>
                </w:p>
              </w:tc>
              <w:tc>
                <w:tcPr>
                  <w:tcW w:w="921" w:type="dxa"/>
                  <w:vMerge w:val="restart"/>
                  <w:noWrap w:val="0"/>
                  <w:vAlign w:val="center"/>
                </w:tcPr>
                <w:p w14:paraId="330A42D2">
                  <w:pPr>
                    <w:pStyle w:val="67"/>
                    <w:rPr>
                      <w:rFonts w:hint="eastAsia"/>
                    </w:rPr>
                  </w:pPr>
                  <w:r>
                    <w:rPr>
                      <w:rFonts w:hint="eastAsia"/>
                    </w:rPr>
                    <w:t>密封桶分类包装，分区存放在危废间，定期委托资质单位处理</w:t>
                  </w:r>
                </w:p>
              </w:tc>
            </w:tr>
            <w:tr w14:paraId="6A9FD4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389" w:type="dxa"/>
                  <w:noWrap w:val="0"/>
                  <w:vAlign w:val="center"/>
                </w:tcPr>
                <w:p w14:paraId="172A7FE9">
                  <w:pPr>
                    <w:pStyle w:val="67"/>
                    <w:rPr>
                      <w:rFonts w:hint="eastAsia"/>
                    </w:rPr>
                  </w:pPr>
                  <w:r>
                    <w:rPr>
                      <w:rFonts w:hint="eastAsia"/>
                    </w:rPr>
                    <w:t>2</w:t>
                  </w:r>
                </w:p>
              </w:tc>
              <w:tc>
                <w:tcPr>
                  <w:tcW w:w="891" w:type="dxa"/>
                  <w:noWrap w:val="0"/>
                  <w:vAlign w:val="center"/>
                </w:tcPr>
                <w:p w14:paraId="4B421A5F">
                  <w:pPr>
                    <w:pStyle w:val="67"/>
                    <w:rPr>
                      <w:rFonts w:hint="eastAsia"/>
                    </w:rPr>
                  </w:pPr>
                  <w:r>
                    <w:rPr>
                      <w:rFonts w:hint="eastAsia"/>
                    </w:rPr>
                    <w:t>针头</w:t>
                  </w:r>
                </w:p>
              </w:tc>
              <w:tc>
                <w:tcPr>
                  <w:tcW w:w="750" w:type="dxa"/>
                  <w:noWrap w:val="0"/>
                  <w:vAlign w:val="center"/>
                </w:tcPr>
                <w:p w14:paraId="14CADA5E">
                  <w:pPr>
                    <w:pStyle w:val="67"/>
                    <w:rPr>
                      <w:rFonts w:hint="eastAsia"/>
                    </w:rPr>
                  </w:pPr>
                  <w:r>
                    <w:rPr>
                      <w:rFonts w:hint="eastAsia"/>
                    </w:rPr>
                    <w:t>HW01: 841-002-01</w:t>
                  </w:r>
                </w:p>
              </w:tc>
              <w:tc>
                <w:tcPr>
                  <w:tcW w:w="814" w:type="dxa"/>
                  <w:noWrap w:val="0"/>
                  <w:vAlign w:val="center"/>
                </w:tcPr>
                <w:p w14:paraId="2ED2F2BE">
                  <w:pPr>
                    <w:pStyle w:val="67"/>
                    <w:rPr>
                      <w:rFonts w:hint="eastAsia" w:eastAsia="宋体"/>
                      <w:lang w:eastAsia="zh-CN"/>
                    </w:rPr>
                  </w:pPr>
                  <w:r>
                    <w:rPr>
                      <w:rFonts w:hint="eastAsia"/>
                    </w:rPr>
                    <w:t>0.00</w:t>
                  </w:r>
                  <w:r>
                    <w:rPr>
                      <w:rFonts w:hint="eastAsia"/>
                      <w:lang w:val="en-US" w:eastAsia="zh-CN"/>
                    </w:rPr>
                    <w:t>1</w:t>
                  </w:r>
                </w:p>
              </w:tc>
              <w:tc>
                <w:tcPr>
                  <w:tcW w:w="879" w:type="dxa"/>
                  <w:noWrap w:val="0"/>
                  <w:vAlign w:val="center"/>
                </w:tcPr>
                <w:p w14:paraId="0F2171A7">
                  <w:pPr>
                    <w:pStyle w:val="67"/>
                    <w:rPr>
                      <w:rFonts w:hint="eastAsia"/>
                    </w:rPr>
                  </w:pPr>
                  <w:r>
                    <w:rPr>
                      <w:rFonts w:hint="eastAsia"/>
                    </w:rPr>
                    <w:t>诊疗、手术</w:t>
                  </w:r>
                </w:p>
              </w:tc>
              <w:tc>
                <w:tcPr>
                  <w:tcW w:w="557" w:type="dxa"/>
                  <w:noWrap w:val="0"/>
                  <w:vAlign w:val="center"/>
                </w:tcPr>
                <w:p w14:paraId="66879F45">
                  <w:pPr>
                    <w:pStyle w:val="67"/>
                    <w:rPr>
                      <w:rFonts w:hint="eastAsia"/>
                    </w:rPr>
                  </w:pPr>
                  <w:r>
                    <w:rPr>
                      <w:rFonts w:hint="eastAsia"/>
                    </w:rPr>
                    <w:t>固</w:t>
                  </w:r>
                </w:p>
              </w:tc>
              <w:tc>
                <w:tcPr>
                  <w:tcW w:w="750" w:type="dxa"/>
                  <w:noWrap w:val="0"/>
                  <w:vAlign w:val="center"/>
                </w:tcPr>
                <w:p w14:paraId="56C81187">
                  <w:pPr>
                    <w:pStyle w:val="67"/>
                    <w:rPr>
                      <w:rFonts w:hint="eastAsia"/>
                    </w:rPr>
                  </w:pPr>
                  <w:r>
                    <w:rPr>
                      <w:rFonts w:hint="eastAsia"/>
                    </w:rPr>
                    <w:t>损伤性废物</w:t>
                  </w:r>
                </w:p>
              </w:tc>
              <w:tc>
                <w:tcPr>
                  <w:tcW w:w="728" w:type="dxa"/>
                  <w:noWrap w:val="0"/>
                  <w:vAlign w:val="center"/>
                </w:tcPr>
                <w:p w14:paraId="626DF2FE">
                  <w:pPr>
                    <w:pStyle w:val="67"/>
                  </w:pPr>
                  <w:r>
                    <w:rPr>
                      <w:rFonts w:hint="eastAsia"/>
                    </w:rPr>
                    <w:t>病菌、病毒</w:t>
                  </w:r>
                </w:p>
              </w:tc>
              <w:tc>
                <w:tcPr>
                  <w:tcW w:w="750" w:type="dxa"/>
                  <w:noWrap w:val="0"/>
                  <w:vAlign w:val="center"/>
                </w:tcPr>
                <w:p w14:paraId="75B78553">
                  <w:pPr>
                    <w:pStyle w:val="67"/>
                    <w:rPr>
                      <w:rFonts w:hint="eastAsia"/>
                    </w:rPr>
                  </w:pPr>
                  <w:r>
                    <w:rPr>
                      <w:rFonts w:hint="eastAsia"/>
                    </w:rPr>
                    <w:t>每日</w:t>
                  </w:r>
                </w:p>
              </w:tc>
              <w:tc>
                <w:tcPr>
                  <w:tcW w:w="517" w:type="dxa"/>
                  <w:noWrap w:val="0"/>
                  <w:vAlign w:val="center"/>
                </w:tcPr>
                <w:p w14:paraId="3744CF1D">
                  <w:pPr>
                    <w:pStyle w:val="67"/>
                    <w:rPr>
                      <w:rFonts w:hint="eastAsia"/>
                    </w:rPr>
                  </w:pPr>
                  <w:r>
                    <w:rPr>
                      <w:rFonts w:hint="eastAsia"/>
                    </w:rPr>
                    <w:t>In</w:t>
                  </w:r>
                </w:p>
              </w:tc>
              <w:tc>
                <w:tcPr>
                  <w:tcW w:w="921" w:type="dxa"/>
                  <w:vMerge w:val="continue"/>
                  <w:noWrap w:val="0"/>
                  <w:vAlign w:val="center"/>
                </w:tcPr>
                <w:p w14:paraId="034E2B46">
                  <w:pPr>
                    <w:pStyle w:val="67"/>
                    <w:rPr>
                      <w:rFonts w:hint="eastAsia"/>
                    </w:rPr>
                  </w:pPr>
                </w:p>
              </w:tc>
            </w:tr>
            <w:tr w14:paraId="4AC2C8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389" w:type="dxa"/>
                  <w:noWrap w:val="0"/>
                  <w:vAlign w:val="center"/>
                </w:tcPr>
                <w:p w14:paraId="53D1489F">
                  <w:pPr>
                    <w:pStyle w:val="67"/>
                    <w:rPr>
                      <w:rFonts w:hint="eastAsia"/>
                    </w:rPr>
                  </w:pPr>
                  <w:r>
                    <w:rPr>
                      <w:rFonts w:hint="eastAsia"/>
                    </w:rPr>
                    <w:t>3</w:t>
                  </w:r>
                </w:p>
              </w:tc>
              <w:tc>
                <w:tcPr>
                  <w:tcW w:w="891" w:type="dxa"/>
                  <w:noWrap w:val="0"/>
                  <w:vAlign w:val="center"/>
                </w:tcPr>
                <w:p w14:paraId="0B6984E6">
                  <w:pPr>
                    <w:pStyle w:val="67"/>
                    <w:rPr>
                      <w:rFonts w:hint="eastAsia"/>
                    </w:rPr>
                  </w:pPr>
                  <w:r>
                    <w:rPr>
                      <w:rFonts w:hint="eastAsia"/>
                    </w:rPr>
                    <w:t>废弃药品</w:t>
                  </w:r>
                </w:p>
              </w:tc>
              <w:tc>
                <w:tcPr>
                  <w:tcW w:w="750" w:type="dxa"/>
                  <w:noWrap w:val="0"/>
                  <w:vAlign w:val="center"/>
                </w:tcPr>
                <w:p w14:paraId="2D0EABC6">
                  <w:pPr>
                    <w:pStyle w:val="67"/>
                    <w:rPr>
                      <w:rFonts w:hint="eastAsia"/>
                    </w:rPr>
                  </w:pPr>
                  <w:r>
                    <w:rPr>
                      <w:rFonts w:hint="eastAsia"/>
                    </w:rPr>
                    <w:t>HW01: 841-005-01</w:t>
                  </w:r>
                </w:p>
              </w:tc>
              <w:tc>
                <w:tcPr>
                  <w:tcW w:w="814" w:type="dxa"/>
                  <w:noWrap w:val="0"/>
                  <w:vAlign w:val="center"/>
                </w:tcPr>
                <w:p w14:paraId="1214D112">
                  <w:pPr>
                    <w:pStyle w:val="67"/>
                    <w:rPr>
                      <w:rFonts w:hint="eastAsia" w:eastAsia="宋体"/>
                      <w:lang w:eastAsia="zh-CN"/>
                    </w:rPr>
                  </w:pPr>
                  <w:r>
                    <w:rPr>
                      <w:rFonts w:hint="eastAsia"/>
                    </w:rPr>
                    <w:t>0.000</w:t>
                  </w:r>
                  <w:r>
                    <w:rPr>
                      <w:rFonts w:hint="eastAsia"/>
                      <w:lang w:val="en-US" w:eastAsia="zh-CN"/>
                    </w:rPr>
                    <w:t>3</w:t>
                  </w:r>
                </w:p>
              </w:tc>
              <w:tc>
                <w:tcPr>
                  <w:tcW w:w="879" w:type="dxa"/>
                  <w:noWrap w:val="0"/>
                  <w:vAlign w:val="center"/>
                </w:tcPr>
                <w:p w14:paraId="444FD9C0">
                  <w:pPr>
                    <w:pStyle w:val="67"/>
                    <w:rPr>
                      <w:rFonts w:hint="eastAsia"/>
                    </w:rPr>
                  </w:pPr>
                  <w:r>
                    <w:rPr>
                      <w:rFonts w:hint="eastAsia"/>
                    </w:rPr>
                    <w:t>诊疗、手术</w:t>
                  </w:r>
                </w:p>
              </w:tc>
              <w:tc>
                <w:tcPr>
                  <w:tcW w:w="557" w:type="dxa"/>
                  <w:noWrap w:val="0"/>
                  <w:vAlign w:val="center"/>
                </w:tcPr>
                <w:p w14:paraId="56DE27BD">
                  <w:pPr>
                    <w:pStyle w:val="67"/>
                    <w:rPr>
                      <w:rFonts w:hint="eastAsia"/>
                    </w:rPr>
                  </w:pPr>
                  <w:r>
                    <w:rPr>
                      <w:rFonts w:hint="eastAsia"/>
                    </w:rPr>
                    <w:t>固</w:t>
                  </w:r>
                </w:p>
              </w:tc>
              <w:tc>
                <w:tcPr>
                  <w:tcW w:w="750" w:type="dxa"/>
                  <w:noWrap w:val="0"/>
                  <w:vAlign w:val="center"/>
                </w:tcPr>
                <w:p w14:paraId="00B2A465">
                  <w:pPr>
                    <w:pStyle w:val="67"/>
                    <w:rPr>
                      <w:rFonts w:hint="eastAsia"/>
                    </w:rPr>
                  </w:pPr>
                  <w:r>
                    <w:rPr>
                      <w:rFonts w:hint="eastAsia"/>
                    </w:rPr>
                    <w:t>药物性废物</w:t>
                  </w:r>
                </w:p>
              </w:tc>
              <w:tc>
                <w:tcPr>
                  <w:tcW w:w="728" w:type="dxa"/>
                  <w:noWrap w:val="0"/>
                  <w:vAlign w:val="center"/>
                </w:tcPr>
                <w:p w14:paraId="0BBBB843">
                  <w:pPr>
                    <w:pStyle w:val="67"/>
                  </w:pPr>
                  <w:r>
                    <w:rPr>
                      <w:rFonts w:hint="eastAsia"/>
                    </w:rPr>
                    <w:t>病菌、病毒</w:t>
                  </w:r>
                </w:p>
              </w:tc>
              <w:tc>
                <w:tcPr>
                  <w:tcW w:w="750" w:type="dxa"/>
                  <w:noWrap w:val="0"/>
                  <w:vAlign w:val="center"/>
                </w:tcPr>
                <w:p w14:paraId="508ED306">
                  <w:pPr>
                    <w:pStyle w:val="67"/>
                    <w:rPr>
                      <w:rFonts w:hint="eastAsia"/>
                    </w:rPr>
                  </w:pPr>
                  <w:r>
                    <w:rPr>
                      <w:rFonts w:hint="eastAsia"/>
                    </w:rPr>
                    <w:t>每日</w:t>
                  </w:r>
                </w:p>
              </w:tc>
              <w:tc>
                <w:tcPr>
                  <w:tcW w:w="517" w:type="dxa"/>
                  <w:noWrap w:val="0"/>
                  <w:vAlign w:val="center"/>
                </w:tcPr>
                <w:p w14:paraId="0A6C6F99">
                  <w:pPr>
                    <w:pStyle w:val="67"/>
                    <w:rPr>
                      <w:rFonts w:hint="eastAsia"/>
                    </w:rPr>
                  </w:pPr>
                  <w:r>
                    <w:rPr>
                      <w:rFonts w:hint="eastAsia"/>
                    </w:rPr>
                    <w:t>In</w:t>
                  </w:r>
                </w:p>
              </w:tc>
              <w:tc>
                <w:tcPr>
                  <w:tcW w:w="921" w:type="dxa"/>
                  <w:vMerge w:val="continue"/>
                  <w:noWrap w:val="0"/>
                  <w:vAlign w:val="center"/>
                </w:tcPr>
                <w:p w14:paraId="73B1ED2B">
                  <w:pPr>
                    <w:pStyle w:val="67"/>
                    <w:rPr>
                      <w:rFonts w:hint="eastAsia"/>
                    </w:rPr>
                  </w:pPr>
                </w:p>
              </w:tc>
            </w:tr>
            <w:tr w14:paraId="49C797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389" w:type="dxa"/>
                  <w:noWrap w:val="0"/>
                  <w:vAlign w:val="center"/>
                </w:tcPr>
                <w:p w14:paraId="2F0A1B12">
                  <w:pPr>
                    <w:pStyle w:val="67"/>
                    <w:rPr>
                      <w:rFonts w:hint="eastAsia"/>
                    </w:rPr>
                  </w:pPr>
                  <w:r>
                    <w:rPr>
                      <w:rFonts w:hint="eastAsia"/>
                    </w:rPr>
                    <w:t>4</w:t>
                  </w:r>
                </w:p>
              </w:tc>
              <w:tc>
                <w:tcPr>
                  <w:tcW w:w="891" w:type="dxa"/>
                  <w:noWrap w:val="0"/>
                  <w:vAlign w:val="center"/>
                </w:tcPr>
                <w:p w14:paraId="21792C95">
                  <w:pPr>
                    <w:pStyle w:val="67"/>
                    <w:rPr>
                      <w:rFonts w:hint="eastAsia"/>
                    </w:rPr>
                  </w:pPr>
                  <w:r>
                    <w:rPr>
                      <w:rFonts w:hint="eastAsia"/>
                    </w:rPr>
                    <w:t>手术废弃组织</w:t>
                  </w:r>
                </w:p>
              </w:tc>
              <w:tc>
                <w:tcPr>
                  <w:tcW w:w="750" w:type="dxa"/>
                  <w:noWrap w:val="0"/>
                  <w:vAlign w:val="center"/>
                </w:tcPr>
                <w:p w14:paraId="71922850">
                  <w:pPr>
                    <w:pStyle w:val="67"/>
                    <w:rPr>
                      <w:rFonts w:hint="eastAsia"/>
                    </w:rPr>
                  </w:pPr>
                  <w:r>
                    <w:rPr>
                      <w:rFonts w:hint="eastAsia"/>
                    </w:rPr>
                    <w:t>HW01: 841-003-01</w:t>
                  </w:r>
                </w:p>
              </w:tc>
              <w:tc>
                <w:tcPr>
                  <w:tcW w:w="814" w:type="dxa"/>
                  <w:noWrap w:val="0"/>
                  <w:vAlign w:val="center"/>
                </w:tcPr>
                <w:p w14:paraId="23300122">
                  <w:pPr>
                    <w:pStyle w:val="67"/>
                    <w:rPr>
                      <w:rFonts w:hint="eastAsia"/>
                    </w:rPr>
                  </w:pPr>
                  <w:r>
                    <w:rPr>
                      <w:rFonts w:hint="eastAsia"/>
                    </w:rPr>
                    <w:t>0.001</w:t>
                  </w:r>
                </w:p>
              </w:tc>
              <w:tc>
                <w:tcPr>
                  <w:tcW w:w="879" w:type="dxa"/>
                  <w:noWrap w:val="0"/>
                  <w:vAlign w:val="center"/>
                </w:tcPr>
                <w:p w14:paraId="47858395">
                  <w:pPr>
                    <w:pStyle w:val="67"/>
                    <w:rPr>
                      <w:rFonts w:hint="eastAsia"/>
                    </w:rPr>
                  </w:pPr>
                  <w:r>
                    <w:rPr>
                      <w:rFonts w:hint="eastAsia"/>
                    </w:rPr>
                    <w:t>手术</w:t>
                  </w:r>
                </w:p>
              </w:tc>
              <w:tc>
                <w:tcPr>
                  <w:tcW w:w="557" w:type="dxa"/>
                  <w:noWrap w:val="0"/>
                  <w:vAlign w:val="center"/>
                </w:tcPr>
                <w:p w14:paraId="01EA7BFF">
                  <w:pPr>
                    <w:pStyle w:val="67"/>
                    <w:rPr>
                      <w:rFonts w:hint="eastAsia"/>
                    </w:rPr>
                  </w:pPr>
                  <w:r>
                    <w:rPr>
                      <w:rFonts w:hint="eastAsia"/>
                    </w:rPr>
                    <w:t>固</w:t>
                  </w:r>
                </w:p>
              </w:tc>
              <w:tc>
                <w:tcPr>
                  <w:tcW w:w="750" w:type="dxa"/>
                  <w:noWrap w:val="0"/>
                  <w:vAlign w:val="center"/>
                </w:tcPr>
                <w:p w14:paraId="61C15D66">
                  <w:pPr>
                    <w:pStyle w:val="67"/>
                    <w:rPr>
                      <w:rFonts w:hint="eastAsia"/>
                    </w:rPr>
                  </w:pPr>
                  <w:r>
                    <w:rPr>
                      <w:rFonts w:hint="eastAsia"/>
                    </w:rPr>
                    <w:t>病理性废物</w:t>
                  </w:r>
                </w:p>
              </w:tc>
              <w:tc>
                <w:tcPr>
                  <w:tcW w:w="728" w:type="dxa"/>
                  <w:noWrap w:val="0"/>
                  <w:vAlign w:val="center"/>
                </w:tcPr>
                <w:p w14:paraId="6DE7A57D">
                  <w:pPr>
                    <w:pStyle w:val="67"/>
                  </w:pPr>
                  <w:r>
                    <w:rPr>
                      <w:rFonts w:hint="eastAsia"/>
                    </w:rPr>
                    <w:t>病菌、病毒</w:t>
                  </w:r>
                </w:p>
              </w:tc>
              <w:tc>
                <w:tcPr>
                  <w:tcW w:w="750" w:type="dxa"/>
                  <w:noWrap w:val="0"/>
                  <w:vAlign w:val="center"/>
                </w:tcPr>
                <w:p w14:paraId="419159DA">
                  <w:pPr>
                    <w:pStyle w:val="67"/>
                    <w:rPr>
                      <w:rFonts w:hint="eastAsia"/>
                    </w:rPr>
                  </w:pPr>
                  <w:r>
                    <w:rPr>
                      <w:rFonts w:hint="eastAsia"/>
                    </w:rPr>
                    <w:t>每日</w:t>
                  </w:r>
                </w:p>
              </w:tc>
              <w:tc>
                <w:tcPr>
                  <w:tcW w:w="517" w:type="dxa"/>
                  <w:noWrap w:val="0"/>
                  <w:vAlign w:val="center"/>
                </w:tcPr>
                <w:p w14:paraId="4F170382">
                  <w:pPr>
                    <w:pStyle w:val="67"/>
                    <w:rPr>
                      <w:rFonts w:hint="eastAsia"/>
                    </w:rPr>
                  </w:pPr>
                  <w:r>
                    <w:rPr>
                      <w:rFonts w:hint="eastAsia"/>
                    </w:rPr>
                    <w:t>In</w:t>
                  </w:r>
                </w:p>
              </w:tc>
              <w:tc>
                <w:tcPr>
                  <w:tcW w:w="921" w:type="dxa"/>
                  <w:vMerge w:val="continue"/>
                  <w:noWrap w:val="0"/>
                  <w:vAlign w:val="center"/>
                </w:tcPr>
                <w:p w14:paraId="44C159E3">
                  <w:pPr>
                    <w:pStyle w:val="67"/>
                    <w:rPr>
                      <w:rFonts w:hint="eastAsia"/>
                    </w:rPr>
                  </w:pPr>
                </w:p>
              </w:tc>
            </w:tr>
            <w:tr w14:paraId="38E32E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389" w:type="dxa"/>
                  <w:noWrap w:val="0"/>
                  <w:vAlign w:val="center"/>
                </w:tcPr>
                <w:p w14:paraId="635F31DA">
                  <w:pPr>
                    <w:pStyle w:val="67"/>
                    <w:rPr>
                      <w:rFonts w:hint="eastAsia"/>
                      <w:color w:val="auto"/>
                    </w:rPr>
                  </w:pPr>
                  <w:r>
                    <w:rPr>
                      <w:rFonts w:hint="eastAsia"/>
                      <w:color w:val="auto"/>
                    </w:rPr>
                    <w:t>5</w:t>
                  </w:r>
                </w:p>
              </w:tc>
              <w:tc>
                <w:tcPr>
                  <w:tcW w:w="891" w:type="dxa"/>
                  <w:noWrap w:val="0"/>
                  <w:vAlign w:val="center"/>
                </w:tcPr>
                <w:p w14:paraId="6D5933AF">
                  <w:pPr>
                    <w:pStyle w:val="67"/>
                    <w:rPr>
                      <w:color w:val="auto"/>
                    </w:rPr>
                  </w:pPr>
                  <w:r>
                    <w:rPr>
                      <w:rFonts w:hint="eastAsia"/>
                      <w:color w:val="auto"/>
                    </w:rPr>
                    <w:t>污水处理污泥</w:t>
                  </w:r>
                </w:p>
              </w:tc>
              <w:tc>
                <w:tcPr>
                  <w:tcW w:w="750" w:type="dxa"/>
                  <w:noWrap w:val="0"/>
                  <w:vAlign w:val="center"/>
                </w:tcPr>
                <w:p w14:paraId="002F17C6">
                  <w:pPr>
                    <w:pStyle w:val="67"/>
                    <w:rPr>
                      <w:rFonts w:hint="eastAsia"/>
                      <w:color w:val="auto"/>
                    </w:rPr>
                  </w:pPr>
                  <w:r>
                    <w:rPr>
                      <w:rFonts w:hint="eastAsia"/>
                      <w:color w:val="auto"/>
                    </w:rPr>
                    <w:t>HW01: 841-001-01</w:t>
                  </w:r>
                </w:p>
              </w:tc>
              <w:tc>
                <w:tcPr>
                  <w:tcW w:w="814" w:type="dxa"/>
                  <w:noWrap w:val="0"/>
                  <w:vAlign w:val="center"/>
                </w:tcPr>
                <w:p w14:paraId="71A8C6DA">
                  <w:pPr>
                    <w:pStyle w:val="67"/>
                    <w:rPr>
                      <w:rFonts w:hint="eastAsia" w:eastAsia="宋体"/>
                      <w:color w:val="auto"/>
                      <w:lang w:eastAsia="zh-CN"/>
                    </w:rPr>
                  </w:pPr>
                  <w:r>
                    <w:rPr>
                      <w:rFonts w:hint="eastAsia"/>
                      <w:color w:val="auto"/>
                    </w:rPr>
                    <w:t>0.00</w:t>
                  </w:r>
                  <w:r>
                    <w:rPr>
                      <w:rFonts w:hint="eastAsia"/>
                      <w:color w:val="auto"/>
                      <w:lang w:val="en-US" w:eastAsia="zh-CN"/>
                    </w:rPr>
                    <w:t>1</w:t>
                  </w:r>
                </w:p>
              </w:tc>
              <w:tc>
                <w:tcPr>
                  <w:tcW w:w="879" w:type="dxa"/>
                  <w:noWrap w:val="0"/>
                  <w:vAlign w:val="center"/>
                </w:tcPr>
                <w:p w14:paraId="0DB814CA">
                  <w:pPr>
                    <w:pStyle w:val="67"/>
                    <w:rPr>
                      <w:rFonts w:hint="eastAsia"/>
                      <w:color w:val="auto"/>
                    </w:rPr>
                  </w:pPr>
                  <w:r>
                    <w:rPr>
                      <w:color w:val="auto"/>
                      <w:lang w:val="zh-CN"/>
                    </w:rPr>
                    <w:t>污水处理</w:t>
                  </w:r>
                </w:p>
              </w:tc>
              <w:tc>
                <w:tcPr>
                  <w:tcW w:w="557" w:type="dxa"/>
                  <w:noWrap w:val="0"/>
                  <w:vAlign w:val="center"/>
                </w:tcPr>
                <w:p w14:paraId="2CFF5624">
                  <w:pPr>
                    <w:pStyle w:val="67"/>
                    <w:rPr>
                      <w:rFonts w:hint="eastAsia"/>
                      <w:color w:val="auto"/>
                    </w:rPr>
                  </w:pPr>
                  <w:r>
                    <w:rPr>
                      <w:rFonts w:hint="eastAsia"/>
                      <w:color w:val="auto"/>
                    </w:rPr>
                    <w:t>固</w:t>
                  </w:r>
                </w:p>
              </w:tc>
              <w:tc>
                <w:tcPr>
                  <w:tcW w:w="750" w:type="dxa"/>
                  <w:noWrap w:val="0"/>
                  <w:vAlign w:val="center"/>
                </w:tcPr>
                <w:p w14:paraId="7974976B">
                  <w:pPr>
                    <w:pStyle w:val="67"/>
                    <w:rPr>
                      <w:rFonts w:hint="eastAsia"/>
                      <w:color w:val="auto"/>
                    </w:rPr>
                  </w:pPr>
                  <w:r>
                    <w:rPr>
                      <w:color w:val="auto"/>
                    </w:rPr>
                    <w:t>病原微生物和寄生虫卵等</w:t>
                  </w:r>
                </w:p>
              </w:tc>
              <w:tc>
                <w:tcPr>
                  <w:tcW w:w="728" w:type="dxa"/>
                  <w:noWrap w:val="0"/>
                  <w:vAlign w:val="center"/>
                </w:tcPr>
                <w:p w14:paraId="787122D4">
                  <w:pPr>
                    <w:pStyle w:val="67"/>
                    <w:rPr>
                      <w:color w:val="auto"/>
                    </w:rPr>
                  </w:pPr>
                  <w:r>
                    <w:rPr>
                      <w:color w:val="auto"/>
                    </w:rPr>
                    <w:t>病菌、</w:t>
                  </w:r>
                </w:p>
                <w:p w14:paraId="081F2BFE">
                  <w:pPr>
                    <w:pStyle w:val="67"/>
                    <w:rPr>
                      <w:color w:val="auto"/>
                    </w:rPr>
                  </w:pPr>
                  <w:r>
                    <w:rPr>
                      <w:color w:val="auto"/>
                    </w:rPr>
                    <w:t>病毒</w:t>
                  </w:r>
                </w:p>
                <w:p w14:paraId="54CC6A40">
                  <w:pPr>
                    <w:pStyle w:val="67"/>
                    <w:rPr>
                      <w:rFonts w:hint="eastAsia"/>
                      <w:color w:val="auto"/>
                    </w:rPr>
                  </w:pPr>
                </w:p>
              </w:tc>
              <w:tc>
                <w:tcPr>
                  <w:tcW w:w="750" w:type="dxa"/>
                  <w:noWrap w:val="0"/>
                  <w:vAlign w:val="center"/>
                </w:tcPr>
                <w:p w14:paraId="0316102D">
                  <w:pPr>
                    <w:pStyle w:val="67"/>
                    <w:rPr>
                      <w:rFonts w:hint="eastAsia" w:eastAsia="宋体"/>
                      <w:color w:val="auto"/>
                      <w:lang w:eastAsia="zh-CN"/>
                    </w:rPr>
                  </w:pPr>
                  <w:r>
                    <w:rPr>
                      <w:rFonts w:hint="eastAsia"/>
                      <w:color w:val="auto"/>
                      <w:lang w:val="en-US" w:eastAsia="zh-CN"/>
                    </w:rPr>
                    <w:t>月</w:t>
                  </w:r>
                </w:p>
              </w:tc>
              <w:tc>
                <w:tcPr>
                  <w:tcW w:w="517" w:type="dxa"/>
                  <w:noWrap w:val="0"/>
                  <w:vAlign w:val="center"/>
                </w:tcPr>
                <w:p w14:paraId="2374D0AD">
                  <w:pPr>
                    <w:pStyle w:val="67"/>
                    <w:rPr>
                      <w:color w:val="auto"/>
                    </w:rPr>
                  </w:pPr>
                  <w:r>
                    <w:rPr>
                      <w:rFonts w:hint="eastAsia"/>
                      <w:color w:val="auto"/>
                    </w:rPr>
                    <w:t>In</w:t>
                  </w:r>
                </w:p>
              </w:tc>
              <w:tc>
                <w:tcPr>
                  <w:tcW w:w="921" w:type="dxa"/>
                  <w:noWrap w:val="0"/>
                  <w:vAlign w:val="center"/>
                </w:tcPr>
                <w:p w14:paraId="12311281">
                  <w:pPr>
                    <w:pStyle w:val="67"/>
                    <w:rPr>
                      <w:rFonts w:hint="eastAsia"/>
                      <w:color w:val="auto"/>
                    </w:rPr>
                  </w:pPr>
                  <w:r>
                    <w:rPr>
                      <w:color w:val="auto"/>
                      <w:lang w:val="zh-CN"/>
                    </w:rPr>
                    <w:t>定期清掏并进行灭菌消毒后委托有危险废物处置资质单位进行处理</w:t>
                  </w:r>
                </w:p>
              </w:tc>
            </w:tr>
            <w:tr w14:paraId="6D78F5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46" w:type="dxa"/>
                  <w:gridSpan w:val="11"/>
                  <w:noWrap w:val="0"/>
                  <w:vAlign w:val="center"/>
                </w:tcPr>
                <w:p w14:paraId="4DDF27AB">
                  <w:pPr>
                    <w:pStyle w:val="67"/>
                    <w:rPr>
                      <w:rFonts w:hint="eastAsia"/>
                    </w:rPr>
                  </w:pPr>
                  <w:r>
                    <w:rPr>
                      <w:rFonts w:hint="eastAsia"/>
                    </w:rPr>
                    <w:t>注*：I：易燃性T：毒性R：反应性In：感染性C：腐蚀性</w:t>
                  </w:r>
                </w:p>
              </w:tc>
            </w:tr>
          </w:tbl>
          <w:p w14:paraId="71B58433">
            <w:pPr>
              <w:pStyle w:val="63"/>
              <w:numPr>
                <w:ilvl w:val="0"/>
                <w:numId w:val="0"/>
              </w:numPr>
              <w:ind w:left="0" w:leftChars="0" w:firstLine="0" w:firstLineChars="0"/>
            </w:pPr>
            <w:r>
              <w:rPr>
                <w:rFonts w:hint="eastAsia" w:ascii="Times New Roman" w:hAnsi="Times New Roman" w:eastAsia="宋体" w:cs="宋体"/>
                <w:b/>
                <w:kern w:val="2"/>
                <w:sz w:val="24"/>
                <w:szCs w:val="24"/>
                <w:lang w:val="en-US" w:eastAsia="zh-CN" w:bidi="ar-SA"/>
              </w:rPr>
              <w:t>表4.8-3</w:t>
            </w:r>
            <w:r>
              <w:t>本项目危险废物暂存间基本情况</w:t>
            </w:r>
          </w:p>
          <w:tbl>
            <w:tblPr>
              <w:tblStyle w:val="25"/>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64"/>
              <w:gridCol w:w="1802"/>
              <w:gridCol w:w="900"/>
              <w:gridCol w:w="985"/>
              <w:gridCol w:w="714"/>
              <w:gridCol w:w="761"/>
              <w:gridCol w:w="718"/>
              <w:gridCol w:w="779"/>
              <w:gridCol w:w="814"/>
            </w:tblGrid>
            <w:tr w14:paraId="77718D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64" w:type="dxa"/>
                  <w:noWrap w:val="0"/>
                  <w:vAlign w:val="center"/>
                </w:tcPr>
                <w:p w14:paraId="600E6C74">
                  <w:pPr>
                    <w:pStyle w:val="67"/>
                  </w:pPr>
                  <w:r>
                    <w:t>序号</w:t>
                  </w:r>
                </w:p>
              </w:tc>
              <w:tc>
                <w:tcPr>
                  <w:tcW w:w="1802" w:type="dxa"/>
                  <w:noWrap w:val="0"/>
                  <w:vAlign w:val="center"/>
                </w:tcPr>
                <w:p w14:paraId="63B5336E">
                  <w:pPr>
                    <w:pStyle w:val="67"/>
                  </w:pPr>
                  <w:r>
                    <w:t>危险废物名称</w:t>
                  </w:r>
                </w:p>
              </w:tc>
              <w:tc>
                <w:tcPr>
                  <w:tcW w:w="900" w:type="dxa"/>
                  <w:noWrap w:val="0"/>
                  <w:vAlign w:val="center"/>
                </w:tcPr>
                <w:p w14:paraId="74B7F6D7">
                  <w:pPr>
                    <w:pStyle w:val="67"/>
                  </w:pPr>
                  <w:r>
                    <w:t>危险废物类别</w:t>
                  </w:r>
                </w:p>
              </w:tc>
              <w:tc>
                <w:tcPr>
                  <w:tcW w:w="985" w:type="dxa"/>
                  <w:noWrap w:val="0"/>
                  <w:vAlign w:val="center"/>
                </w:tcPr>
                <w:p w14:paraId="52732117">
                  <w:pPr>
                    <w:pStyle w:val="67"/>
                  </w:pPr>
                  <w:r>
                    <w:t>危险废物代码</w:t>
                  </w:r>
                </w:p>
              </w:tc>
              <w:tc>
                <w:tcPr>
                  <w:tcW w:w="714" w:type="dxa"/>
                  <w:noWrap w:val="0"/>
                  <w:vAlign w:val="center"/>
                </w:tcPr>
                <w:p w14:paraId="6A90CB0C">
                  <w:pPr>
                    <w:pStyle w:val="67"/>
                  </w:pPr>
                  <w:r>
                    <w:t>位置</w:t>
                  </w:r>
                </w:p>
              </w:tc>
              <w:tc>
                <w:tcPr>
                  <w:tcW w:w="761" w:type="dxa"/>
                  <w:noWrap w:val="0"/>
                  <w:vAlign w:val="center"/>
                </w:tcPr>
                <w:p w14:paraId="6D4E10C6">
                  <w:pPr>
                    <w:pStyle w:val="67"/>
                  </w:pPr>
                  <w:r>
                    <w:t>占地面积</w:t>
                  </w:r>
                </w:p>
              </w:tc>
              <w:tc>
                <w:tcPr>
                  <w:tcW w:w="718" w:type="dxa"/>
                  <w:noWrap w:val="0"/>
                  <w:vAlign w:val="center"/>
                </w:tcPr>
                <w:p w14:paraId="19D00B59">
                  <w:pPr>
                    <w:pStyle w:val="67"/>
                  </w:pPr>
                  <w:r>
                    <w:t>贮存方式</w:t>
                  </w:r>
                </w:p>
              </w:tc>
              <w:tc>
                <w:tcPr>
                  <w:tcW w:w="779" w:type="dxa"/>
                  <w:noWrap w:val="0"/>
                  <w:vAlign w:val="center"/>
                </w:tcPr>
                <w:p w14:paraId="0F409877">
                  <w:pPr>
                    <w:pStyle w:val="67"/>
                  </w:pPr>
                  <w:r>
                    <w:t>贮存</w:t>
                  </w:r>
                </w:p>
                <w:p w14:paraId="7CAC38B4">
                  <w:pPr>
                    <w:pStyle w:val="67"/>
                  </w:pPr>
                  <w:r>
                    <w:t>能力（t）</w:t>
                  </w:r>
                </w:p>
              </w:tc>
              <w:tc>
                <w:tcPr>
                  <w:tcW w:w="814" w:type="dxa"/>
                  <w:noWrap w:val="0"/>
                  <w:vAlign w:val="center"/>
                </w:tcPr>
                <w:p w14:paraId="798CB696">
                  <w:pPr>
                    <w:pStyle w:val="67"/>
                  </w:pPr>
                  <w:r>
                    <w:t>贮存</w:t>
                  </w:r>
                </w:p>
                <w:p w14:paraId="7268B1A1">
                  <w:pPr>
                    <w:pStyle w:val="67"/>
                  </w:pPr>
                  <w:r>
                    <w:t>周期</w:t>
                  </w:r>
                </w:p>
              </w:tc>
            </w:tr>
            <w:tr w14:paraId="7FCF36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8" w:hRule="atLeast"/>
              </w:trPr>
              <w:tc>
                <w:tcPr>
                  <w:tcW w:w="464" w:type="dxa"/>
                  <w:noWrap w:val="0"/>
                  <w:vAlign w:val="center"/>
                </w:tcPr>
                <w:p w14:paraId="265EA583">
                  <w:pPr>
                    <w:pStyle w:val="67"/>
                    <w:rPr>
                      <w:rFonts w:hint="eastAsia"/>
                    </w:rPr>
                  </w:pPr>
                  <w:r>
                    <w:rPr>
                      <w:rFonts w:hint="eastAsia"/>
                    </w:rPr>
                    <w:t>1</w:t>
                  </w:r>
                </w:p>
              </w:tc>
              <w:tc>
                <w:tcPr>
                  <w:tcW w:w="1802" w:type="dxa"/>
                  <w:noWrap w:val="0"/>
                  <w:vAlign w:val="center"/>
                </w:tcPr>
                <w:p w14:paraId="1E785137">
                  <w:pPr>
                    <w:pStyle w:val="67"/>
                  </w:pPr>
                  <w:r>
                    <w:rPr>
                      <w:rFonts w:hint="eastAsia"/>
                    </w:rPr>
                    <w:t>宠物排便、废检测试剂盒、一次性输液管、针管、医用棉球、纱布</w:t>
                  </w:r>
                </w:p>
              </w:tc>
              <w:tc>
                <w:tcPr>
                  <w:tcW w:w="900" w:type="dxa"/>
                  <w:noWrap w:val="0"/>
                  <w:vAlign w:val="center"/>
                </w:tcPr>
                <w:p w14:paraId="1E7ED8A4">
                  <w:pPr>
                    <w:pStyle w:val="67"/>
                    <w:rPr>
                      <w:rFonts w:hint="eastAsia"/>
                    </w:rPr>
                  </w:pPr>
                  <w:r>
                    <w:rPr>
                      <w:rFonts w:hint="eastAsia"/>
                    </w:rPr>
                    <w:t>HW01</w:t>
                  </w:r>
                </w:p>
              </w:tc>
              <w:tc>
                <w:tcPr>
                  <w:tcW w:w="985" w:type="dxa"/>
                  <w:noWrap w:val="0"/>
                  <w:vAlign w:val="center"/>
                </w:tcPr>
                <w:p w14:paraId="7E2C5826">
                  <w:pPr>
                    <w:pStyle w:val="67"/>
                    <w:rPr>
                      <w:rFonts w:hint="eastAsia"/>
                    </w:rPr>
                  </w:pPr>
                  <w:r>
                    <w:rPr>
                      <w:rFonts w:hint="eastAsia"/>
                    </w:rPr>
                    <w:t>841-001-0</w:t>
                  </w:r>
                </w:p>
              </w:tc>
              <w:tc>
                <w:tcPr>
                  <w:tcW w:w="714" w:type="dxa"/>
                  <w:vMerge w:val="restart"/>
                  <w:noWrap w:val="0"/>
                  <w:vAlign w:val="center"/>
                </w:tcPr>
                <w:p w14:paraId="70931BE1">
                  <w:pPr>
                    <w:pStyle w:val="67"/>
                  </w:pPr>
                  <w:r>
                    <w:rPr>
                      <w:rFonts w:hint="eastAsia"/>
                    </w:rPr>
                    <w:t>3楼</w:t>
                  </w:r>
                </w:p>
              </w:tc>
              <w:tc>
                <w:tcPr>
                  <w:tcW w:w="761" w:type="dxa"/>
                  <w:vMerge w:val="restart"/>
                  <w:noWrap w:val="0"/>
                  <w:vAlign w:val="center"/>
                </w:tcPr>
                <w:p w14:paraId="116DE84D">
                  <w:pPr>
                    <w:pStyle w:val="67"/>
                    <w:rPr>
                      <w:rFonts w:hint="eastAsia"/>
                    </w:rPr>
                  </w:pPr>
                  <w:r>
                    <w:rPr>
                      <w:rFonts w:hint="eastAsia"/>
                    </w:rPr>
                    <w:t>4m</w:t>
                  </w:r>
                  <w:r>
                    <w:rPr>
                      <w:rFonts w:hint="eastAsia"/>
                      <w:vertAlign w:val="superscript"/>
                    </w:rPr>
                    <w:t>2</w:t>
                  </w:r>
                </w:p>
              </w:tc>
              <w:tc>
                <w:tcPr>
                  <w:tcW w:w="718" w:type="dxa"/>
                  <w:vMerge w:val="restart"/>
                  <w:noWrap w:val="0"/>
                  <w:vAlign w:val="center"/>
                </w:tcPr>
                <w:p w14:paraId="1A02D710">
                  <w:pPr>
                    <w:pStyle w:val="67"/>
                  </w:pPr>
                  <w:r>
                    <w:t>桶装</w:t>
                  </w:r>
                </w:p>
              </w:tc>
              <w:tc>
                <w:tcPr>
                  <w:tcW w:w="779" w:type="dxa"/>
                  <w:vMerge w:val="restart"/>
                  <w:noWrap w:val="0"/>
                  <w:vAlign w:val="center"/>
                </w:tcPr>
                <w:p w14:paraId="62141A69">
                  <w:pPr>
                    <w:pStyle w:val="67"/>
                    <w:rPr>
                      <w:rFonts w:hint="eastAsia"/>
                    </w:rPr>
                  </w:pPr>
                  <w:r>
                    <w:rPr>
                      <w:rFonts w:hint="eastAsia"/>
                    </w:rPr>
                    <w:t>0.5t</w:t>
                  </w:r>
                </w:p>
              </w:tc>
              <w:tc>
                <w:tcPr>
                  <w:tcW w:w="814" w:type="dxa"/>
                  <w:vMerge w:val="restart"/>
                  <w:noWrap w:val="0"/>
                  <w:vAlign w:val="center"/>
                </w:tcPr>
                <w:p w14:paraId="1E28E2A9">
                  <w:pPr>
                    <w:pStyle w:val="67"/>
                  </w:pPr>
                  <w:r>
                    <w:rPr>
                      <w:rFonts w:hint="eastAsia"/>
                    </w:rPr>
                    <w:t>2天</w:t>
                  </w:r>
                </w:p>
              </w:tc>
            </w:tr>
            <w:tr w14:paraId="4267D2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464" w:type="dxa"/>
                  <w:noWrap w:val="0"/>
                  <w:vAlign w:val="center"/>
                </w:tcPr>
                <w:p w14:paraId="357672AB">
                  <w:pPr>
                    <w:pStyle w:val="67"/>
                    <w:rPr>
                      <w:rFonts w:hint="eastAsia"/>
                    </w:rPr>
                  </w:pPr>
                  <w:r>
                    <w:rPr>
                      <w:rFonts w:hint="eastAsia"/>
                    </w:rPr>
                    <w:t>2</w:t>
                  </w:r>
                </w:p>
              </w:tc>
              <w:tc>
                <w:tcPr>
                  <w:tcW w:w="1802" w:type="dxa"/>
                  <w:noWrap w:val="0"/>
                  <w:vAlign w:val="center"/>
                </w:tcPr>
                <w:p w14:paraId="518B51B7">
                  <w:pPr>
                    <w:pStyle w:val="67"/>
                    <w:rPr>
                      <w:rFonts w:hint="eastAsia"/>
                    </w:rPr>
                  </w:pPr>
                  <w:r>
                    <w:rPr>
                      <w:rFonts w:hint="eastAsia"/>
                    </w:rPr>
                    <w:t>针头</w:t>
                  </w:r>
                </w:p>
              </w:tc>
              <w:tc>
                <w:tcPr>
                  <w:tcW w:w="900" w:type="dxa"/>
                  <w:noWrap w:val="0"/>
                  <w:vAlign w:val="center"/>
                </w:tcPr>
                <w:p w14:paraId="5619A23A">
                  <w:pPr>
                    <w:pStyle w:val="67"/>
                    <w:rPr>
                      <w:rFonts w:hint="eastAsia"/>
                    </w:rPr>
                  </w:pPr>
                  <w:r>
                    <w:rPr>
                      <w:rFonts w:hint="eastAsia"/>
                    </w:rPr>
                    <w:t>HW01</w:t>
                  </w:r>
                </w:p>
              </w:tc>
              <w:tc>
                <w:tcPr>
                  <w:tcW w:w="985" w:type="dxa"/>
                  <w:noWrap w:val="0"/>
                  <w:vAlign w:val="center"/>
                </w:tcPr>
                <w:p w14:paraId="55CCF948">
                  <w:pPr>
                    <w:pStyle w:val="67"/>
                  </w:pPr>
                  <w:r>
                    <w:rPr>
                      <w:rFonts w:hint="eastAsia"/>
                    </w:rPr>
                    <w:t>841-002-01</w:t>
                  </w:r>
                </w:p>
              </w:tc>
              <w:tc>
                <w:tcPr>
                  <w:tcW w:w="714" w:type="dxa"/>
                  <w:vMerge w:val="continue"/>
                  <w:noWrap w:val="0"/>
                  <w:vAlign w:val="center"/>
                </w:tcPr>
                <w:p w14:paraId="436B7045">
                  <w:pPr>
                    <w:pStyle w:val="67"/>
                    <w:rPr>
                      <w:rFonts w:hint="eastAsia"/>
                    </w:rPr>
                  </w:pPr>
                </w:p>
              </w:tc>
              <w:tc>
                <w:tcPr>
                  <w:tcW w:w="761" w:type="dxa"/>
                  <w:vMerge w:val="continue"/>
                  <w:noWrap w:val="0"/>
                  <w:vAlign w:val="center"/>
                </w:tcPr>
                <w:p w14:paraId="2B39350E">
                  <w:pPr>
                    <w:pStyle w:val="67"/>
                    <w:rPr>
                      <w:rFonts w:hint="eastAsia"/>
                    </w:rPr>
                  </w:pPr>
                </w:p>
              </w:tc>
              <w:tc>
                <w:tcPr>
                  <w:tcW w:w="718" w:type="dxa"/>
                  <w:vMerge w:val="continue"/>
                  <w:noWrap w:val="0"/>
                  <w:vAlign w:val="center"/>
                </w:tcPr>
                <w:p w14:paraId="58E6C3D1">
                  <w:pPr>
                    <w:pStyle w:val="67"/>
                  </w:pPr>
                </w:p>
              </w:tc>
              <w:tc>
                <w:tcPr>
                  <w:tcW w:w="779" w:type="dxa"/>
                  <w:vMerge w:val="continue"/>
                  <w:noWrap w:val="0"/>
                  <w:vAlign w:val="center"/>
                </w:tcPr>
                <w:p w14:paraId="4086490C">
                  <w:pPr>
                    <w:pStyle w:val="67"/>
                    <w:rPr>
                      <w:rFonts w:hint="eastAsia"/>
                    </w:rPr>
                  </w:pPr>
                </w:p>
              </w:tc>
              <w:tc>
                <w:tcPr>
                  <w:tcW w:w="814" w:type="dxa"/>
                  <w:vMerge w:val="continue"/>
                  <w:noWrap w:val="0"/>
                  <w:vAlign w:val="center"/>
                </w:tcPr>
                <w:p w14:paraId="716C5FC1">
                  <w:pPr>
                    <w:pStyle w:val="67"/>
                    <w:rPr>
                      <w:rFonts w:hint="eastAsia"/>
                    </w:rPr>
                  </w:pPr>
                </w:p>
              </w:tc>
            </w:tr>
            <w:tr w14:paraId="0E1B38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8" w:hRule="atLeast"/>
              </w:trPr>
              <w:tc>
                <w:tcPr>
                  <w:tcW w:w="464" w:type="dxa"/>
                  <w:noWrap w:val="0"/>
                  <w:vAlign w:val="center"/>
                </w:tcPr>
                <w:p w14:paraId="32CEFA5A">
                  <w:pPr>
                    <w:pStyle w:val="67"/>
                  </w:pPr>
                  <w:r>
                    <w:rPr>
                      <w:rFonts w:hint="eastAsia"/>
                    </w:rPr>
                    <w:t>3</w:t>
                  </w:r>
                </w:p>
              </w:tc>
              <w:tc>
                <w:tcPr>
                  <w:tcW w:w="1802" w:type="dxa"/>
                  <w:noWrap w:val="0"/>
                  <w:vAlign w:val="center"/>
                </w:tcPr>
                <w:p w14:paraId="4B9C4C30">
                  <w:pPr>
                    <w:pStyle w:val="67"/>
                    <w:rPr>
                      <w:rFonts w:hint="eastAsia"/>
                    </w:rPr>
                  </w:pPr>
                  <w:r>
                    <w:rPr>
                      <w:rFonts w:hint="eastAsia"/>
                    </w:rPr>
                    <w:t>废弃药品</w:t>
                  </w:r>
                </w:p>
              </w:tc>
              <w:tc>
                <w:tcPr>
                  <w:tcW w:w="900" w:type="dxa"/>
                  <w:noWrap w:val="0"/>
                  <w:vAlign w:val="center"/>
                </w:tcPr>
                <w:p w14:paraId="0F526B11">
                  <w:pPr>
                    <w:pStyle w:val="67"/>
                    <w:rPr>
                      <w:rFonts w:hint="eastAsia"/>
                    </w:rPr>
                  </w:pPr>
                  <w:r>
                    <w:rPr>
                      <w:rFonts w:hint="eastAsia"/>
                    </w:rPr>
                    <w:t>HW01</w:t>
                  </w:r>
                </w:p>
              </w:tc>
              <w:tc>
                <w:tcPr>
                  <w:tcW w:w="985" w:type="dxa"/>
                  <w:noWrap w:val="0"/>
                  <w:vAlign w:val="center"/>
                </w:tcPr>
                <w:p w14:paraId="5EC79C87">
                  <w:pPr>
                    <w:pStyle w:val="67"/>
                  </w:pPr>
                  <w:r>
                    <w:rPr>
                      <w:rFonts w:hint="eastAsia"/>
                    </w:rPr>
                    <w:t>841-005-01</w:t>
                  </w:r>
                </w:p>
              </w:tc>
              <w:tc>
                <w:tcPr>
                  <w:tcW w:w="714" w:type="dxa"/>
                  <w:vMerge w:val="continue"/>
                  <w:noWrap w:val="0"/>
                  <w:vAlign w:val="center"/>
                </w:tcPr>
                <w:p w14:paraId="24E14344">
                  <w:pPr>
                    <w:pStyle w:val="67"/>
                    <w:rPr>
                      <w:rFonts w:hint="eastAsia"/>
                    </w:rPr>
                  </w:pPr>
                </w:p>
              </w:tc>
              <w:tc>
                <w:tcPr>
                  <w:tcW w:w="761" w:type="dxa"/>
                  <w:vMerge w:val="continue"/>
                  <w:noWrap w:val="0"/>
                  <w:vAlign w:val="center"/>
                </w:tcPr>
                <w:p w14:paraId="59A84BE9">
                  <w:pPr>
                    <w:pStyle w:val="67"/>
                    <w:rPr>
                      <w:rFonts w:hint="eastAsia"/>
                    </w:rPr>
                  </w:pPr>
                </w:p>
              </w:tc>
              <w:tc>
                <w:tcPr>
                  <w:tcW w:w="718" w:type="dxa"/>
                  <w:vMerge w:val="continue"/>
                  <w:noWrap w:val="0"/>
                  <w:vAlign w:val="center"/>
                </w:tcPr>
                <w:p w14:paraId="35723905">
                  <w:pPr>
                    <w:pStyle w:val="67"/>
                  </w:pPr>
                </w:p>
              </w:tc>
              <w:tc>
                <w:tcPr>
                  <w:tcW w:w="779" w:type="dxa"/>
                  <w:vMerge w:val="continue"/>
                  <w:noWrap w:val="0"/>
                  <w:vAlign w:val="center"/>
                </w:tcPr>
                <w:p w14:paraId="581355DB">
                  <w:pPr>
                    <w:pStyle w:val="67"/>
                    <w:rPr>
                      <w:rFonts w:hint="eastAsia"/>
                    </w:rPr>
                  </w:pPr>
                </w:p>
              </w:tc>
              <w:tc>
                <w:tcPr>
                  <w:tcW w:w="814" w:type="dxa"/>
                  <w:vMerge w:val="continue"/>
                  <w:noWrap w:val="0"/>
                  <w:vAlign w:val="center"/>
                </w:tcPr>
                <w:p w14:paraId="46AED825">
                  <w:pPr>
                    <w:pStyle w:val="67"/>
                    <w:rPr>
                      <w:rFonts w:hint="eastAsia"/>
                    </w:rPr>
                  </w:pPr>
                </w:p>
              </w:tc>
            </w:tr>
            <w:tr w14:paraId="63CF2B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8" w:hRule="atLeast"/>
              </w:trPr>
              <w:tc>
                <w:tcPr>
                  <w:tcW w:w="464" w:type="dxa"/>
                  <w:noWrap w:val="0"/>
                  <w:vAlign w:val="center"/>
                </w:tcPr>
                <w:p w14:paraId="5AF61E52">
                  <w:pPr>
                    <w:pStyle w:val="67"/>
                    <w:rPr>
                      <w:rFonts w:hint="eastAsia"/>
                    </w:rPr>
                  </w:pPr>
                  <w:r>
                    <w:rPr>
                      <w:rFonts w:hint="eastAsia"/>
                    </w:rPr>
                    <w:t>4</w:t>
                  </w:r>
                </w:p>
              </w:tc>
              <w:tc>
                <w:tcPr>
                  <w:tcW w:w="1802" w:type="dxa"/>
                  <w:noWrap w:val="0"/>
                  <w:vAlign w:val="center"/>
                </w:tcPr>
                <w:p w14:paraId="51572C3D">
                  <w:pPr>
                    <w:pStyle w:val="67"/>
                    <w:rPr>
                      <w:rFonts w:hint="eastAsia"/>
                    </w:rPr>
                  </w:pPr>
                  <w:r>
                    <w:rPr>
                      <w:rFonts w:hint="eastAsia"/>
                    </w:rPr>
                    <w:t>手术废弃组织</w:t>
                  </w:r>
                </w:p>
              </w:tc>
              <w:tc>
                <w:tcPr>
                  <w:tcW w:w="900" w:type="dxa"/>
                  <w:noWrap w:val="0"/>
                  <w:vAlign w:val="center"/>
                </w:tcPr>
                <w:p w14:paraId="467EA80E">
                  <w:pPr>
                    <w:pStyle w:val="67"/>
                    <w:rPr>
                      <w:rFonts w:hint="eastAsia"/>
                    </w:rPr>
                  </w:pPr>
                  <w:r>
                    <w:rPr>
                      <w:rFonts w:hint="eastAsia"/>
                    </w:rPr>
                    <w:t>HW01</w:t>
                  </w:r>
                </w:p>
              </w:tc>
              <w:tc>
                <w:tcPr>
                  <w:tcW w:w="985" w:type="dxa"/>
                  <w:noWrap w:val="0"/>
                  <w:vAlign w:val="center"/>
                </w:tcPr>
                <w:p w14:paraId="34D92A57">
                  <w:pPr>
                    <w:pStyle w:val="67"/>
                  </w:pPr>
                  <w:r>
                    <w:rPr>
                      <w:rFonts w:hint="eastAsia"/>
                    </w:rPr>
                    <w:t>841-003-01</w:t>
                  </w:r>
                </w:p>
              </w:tc>
              <w:tc>
                <w:tcPr>
                  <w:tcW w:w="714" w:type="dxa"/>
                  <w:vMerge w:val="continue"/>
                  <w:noWrap w:val="0"/>
                  <w:vAlign w:val="center"/>
                </w:tcPr>
                <w:p w14:paraId="302C2182">
                  <w:pPr>
                    <w:pStyle w:val="67"/>
                    <w:rPr>
                      <w:rFonts w:hint="eastAsia"/>
                    </w:rPr>
                  </w:pPr>
                </w:p>
              </w:tc>
              <w:tc>
                <w:tcPr>
                  <w:tcW w:w="761" w:type="dxa"/>
                  <w:vMerge w:val="continue"/>
                  <w:noWrap w:val="0"/>
                  <w:vAlign w:val="center"/>
                </w:tcPr>
                <w:p w14:paraId="09F1CDF2">
                  <w:pPr>
                    <w:pStyle w:val="67"/>
                    <w:rPr>
                      <w:rFonts w:hint="eastAsia"/>
                    </w:rPr>
                  </w:pPr>
                </w:p>
              </w:tc>
              <w:tc>
                <w:tcPr>
                  <w:tcW w:w="718" w:type="dxa"/>
                  <w:vMerge w:val="continue"/>
                  <w:noWrap w:val="0"/>
                  <w:vAlign w:val="center"/>
                </w:tcPr>
                <w:p w14:paraId="653F8AAB">
                  <w:pPr>
                    <w:pStyle w:val="67"/>
                  </w:pPr>
                </w:p>
              </w:tc>
              <w:tc>
                <w:tcPr>
                  <w:tcW w:w="779" w:type="dxa"/>
                  <w:vMerge w:val="continue"/>
                  <w:noWrap w:val="0"/>
                  <w:vAlign w:val="center"/>
                </w:tcPr>
                <w:p w14:paraId="59A38CD2">
                  <w:pPr>
                    <w:pStyle w:val="67"/>
                    <w:rPr>
                      <w:rFonts w:hint="eastAsia"/>
                    </w:rPr>
                  </w:pPr>
                </w:p>
              </w:tc>
              <w:tc>
                <w:tcPr>
                  <w:tcW w:w="814" w:type="dxa"/>
                  <w:vMerge w:val="continue"/>
                  <w:noWrap w:val="0"/>
                  <w:vAlign w:val="center"/>
                </w:tcPr>
                <w:p w14:paraId="11A19C86">
                  <w:pPr>
                    <w:pStyle w:val="67"/>
                    <w:rPr>
                      <w:rFonts w:hint="eastAsia"/>
                    </w:rPr>
                  </w:pPr>
                </w:p>
              </w:tc>
            </w:tr>
            <w:tr w14:paraId="27CC24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464" w:type="dxa"/>
                  <w:noWrap w:val="0"/>
                  <w:vAlign w:val="center"/>
                </w:tcPr>
                <w:p w14:paraId="600E0ABD">
                  <w:pPr>
                    <w:pStyle w:val="67"/>
                    <w:rPr>
                      <w:rFonts w:hint="eastAsia"/>
                      <w:color w:val="auto"/>
                    </w:rPr>
                  </w:pPr>
                  <w:r>
                    <w:rPr>
                      <w:rFonts w:hint="eastAsia"/>
                      <w:color w:val="auto"/>
                    </w:rPr>
                    <w:t>5</w:t>
                  </w:r>
                </w:p>
              </w:tc>
              <w:tc>
                <w:tcPr>
                  <w:tcW w:w="1802" w:type="dxa"/>
                  <w:noWrap w:val="0"/>
                  <w:vAlign w:val="center"/>
                </w:tcPr>
                <w:p w14:paraId="70838F03">
                  <w:pPr>
                    <w:pStyle w:val="67"/>
                    <w:rPr>
                      <w:color w:val="auto"/>
                    </w:rPr>
                  </w:pPr>
                  <w:r>
                    <w:rPr>
                      <w:rFonts w:hint="eastAsia"/>
                      <w:color w:val="auto"/>
                    </w:rPr>
                    <w:t>污水处理污泥</w:t>
                  </w:r>
                </w:p>
              </w:tc>
              <w:tc>
                <w:tcPr>
                  <w:tcW w:w="900" w:type="dxa"/>
                  <w:noWrap w:val="0"/>
                  <w:vAlign w:val="center"/>
                </w:tcPr>
                <w:p w14:paraId="70232606">
                  <w:pPr>
                    <w:pStyle w:val="67"/>
                    <w:rPr>
                      <w:rFonts w:hint="eastAsia"/>
                      <w:color w:val="auto"/>
                    </w:rPr>
                  </w:pPr>
                  <w:r>
                    <w:rPr>
                      <w:rFonts w:hint="eastAsia"/>
                      <w:color w:val="auto"/>
                    </w:rPr>
                    <w:t>HW01</w:t>
                  </w:r>
                </w:p>
              </w:tc>
              <w:tc>
                <w:tcPr>
                  <w:tcW w:w="985" w:type="dxa"/>
                  <w:noWrap w:val="0"/>
                  <w:vAlign w:val="center"/>
                </w:tcPr>
                <w:p w14:paraId="65058389">
                  <w:pPr>
                    <w:pStyle w:val="67"/>
                    <w:rPr>
                      <w:rFonts w:hint="eastAsia"/>
                      <w:color w:val="auto"/>
                    </w:rPr>
                  </w:pPr>
                  <w:r>
                    <w:rPr>
                      <w:rFonts w:hint="eastAsia"/>
                      <w:color w:val="auto"/>
                    </w:rPr>
                    <w:t>841-001-0</w:t>
                  </w:r>
                </w:p>
              </w:tc>
              <w:tc>
                <w:tcPr>
                  <w:tcW w:w="714" w:type="dxa"/>
                  <w:vMerge w:val="continue"/>
                  <w:noWrap w:val="0"/>
                  <w:vAlign w:val="center"/>
                </w:tcPr>
                <w:p w14:paraId="0E5222FB">
                  <w:pPr>
                    <w:pStyle w:val="67"/>
                    <w:rPr>
                      <w:rFonts w:hint="eastAsia"/>
                      <w:color w:val="FF0000"/>
                    </w:rPr>
                  </w:pPr>
                </w:p>
              </w:tc>
              <w:tc>
                <w:tcPr>
                  <w:tcW w:w="761" w:type="dxa"/>
                  <w:vMerge w:val="continue"/>
                  <w:noWrap w:val="0"/>
                  <w:vAlign w:val="center"/>
                </w:tcPr>
                <w:p w14:paraId="02B3C5C4">
                  <w:pPr>
                    <w:pStyle w:val="67"/>
                    <w:rPr>
                      <w:rFonts w:hint="eastAsia"/>
                      <w:color w:val="FF0000"/>
                    </w:rPr>
                  </w:pPr>
                </w:p>
              </w:tc>
              <w:tc>
                <w:tcPr>
                  <w:tcW w:w="718" w:type="dxa"/>
                  <w:vMerge w:val="continue"/>
                  <w:noWrap w:val="0"/>
                  <w:vAlign w:val="center"/>
                </w:tcPr>
                <w:p w14:paraId="3D8CE598">
                  <w:pPr>
                    <w:pStyle w:val="67"/>
                    <w:rPr>
                      <w:color w:val="FF0000"/>
                    </w:rPr>
                  </w:pPr>
                </w:p>
              </w:tc>
              <w:tc>
                <w:tcPr>
                  <w:tcW w:w="779" w:type="dxa"/>
                  <w:vMerge w:val="continue"/>
                  <w:noWrap w:val="0"/>
                  <w:vAlign w:val="center"/>
                </w:tcPr>
                <w:p w14:paraId="1B2338A1">
                  <w:pPr>
                    <w:pStyle w:val="67"/>
                    <w:rPr>
                      <w:rFonts w:hint="eastAsia"/>
                      <w:color w:val="FF0000"/>
                    </w:rPr>
                  </w:pPr>
                </w:p>
              </w:tc>
              <w:tc>
                <w:tcPr>
                  <w:tcW w:w="814" w:type="dxa"/>
                  <w:noWrap w:val="0"/>
                  <w:vAlign w:val="center"/>
                </w:tcPr>
                <w:p w14:paraId="0DC1BD04">
                  <w:pPr>
                    <w:pStyle w:val="67"/>
                    <w:rPr>
                      <w:rFonts w:hint="default" w:eastAsia="宋体"/>
                      <w:color w:val="FF0000"/>
                      <w:lang w:val="en-US" w:eastAsia="zh-CN"/>
                    </w:rPr>
                  </w:pPr>
                  <w:r>
                    <w:rPr>
                      <w:rFonts w:hint="eastAsia"/>
                      <w:color w:val="auto"/>
                      <w:lang w:val="en-US" w:eastAsia="zh-CN"/>
                    </w:rPr>
                    <w:t>月</w:t>
                  </w:r>
                </w:p>
              </w:tc>
            </w:tr>
          </w:tbl>
          <w:p w14:paraId="51CEB41A">
            <w:pPr>
              <w:pStyle w:val="6"/>
              <w:numPr>
                <w:ilvl w:val="0"/>
                <w:numId w:val="0"/>
              </w:numPr>
              <w:tabs>
                <w:tab w:val="left" w:pos="0"/>
              </w:tabs>
              <w:ind w:left="993" w:leftChars="0" w:hanging="993" w:firstLineChars="0"/>
            </w:pPr>
            <w:r>
              <w:rPr>
                <w:rFonts w:hint="eastAsia" w:ascii="Times New Roman" w:hAnsi="Times New Roman" w:eastAsia="宋体" w:cs="宋体"/>
                <w:b/>
                <w:bCs/>
                <w:kern w:val="2"/>
                <w:sz w:val="28"/>
                <w:szCs w:val="32"/>
                <w:lang w:val="en-US" w:eastAsia="zh-CN" w:bidi="ar-SA"/>
              </w:rPr>
              <w:t>4.8.2</w:t>
            </w:r>
            <w:r>
              <w:rPr>
                <w:rFonts w:hint="eastAsia"/>
              </w:rPr>
              <w:t>措施可行性分析</w:t>
            </w:r>
          </w:p>
          <w:p w14:paraId="135935B6">
            <w:pPr>
              <w:pStyle w:val="76"/>
              <w:ind w:firstLine="480"/>
            </w:pPr>
            <w:r>
              <w:t>（1）生活垃圾</w:t>
            </w:r>
          </w:p>
          <w:p w14:paraId="2773C738">
            <w:pPr>
              <w:pStyle w:val="76"/>
              <w:ind w:firstLine="480"/>
            </w:pPr>
            <w:r>
              <w:t>职工产生的生活垃圾经分类收集，委托环卫部门统一外运处置，不会对环境造成不良影响。</w:t>
            </w:r>
          </w:p>
          <w:p w14:paraId="360947C2">
            <w:pPr>
              <w:pStyle w:val="76"/>
              <w:ind w:firstLine="480"/>
              <w:rPr>
                <w:szCs w:val="24"/>
              </w:rPr>
            </w:pPr>
            <w:r>
              <w:rPr>
                <w:szCs w:val="24"/>
              </w:rPr>
              <w:t>生活垃圾主要为有机物、餐厨垃圾、</w:t>
            </w:r>
            <w:r>
              <w:t>玻璃</w:t>
            </w:r>
            <w:r>
              <w:rPr>
                <w:szCs w:val="24"/>
              </w:rPr>
              <w:t>、塑料、金属、布、纸等。生活垃圾若不及时清运，易腐败散发出NH</w:t>
            </w:r>
            <w:r>
              <w:rPr>
                <w:szCs w:val="24"/>
                <w:vertAlign w:val="subscript"/>
              </w:rPr>
              <w:t>3</w:t>
            </w:r>
            <w:r>
              <w:rPr>
                <w:szCs w:val="24"/>
              </w:rPr>
              <w:t>、H</w:t>
            </w:r>
            <w:r>
              <w:rPr>
                <w:szCs w:val="24"/>
                <w:vertAlign w:val="subscript"/>
              </w:rPr>
              <w:t>2</w:t>
            </w:r>
            <w:r>
              <w:rPr>
                <w:szCs w:val="24"/>
              </w:rPr>
              <w:t>S等恶臭气体、滋生蚊虫、传播疾病，随意堆放必然会</w:t>
            </w:r>
            <w:r>
              <w:rPr>
                <w:rFonts w:hint="eastAsia"/>
                <w:szCs w:val="24"/>
              </w:rPr>
              <w:t>孳生</w:t>
            </w:r>
            <w:r>
              <w:rPr>
                <w:szCs w:val="24"/>
              </w:rPr>
              <w:t>苍蝇，产生恶臭，影响员工健康和周边的卫生环境。生活垃圾应定点堆放、及时收集后</w:t>
            </w:r>
            <w:r>
              <w:t>交由</w:t>
            </w:r>
            <w:r>
              <w:rPr>
                <w:szCs w:val="24"/>
              </w:rPr>
              <w:t>环卫部门处理，对项目周边环境没有影响。</w:t>
            </w:r>
          </w:p>
          <w:p w14:paraId="5C1CE6CF">
            <w:pPr>
              <w:pStyle w:val="76"/>
              <w:ind w:firstLine="480"/>
            </w:pPr>
            <w:r>
              <w:t>本项目运营期间固体废物应实施严格管理和分类处置，禁止其不经处置而出现因管理上的疏漏使危险固废进入外部环境。只有建设单位认真落实各种固体废物的处置措施，保证各类固体废物得到有效分类处置，项目运营期所产生的固体废物对环境的影响才可得到有效的控制，不会对环境产生明显影响。</w:t>
            </w:r>
          </w:p>
          <w:p w14:paraId="207DBB55">
            <w:pPr>
              <w:pStyle w:val="76"/>
              <w:ind w:firstLine="480"/>
            </w:pPr>
            <w:r>
              <w:t>（2）危险废物</w:t>
            </w:r>
          </w:p>
          <w:p w14:paraId="468C996D">
            <w:pPr>
              <w:adjustRightInd w:val="0"/>
              <w:snapToGrid w:val="0"/>
              <w:spacing w:line="360" w:lineRule="auto"/>
              <w:ind w:firstLine="480" w:firstLineChars="200"/>
              <w:rPr>
                <w:rFonts w:hint="eastAsia"/>
              </w:rPr>
            </w:pPr>
            <w:r>
              <w:rPr>
                <w:rFonts w:hint="eastAsia"/>
              </w:rPr>
              <w:t>项目运营期的危险固体废物主要为生产过程中产生的医疗废物、医疗污泥。此类固废统一收集后临时贮存于危废暂存间中，</w:t>
            </w:r>
            <w:r>
              <w:t>医疗废物单独收集暂存于医疗废物收集桶，定期交由有资质的单位安全处置</w:t>
            </w:r>
            <w:r>
              <w:rPr>
                <w:rFonts w:hint="eastAsia"/>
              </w:rPr>
              <w:t>。</w:t>
            </w:r>
          </w:p>
          <w:p w14:paraId="13156E67">
            <w:pPr>
              <w:pStyle w:val="73"/>
              <w:ind w:firstLine="480"/>
              <w:rPr>
                <w:color w:val="auto"/>
              </w:rPr>
            </w:pPr>
            <w:r>
              <w:rPr>
                <w:color w:val="auto"/>
              </w:rPr>
              <w:t>根据《国家危险废物名录</w:t>
            </w:r>
            <w:r>
              <w:rPr>
                <w:color w:val="auto"/>
                <w:szCs w:val="28"/>
              </w:rPr>
              <w:t>（2021年版）</w:t>
            </w:r>
            <w:r>
              <w:rPr>
                <w:color w:val="auto"/>
              </w:rPr>
              <w:t>》，HW01医疗废物属于危险废物，应按照《危险废物贮存污染控制标准》（GB18597-2001）（2013修订）和《医疗卫生机构医疗废物管理办法》（国务院令第380号）要求进行收集、贮存及运输，具体要求如下：</w:t>
            </w:r>
          </w:p>
          <w:p w14:paraId="36F8A59D">
            <w:pPr>
              <w:pStyle w:val="73"/>
              <w:ind w:firstLine="480"/>
              <w:rPr>
                <w:color w:val="auto"/>
              </w:rPr>
            </w:pPr>
            <w:r>
              <w:rPr>
                <w:color w:val="auto"/>
              </w:rPr>
              <w:t>A、企业应将医疗废物收集桶放置于手术室和化验台旁，手术过程中产生的医疗垃圾，化验产生的医疗垃圾统一放置在医疗垃圾桶中。</w:t>
            </w:r>
          </w:p>
          <w:p w14:paraId="6D70DB4E">
            <w:pPr>
              <w:pStyle w:val="73"/>
              <w:ind w:firstLine="480"/>
              <w:rPr>
                <w:color w:val="auto"/>
              </w:rPr>
            </w:pPr>
            <w:r>
              <w:rPr>
                <w:color w:val="auto"/>
              </w:rPr>
              <w:t>B、企业应用带卡箍盖钢圆桶或塑料桶盛装危险废物，危险废物的容器和包装清楚地标明内盛物的类别及危害说明，以及数量和装进日期，设置危险废物识别标志。</w:t>
            </w:r>
          </w:p>
          <w:p w14:paraId="10F3D6CD">
            <w:pPr>
              <w:pStyle w:val="73"/>
              <w:ind w:firstLine="480"/>
              <w:rPr>
                <w:color w:val="auto"/>
              </w:rPr>
            </w:pPr>
            <w:r>
              <w:rPr>
                <w:color w:val="auto"/>
              </w:rPr>
              <w:t>C、危险废物转移采取危险废物转移报告单制度，保证运输安全，防止非法转移和非法处置，保证危险废物的安全监控，防止危险废物污染事故发生。</w:t>
            </w:r>
          </w:p>
          <w:p w14:paraId="726A1811">
            <w:pPr>
              <w:pStyle w:val="73"/>
              <w:ind w:firstLine="480"/>
              <w:rPr>
                <w:color w:val="auto"/>
              </w:rPr>
            </w:pPr>
            <w:r>
              <w:rPr>
                <w:color w:val="auto"/>
              </w:rPr>
              <w:t>D、其医疗危险废物交由有资质的单位收集处置，贮存时间为2天。</w:t>
            </w:r>
          </w:p>
          <w:p w14:paraId="2EED42C1">
            <w:pPr>
              <w:pStyle w:val="73"/>
              <w:ind w:firstLine="480"/>
              <w:rPr>
                <w:color w:val="auto"/>
              </w:rPr>
            </w:pPr>
            <w:r>
              <w:rPr>
                <w:color w:val="auto"/>
              </w:rPr>
              <w:t>E、定期对危废暂存场所进行消毒、杀菌。</w:t>
            </w:r>
          </w:p>
          <w:p w14:paraId="5776CEFE">
            <w:pPr>
              <w:pStyle w:val="73"/>
              <w:ind w:firstLine="480"/>
              <w:rPr>
                <w:color w:val="auto"/>
              </w:rPr>
            </w:pPr>
            <w:r>
              <w:rPr>
                <w:color w:val="auto"/>
              </w:rPr>
              <w:t>项目产生的危险废物在外运处置前，采用空桶收集，并贴上废弃物分类专用标签，临时堆放在危废暂存间内。根据厂区地质条件及周边自然环境，贮存设施场址地质结构稳定，地震烈度不超过6度；不属于断层、断层破碎带、溶洞区，以及天然滑坡或泥石流影响区；不属于地下水主要补给区和饮用水源含水层；地基满足承载力要求，无局部下沉隐患；周边不属于高压输电线路防护区域，基本符合《危险废物贮存污染控制标准》（GB18597-20</w:t>
            </w:r>
            <w:r>
              <w:rPr>
                <w:rFonts w:hint="eastAsia"/>
                <w:color w:val="auto"/>
                <w:lang w:val="en-US" w:eastAsia="zh-CN"/>
              </w:rPr>
              <w:t>23</w:t>
            </w:r>
            <w:r>
              <w:rPr>
                <w:color w:val="auto"/>
              </w:rPr>
              <w:t>）的规定。</w:t>
            </w:r>
          </w:p>
          <w:p w14:paraId="4CD0D8EB">
            <w:pPr>
              <w:pStyle w:val="76"/>
              <w:ind w:firstLine="480"/>
            </w:pPr>
            <w:r>
              <w:t>同时，对危险废物的收集、储存、转运和处置，需严格按照《危险废物收集、贮存、运输技术规范》（HJ 2025-2012）和《危险废物贮存污染控制标准》（GB18597-20</w:t>
            </w:r>
            <w:r>
              <w:rPr>
                <w:rFonts w:hint="eastAsia"/>
                <w:lang w:val="en-US" w:eastAsia="zh-CN"/>
              </w:rPr>
              <w:t>23</w:t>
            </w:r>
            <w:r>
              <w:t>）执行相关措施：</w:t>
            </w:r>
          </w:p>
          <w:p w14:paraId="2D5A975E">
            <w:pPr>
              <w:pStyle w:val="76"/>
              <w:ind w:firstLine="480"/>
            </w:pPr>
            <w:r>
              <w:t>1）危险废物收集措施</w:t>
            </w:r>
          </w:p>
          <w:p w14:paraId="31E8193B">
            <w:pPr>
              <w:pStyle w:val="76"/>
              <w:ind w:firstLine="480"/>
            </w:pPr>
            <w:r>
              <w:t>医疗废物、污水处理污泥采用空桶收集并贴上废弃物分类专用标签，分别按照对应的危废类别临时堆放在危废暂存间内，上述危废累计一定数量后由专用运输车辆外运至危险废物处置单位进行处置。</w:t>
            </w:r>
          </w:p>
          <w:p w14:paraId="775326F8">
            <w:pPr>
              <w:pStyle w:val="76"/>
              <w:ind w:firstLine="480"/>
            </w:pPr>
            <w:r>
              <w:t>2）危险废物储存措施</w:t>
            </w:r>
          </w:p>
          <w:p w14:paraId="295C1AA2">
            <w:pPr>
              <w:pStyle w:val="76"/>
              <w:ind w:firstLine="480"/>
            </w:pPr>
            <w:r>
              <w:t>危废暂存处做到防风、防雨、防晒、防渗。</w:t>
            </w:r>
          </w:p>
          <w:p w14:paraId="32723AA4">
            <w:pPr>
              <w:pStyle w:val="76"/>
              <w:ind w:firstLine="480"/>
            </w:pPr>
            <w:r>
              <w:t>危废暂存处地面基础必须防渗，防渗层为至少1m厚粘土层（渗透系数≤10-7cm/s），或2mm厚高密度聚乙烯，或至少2mm厚的其它人工材料，渗透系数≤10-10cm/s。危废暂存间墙裙须做防渗、防腐处理，并须设立明显的标识对危废贮存区域、危废贮存箱进行识别和明示。</w:t>
            </w:r>
          </w:p>
          <w:p w14:paraId="5BFA8246">
            <w:pPr>
              <w:pStyle w:val="76"/>
              <w:ind w:firstLine="480"/>
            </w:pPr>
            <w:r>
              <w:t>上述危险废物的收集和储存，公司将委派专人负责，各种废弃物的储存容器本身都有很好的密封性，危废暂存间场地按照《危险废物贮存污染控制标准》（GB18597-20</w:t>
            </w:r>
            <w:r>
              <w:rPr>
                <w:rFonts w:hint="eastAsia"/>
                <w:lang w:val="en-US" w:eastAsia="zh-CN"/>
              </w:rPr>
              <w:t>23</w:t>
            </w:r>
            <w:r>
              <w:t>）相关要求进行防渗、防漏处理，安全可靠，不会受到风雨侵蚀，可有效防止临时存放过程中的二次污染。</w:t>
            </w:r>
          </w:p>
          <w:p w14:paraId="481B9D27">
            <w:pPr>
              <w:pStyle w:val="76"/>
              <w:ind w:firstLine="480"/>
            </w:pPr>
            <w:r>
              <w:t>3）危险废物转运措施</w:t>
            </w:r>
          </w:p>
          <w:p w14:paraId="6C9B9C59">
            <w:pPr>
              <w:pStyle w:val="76"/>
              <w:ind w:firstLine="480"/>
            </w:pPr>
            <w:r>
              <w:t>危险废物运输应由持有危险废物经营许可证的单位按照其许可证的经营范围组织实施，承担危险废物运输的单位应获得交通运输部门颁发的危险货物运输资质。运输单位承运危险废物时，应在危险废物包装上按照《危险废物贮存污染控制标准》附录A设置标志危险废物公路运输时，运输车辆应按《道路运输危险货物车辆标志》（GB 13392-2005）设置车辆标志。</w:t>
            </w:r>
          </w:p>
          <w:p w14:paraId="674AA81B">
            <w:pPr>
              <w:pStyle w:val="76"/>
              <w:ind w:firstLine="480"/>
            </w:pPr>
            <w:r>
              <w:t>4）危险废物处置措施</w:t>
            </w:r>
          </w:p>
          <w:p w14:paraId="1DD0C1CC">
            <w:pPr>
              <w:pStyle w:val="76"/>
              <w:ind w:firstLine="480"/>
            </w:pPr>
            <w:r>
              <w:t>对危险废物处置，需按照《中华人民共和国固体废物污染环境防治法》（中华人民共和国主席令第58号）的有关要求严格执行。除按照相关法律法规、标准规范落实措施之外，本评价建议企业加强固体废物贮存和处置全过程的管理，具体可参照如下措施执行：</w:t>
            </w:r>
          </w:p>
          <w:p w14:paraId="33569C73">
            <w:pPr>
              <w:pStyle w:val="76"/>
              <w:ind w:firstLine="480"/>
            </w:pPr>
            <w:r>
              <w:t>①危险废物应与其他固体废物严格隔离，禁止一般工业固废和生活垃圾混入；同时也禁止危险废物混入一般工业固废和生活垃圾中。</w:t>
            </w:r>
          </w:p>
          <w:p w14:paraId="07B73384">
            <w:pPr>
              <w:pStyle w:val="76"/>
              <w:ind w:firstLine="480"/>
            </w:pPr>
            <w:r>
              <w:t>②强化配套设施的配备。危险废物应当使用符合标准的容器分类盛装；禁止将不相容（相互反应）的危险废物在同一容器内混装；盛装危险废物的容器上必须粘贴符合标准的标签。</w:t>
            </w:r>
          </w:p>
          <w:p w14:paraId="4660DE17">
            <w:pPr>
              <w:pStyle w:val="76"/>
              <w:ind w:firstLine="480"/>
            </w:pPr>
            <w:r>
              <w:t>③装载液体、半固体危险废物的容器内须留足够空间，容器顶部与液体表面之间保留100mm以上的空间。</w:t>
            </w:r>
          </w:p>
          <w:p w14:paraId="4FFCB002">
            <w:pPr>
              <w:pStyle w:val="76"/>
              <w:ind w:firstLine="480"/>
            </w:pPr>
            <w:r>
              <w:t>④检查生产车间内的通讯设备、照明设施、安全防护服装及工具，检查应急防护设施。</w:t>
            </w:r>
          </w:p>
          <w:p w14:paraId="69AAB88D">
            <w:pPr>
              <w:pStyle w:val="76"/>
              <w:ind w:firstLine="480"/>
            </w:pPr>
            <w:r>
              <w:t>⑤完善维护制度，定期检查维护危废贮存箱等设施，发现有损坏可能或异常，应及时采取必要措施，以保障正常使用。</w:t>
            </w:r>
          </w:p>
          <w:p w14:paraId="5E10459B">
            <w:pPr>
              <w:pStyle w:val="76"/>
              <w:ind w:firstLine="480"/>
            </w:pPr>
            <w:r>
              <w:t>⑥项目产生的固体废物产生量、拟采取的处置措施及去向按《中华人民共和国固体废物污染环境防治法》（中华人民共和国主席令第58号）的规定向环保局申报，填报危险废物转移五联单，按要求对项目产生的固体废物特别是危险废物进行全过程严格管理和安全处置。在采取了严格的控制措施后，本项目危险废物处置率为100%，无外排，则不会对环境产生影响。</w:t>
            </w:r>
          </w:p>
          <w:p w14:paraId="3605CB65">
            <w:pPr>
              <w:pStyle w:val="76"/>
              <w:ind w:firstLine="480"/>
            </w:pPr>
            <w:r>
              <w:t>综上所述，固体废物在采取措施并完善管理措施的情况下，措施有效可行。</w:t>
            </w:r>
          </w:p>
          <w:p w14:paraId="141C9189">
            <w:pPr>
              <w:pStyle w:val="5"/>
              <w:numPr>
                <w:ilvl w:val="0"/>
                <w:numId w:val="0"/>
              </w:numPr>
              <w:spacing w:before="120" w:after="120"/>
              <w:ind w:left="0" w:leftChars="0" w:firstLine="0" w:firstLineChars="0"/>
            </w:pPr>
            <w:r>
              <w:rPr>
                <w:rFonts w:hint="eastAsia" w:ascii="Times New Roman" w:hAnsi="Times New Roman" w:eastAsia="宋体" w:cs="宋体"/>
                <w:b/>
                <w:bCs/>
                <w:color w:val="000000"/>
                <w:kern w:val="44"/>
                <w:sz w:val="30"/>
                <w:szCs w:val="32"/>
                <w:lang w:val="en-US" w:eastAsia="zh-CN" w:bidi="ar-SA"/>
              </w:rPr>
              <w:t>4.9</w:t>
            </w:r>
            <w:r>
              <w:t>环境风险评价</w:t>
            </w:r>
          </w:p>
          <w:p w14:paraId="31E6500C">
            <w:pPr>
              <w:pStyle w:val="6"/>
              <w:numPr>
                <w:ilvl w:val="0"/>
                <w:numId w:val="0"/>
              </w:numPr>
              <w:tabs>
                <w:tab w:val="left" w:pos="0"/>
              </w:tabs>
              <w:ind w:left="993" w:leftChars="0" w:hanging="993" w:firstLineChars="0"/>
            </w:pPr>
            <w:r>
              <w:rPr>
                <w:rFonts w:hint="eastAsia" w:ascii="Times New Roman" w:hAnsi="Times New Roman" w:eastAsia="宋体" w:cs="宋体"/>
                <w:b/>
                <w:bCs/>
                <w:kern w:val="2"/>
                <w:sz w:val="28"/>
                <w:szCs w:val="32"/>
                <w:lang w:val="en-US" w:eastAsia="zh-CN" w:bidi="ar-SA"/>
              </w:rPr>
              <w:t>4.9.1</w:t>
            </w:r>
            <w:r>
              <w:t>风险调查</w:t>
            </w:r>
          </w:p>
          <w:p w14:paraId="0B455CC7">
            <w:pPr>
              <w:pStyle w:val="76"/>
              <w:ind w:firstLine="480"/>
              <w:rPr>
                <w:rFonts w:hint="default" w:cs="Times New Roman"/>
                <w:szCs w:val="28"/>
              </w:rPr>
            </w:pPr>
            <w:r>
              <w:rPr>
                <w:rFonts w:cs="Times New Roman"/>
                <w:szCs w:val="28"/>
              </w:rPr>
              <w:t>本项目营运期</w:t>
            </w:r>
            <w:r>
              <w:rPr>
                <w:rFonts w:hint="default" w:cs="Times New Roman"/>
                <w:szCs w:val="28"/>
              </w:rPr>
              <w:t>涉及的环境风险物质见</w:t>
            </w:r>
            <w:r>
              <w:rPr>
                <w:rFonts w:hint="default" w:cs="Times New Roman"/>
                <w:szCs w:val="28"/>
              </w:rPr>
              <w:fldChar w:fldCharType="begin"/>
            </w:r>
            <w:r>
              <w:rPr>
                <w:rFonts w:hint="default" w:cs="Times New Roman"/>
                <w:szCs w:val="28"/>
              </w:rPr>
              <w:instrText xml:space="preserve"> REF _Ref21638253 \r \h  \* MERGEFORMAT </w:instrText>
            </w:r>
            <w:r>
              <w:rPr>
                <w:rFonts w:hint="default" w:cs="Times New Roman"/>
                <w:szCs w:val="28"/>
              </w:rPr>
              <w:fldChar w:fldCharType="separate"/>
            </w:r>
            <w:r>
              <w:rPr>
                <w:rFonts w:hint="default" w:cs="Times New Roman"/>
                <w:szCs w:val="28"/>
              </w:rPr>
              <w:t>表</w:t>
            </w:r>
            <w:r>
              <w:rPr>
                <w:rFonts w:cs="Times New Roman"/>
                <w:szCs w:val="28"/>
              </w:rPr>
              <w:t>4.</w:t>
            </w:r>
            <w:r>
              <w:rPr>
                <w:rFonts w:hint="eastAsia" w:cs="Times New Roman"/>
                <w:szCs w:val="28"/>
                <w:lang w:val="en-US" w:eastAsia="zh-CN"/>
              </w:rPr>
              <w:t>9</w:t>
            </w:r>
            <w:r>
              <w:rPr>
                <w:rFonts w:hint="default" w:cs="Times New Roman"/>
                <w:szCs w:val="28"/>
              </w:rPr>
              <w:t>-1</w:t>
            </w:r>
            <w:r>
              <w:rPr>
                <w:rFonts w:hint="default" w:cs="Times New Roman"/>
                <w:szCs w:val="28"/>
              </w:rPr>
              <w:fldChar w:fldCharType="end"/>
            </w:r>
            <w:r>
              <w:rPr>
                <w:rFonts w:hint="eastAsia" w:cs="Times New Roman"/>
                <w:szCs w:val="28"/>
                <w:lang w:eastAsia="zh-CN"/>
              </w:rPr>
              <w:t>，</w:t>
            </w:r>
            <w:r>
              <w:rPr>
                <w:rFonts w:hint="eastAsia" w:cs="Times New Roman"/>
                <w:szCs w:val="28"/>
                <w:lang w:val="en-US" w:eastAsia="zh-CN"/>
              </w:rPr>
              <w:t>危险物质理化性质见表4.9-2</w:t>
            </w:r>
            <w:r>
              <w:rPr>
                <w:rFonts w:hint="default" w:cs="Times New Roman"/>
                <w:szCs w:val="28"/>
              </w:rPr>
              <w:t>。</w:t>
            </w:r>
          </w:p>
          <w:p w14:paraId="227A47F2">
            <w:pPr>
              <w:pStyle w:val="63"/>
              <w:numPr>
                <w:ilvl w:val="0"/>
                <w:numId w:val="0"/>
              </w:numPr>
              <w:ind w:left="0" w:leftChars="0" w:firstLine="0" w:firstLineChars="0"/>
            </w:pPr>
            <w:bookmarkStart w:id="41" w:name="_Ref21638253"/>
            <w:r>
              <w:rPr>
                <w:rFonts w:hint="eastAsia" w:ascii="Times New Roman" w:hAnsi="Times New Roman" w:eastAsia="宋体" w:cs="宋体"/>
                <w:b/>
                <w:kern w:val="2"/>
                <w:sz w:val="24"/>
                <w:szCs w:val="24"/>
                <w:lang w:val="en-US" w:eastAsia="zh-CN" w:bidi="ar-SA"/>
              </w:rPr>
              <w:t>表4.9-1</w:t>
            </w:r>
            <w:r>
              <w:t>项目危险物质数量和分布情况</w:t>
            </w:r>
            <w:bookmarkEnd w:id="41"/>
          </w:p>
          <w:tbl>
            <w:tblPr>
              <w:tblStyle w:val="25"/>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412"/>
              <w:gridCol w:w="1029"/>
              <w:gridCol w:w="2035"/>
              <w:gridCol w:w="1317"/>
              <w:gridCol w:w="2153"/>
            </w:tblGrid>
            <w:tr w14:paraId="153282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412" w:type="dxa"/>
                  <w:noWrap w:val="0"/>
                  <w:vAlign w:val="center"/>
                </w:tcPr>
                <w:p w14:paraId="119D896E">
                  <w:pPr>
                    <w:pStyle w:val="67"/>
                  </w:pPr>
                  <w:r>
                    <w:t>危险物质</w:t>
                  </w:r>
                </w:p>
              </w:tc>
              <w:tc>
                <w:tcPr>
                  <w:tcW w:w="1029" w:type="dxa"/>
                  <w:noWrap w:val="0"/>
                  <w:vAlign w:val="center"/>
                </w:tcPr>
                <w:p w14:paraId="10FDFFC7">
                  <w:pPr>
                    <w:pStyle w:val="67"/>
                  </w:pPr>
                  <w:r>
                    <w:rPr>
                      <w:rFonts w:hint="eastAsia"/>
                    </w:rPr>
                    <w:t>CAS号</w:t>
                  </w:r>
                </w:p>
              </w:tc>
              <w:tc>
                <w:tcPr>
                  <w:tcW w:w="2035" w:type="dxa"/>
                  <w:noWrap w:val="0"/>
                  <w:vAlign w:val="center"/>
                </w:tcPr>
                <w:p w14:paraId="45EFEE9C">
                  <w:pPr>
                    <w:pStyle w:val="67"/>
                  </w:pPr>
                  <w:r>
                    <w:t>分布情况</w:t>
                  </w:r>
                </w:p>
              </w:tc>
              <w:tc>
                <w:tcPr>
                  <w:tcW w:w="1317" w:type="dxa"/>
                  <w:noWrap w:val="0"/>
                  <w:vAlign w:val="center"/>
                </w:tcPr>
                <w:p w14:paraId="61720E72">
                  <w:pPr>
                    <w:pStyle w:val="67"/>
                  </w:pPr>
                  <w:r>
                    <w:t>最大贮存量（t）</w:t>
                  </w:r>
                </w:p>
              </w:tc>
              <w:tc>
                <w:tcPr>
                  <w:tcW w:w="2153" w:type="dxa"/>
                  <w:noWrap w:val="0"/>
                  <w:vAlign w:val="center"/>
                </w:tcPr>
                <w:p w14:paraId="25945D6B">
                  <w:pPr>
                    <w:pStyle w:val="67"/>
                  </w:pPr>
                  <w:r>
                    <w:t>危险性类别</w:t>
                  </w:r>
                </w:p>
              </w:tc>
            </w:tr>
            <w:tr w14:paraId="5A5DFF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412" w:type="dxa"/>
                  <w:noWrap w:val="0"/>
                  <w:vAlign w:val="center"/>
                </w:tcPr>
                <w:p w14:paraId="44D414E1">
                  <w:pPr>
                    <w:pStyle w:val="67"/>
                    <w:rPr>
                      <w:rFonts w:hint="eastAsia"/>
                    </w:rPr>
                  </w:pPr>
                  <w:r>
                    <w:rPr>
                      <w:rFonts w:hint="eastAsia"/>
                    </w:rPr>
                    <w:t>二氧化氯</w:t>
                  </w:r>
                </w:p>
              </w:tc>
              <w:tc>
                <w:tcPr>
                  <w:tcW w:w="1029" w:type="dxa"/>
                  <w:noWrap w:val="0"/>
                  <w:vAlign w:val="center"/>
                </w:tcPr>
                <w:p w14:paraId="2633B0CF">
                  <w:pPr>
                    <w:pStyle w:val="67"/>
                    <w:rPr>
                      <w:rFonts w:hint="eastAsia"/>
                    </w:rPr>
                  </w:pPr>
                  <w:r>
                    <w:rPr>
                      <w:rFonts w:hint="eastAsia"/>
                    </w:rPr>
                    <w:t>10049-04-4</w:t>
                  </w:r>
                </w:p>
              </w:tc>
              <w:tc>
                <w:tcPr>
                  <w:tcW w:w="2035" w:type="dxa"/>
                  <w:noWrap w:val="0"/>
                  <w:vAlign w:val="center"/>
                </w:tcPr>
                <w:p w14:paraId="5BDB5492">
                  <w:pPr>
                    <w:pStyle w:val="67"/>
                    <w:rPr>
                      <w:rFonts w:hint="eastAsia"/>
                    </w:rPr>
                  </w:pPr>
                  <w:r>
                    <w:rPr>
                      <w:rFonts w:hint="eastAsia"/>
                    </w:rPr>
                    <w:t>1楼仓库</w:t>
                  </w:r>
                </w:p>
              </w:tc>
              <w:tc>
                <w:tcPr>
                  <w:tcW w:w="1317" w:type="dxa"/>
                  <w:noWrap w:val="0"/>
                  <w:vAlign w:val="center"/>
                </w:tcPr>
                <w:p w14:paraId="1F12E458">
                  <w:pPr>
                    <w:pStyle w:val="67"/>
                  </w:pPr>
                  <w:r>
                    <w:t>0.</w:t>
                  </w:r>
                  <w:r>
                    <w:rPr>
                      <w:rFonts w:hint="eastAsia"/>
                    </w:rPr>
                    <w:t>01</w:t>
                  </w:r>
                </w:p>
              </w:tc>
              <w:tc>
                <w:tcPr>
                  <w:tcW w:w="2153" w:type="dxa"/>
                  <w:noWrap w:val="0"/>
                  <w:vAlign w:val="center"/>
                </w:tcPr>
                <w:p w14:paraId="43E80F5C">
                  <w:pPr>
                    <w:pStyle w:val="67"/>
                  </w:pPr>
                  <w:r>
                    <w:t>本品不燃，具强腐蚀性、强刺激性，可致人体灼伤</w:t>
                  </w:r>
                </w:p>
              </w:tc>
            </w:tr>
            <w:tr w14:paraId="034834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412" w:type="dxa"/>
                  <w:noWrap w:val="0"/>
                  <w:vAlign w:val="center"/>
                </w:tcPr>
                <w:p w14:paraId="223F716B">
                  <w:pPr>
                    <w:pStyle w:val="67"/>
                  </w:pPr>
                  <w:r>
                    <w:rPr>
                      <w:rFonts w:hint="eastAsia"/>
                    </w:rPr>
                    <w:t>酒精（乙醇）</w:t>
                  </w:r>
                </w:p>
              </w:tc>
              <w:tc>
                <w:tcPr>
                  <w:tcW w:w="1029" w:type="dxa"/>
                  <w:noWrap w:val="0"/>
                  <w:vAlign w:val="center"/>
                </w:tcPr>
                <w:p w14:paraId="5500EBF7">
                  <w:pPr>
                    <w:pStyle w:val="67"/>
                    <w:rPr>
                      <w:rFonts w:hint="eastAsia"/>
                    </w:rPr>
                  </w:pPr>
                  <w:r>
                    <w:rPr>
                      <w:rFonts w:hint="eastAsia"/>
                    </w:rPr>
                    <w:t>64-17-5</w:t>
                  </w:r>
                </w:p>
              </w:tc>
              <w:tc>
                <w:tcPr>
                  <w:tcW w:w="2035" w:type="dxa"/>
                  <w:noWrap w:val="0"/>
                  <w:vAlign w:val="center"/>
                </w:tcPr>
                <w:p w14:paraId="146CA839">
                  <w:pPr>
                    <w:pStyle w:val="67"/>
                  </w:pPr>
                  <w:r>
                    <w:rPr>
                      <w:rFonts w:hint="eastAsia"/>
                    </w:rPr>
                    <w:t>1楼仓库</w:t>
                  </w:r>
                </w:p>
              </w:tc>
              <w:tc>
                <w:tcPr>
                  <w:tcW w:w="1317" w:type="dxa"/>
                  <w:noWrap w:val="0"/>
                  <w:vAlign w:val="center"/>
                </w:tcPr>
                <w:p w14:paraId="61150A49">
                  <w:pPr>
                    <w:pStyle w:val="67"/>
                  </w:pPr>
                  <w:r>
                    <w:rPr>
                      <w:rFonts w:hint="eastAsia"/>
                    </w:rPr>
                    <w:t>0.001</w:t>
                  </w:r>
                </w:p>
              </w:tc>
              <w:tc>
                <w:tcPr>
                  <w:tcW w:w="2153" w:type="dxa"/>
                  <w:noWrap w:val="0"/>
                  <w:vAlign w:val="center"/>
                </w:tcPr>
                <w:p w14:paraId="098E2A71">
                  <w:pPr>
                    <w:pStyle w:val="67"/>
                  </w:pPr>
                  <w:r>
                    <w:t>酒精的特征是无色透明、易挥发、易燃烧、</w:t>
                  </w:r>
                </w:p>
              </w:tc>
            </w:tr>
          </w:tbl>
          <w:p w14:paraId="6DFB6A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color w:val="FF0000"/>
              </w:rPr>
            </w:pPr>
            <w:r>
              <w:rPr>
                <w:rFonts w:hint="default" w:ascii="Times New Roman" w:hAnsi="Times New Roman" w:cs="Times New Roman"/>
                <w:b/>
                <w:bCs/>
                <w:color w:val="auto"/>
              </w:rPr>
              <w:t>表4</w:t>
            </w:r>
            <w:r>
              <w:rPr>
                <w:rFonts w:hint="eastAsia" w:cs="Times New Roman"/>
                <w:b/>
                <w:bCs/>
                <w:color w:val="auto"/>
                <w:lang w:val="en-US" w:eastAsia="zh-CN"/>
              </w:rPr>
              <w:t>.9-2</w:t>
            </w:r>
            <w:r>
              <w:rPr>
                <w:rFonts w:hint="default" w:ascii="Times New Roman" w:hAnsi="Times New Roman" w:cs="Times New Roman"/>
                <w:b/>
                <w:bCs/>
                <w:color w:val="auto"/>
              </w:rPr>
              <w:t xml:space="preserve">   本项目所涉及的</w:t>
            </w:r>
            <w:r>
              <w:rPr>
                <w:rFonts w:hint="eastAsia" w:cs="Times New Roman"/>
                <w:b/>
                <w:bCs/>
                <w:color w:val="auto"/>
                <w:lang w:val="en-US" w:eastAsia="zh-CN"/>
              </w:rPr>
              <w:t>各</w:t>
            </w:r>
            <w:r>
              <w:rPr>
                <w:rFonts w:hint="default" w:ascii="Times New Roman" w:hAnsi="Times New Roman" w:cs="Times New Roman"/>
                <w:b/>
                <w:bCs/>
                <w:color w:val="auto"/>
              </w:rPr>
              <w:t>危险物质危险特性识别表</w:t>
            </w:r>
          </w:p>
          <w:tbl>
            <w:tblPr>
              <w:tblStyle w:val="88"/>
              <w:tblW w:w="4998"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345"/>
              <w:gridCol w:w="1227"/>
              <w:gridCol w:w="2463"/>
              <w:gridCol w:w="2259"/>
              <w:gridCol w:w="1073"/>
              <w:gridCol w:w="577"/>
            </w:tblGrid>
            <w:tr w14:paraId="6158AA8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76" w:hRule="atLeast"/>
              </w:trPr>
              <w:tc>
                <w:tcPr>
                  <w:tcW w:w="217" w:type="pct"/>
                  <w:tcBorders>
                    <w:tl2br w:val="nil"/>
                    <w:tr2bl w:val="nil"/>
                  </w:tcBorders>
                  <w:noWrap w:val="0"/>
                  <w:textDirection w:val="tbRlV"/>
                  <w:vAlign w:val="center"/>
                </w:tcPr>
                <w:p w14:paraId="3ACF8A3B">
                  <w:pPr>
                    <w:pStyle w:val="90"/>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26"/>
                      <w:sz w:val="21"/>
                      <w:szCs w:val="21"/>
                    </w:rPr>
                    <w:t>序号</w:t>
                  </w:r>
                </w:p>
              </w:tc>
              <w:tc>
                <w:tcPr>
                  <w:tcW w:w="772" w:type="pct"/>
                  <w:tcBorders>
                    <w:tl2br w:val="nil"/>
                    <w:tr2bl w:val="nil"/>
                  </w:tcBorders>
                  <w:noWrap w:val="0"/>
                  <w:vAlign w:val="center"/>
                </w:tcPr>
                <w:p w14:paraId="3C69D5B6">
                  <w:pPr>
                    <w:pStyle w:val="90"/>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2"/>
                      <w:sz w:val="21"/>
                      <w:szCs w:val="21"/>
                    </w:rPr>
                    <w:t>物质名称</w:t>
                  </w:r>
                </w:p>
              </w:tc>
              <w:tc>
                <w:tcPr>
                  <w:tcW w:w="1549" w:type="pct"/>
                  <w:tcBorders>
                    <w:tl2br w:val="nil"/>
                    <w:tr2bl w:val="nil"/>
                  </w:tcBorders>
                  <w:noWrap w:val="0"/>
                  <w:vAlign w:val="center"/>
                </w:tcPr>
                <w:p w14:paraId="0D877477">
                  <w:pPr>
                    <w:pStyle w:val="90"/>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2"/>
                      <w:sz w:val="21"/>
                      <w:szCs w:val="21"/>
                    </w:rPr>
                    <w:t>有毒有害特性</w:t>
                  </w:r>
                </w:p>
              </w:tc>
              <w:tc>
                <w:tcPr>
                  <w:tcW w:w="1421" w:type="pct"/>
                  <w:tcBorders>
                    <w:tl2br w:val="nil"/>
                    <w:tr2bl w:val="nil"/>
                  </w:tcBorders>
                  <w:noWrap w:val="0"/>
                  <w:vAlign w:val="center"/>
                </w:tcPr>
                <w:p w14:paraId="704CC1BD">
                  <w:pPr>
                    <w:pStyle w:val="90"/>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2"/>
                      <w:sz w:val="21"/>
                      <w:szCs w:val="21"/>
                    </w:rPr>
                    <w:t>燃烧特性</w:t>
                  </w:r>
                </w:p>
              </w:tc>
              <w:tc>
                <w:tcPr>
                  <w:tcW w:w="675" w:type="pct"/>
                  <w:tcBorders>
                    <w:tl2br w:val="nil"/>
                    <w:tr2bl w:val="nil"/>
                  </w:tcBorders>
                  <w:noWrap w:val="0"/>
                  <w:vAlign w:val="center"/>
                </w:tcPr>
                <w:p w14:paraId="55BF4538">
                  <w:pPr>
                    <w:pStyle w:val="90"/>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2"/>
                      <w:sz w:val="21"/>
                      <w:szCs w:val="21"/>
                    </w:rPr>
                    <w:t>燃爆危险</w:t>
                  </w:r>
                </w:p>
              </w:tc>
              <w:tc>
                <w:tcPr>
                  <w:tcW w:w="363" w:type="pct"/>
                  <w:tcBorders>
                    <w:tl2br w:val="nil"/>
                    <w:tr2bl w:val="nil"/>
                  </w:tcBorders>
                  <w:noWrap w:val="0"/>
                  <w:vAlign w:val="center"/>
                </w:tcPr>
                <w:p w14:paraId="6C4348B9">
                  <w:pPr>
                    <w:pStyle w:val="90"/>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3"/>
                      <w:sz w:val="21"/>
                      <w:szCs w:val="21"/>
                    </w:rPr>
                    <w:t>是否属于</w:t>
                  </w:r>
                  <w:r>
                    <w:rPr>
                      <w:rFonts w:hint="default" w:ascii="Times New Roman" w:hAnsi="Times New Roman" w:eastAsia="宋体" w:cs="Times New Roman"/>
                      <w:color w:val="auto"/>
                      <w:spacing w:val="1"/>
                      <w:sz w:val="21"/>
                      <w:szCs w:val="21"/>
                    </w:rPr>
                    <w:t xml:space="preserve"> </w:t>
                  </w:r>
                  <w:r>
                    <w:rPr>
                      <w:rFonts w:hint="default" w:ascii="Times New Roman" w:hAnsi="Times New Roman" w:eastAsia="宋体" w:cs="Times New Roman"/>
                      <w:color w:val="auto"/>
                      <w:spacing w:val="-3"/>
                      <w:sz w:val="21"/>
                      <w:szCs w:val="21"/>
                    </w:rPr>
                    <w:t>危险物质</w:t>
                  </w:r>
                </w:p>
              </w:tc>
            </w:tr>
            <w:tr w14:paraId="4C51FD6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703" w:hRule="atLeast"/>
              </w:trPr>
              <w:tc>
                <w:tcPr>
                  <w:tcW w:w="217" w:type="pct"/>
                  <w:tcBorders>
                    <w:tl2br w:val="nil"/>
                    <w:tr2bl w:val="nil"/>
                  </w:tcBorders>
                  <w:noWrap w:val="0"/>
                  <w:vAlign w:val="center"/>
                </w:tcPr>
                <w:p w14:paraId="4114C2E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w:t>
                  </w:r>
                </w:p>
              </w:tc>
              <w:tc>
                <w:tcPr>
                  <w:tcW w:w="772" w:type="pct"/>
                  <w:tcBorders>
                    <w:tl2br w:val="nil"/>
                    <w:tr2bl w:val="nil"/>
                  </w:tcBorders>
                  <w:noWrap w:val="0"/>
                  <w:vAlign w:val="center"/>
                </w:tcPr>
                <w:p w14:paraId="6ADDA855">
                  <w:pPr>
                    <w:pStyle w:val="90"/>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2"/>
                      <w:sz w:val="21"/>
                      <w:szCs w:val="21"/>
                    </w:rPr>
                    <w:t>酒精（75%）</w:t>
                  </w:r>
                </w:p>
              </w:tc>
              <w:tc>
                <w:tcPr>
                  <w:tcW w:w="1549" w:type="pct"/>
                  <w:tcBorders>
                    <w:tl2br w:val="nil"/>
                    <w:tr2bl w:val="nil"/>
                  </w:tcBorders>
                  <w:noWrap w:val="0"/>
                  <w:vAlign w:val="center"/>
                </w:tcPr>
                <w:p w14:paraId="1B565322">
                  <w:pPr>
                    <w:pStyle w:val="90"/>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5"/>
                      <w:sz w:val="21"/>
                      <w:szCs w:val="21"/>
                    </w:rPr>
                    <w:t>LD</w:t>
                  </w:r>
                  <w:r>
                    <w:rPr>
                      <w:rFonts w:hint="default" w:ascii="Times New Roman" w:hAnsi="Times New Roman" w:eastAsia="宋体" w:cs="Times New Roman"/>
                      <w:color w:val="auto"/>
                      <w:spacing w:val="-5"/>
                      <w:position w:val="-3"/>
                      <w:sz w:val="21"/>
                      <w:szCs w:val="21"/>
                    </w:rPr>
                    <w:t>50</w:t>
                  </w:r>
                  <w:r>
                    <w:rPr>
                      <w:rFonts w:hint="default" w:ascii="Times New Roman" w:hAnsi="Times New Roman" w:eastAsia="宋体" w:cs="Times New Roman"/>
                      <w:color w:val="auto"/>
                      <w:spacing w:val="-5"/>
                      <w:sz w:val="21"/>
                      <w:szCs w:val="21"/>
                    </w:rPr>
                    <w:t>：7060mg/kg（兔经口</w:t>
                  </w:r>
                  <w:r>
                    <w:rPr>
                      <w:rFonts w:hint="default" w:ascii="Times New Roman" w:hAnsi="Times New Roman" w:eastAsia="宋体" w:cs="Times New Roman"/>
                      <w:color w:val="auto"/>
                      <w:spacing w:val="-13"/>
                      <w:sz w:val="21"/>
                      <w:szCs w:val="21"/>
                    </w:rPr>
                    <w:t>），</w:t>
                  </w:r>
                  <w:r>
                    <w:rPr>
                      <w:rFonts w:hint="default" w:ascii="Times New Roman" w:hAnsi="Times New Roman" w:eastAsia="宋体" w:cs="Times New Roman"/>
                      <w:color w:val="auto"/>
                      <w:spacing w:val="-5"/>
                      <w:sz w:val="21"/>
                      <w:szCs w:val="21"/>
                    </w:rPr>
                    <w:t>7430mg/kg（兔</w:t>
                  </w:r>
                </w:p>
                <w:p w14:paraId="2EC74B8E">
                  <w:pPr>
                    <w:pStyle w:val="90"/>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12"/>
                      <w:w w:val="94"/>
                      <w:sz w:val="21"/>
                      <w:szCs w:val="21"/>
                    </w:rPr>
                    <w:t>经皮</w:t>
                  </w:r>
                  <w:r>
                    <w:rPr>
                      <w:rFonts w:hint="default" w:ascii="Times New Roman" w:hAnsi="Times New Roman" w:eastAsia="宋体" w:cs="Times New Roman"/>
                      <w:color w:val="auto"/>
                      <w:spacing w:val="-3"/>
                      <w:sz w:val="21"/>
                      <w:szCs w:val="21"/>
                    </w:rPr>
                    <w:t>），</w:t>
                  </w:r>
                  <w:r>
                    <w:rPr>
                      <w:rFonts w:hint="default" w:ascii="Times New Roman" w:hAnsi="Times New Roman" w:eastAsia="宋体" w:cs="Times New Roman"/>
                      <w:color w:val="auto"/>
                      <w:spacing w:val="-12"/>
                      <w:w w:val="94"/>
                      <w:sz w:val="21"/>
                      <w:szCs w:val="21"/>
                    </w:rPr>
                    <w:t>LC</w:t>
                  </w:r>
                  <w:r>
                    <w:rPr>
                      <w:rFonts w:hint="default" w:ascii="Times New Roman" w:hAnsi="Times New Roman" w:eastAsia="宋体" w:cs="Times New Roman"/>
                      <w:color w:val="auto"/>
                      <w:spacing w:val="-3"/>
                      <w:position w:val="-3"/>
                      <w:sz w:val="21"/>
                      <w:szCs w:val="21"/>
                      <w:vertAlign w:val="subscript"/>
                    </w:rPr>
                    <w:t>50</w:t>
                  </w:r>
                  <w:r>
                    <w:rPr>
                      <w:rFonts w:hint="default" w:ascii="Times New Roman" w:hAnsi="Times New Roman" w:eastAsia="宋体" w:cs="Times New Roman"/>
                      <w:color w:val="auto"/>
                      <w:spacing w:val="-3"/>
                      <w:sz w:val="21"/>
                      <w:szCs w:val="21"/>
                    </w:rPr>
                    <w:t>：37620mg/</w:t>
                  </w:r>
                  <w:r>
                    <w:rPr>
                      <w:rFonts w:hint="default" w:ascii="Times New Roman" w:hAnsi="Times New Roman" w:eastAsia="宋体" w:cs="Times New Roman"/>
                      <w:color w:val="auto"/>
                      <w:spacing w:val="-4"/>
                      <w:sz w:val="21"/>
                      <w:szCs w:val="21"/>
                    </w:rPr>
                    <w:t>m</w:t>
                  </w:r>
                  <w:r>
                    <w:rPr>
                      <w:rFonts w:hint="eastAsia" w:ascii="Times New Roman" w:hAnsi="Times New Roman" w:cs="Times New Roman"/>
                      <w:color w:val="auto"/>
                      <w:spacing w:val="-4"/>
                      <w:sz w:val="21"/>
                      <w:szCs w:val="21"/>
                      <w:vertAlign w:val="superscript"/>
                      <w:lang w:val="en-US" w:eastAsia="zh-CN"/>
                    </w:rPr>
                    <w:t>3</w:t>
                  </w:r>
                  <w:r>
                    <w:rPr>
                      <w:rFonts w:hint="default" w:ascii="Times New Roman" w:hAnsi="Times New Roman" w:eastAsia="宋体" w:cs="Times New Roman"/>
                      <w:color w:val="auto"/>
                      <w:spacing w:val="-3"/>
                      <w:sz w:val="21"/>
                      <w:szCs w:val="21"/>
                    </w:rPr>
                    <w:t>，10小时（大鼠</w:t>
                  </w:r>
                </w:p>
                <w:p w14:paraId="496AA8F5">
                  <w:pPr>
                    <w:pStyle w:val="90"/>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6"/>
                      <w:sz w:val="21"/>
                      <w:szCs w:val="21"/>
                    </w:rPr>
                    <w:t>吸入）</w:t>
                  </w:r>
                </w:p>
              </w:tc>
              <w:tc>
                <w:tcPr>
                  <w:tcW w:w="1421" w:type="pct"/>
                  <w:tcBorders>
                    <w:tl2br w:val="nil"/>
                    <w:tr2bl w:val="nil"/>
                  </w:tcBorders>
                  <w:noWrap w:val="0"/>
                  <w:vAlign w:val="center"/>
                </w:tcPr>
                <w:p w14:paraId="5876D731">
                  <w:pPr>
                    <w:pStyle w:val="90"/>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6"/>
                      <w:sz w:val="21"/>
                      <w:szCs w:val="21"/>
                    </w:rPr>
                    <w:t>熔点：-114.1℃</w:t>
                  </w:r>
                  <w:r>
                    <w:rPr>
                      <w:rFonts w:hint="eastAsia" w:ascii="Times New Roman" w:hAnsi="Times New Roman" w:eastAsia="宋体" w:cs="Times New Roman"/>
                      <w:color w:val="auto"/>
                      <w:spacing w:val="-6"/>
                      <w:sz w:val="21"/>
                      <w:szCs w:val="21"/>
                      <w:lang w:eastAsia="zh-CN"/>
                    </w:rPr>
                    <w:t>，</w:t>
                  </w:r>
                  <w:r>
                    <w:rPr>
                      <w:rFonts w:hint="default" w:ascii="Times New Roman" w:hAnsi="Times New Roman" w:eastAsia="宋体" w:cs="Times New Roman"/>
                      <w:color w:val="auto"/>
                      <w:spacing w:val="-6"/>
                      <w:sz w:val="21"/>
                      <w:szCs w:val="21"/>
                    </w:rPr>
                    <w:t>沸点：78.3℃,闪点：</w:t>
                  </w:r>
                  <w:r>
                    <w:rPr>
                      <w:rFonts w:hint="default" w:ascii="Times New Roman" w:hAnsi="Times New Roman" w:eastAsia="宋体" w:cs="Times New Roman"/>
                      <w:color w:val="auto"/>
                      <w:spacing w:val="-4"/>
                      <w:sz w:val="21"/>
                      <w:szCs w:val="21"/>
                    </w:rPr>
                    <w:t>12℃</w:t>
                  </w:r>
                  <w:r>
                    <w:rPr>
                      <w:rFonts w:hint="eastAsia" w:ascii="Times New Roman" w:hAnsi="Times New Roman" w:eastAsia="宋体" w:cs="Times New Roman"/>
                      <w:color w:val="auto"/>
                      <w:spacing w:val="-4"/>
                      <w:sz w:val="21"/>
                      <w:szCs w:val="21"/>
                      <w:lang w:eastAsia="zh-CN"/>
                    </w:rPr>
                    <w:t>，</w:t>
                  </w:r>
                  <w:r>
                    <w:rPr>
                      <w:rFonts w:hint="default" w:ascii="Times New Roman" w:hAnsi="Times New Roman" w:eastAsia="宋体" w:cs="Times New Roman"/>
                      <w:color w:val="auto"/>
                      <w:spacing w:val="-4"/>
                      <w:sz w:val="21"/>
                      <w:szCs w:val="21"/>
                    </w:rPr>
                    <w:t>爆炸极限：3.3%～19.0%</w:t>
                  </w:r>
                </w:p>
              </w:tc>
              <w:tc>
                <w:tcPr>
                  <w:tcW w:w="675" w:type="pct"/>
                  <w:tcBorders>
                    <w:tl2br w:val="nil"/>
                    <w:tr2bl w:val="nil"/>
                  </w:tcBorders>
                  <w:noWrap w:val="0"/>
                  <w:vAlign w:val="center"/>
                </w:tcPr>
                <w:p w14:paraId="3E7A8B4C">
                  <w:pPr>
                    <w:pStyle w:val="90"/>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1"/>
                      <w:sz w:val="21"/>
                      <w:szCs w:val="21"/>
                    </w:rPr>
                    <w:t>本品易燃，具刺激</w:t>
                  </w:r>
                  <w:r>
                    <w:rPr>
                      <w:rFonts w:hint="default" w:ascii="Times New Roman" w:hAnsi="Times New Roman" w:eastAsia="宋体" w:cs="Times New Roman"/>
                      <w:color w:val="auto"/>
                      <w:sz w:val="21"/>
                      <w:szCs w:val="21"/>
                    </w:rPr>
                    <w:t>性</w:t>
                  </w:r>
                </w:p>
              </w:tc>
              <w:tc>
                <w:tcPr>
                  <w:tcW w:w="363" w:type="pct"/>
                  <w:tcBorders>
                    <w:tl2br w:val="nil"/>
                    <w:tr2bl w:val="nil"/>
                  </w:tcBorders>
                  <w:noWrap w:val="0"/>
                  <w:vAlign w:val="center"/>
                </w:tcPr>
                <w:p w14:paraId="2E9BA3E1">
                  <w:pPr>
                    <w:pStyle w:val="90"/>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是</w:t>
                  </w:r>
                </w:p>
              </w:tc>
            </w:tr>
            <w:tr w14:paraId="39D38DB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709" w:hRule="atLeast"/>
              </w:trPr>
              <w:tc>
                <w:tcPr>
                  <w:tcW w:w="217" w:type="pct"/>
                  <w:tcBorders>
                    <w:tl2br w:val="nil"/>
                    <w:tr2bl w:val="nil"/>
                  </w:tcBorders>
                  <w:noWrap w:val="0"/>
                  <w:vAlign w:val="center"/>
                </w:tcPr>
                <w:p w14:paraId="23B88EF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w:t>
                  </w:r>
                </w:p>
              </w:tc>
              <w:tc>
                <w:tcPr>
                  <w:tcW w:w="772" w:type="pct"/>
                  <w:tcBorders>
                    <w:tl2br w:val="nil"/>
                    <w:tr2bl w:val="nil"/>
                  </w:tcBorders>
                  <w:noWrap w:val="0"/>
                  <w:vAlign w:val="center"/>
                </w:tcPr>
                <w:p w14:paraId="0BB2E74F">
                  <w:pPr>
                    <w:pStyle w:val="90"/>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lang w:val="en-US" w:eastAsia="zh-CN"/>
                    </w:rPr>
                  </w:pPr>
                  <w:r>
                    <w:rPr>
                      <w:rFonts w:hint="eastAsia"/>
                    </w:rPr>
                    <w:t>二氧化氯</w:t>
                  </w:r>
                  <w:r>
                    <w:rPr>
                      <w:rFonts w:hint="eastAsia"/>
                      <w:lang w:eastAsia="zh-CN"/>
                    </w:rPr>
                    <w:t>（</w:t>
                  </w:r>
                  <w:r>
                    <w:rPr>
                      <w:rFonts w:hint="eastAsia"/>
                      <w:lang w:val="en-US" w:eastAsia="zh-CN"/>
                    </w:rPr>
                    <w:t>ClO</w:t>
                  </w:r>
                  <w:r>
                    <w:rPr>
                      <w:rFonts w:hint="eastAsia"/>
                      <w:vertAlign w:val="subscript"/>
                      <w:lang w:val="en-US" w:eastAsia="zh-CN"/>
                    </w:rPr>
                    <w:t>2</w:t>
                  </w:r>
                  <w:r>
                    <w:rPr>
                      <w:rFonts w:hint="eastAsia"/>
                      <w:vertAlign w:val="baseline"/>
                      <w:lang w:val="en-US" w:eastAsia="zh-CN"/>
                    </w:rPr>
                    <w:t>）</w:t>
                  </w:r>
                </w:p>
              </w:tc>
              <w:tc>
                <w:tcPr>
                  <w:tcW w:w="1549" w:type="pct"/>
                  <w:tcBorders>
                    <w:tl2br w:val="nil"/>
                    <w:tr2bl w:val="nil"/>
                  </w:tcBorders>
                  <w:noWrap w:val="0"/>
                  <w:vAlign w:val="center"/>
                </w:tcPr>
                <w:p w14:paraId="3A332A1A">
                  <w:pPr>
                    <w:pStyle w:val="90"/>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无资料</w:t>
                  </w:r>
                </w:p>
              </w:tc>
              <w:tc>
                <w:tcPr>
                  <w:tcW w:w="1421" w:type="pct"/>
                  <w:tcBorders>
                    <w:tl2br w:val="nil"/>
                    <w:tr2bl w:val="nil"/>
                  </w:tcBorders>
                  <w:noWrap w:val="0"/>
                  <w:vAlign w:val="center"/>
                </w:tcPr>
                <w:p w14:paraId="3EA594B8">
                  <w:pPr>
                    <w:pStyle w:val="90"/>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s="Times New Roman"/>
                      <w:color w:val="auto"/>
                      <w:sz w:val="21"/>
                      <w:szCs w:val="21"/>
                      <w:lang w:eastAsia="zh-CN"/>
                    </w:rPr>
                  </w:pPr>
                  <w:r>
                    <w:rPr>
                      <w:rFonts w:hint="default" w:ascii="Times New Roman" w:hAnsi="Times New Roman" w:eastAsia="宋体" w:cs="Times New Roman"/>
                      <w:color w:val="auto"/>
                      <w:spacing w:val="-6"/>
                      <w:sz w:val="21"/>
                      <w:szCs w:val="21"/>
                    </w:rPr>
                    <w:t>熔点：-</w:t>
                  </w:r>
                  <w:r>
                    <w:rPr>
                      <w:rFonts w:hint="eastAsia" w:ascii="Times New Roman" w:hAnsi="Times New Roman" w:eastAsia="宋体" w:cs="Times New Roman"/>
                      <w:color w:val="auto"/>
                      <w:spacing w:val="-6"/>
                      <w:sz w:val="21"/>
                      <w:szCs w:val="21"/>
                      <w:lang w:val="en-US" w:eastAsia="zh-CN"/>
                    </w:rPr>
                    <w:t>59</w:t>
                  </w:r>
                  <w:r>
                    <w:rPr>
                      <w:rFonts w:hint="default" w:ascii="Times New Roman" w:hAnsi="Times New Roman" w:eastAsia="宋体" w:cs="Times New Roman"/>
                      <w:color w:val="auto"/>
                      <w:spacing w:val="-6"/>
                      <w:sz w:val="21"/>
                      <w:szCs w:val="21"/>
                    </w:rPr>
                    <w:t>℃</w:t>
                  </w:r>
                  <w:r>
                    <w:rPr>
                      <w:rFonts w:hint="eastAsia" w:ascii="Times New Roman" w:hAnsi="Times New Roman" w:eastAsia="宋体" w:cs="Times New Roman"/>
                      <w:color w:val="auto"/>
                      <w:spacing w:val="-6"/>
                      <w:sz w:val="21"/>
                      <w:szCs w:val="21"/>
                      <w:lang w:eastAsia="zh-CN"/>
                    </w:rPr>
                    <w:t>，</w:t>
                  </w:r>
                  <w:r>
                    <w:rPr>
                      <w:rFonts w:hint="default" w:ascii="Times New Roman" w:hAnsi="Times New Roman" w:eastAsia="宋体" w:cs="Times New Roman"/>
                      <w:color w:val="auto"/>
                      <w:spacing w:val="-6"/>
                      <w:sz w:val="21"/>
                      <w:szCs w:val="21"/>
                    </w:rPr>
                    <w:t>沸点：</w:t>
                  </w:r>
                  <w:r>
                    <w:rPr>
                      <w:rFonts w:hint="eastAsia" w:ascii="Times New Roman" w:hAnsi="Times New Roman" w:eastAsia="宋体" w:cs="Times New Roman"/>
                      <w:color w:val="auto"/>
                      <w:spacing w:val="-6"/>
                      <w:sz w:val="21"/>
                      <w:szCs w:val="21"/>
                      <w:lang w:val="en-US" w:eastAsia="zh-CN"/>
                    </w:rPr>
                    <w:t>9.9</w:t>
                  </w:r>
                  <w:r>
                    <w:rPr>
                      <w:rFonts w:hint="default" w:ascii="Times New Roman" w:hAnsi="Times New Roman" w:eastAsia="宋体" w:cs="Times New Roman"/>
                      <w:color w:val="auto"/>
                      <w:spacing w:val="-6"/>
                      <w:sz w:val="21"/>
                      <w:szCs w:val="21"/>
                    </w:rPr>
                    <w:t>℃</w:t>
                  </w:r>
                  <w:r>
                    <w:rPr>
                      <w:rFonts w:hint="eastAsia" w:ascii="Times New Roman" w:hAnsi="Times New Roman" w:eastAsia="宋体" w:cs="Times New Roman"/>
                      <w:color w:val="auto"/>
                      <w:spacing w:val="-6"/>
                      <w:sz w:val="21"/>
                      <w:szCs w:val="21"/>
                      <w:lang w:eastAsia="zh-CN"/>
                    </w:rPr>
                    <w:t>，</w:t>
                  </w:r>
                  <w:r>
                    <w:rPr>
                      <w:rFonts w:hint="default" w:ascii="Times New Roman" w:hAnsi="Times New Roman" w:eastAsia="宋体" w:cs="Times New Roman"/>
                      <w:color w:val="auto"/>
                      <w:spacing w:val="-6"/>
                      <w:sz w:val="21"/>
                      <w:szCs w:val="21"/>
                    </w:rPr>
                    <w:t>闪点：</w:t>
                  </w:r>
                  <w:r>
                    <w:rPr>
                      <w:rFonts w:hint="eastAsia" w:ascii="Times New Roman" w:hAnsi="Times New Roman" w:eastAsia="宋体" w:cs="Times New Roman"/>
                      <w:color w:val="auto"/>
                      <w:spacing w:val="-4"/>
                      <w:sz w:val="21"/>
                      <w:szCs w:val="21"/>
                      <w:lang w:val="en-US" w:eastAsia="zh-CN"/>
                    </w:rPr>
                    <w:t>无意义</w:t>
                  </w:r>
                  <w:r>
                    <w:rPr>
                      <w:rFonts w:hint="eastAsia" w:ascii="Times New Roman" w:hAnsi="Times New Roman" w:eastAsia="宋体" w:cs="Times New Roman"/>
                      <w:color w:val="auto"/>
                      <w:spacing w:val="-4"/>
                      <w:sz w:val="21"/>
                      <w:szCs w:val="21"/>
                      <w:lang w:eastAsia="zh-CN"/>
                    </w:rPr>
                    <w:t>，</w:t>
                  </w:r>
                  <w:r>
                    <w:rPr>
                      <w:rFonts w:hint="default" w:ascii="Times New Roman" w:hAnsi="Times New Roman" w:eastAsia="宋体" w:cs="Times New Roman"/>
                      <w:color w:val="auto"/>
                      <w:spacing w:val="-4"/>
                      <w:sz w:val="21"/>
                      <w:szCs w:val="21"/>
                    </w:rPr>
                    <w:t>爆炸极限：</w:t>
                  </w:r>
                  <w:r>
                    <w:rPr>
                      <w:rFonts w:hint="eastAsia" w:ascii="Times New Roman" w:hAnsi="Times New Roman" w:eastAsia="宋体" w:cs="Times New Roman"/>
                      <w:color w:val="auto"/>
                      <w:spacing w:val="-4"/>
                      <w:sz w:val="21"/>
                      <w:szCs w:val="21"/>
                      <w:lang w:val="en-US" w:eastAsia="zh-CN"/>
                    </w:rPr>
                    <w:t>无意义</w:t>
                  </w:r>
                </w:p>
              </w:tc>
              <w:tc>
                <w:tcPr>
                  <w:tcW w:w="675" w:type="pct"/>
                  <w:tcBorders>
                    <w:tl2br w:val="nil"/>
                    <w:tr2bl w:val="nil"/>
                  </w:tcBorders>
                  <w:noWrap w:val="0"/>
                  <w:vAlign w:val="center"/>
                </w:tcPr>
                <w:p w14:paraId="66F9FB50">
                  <w:pPr>
                    <w:pStyle w:val="90"/>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本品不燃，具强腐蚀性、强刺激性，可致人体灼伤</w:t>
                  </w:r>
                </w:p>
              </w:tc>
              <w:tc>
                <w:tcPr>
                  <w:tcW w:w="363" w:type="pct"/>
                  <w:tcBorders>
                    <w:tl2br w:val="nil"/>
                    <w:tr2bl w:val="nil"/>
                  </w:tcBorders>
                  <w:noWrap w:val="0"/>
                  <w:vAlign w:val="center"/>
                </w:tcPr>
                <w:p w14:paraId="6E56B0D6">
                  <w:pPr>
                    <w:pStyle w:val="90"/>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是</w:t>
                  </w:r>
                </w:p>
              </w:tc>
            </w:tr>
          </w:tbl>
          <w:p w14:paraId="70517A4B">
            <w:pPr>
              <w:pStyle w:val="6"/>
              <w:numPr>
                <w:ilvl w:val="2"/>
                <w:numId w:val="0"/>
              </w:numPr>
              <w:tabs>
                <w:tab w:val="left" w:pos="0"/>
              </w:tabs>
              <w:ind w:left="993" w:leftChars="0" w:hanging="993" w:firstLineChars="0"/>
            </w:pPr>
            <w:r>
              <w:rPr>
                <w:rFonts w:hint="eastAsia" w:ascii="Times New Roman" w:hAnsi="Times New Roman" w:eastAsia="宋体" w:cs="宋体"/>
                <w:b/>
                <w:bCs/>
                <w:kern w:val="2"/>
                <w:sz w:val="28"/>
                <w:szCs w:val="32"/>
                <w:lang w:val="en-US" w:eastAsia="zh-CN" w:bidi="ar-SA"/>
              </w:rPr>
              <w:t>4.9.2</w:t>
            </w:r>
            <w:r>
              <w:t>风险潜势初判</w:t>
            </w:r>
          </w:p>
          <w:p w14:paraId="272770CD">
            <w:pPr>
              <w:pStyle w:val="76"/>
              <w:ind w:firstLine="480"/>
              <w:rPr>
                <w:rFonts w:hint="default" w:cs="Times New Roman"/>
                <w:szCs w:val="28"/>
              </w:rPr>
            </w:pPr>
            <w:r>
              <w:rPr>
                <w:rFonts w:hint="default" w:cs="Times New Roman"/>
                <w:szCs w:val="28"/>
              </w:rPr>
              <w:t>（1）涉及危险物质数量与临界量比值（</w:t>
            </w:r>
            <w:r>
              <w:rPr>
                <w:rFonts w:hint="default" w:cs="Times New Roman"/>
                <w:i/>
                <w:szCs w:val="28"/>
              </w:rPr>
              <w:t>Q</w:t>
            </w:r>
            <w:r>
              <w:rPr>
                <w:rFonts w:hint="default" w:cs="Times New Roman"/>
                <w:szCs w:val="28"/>
              </w:rPr>
              <w:t>）</w:t>
            </w:r>
          </w:p>
          <w:p w14:paraId="466F8FFF">
            <w:pPr>
              <w:pStyle w:val="76"/>
              <w:ind w:firstLine="480"/>
              <w:rPr>
                <w:rFonts w:hint="default" w:cs="Times New Roman"/>
                <w:szCs w:val="28"/>
              </w:rPr>
            </w:pPr>
            <w:r>
              <w:rPr>
                <w:rFonts w:hint="default" w:cs="Times New Roman"/>
                <w:szCs w:val="28"/>
              </w:rPr>
              <w:t>计算所涉及的每种危险物质在厂界内的最大存在总量与其在《建设项目环境风险评价技术导则》（HJ169-2018）附录B中对应临界量的比值</w:t>
            </w:r>
            <w:r>
              <w:rPr>
                <w:rFonts w:hint="default" w:cs="Times New Roman"/>
                <w:i/>
                <w:szCs w:val="28"/>
              </w:rPr>
              <w:t>Q</w:t>
            </w:r>
            <w:r>
              <w:rPr>
                <w:rFonts w:hint="default" w:cs="Times New Roman"/>
                <w:szCs w:val="28"/>
              </w:rPr>
              <w:t>。在不同厂区的同一种物质，按其在厂界内的最大存在总量计算。对于长输管线项目，按照两个截断阀室之间管道危险物质最大存在总量计算：</w:t>
            </w:r>
          </w:p>
          <w:p w14:paraId="44A5FABF">
            <w:pPr>
              <w:pStyle w:val="76"/>
              <w:ind w:firstLine="480"/>
              <w:rPr>
                <w:rFonts w:hint="default" w:cs="Times New Roman"/>
                <w:szCs w:val="28"/>
              </w:rPr>
            </w:pPr>
            <w:r>
              <w:rPr>
                <w:rFonts w:hint="default" w:cs="Times New Roman"/>
                <w:szCs w:val="28"/>
              </w:rPr>
              <w:t>当企业只涉及一种风险物质时，该物质的数量与其临界量的比值，即为</w:t>
            </w:r>
            <w:r>
              <w:rPr>
                <w:rFonts w:hint="default" w:cs="Times New Roman"/>
                <w:i/>
                <w:szCs w:val="28"/>
              </w:rPr>
              <w:t>Q</w:t>
            </w:r>
            <w:r>
              <w:rPr>
                <w:rFonts w:hint="default" w:cs="Times New Roman"/>
                <w:szCs w:val="28"/>
              </w:rPr>
              <w:t>。</w:t>
            </w:r>
          </w:p>
          <w:p w14:paraId="6DBDF1D7">
            <w:pPr>
              <w:pStyle w:val="76"/>
              <w:ind w:firstLine="480"/>
              <w:rPr>
                <w:rFonts w:hint="default" w:cs="Times New Roman"/>
                <w:szCs w:val="28"/>
              </w:rPr>
            </w:pPr>
            <w:r>
              <w:rPr>
                <w:rFonts w:hint="default" w:cs="Times New Roman"/>
                <w:szCs w:val="28"/>
              </w:rPr>
              <w:t>当企业存在多种化学物质时，则按下式计算物质总量与其临界量比值（</w:t>
            </w:r>
            <w:r>
              <w:rPr>
                <w:rFonts w:hint="default" w:cs="Times New Roman"/>
                <w:i/>
                <w:szCs w:val="28"/>
              </w:rPr>
              <w:t>Q</w:t>
            </w:r>
            <w:r>
              <w:rPr>
                <w:rFonts w:hint="default" w:cs="Times New Roman"/>
                <w:szCs w:val="28"/>
              </w:rPr>
              <w:t>）：</w:t>
            </w:r>
          </w:p>
          <w:p w14:paraId="7799691E">
            <w:pPr>
              <w:ind w:firstLine="420"/>
              <w:jc w:val="center"/>
              <w:rPr>
                <w:sz w:val="21"/>
              </w:rPr>
            </w:pPr>
            <w:r>
              <w:rPr>
                <w:sz w:val="21"/>
              </w:rPr>
              <w:drawing>
                <wp:inline distT="0" distB="0" distL="114300" distR="114300">
                  <wp:extent cx="1735455" cy="429260"/>
                  <wp:effectExtent l="0" t="0" r="17145" b="8890"/>
                  <wp:docPr id="28"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30"/>
                          <pic:cNvPicPr>
                            <a:picLocks noChangeAspect="1"/>
                          </pic:cNvPicPr>
                        </pic:nvPicPr>
                        <pic:blipFill>
                          <a:blip r:embed="rId27"/>
                          <a:stretch>
                            <a:fillRect/>
                          </a:stretch>
                        </pic:blipFill>
                        <pic:spPr>
                          <a:xfrm>
                            <a:off x="0" y="0"/>
                            <a:ext cx="1735455" cy="429260"/>
                          </a:xfrm>
                          <a:prstGeom prst="rect">
                            <a:avLst/>
                          </a:prstGeom>
                          <a:noFill/>
                          <a:ln>
                            <a:noFill/>
                          </a:ln>
                        </pic:spPr>
                      </pic:pic>
                    </a:graphicData>
                  </a:graphic>
                </wp:inline>
              </w:drawing>
            </w:r>
          </w:p>
          <w:p w14:paraId="5CE854D9">
            <w:pPr>
              <w:pStyle w:val="76"/>
              <w:ind w:firstLine="480"/>
              <w:rPr>
                <w:rFonts w:hint="default" w:cs="Times New Roman"/>
                <w:szCs w:val="28"/>
              </w:rPr>
            </w:pPr>
            <w:r>
              <w:rPr>
                <w:rFonts w:hint="default" w:cs="Times New Roman"/>
                <w:szCs w:val="28"/>
              </w:rPr>
              <w:t>式中：</w:t>
            </w:r>
            <w:r>
              <w:rPr>
                <w:rFonts w:hint="default" w:cs="Times New Roman"/>
                <w:i/>
                <w:szCs w:val="28"/>
              </w:rPr>
              <w:t>q</w:t>
            </w:r>
            <w:r>
              <w:rPr>
                <w:rFonts w:hint="default" w:cs="Times New Roman"/>
                <w:szCs w:val="28"/>
                <w:vertAlign w:val="subscript"/>
              </w:rPr>
              <w:t>1</w:t>
            </w:r>
            <w:r>
              <w:rPr>
                <w:rFonts w:hint="default" w:cs="Times New Roman"/>
                <w:szCs w:val="28"/>
              </w:rPr>
              <w:t>，</w:t>
            </w:r>
            <w:r>
              <w:rPr>
                <w:rFonts w:hint="default" w:cs="Times New Roman"/>
                <w:i/>
                <w:szCs w:val="28"/>
              </w:rPr>
              <w:t>q</w:t>
            </w:r>
            <w:r>
              <w:rPr>
                <w:rFonts w:hint="default" w:cs="Times New Roman"/>
                <w:szCs w:val="28"/>
                <w:vertAlign w:val="subscript"/>
              </w:rPr>
              <w:t>2</w:t>
            </w:r>
            <w:r>
              <w:rPr>
                <w:rFonts w:hint="default" w:cs="Times New Roman"/>
                <w:szCs w:val="28"/>
              </w:rPr>
              <w:t>，...，</w:t>
            </w:r>
            <w:r>
              <w:rPr>
                <w:rFonts w:hint="default" w:cs="Times New Roman"/>
                <w:i/>
                <w:szCs w:val="28"/>
              </w:rPr>
              <w:t>q</w:t>
            </w:r>
            <w:r>
              <w:rPr>
                <w:rFonts w:hint="default" w:cs="Times New Roman"/>
                <w:szCs w:val="28"/>
                <w:vertAlign w:val="subscript"/>
              </w:rPr>
              <w:t>n</w:t>
            </w:r>
            <w:r>
              <w:rPr>
                <w:rFonts w:hint="default" w:cs="Times New Roman"/>
                <w:szCs w:val="28"/>
              </w:rPr>
              <w:t>——每种风险物质的存在量，t；</w:t>
            </w:r>
          </w:p>
          <w:p w14:paraId="2965808E">
            <w:pPr>
              <w:pStyle w:val="76"/>
              <w:ind w:firstLine="480"/>
              <w:rPr>
                <w:rFonts w:hint="default" w:cs="Times New Roman"/>
                <w:szCs w:val="28"/>
              </w:rPr>
            </w:pPr>
            <w:r>
              <w:rPr>
                <w:rFonts w:hint="default" w:cs="Times New Roman"/>
                <w:i/>
                <w:szCs w:val="28"/>
              </w:rPr>
              <w:t>Q</w:t>
            </w:r>
            <w:r>
              <w:rPr>
                <w:rFonts w:hint="default" w:cs="Times New Roman"/>
                <w:szCs w:val="28"/>
                <w:vertAlign w:val="subscript"/>
              </w:rPr>
              <w:t>1</w:t>
            </w:r>
            <w:r>
              <w:rPr>
                <w:rFonts w:hint="default" w:cs="Times New Roman"/>
                <w:szCs w:val="28"/>
              </w:rPr>
              <w:t>，</w:t>
            </w:r>
            <w:r>
              <w:rPr>
                <w:rFonts w:hint="default" w:cs="Times New Roman"/>
                <w:i/>
                <w:szCs w:val="28"/>
              </w:rPr>
              <w:t>Q</w:t>
            </w:r>
            <w:r>
              <w:rPr>
                <w:rFonts w:hint="default" w:cs="Times New Roman"/>
                <w:szCs w:val="28"/>
                <w:vertAlign w:val="subscript"/>
              </w:rPr>
              <w:t>2</w:t>
            </w:r>
            <w:r>
              <w:rPr>
                <w:rFonts w:hint="default" w:cs="Times New Roman"/>
                <w:szCs w:val="28"/>
              </w:rPr>
              <w:t>，...，</w:t>
            </w:r>
            <w:r>
              <w:rPr>
                <w:rFonts w:hint="default" w:cs="Times New Roman"/>
                <w:i/>
                <w:szCs w:val="28"/>
              </w:rPr>
              <w:t>Q</w:t>
            </w:r>
            <w:r>
              <w:rPr>
                <w:rFonts w:hint="default" w:cs="Times New Roman"/>
                <w:szCs w:val="28"/>
                <w:vertAlign w:val="subscript"/>
              </w:rPr>
              <w:t>n</w:t>
            </w:r>
            <w:r>
              <w:rPr>
                <w:rFonts w:hint="default" w:cs="Times New Roman"/>
                <w:szCs w:val="28"/>
              </w:rPr>
              <w:t>——每种风险物质的临界量，t。</w:t>
            </w:r>
          </w:p>
          <w:p w14:paraId="2E07DE48">
            <w:pPr>
              <w:pStyle w:val="76"/>
              <w:ind w:firstLine="480"/>
              <w:rPr>
                <w:rFonts w:hint="default" w:cs="Times New Roman"/>
                <w:szCs w:val="28"/>
              </w:rPr>
            </w:pPr>
            <w:r>
              <w:rPr>
                <w:rFonts w:hint="default" w:cs="Times New Roman"/>
                <w:szCs w:val="28"/>
              </w:rPr>
              <w:t>当</w:t>
            </w:r>
            <w:r>
              <w:rPr>
                <w:rFonts w:hint="default" w:cs="Times New Roman"/>
                <w:i/>
                <w:szCs w:val="28"/>
              </w:rPr>
              <w:t>Q</w:t>
            </w:r>
            <w:r>
              <w:rPr>
                <w:rFonts w:hint="default" w:cs="Times New Roman"/>
                <w:szCs w:val="28"/>
              </w:rPr>
              <w:t>﹤1时，该项目环境风险潜势为I。</w:t>
            </w:r>
          </w:p>
          <w:p w14:paraId="28399E10">
            <w:pPr>
              <w:pStyle w:val="76"/>
              <w:ind w:firstLine="480"/>
              <w:rPr>
                <w:rFonts w:hint="default" w:cs="Times New Roman"/>
                <w:szCs w:val="28"/>
              </w:rPr>
            </w:pPr>
            <w:r>
              <w:rPr>
                <w:rFonts w:hint="default" w:cs="Times New Roman"/>
                <w:szCs w:val="28"/>
              </w:rPr>
              <w:t>当</w:t>
            </w:r>
            <w:r>
              <w:rPr>
                <w:rFonts w:hint="default" w:cs="Times New Roman"/>
                <w:i/>
                <w:szCs w:val="28"/>
              </w:rPr>
              <w:t>Q</w:t>
            </w:r>
            <w:r>
              <w:rPr>
                <w:rFonts w:hint="default" w:cs="Times New Roman"/>
                <w:szCs w:val="28"/>
              </w:rPr>
              <w:t>≥1时，将</w:t>
            </w:r>
            <w:r>
              <w:rPr>
                <w:rFonts w:hint="default" w:cs="Times New Roman"/>
                <w:i/>
                <w:szCs w:val="28"/>
              </w:rPr>
              <w:t>Q</w:t>
            </w:r>
            <w:r>
              <w:rPr>
                <w:rFonts w:hint="default" w:cs="Times New Roman"/>
                <w:szCs w:val="28"/>
              </w:rPr>
              <w:t>值划分为：（1）1≤</w:t>
            </w:r>
            <w:r>
              <w:rPr>
                <w:rFonts w:hint="default" w:cs="Times New Roman"/>
                <w:i/>
                <w:szCs w:val="28"/>
              </w:rPr>
              <w:t>Q</w:t>
            </w:r>
            <w:r>
              <w:rPr>
                <w:rFonts w:hint="default" w:cs="Times New Roman"/>
                <w:szCs w:val="28"/>
              </w:rPr>
              <w:t>﹤10；（2）10≤</w:t>
            </w:r>
            <w:r>
              <w:rPr>
                <w:rFonts w:hint="default" w:cs="Times New Roman"/>
                <w:i/>
                <w:szCs w:val="28"/>
              </w:rPr>
              <w:t>Q</w:t>
            </w:r>
            <w:r>
              <w:rPr>
                <w:rFonts w:hint="default" w:cs="Times New Roman"/>
                <w:szCs w:val="28"/>
              </w:rPr>
              <w:t>﹤100；（3）</w:t>
            </w:r>
            <w:r>
              <w:rPr>
                <w:rFonts w:hint="default" w:cs="Times New Roman"/>
                <w:i/>
                <w:szCs w:val="28"/>
              </w:rPr>
              <w:t>Q</w:t>
            </w:r>
            <w:r>
              <w:rPr>
                <w:rFonts w:hint="default" w:cs="Times New Roman"/>
                <w:szCs w:val="28"/>
              </w:rPr>
              <w:t>≥100。</w:t>
            </w:r>
          </w:p>
          <w:p w14:paraId="12215514">
            <w:pPr>
              <w:pStyle w:val="63"/>
              <w:numPr>
                <w:ilvl w:val="0"/>
                <w:numId w:val="0"/>
              </w:numPr>
              <w:ind w:left="0" w:leftChars="0" w:firstLine="0" w:firstLineChars="0"/>
            </w:pPr>
            <w:r>
              <w:rPr>
                <w:rFonts w:hint="eastAsia" w:ascii="Times New Roman" w:hAnsi="Times New Roman" w:eastAsia="宋体" w:cs="宋体"/>
                <w:b/>
                <w:kern w:val="2"/>
                <w:sz w:val="24"/>
                <w:szCs w:val="24"/>
                <w:lang w:val="en-US" w:eastAsia="zh-CN" w:bidi="ar-SA"/>
              </w:rPr>
              <w:t>表4.9-2</w:t>
            </w:r>
            <w:r>
              <w:t>建设项目</w:t>
            </w:r>
            <w:r>
              <w:rPr>
                <w:i/>
              </w:rPr>
              <w:t>Q</w:t>
            </w:r>
            <w:r>
              <w:t>值确定表</w:t>
            </w:r>
          </w:p>
          <w:tbl>
            <w:tblPr>
              <w:tblStyle w:val="25"/>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586"/>
              <w:gridCol w:w="2033"/>
              <w:gridCol w:w="988"/>
              <w:gridCol w:w="1478"/>
              <w:gridCol w:w="1119"/>
              <w:gridCol w:w="1742"/>
            </w:tblGrid>
            <w:tr w14:paraId="3E4B17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84" w:hRule="atLeast"/>
                <w:jc w:val="center"/>
              </w:trPr>
              <w:tc>
                <w:tcPr>
                  <w:tcW w:w="586" w:type="dxa"/>
                  <w:noWrap w:val="0"/>
                  <w:vAlign w:val="center"/>
                </w:tcPr>
                <w:p w14:paraId="68571989">
                  <w:pPr>
                    <w:pStyle w:val="67"/>
                  </w:pPr>
                  <w:r>
                    <w:t>序号</w:t>
                  </w:r>
                </w:p>
              </w:tc>
              <w:tc>
                <w:tcPr>
                  <w:tcW w:w="2033" w:type="dxa"/>
                  <w:noWrap w:val="0"/>
                  <w:vAlign w:val="center"/>
                </w:tcPr>
                <w:p w14:paraId="0A86F790">
                  <w:pPr>
                    <w:pStyle w:val="67"/>
                  </w:pPr>
                  <w:r>
                    <w:t>危险物质名称</w:t>
                  </w:r>
                </w:p>
              </w:tc>
              <w:tc>
                <w:tcPr>
                  <w:tcW w:w="988" w:type="dxa"/>
                  <w:noWrap w:val="0"/>
                  <w:vAlign w:val="center"/>
                </w:tcPr>
                <w:p w14:paraId="25A581AD">
                  <w:pPr>
                    <w:pStyle w:val="67"/>
                  </w:pPr>
                  <w:r>
                    <w:t>CAS号</w:t>
                  </w:r>
                </w:p>
              </w:tc>
              <w:tc>
                <w:tcPr>
                  <w:tcW w:w="1478" w:type="dxa"/>
                  <w:noWrap w:val="0"/>
                  <w:vAlign w:val="center"/>
                </w:tcPr>
                <w:p w14:paraId="09A059CC">
                  <w:pPr>
                    <w:pStyle w:val="67"/>
                  </w:pPr>
                  <w:r>
                    <w:t>最大存在总量qn/t</w:t>
                  </w:r>
                </w:p>
              </w:tc>
              <w:tc>
                <w:tcPr>
                  <w:tcW w:w="1119" w:type="dxa"/>
                  <w:noWrap w:val="0"/>
                  <w:vAlign w:val="center"/>
                </w:tcPr>
                <w:p w14:paraId="17AA5150">
                  <w:pPr>
                    <w:pStyle w:val="67"/>
                  </w:pPr>
                  <w:r>
                    <w:t>临界量Qn/t</w:t>
                  </w:r>
                </w:p>
              </w:tc>
              <w:tc>
                <w:tcPr>
                  <w:tcW w:w="1742" w:type="dxa"/>
                  <w:noWrap w:val="0"/>
                  <w:vAlign w:val="center"/>
                </w:tcPr>
                <w:p w14:paraId="1CFBE03A">
                  <w:pPr>
                    <w:pStyle w:val="67"/>
                  </w:pPr>
                  <w:r>
                    <w:t>该种危险物质Q值</w:t>
                  </w:r>
                </w:p>
              </w:tc>
            </w:tr>
            <w:tr w14:paraId="7E05F32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89" w:hRule="atLeast"/>
                <w:jc w:val="center"/>
              </w:trPr>
              <w:tc>
                <w:tcPr>
                  <w:tcW w:w="586" w:type="dxa"/>
                  <w:noWrap w:val="0"/>
                  <w:vAlign w:val="center"/>
                </w:tcPr>
                <w:p w14:paraId="4BCB1EB6">
                  <w:pPr>
                    <w:pStyle w:val="67"/>
                  </w:pPr>
                  <w:r>
                    <w:t>1</w:t>
                  </w:r>
                </w:p>
              </w:tc>
              <w:tc>
                <w:tcPr>
                  <w:tcW w:w="2033" w:type="dxa"/>
                  <w:noWrap w:val="0"/>
                  <w:vAlign w:val="center"/>
                </w:tcPr>
                <w:p w14:paraId="6FD25921">
                  <w:pPr>
                    <w:pStyle w:val="67"/>
                  </w:pPr>
                  <w:r>
                    <w:rPr>
                      <w:rFonts w:hint="eastAsia"/>
                    </w:rPr>
                    <w:t>二氧化氯</w:t>
                  </w:r>
                </w:p>
              </w:tc>
              <w:tc>
                <w:tcPr>
                  <w:tcW w:w="988" w:type="dxa"/>
                  <w:noWrap w:val="0"/>
                  <w:vAlign w:val="center"/>
                </w:tcPr>
                <w:p w14:paraId="4F2CED0C">
                  <w:pPr>
                    <w:pStyle w:val="67"/>
                  </w:pPr>
                  <w:r>
                    <w:rPr>
                      <w:rFonts w:hint="eastAsia"/>
                    </w:rPr>
                    <w:t>10049-04-4</w:t>
                  </w:r>
                </w:p>
              </w:tc>
              <w:tc>
                <w:tcPr>
                  <w:tcW w:w="1478" w:type="dxa"/>
                  <w:noWrap w:val="0"/>
                  <w:vAlign w:val="center"/>
                </w:tcPr>
                <w:p w14:paraId="4BD0CF1E">
                  <w:pPr>
                    <w:pStyle w:val="67"/>
                  </w:pPr>
                  <w:r>
                    <w:t>0.</w:t>
                  </w:r>
                  <w:r>
                    <w:rPr>
                      <w:rFonts w:hint="eastAsia"/>
                    </w:rPr>
                    <w:t>0</w:t>
                  </w:r>
                  <w:r>
                    <w:t>1</w:t>
                  </w:r>
                </w:p>
              </w:tc>
              <w:tc>
                <w:tcPr>
                  <w:tcW w:w="1119" w:type="dxa"/>
                  <w:noWrap w:val="0"/>
                  <w:vAlign w:val="center"/>
                </w:tcPr>
                <w:p w14:paraId="74F9F474">
                  <w:pPr>
                    <w:pStyle w:val="67"/>
                  </w:pPr>
                  <w:r>
                    <w:rPr>
                      <w:rFonts w:hint="eastAsia"/>
                    </w:rPr>
                    <w:t>0.5</w:t>
                  </w:r>
                </w:p>
              </w:tc>
              <w:tc>
                <w:tcPr>
                  <w:tcW w:w="1742" w:type="dxa"/>
                  <w:noWrap w:val="0"/>
                  <w:vAlign w:val="center"/>
                </w:tcPr>
                <w:p w14:paraId="1E17FA95">
                  <w:pPr>
                    <w:pStyle w:val="67"/>
                  </w:pPr>
                  <w:r>
                    <w:rPr>
                      <w:rFonts w:hint="eastAsia"/>
                    </w:rPr>
                    <w:t>0.02</w:t>
                  </w:r>
                </w:p>
              </w:tc>
            </w:tr>
            <w:tr w14:paraId="2865F6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03" w:hRule="atLeast"/>
                <w:jc w:val="center"/>
              </w:trPr>
              <w:tc>
                <w:tcPr>
                  <w:tcW w:w="586" w:type="dxa"/>
                  <w:noWrap w:val="0"/>
                  <w:vAlign w:val="center"/>
                </w:tcPr>
                <w:p w14:paraId="622E265F">
                  <w:pPr>
                    <w:pStyle w:val="67"/>
                    <w:rPr>
                      <w:rFonts w:hint="eastAsia"/>
                    </w:rPr>
                  </w:pPr>
                  <w:r>
                    <w:rPr>
                      <w:rFonts w:hint="eastAsia"/>
                    </w:rPr>
                    <w:t>2</w:t>
                  </w:r>
                </w:p>
              </w:tc>
              <w:tc>
                <w:tcPr>
                  <w:tcW w:w="2033" w:type="dxa"/>
                  <w:noWrap w:val="0"/>
                  <w:vAlign w:val="center"/>
                </w:tcPr>
                <w:p w14:paraId="1BEB47AB">
                  <w:pPr>
                    <w:pStyle w:val="67"/>
                  </w:pPr>
                  <w:r>
                    <w:rPr>
                      <w:rFonts w:hint="eastAsia"/>
                    </w:rPr>
                    <w:t>酒精（乙醇）</w:t>
                  </w:r>
                </w:p>
              </w:tc>
              <w:tc>
                <w:tcPr>
                  <w:tcW w:w="988" w:type="dxa"/>
                  <w:noWrap w:val="0"/>
                  <w:vAlign w:val="center"/>
                </w:tcPr>
                <w:p w14:paraId="4147DDF2">
                  <w:pPr>
                    <w:pStyle w:val="67"/>
                    <w:rPr>
                      <w:rFonts w:hint="eastAsia"/>
                    </w:rPr>
                  </w:pPr>
                  <w:r>
                    <w:rPr>
                      <w:rFonts w:hint="eastAsia"/>
                    </w:rPr>
                    <w:t>64-17-5</w:t>
                  </w:r>
                </w:p>
              </w:tc>
              <w:tc>
                <w:tcPr>
                  <w:tcW w:w="1478" w:type="dxa"/>
                  <w:noWrap w:val="0"/>
                  <w:vAlign w:val="center"/>
                </w:tcPr>
                <w:p w14:paraId="567CA954">
                  <w:pPr>
                    <w:pStyle w:val="67"/>
                  </w:pPr>
                  <w:r>
                    <w:rPr>
                      <w:rFonts w:hint="eastAsia"/>
                    </w:rPr>
                    <w:t>0.001</w:t>
                  </w:r>
                </w:p>
              </w:tc>
              <w:tc>
                <w:tcPr>
                  <w:tcW w:w="1119" w:type="dxa"/>
                  <w:noWrap w:val="0"/>
                  <w:vAlign w:val="center"/>
                </w:tcPr>
                <w:p w14:paraId="54EA6BE1">
                  <w:pPr>
                    <w:pStyle w:val="67"/>
                  </w:pPr>
                  <w:r>
                    <w:rPr>
                      <w:rFonts w:hint="eastAsia"/>
                    </w:rPr>
                    <w:t>500</w:t>
                  </w:r>
                </w:p>
              </w:tc>
              <w:tc>
                <w:tcPr>
                  <w:tcW w:w="1742" w:type="dxa"/>
                  <w:noWrap w:val="0"/>
                  <w:vAlign w:val="center"/>
                </w:tcPr>
                <w:p w14:paraId="06784D72">
                  <w:pPr>
                    <w:pStyle w:val="67"/>
                  </w:pPr>
                  <w:r>
                    <w:rPr>
                      <w:rFonts w:hint="eastAsia"/>
                    </w:rPr>
                    <w:t>0.000002</w:t>
                  </w:r>
                </w:p>
              </w:tc>
            </w:tr>
            <w:tr w14:paraId="780344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84" w:hRule="atLeast"/>
                <w:jc w:val="center"/>
              </w:trPr>
              <w:tc>
                <w:tcPr>
                  <w:tcW w:w="6204" w:type="dxa"/>
                  <w:gridSpan w:val="5"/>
                  <w:noWrap w:val="0"/>
                  <w:vAlign w:val="center"/>
                </w:tcPr>
                <w:p w14:paraId="6FFE93B3">
                  <w:pPr>
                    <w:pStyle w:val="67"/>
                  </w:pPr>
                  <w:r>
                    <w:t>项目Q值∑</w:t>
                  </w:r>
                </w:p>
              </w:tc>
              <w:tc>
                <w:tcPr>
                  <w:tcW w:w="1742" w:type="dxa"/>
                  <w:noWrap w:val="0"/>
                  <w:vAlign w:val="center"/>
                </w:tcPr>
                <w:p w14:paraId="2CA006A9">
                  <w:pPr>
                    <w:pStyle w:val="67"/>
                  </w:pPr>
                  <w:r>
                    <w:rPr>
                      <w:rFonts w:hint="eastAsia"/>
                    </w:rPr>
                    <w:t>0.020002</w:t>
                  </w:r>
                </w:p>
              </w:tc>
            </w:tr>
          </w:tbl>
          <w:p w14:paraId="20A12D61">
            <w:pPr>
              <w:pStyle w:val="76"/>
              <w:ind w:firstLine="480"/>
              <w:rPr>
                <w:rFonts w:hint="default" w:cs="Times New Roman"/>
              </w:rPr>
            </w:pPr>
            <w:r>
              <w:rPr>
                <w:rFonts w:hint="default" w:cs="Times New Roman"/>
              </w:rPr>
              <w:t>由此确定项目</w:t>
            </w:r>
            <w:r>
              <w:rPr>
                <w:rFonts w:hint="default" w:cs="Times New Roman"/>
                <w:i/>
              </w:rPr>
              <w:t>Q</w:t>
            </w:r>
            <w:r>
              <w:rPr>
                <w:rFonts w:hint="default" w:cs="Times New Roman"/>
              </w:rPr>
              <w:t>值划分为</w:t>
            </w:r>
            <w:r>
              <w:rPr>
                <w:rFonts w:hint="default" w:cs="Times New Roman"/>
                <w:i/>
              </w:rPr>
              <w:t>Q</w:t>
            </w:r>
            <w:r>
              <w:rPr>
                <w:rFonts w:cs="Times New Roman"/>
                <w:iCs/>
              </w:rPr>
              <w:t>=0.020002</w:t>
            </w:r>
            <w:r>
              <w:rPr>
                <w:rFonts w:hint="default" w:cs="Times New Roman"/>
              </w:rPr>
              <w:t>﹤1。</w:t>
            </w:r>
          </w:p>
          <w:p w14:paraId="5A6F84E3">
            <w:pPr>
              <w:pStyle w:val="76"/>
              <w:ind w:firstLine="480"/>
              <w:rPr>
                <w:rFonts w:hint="default"/>
              </w:rPr>
            </w:pPr>
            <w:r>
              <w:t>根据《建设项目环境风险评价技术导则》（HJ169-2018）附录B重点关注的危险物质及临界量，并结合《企业突发环境事件风险分级方法》（HJ941-2018）录A突发环境事件风险物质及临界量清单，对本项目进行对照识别，本项目不涉及风险物质，因此，本项目仅进行简要分析。</w:t>
            </w:r>
          </w:p>
          <w:p w14:paraId="04A09A16">
            <w:pPr>
              <w:pStyle w:val="76"/>
              <w:ind w:firstLine="480"/>
              <w:rPr>
                <w:rFonts w:hint="default"/>
              </w:rPr>
            </w:pPr>
            <w:r>
              <w:t>建设项目环境风险简单分析表见4.9-3。</w:t>
            </w:r>
          </w:p>
          <w:p w14:paraId="660C6712">
            <w:pPr>
              <w:pStyle w:val="63"/>
              <w:numPr>
                <w:ilvl w:val="0"/>
                <w:numId w:val="0"/>
              </w:numPr>
              <w:ind w:left="0" w:leftChars="0" w:firstLine="0" w:firstLineChars="0"/>
            </w:pPr>
            <w:r>
              <w:rPr>
                <w:rFonts w:hint="eastAsia" w:ascii="Times New Roman" w:hAnsi="Times New Roman" w:eastAsia="宋体" w:cs="宋体"/>
                <w:b/>
                <w:kern w:val="2"/>
                <w:sz w:val="24"/>
                <w:szCs w:val="24"/>
                <w:lang w:val="en-US" w:eastAsia="zh-CN" w:bidi="ar-SA"/>
              </w:rPr>
              <w:t>表4.9-3</w:t>
            </w:r>
            <w:r>
              <w:t>建设项目环境风险简单分析内容表</w:t>
            </w:r>
          </w:p>
          <w:tbl>
            <w:tblPr>
              <w:tblStyle w:val="25"/>
              <w:tblW w:w="0" w:type="auto"/>
              <w:tblInd w:w="6" w:type="dxa"/>
              <w:tblBorders>
                <w:top w:val="single" w:color="auto" w:sz="12" w:space="0"/>
                <w:left w:val="none" w:color="auto" w:sz="0" w:space="0"/>
                <w:bottom w:val="single" w:color="auto" w:sz="12" w:space="0"/>
                <w:right w:val="none" w:color="auto" w:sz="0" w:space="0"/>
                <w:insideH w:val="single" w:color="000000" w:sz="2" w:space="0"/>
                <w:insideV w:val="single" w:color="000000" w:sz="2" w:space="0"/>
              </w:tblBorders>
              <w:tblLayout w:type="autofit"/>
              <w:tblCellMar>
                <w:top w:w="0" w:type="dxa"/>
                <w:left w:w="0" w:type="dxa"/>
                <w:bottom w:w="0" w:type="dxa"/>
                <w:right w:w="0" w:type="dxa"/>
              </w:tblCellMar>
            </w:tblPr>
            <w:tblGrid>
              <w:gridCol w:w="2458"/>
              <w:gridCol w:w="978"/>
              <w:gridCol w:w="1501"/>
              <w:gridCol w:w="933"/>
              <w:gridCol w:w="933"/>
              <w:gridCol w:w="1134"/>
            </w:tblGrid>
            <w:tr w14:paraId="3E154C94">
              <w:tblPrEx>
                <w:tblBorders>
                  <w:top w:val="single" w:color="auto" w:sz="12" w:space="0"/>
                  <w:left w:val="none" w:color="auto" w:sz="0" w:space="0"/>
                  <w:bottom w:val="single" w:color="auto"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2458" w:type="dxa"/>
                  <w:noWrap w:val="0"/>
                  <w:vAlign w:val="center"/>
                </w:tcPr>
                <w:p w14:paraId="1D24B240">
                  <w:pPr>
                    <w:pStyle w:val="67"/>
                  </w:pPr>
                  <w:r>
                    <w:t>建设项目名称</w:t>
                  </w:r>
                </w:p>
              </w:tc>
              <w:tc>
                <w:tcPr>
                  <w:tcW w:w="5479" w:type="dxa"/>
                  <w:gridSpan w:val="5"/>
                  <w:noWrap w:val="0"/>
                  <w:vAlign w:val="center"/>
                </w:tcPr>
                <w:p w14:paraId="1BADD681">
                  <w:pPr>
                    <w:pStyle w:val="67"/>
                    <w:rPr>
                      <w:rFonts w:hint="eastAsia" w:eastAsia="宋体"/>
                      <w:lang w:eastAsia="zh-CN"/>
                    </w:rPr>
                  </w:pPr>
                  <w:r>
                    <w:rPr>
                      <w:rFonts w:hint="eastAsia"/>
                      <w:lang w:eastAsia="zh-CN"/>
                    </w:rPr>
                    <w:t>福州市鼓楼区欣慷动物医院有限公司</w:t>
                  </w:r>
                </w:p>
              </w:tc>
            </w:tr>
            <w:tr w14:paraId="17EA09D2">
              <w:tblPrEx>
                <w:tblBorders>
                  <w:top w:val="single" w:color="auto" w:sz="12" w:space="0"/>
                  <w:left w:val="none" w:color="auto" w:sz="0" w:space="0"/>
                  <w:bottom w:val="single" w:color="auto"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2458" w:type="dxa"/>
                  <w:noWrap w:val="0"/>
                  <w:vAlign w:val="center"/>
                </w:tcPr>
                <w:p w14:paraId="253C0A0B">
                  <w:pPr>
                    <w:pStyle w:val="67"/>
                  </w:pPr>
                  <w:r>
                    <w:t>建设地点</w:t>
                  </w:r>
                </w:p>
              </w:tc>
              <w:tc>
                <w:tcPr>
                  <w:tcW w:w="978" w:type="dxa"/>
                  <w:noWrap w:val="0"/>
                  <w:vAlign w:val="center"/>
                </w:tcPr>
                <w:p w14:paraId="72E4CBDF">
                  <w:pPr>
                    <w:pStyle w:val="67"/>
                  </w:pPr>
                  <w:r>
                    <w:t>（</w:t>
                  </w:r>
                  <w:r>
                    <w:rPr>
                      <w:rFonts w:hint="eastAsia"/>
                    </w:rPr>
                    <w:t>福建</w:t>
                  </w:r>
                  <w:r>
                    <w:t>）省</w:t>
                  </w:r>
                </w:p>
              </w:tc>
              <w:tc>
                <w:tcPr>
                  <w:tcW w:w="1501" w:type="dxa"/>
                  <w:noWrap w:val="0"/>
                  <w:vAlign w:val="center"/>
                </w:tcPr>
                <w:p w14:paraId="5C04BCB1">
                  <w:pPr>
                    <w:pStyle w:val="67"/>
                  </w:pPr>
                  <w:r>
                    <w:t>（</w:t>
                  </w:r>
                  <w:r>
                    <w:rPr>
                      <w:rFonts w:hint="eastAsia"/>
                    </w:rPr>
                    <w:t>福州</w:t>
                  </w:r>
                  <w:r>
                    <w:t>）市</w:t>
                  </w:r>
                </w:p>
              </w:tc>
              <w:tc>
                <w:tcPr>
                  <w:tcW w:w="933" w:type="dxa"/>
                  <w:noWrap w:val="0"/>
                  <w:vAlign w:val="center"/>
                </w:tcPr>
                <w:p w14:paraId="16E22147">
                  <w:pPr>
                    <w:pStyle w:val="67"/>
                    <w:rPr>
                      <w:rFonts w:hint="eastAsia"/>
                    </w:rPr>
                  </w:pPr>
                  <w:r>
                    <w:t>（</w:t>
                  </w:r>
                  <w:r>
                    <w:rPr>
                      <w:rFonts w:hint="eastAsia"/>
                    </w:rPr>
                    <w:t>鼓楼</w:t>
                  </w:r>
                  <w:r>
                    <w:t>）</w:t>
                  </w:r>
                  <w:r>
                    <w:rPr>
                      <w:rFonts w:hint="eastAsia"/>
                    </w:rPr>
                    <w:t>区</w:t>
                  </w:r>
                </w:p>
              </w:tc>
              <w:tc>
                <w:tcPr>
                  <w:tcW w:w="933" w:type="dxa"/>
                  <w:noWrap w:val="0"/>
                  <w:vAlign w:val="center"/>
                </w:tcPr>
                <w:p w14:paraId="52C784E3">
                  <w:pPr>
                    <w:pStyle w:val="67"/>
                    <w:rPr>
                      <w:rFonts w:hint="eastAsia"/>
                    </w:rPr>
                  </w:pPr>
                  <w:r>
                    <w:rPr>
                      <w:rFonts w:hint="eastAsia"/>
                    </w:rPr>
                    <w:t>鼓西街道</w:t>
                  </w:r>
                </w:p>
              </w:tc>
              <w:tc>
                <w:tcPr>
                  <w:tcW w:w="1134" w:type="dxa"/>
                  <w:noWrap w:val="0"/>
                  <w:vAlign w:val="center"/>
                </w:tcPr>
                <w:p w14:paraId="1D75D489">
                  <w:pPr>
                    <w:pStyle w:val="67"/>
                  </w:pPr>
                  <w:r>
                    <w:rPr>
                      <w:rFonts w:hint="eastAsia"/>
                    </w:rPr>
                    <w:t>善化新村8#楼东起第六间店面</w:t>
                  </w:r>
                </w:p>
              </w:tc>
            </w:tr>
            <w:tr w14:paraId="7C7F4A55">
              <w:tblPrEx>
                <w:tblBorders>
                  <w:top w:val="single" w:color="auto" w:sz="12" w:space="0"/>
                  <w:left w:val="none" w:color="auto" w:sz="0" w:space="0"/>
                  <w:bottom w:val="single" w:color="auto"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2458" w:type="dxa"/>
                  <w:tcBorders>
                    <w:bottom w:val="single" w:color="auto" w:sz="4" w:space="0"/>
                  </w:tcBorders>
                  <w:noWrap w:val="0"/>
                  <w:vAlign w:val="center"/>
                </w:tcPr>
                <w:p w14:paraId="02D68B5A">
                  <w:pPr>
                    <w:pStyle w:val="67"/>
                  </w:pPr>
                  <w:r>
                    <w:t>地理坐标</w:t>
                  </w:r>
                </w:p>
              </w:tc>
              <w:tc>
                <w:tcPr>
                  <w:tcW w:w="978" w:type="dxa"/>
                  <w:tcBorders>
                    <w:bottom w:val="single" w:color="auto" w:sz="4" w:space="0"/>
                  </w:tcBorders>
                  <w:noWrap w:val="0"/>
                  <w:vAlign w:val="center"/>
                </w:tcPr>
                <w:p w14:paraId="42DBA297">
                  <w:pPr>
                    <w:pStyle w:val="67"/>
                  </w:pPr>
                  <w:r>
                    <w:t>经度</w:t>
                  </w:r>
                </w:p>
              </w:tc>
              <w:tc>
                <w:tcPr>
                  <w:tcW w:w="1501" w:type="dxa"/>
                  <w:tcBorders>
                    <w:bottom w:val="single" w:color="auto" w:sz="4" w:space="0"/>
                  </w:tcBorders>
                  <w:noWrap w:val="0"/>
                  <w:vAlign w:val="center"/>
                </w:tcPr>
                <w:p w14:paraId="61BF1922">
                  <w:pPr>
                    <w:pStyle w:val="67"/>
                  </w:pPr>
                  <w:r>
                    <w:rPr>
                      <w:rFonts w:hint="eastAsia"/>
                      <w:lang w:val="en-US" w:eastAsia="zh-CN"/>
                    </w:rPr>
                    <w:t>E</w:t>
                  </w:r>
                  <w:r>
                    <w:rPr>
                      <w:rFonts w:hint="eastAsia"/>
                    </w:rPr>
                    <w:t>119°1</w:t>
                  </w:r>
                  <w:r>
                    <w:rPr>
                      <w:rFonts w:hint="eastAsia"/>
                      <w:lang w:val="en-US" w:eastAsia="zh-CN"/>
                    </w:rPr>
                    <w:t>7</w:t>
                  </w:r>
                  <w:r>
                    <w:rPr>
                      <w:rFonts w:hint="eastAsia"/>
                    </w:rPr>
                    <w:t>′</w:t>
                  </w:r>
                  <w:r>
                    <w:rPr>
                      <w:rFonts w:hint="eastAsia"/>
                      <w:lang w:val="en-US" w:eastAsia="zh-CN"/>
                    </w:rPr>
                    <w:t>9.556</w:t>
                  </w:r>
                  <w:r>
                    <w:rPr>
                      <w:rFonts w:hint="eastAsia"/>
                    </w:rPr>
                    <w:t>″</w:t>
                  </w:r>
                </w:p>
              </w:tc>
              <w:tc>
                <w:tcPr>
                  <w:tcW w:w="933" w:type="dxa"/>
                  <w:tcBorders>
                    <w:bottom w:val="single" w:color="auto" w:sz="4" w:space="0"/>
                  </w:tcBorders>
                  <w:noWrap w:val="0"/>
                  <w:vAlign w:val="center"/>
                </w:tcPr>
                <w:p w14:paraId="5A423A93">
                  <w:pPr>
                    <w:pStyle w:val="67"/>
                  </w:pPr>
                  <w:r>
                    <w:t>纬度</w:t>
                  </w:r>
                </w:p>
              </w:tc>
              <w:tc>
                <w:tcPr>
                  <w:tcW w:w="2067" w:type="dxa"/>
                  <w:gridSpan w:val="2"/>
                  <w:tcBorders>
                    <w:bottom w:val="single" w:color="auto" w:sz="4" w:space="0"/>
                  </w:tcBorders>
                  <w:noWrap w:val="0"/>
                  <w:vAlign w:val="center"/>
                </w:tcPr>
                <w:p w14:paraId="10F6F871">
                  <w:pPr>
                    <w:pStyle w:val="67"/>
                  </w:pPr>
                  <w:r>
                    <w:rPr>
                      <w:rFonts w:hint="eastAsia"/>
                      <w:lang w:val="en-US" w:eastAsia="zh-CN"/>
                    </w:rPr>
                    <w:t>N</w:t>
                  </w:r>
                  <w:r>
                    <w:rPr>
                      <w:rFonts w:hint="eastAsia"/>
                    </w:rPr>
                    <w:t>26°</w:t>
                  </w:r>
                  <w:r>
                    <w:rPr>
                      <w:rFonts w:hint="eastAsia"/>
                      <w:lang w:val="en-US" w:eastAsia="zh-CN"/>
                    </w:rPr>
                    <w:t>5</w:t>
                  </w:r>
                  <w:r>
                    <w:rPr>
                      <w:rFonts w:hint="eastAsia"/>
                    </w:rPr>
                    <w:t>′</w:t>
                  </w:r>
                  <w:r>
                    <w:rPr>
                      <w:rFonts w:hint="eastAsia"/>
                      <w:lang w:val="en-US" w:eastAsia="zh-CN"/>
                    </w:rPr>
                    <w:t>17.390</w:t>
                  </w:r>
                  <w:r>
                    <w:rPr>
                      <w:rFonts w:hint="eastAsia"/>
                    </w:rPr>
                    <w:t>″</w:t>
                  </w:r>
                </w:p>
              </w:tc>
            </w:tr>
            <w:tr w14:paraId="62BCEA24">
              <w:tblPrEx>
                <w:tblBorders>
                  <w:top w:val="single" w:color="auto" w:sz="12" w:space="0"/>
                  <w:left w:val="none" w:color="auto" w:sz="0" w:space="0"/>
                  <w:bottom w:val="single" w:color="auto"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2458" w:type="dxa"/>
                  <w:noWrap w:val="0"/>
                  <w:vAlign w:val="center"/>
                </w:tcPr>
                <w:p w14:paraId="46B1723D">
                  <w:pPr>
                    <w:pStyle w:val="67"/>
                  </w:pPr>
                  <w:r>
                    <w:t>主要危险物质及分布</w:t>
                  </w:r>
                </w:p>
              </w:tc>
              <w:tc>
                <w:tcPr>
                  <w:tcW w:w="5479" w:type="dxa"/>
                  <w:gridSpan w:val="5"/>
                  <w:noWrap w:val="0"/>
                  <w:vAlign w:val="center"/>
                </w:tcPr>
                <w:p w14:paraId="5992A149">
                  <w:pPr>
                    <w:pStyle w:val="67"/>
                  </w:pPr>
                  <w:r>
                    <w:rPr>
                      <w:rFonts w:hint="eastAsia"/>
                      <w:lang w:val="en-US" w:eastAsia="zh-CN"/>
                    </w:rPr>
                    <w:t>药房</w:t>
                  </w:r>
                  <w:r>
                    <w:rPr>
                      <w:rFonts w:hint="eastAsia"/>
                    </w:rPr>
                    <w:t>（二氧化氯、酒精）、危废暂存间（医疗废物）、小型一体化医疗废水处理设施（医疗废水）</w:t>
                  </w:r>
                </w:p>
              </w:tc>
            </w:tr>
            <w:tr w14:paraId="3E544F5A">
              <w:tblPrEx>
                <w:tblBorders>
                  <w:top w:val="single" w:color="auto" w:sz="12" w:space="0"/>
                  <w:left w:val="none" w:color="auto" w:sz="0" w:space="0"/>
                  <w:bottom w:val="single" w:color="auto"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2458" w:type="dxa"/>
                  <w:noWrap w:val="0"/>
                  <w:vAlign w:val="center"/>
                </w:tcPr>
                <w:p w14:paraId="02EC0C07">
                  <w:pPr>
                    <w:pStyle w:val="67"/>
                  </w:pPr>
                  <w:r>
                    <w:t>环境影响途径及危害后果（大气、地表水、地下水等）</w:t>
                  </w:r>
                </w:p>
              </w:tc>
              <w:tc>
                <w:tcPr>
                  <w:tcW w:w="5479" w:type="dxa"/>
                  <w:gridSpan w:val="5"/>
                  <w:noWrap w:val="0"/>
                  <w:vAlign w:val="center"/>
                </w:tcPr>
                <w:p w14:paraId="4DF52E23">
                  <w:pPr>
                    <w:pStyle w:val="67"/>
                    <w:jc w:val="left"/>
                    <w:rPr>
                      <w:rFonts w:hint="eastAsia"/>
                    </w:rPr>
                  </w:pPr>
                  <w:r>
                    <w:rPr>
                      <w:rFonts w:hint="eastAsia"/>
                    </w:rPr>
                    <w:t>（1）地表水</w:t>
                  </w:r>
                  <w:r>
                    <w:t>影响途径及危害后果</w:t>
                  </w:r>
                  <w:r>
                    <w:rPr>
                      <w:rFonts w:hint="eastAsia"/>
                    </w:rPr>
                    <w:t>.</w:t>
                  </w:r>
                </w:p>
                <w:p w14:paraId="23485D25">
                  <w:pPr>
                    <w:pStyle w:val="67"/>
                    <w:jc w:val="left"/>
                    <w:rPr>
                      <w:rFonts w:hint="eastAsia"/>
                    </w:rPr>
                  </w:pPr>
                  <w:r>
                    <w:rPr>
                      <w:rFonts w:hint="eastAsia"/>
                    </w:rPr>
                    <w:t>本项目医疗废水及污水管道破损泄漏情况下，主要废水污染因子涉及COD、BOD、粪大肠菌群等，事故废水一旦未能得到有效控制，则极有可能进入雨水收集系统，从而通过厂区雨水管网排入地表水体，本项目事故废水进入后会造成地表水污染事故。</w:t>
                  </w:r>
                </w:p>
                <w:p w14:paraId="47263C71">
                  <w:pPr>
                    <w:pStyle w:val="67"/>
                    <w:jc w:val="left"/>
                  </w:pPr>
                  <w:r>
                    <w:rPr>
                      <w:rFonts w:hint="eastAsia"/>
                    </w:rPr>
                    <w:t>（2）地下水、土壤</w:t>
                  </w:r>
                  <w:r>
                    <w:t>影响途径及危害后果</w:t>
                  </w:r>
                </w:p>
                <w:p w14:paraId="2A7DA1C7">
                  <w:pPr>
                    <w:pStyle w:val="67"/>
                    <w:jc w:val="left"/>
                  </w:pPr>
                  <w:r>
                    <w:rPr>
                      <w:rFonts w:hint="eastAsia"/>
                    </w:rPr>
                    <w:t>危废间、仓库破损，二氧化氯、医疗废物被雨水冲刷产生的淋滤液泄漏下渗导致土壤、地下水污染。</w:t>
                  </w:r>
                </w:p>
              </w:tc>
            </w:tr>
            <w:tr w14:paraId="5DA21068">
              <w:tblPrEx>
                <w:tblBorders>
                  <w:top w:val="single" w:color="auto" w:sz="12" w:space="0"/>
                  <w:left w:val="none" w:color="auto" w:sz="0" w:space="0"/>
                  <w:bottom w:val="single" w:color="auto"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2458" w:type="dxa"/>
                  <w:noWrap w:val="0"/>
                  <w:vAlign w:val="center"/>
                </w:tcPr>
                <w:p w14:paraId="1F074BF9">
                  <w:pPr>
                    <w:pStyle w:val="67"/>
                  </w:pPr>
                  <w:r>
                    <w:t>风险防范措施要求</w:t>
                  </w:r>
                </w:p>
              </w:tc>
              <w:tc>
                <w:tcPr>
                  <w:tcW w:w="5479" w:type="dxa"/>
                  <w:gridSpan w:val="5"/>
                  <w:noWrap w:val="0"/>
                  <w:vAlign w:val="center"/>
                </w:tcPr>
                <w:p w14:paraId="025786DF">
                  <w:pPr>
                    <w:pStyle w:val="67"/>
                    <w:jc w:val="left"/>
                  </w:pPr>
                  <w:r>
                    <w:rPr>
                      <w:rFonts w:hint="eastAsia"/>
                    </w:rPr>
                    <w:t>（1）加强对危废暂存间医疗废物的管理，危废暂存间设应做好防渗防雨措施；</w:t>
                  </w:r>
                </w:p>
                <w:p w14:paraId="025FF561">
                  <w:pPr>
                    <w:pStyle w:val="67"/>
                    <w:jc w:val="left"/>
                  </w:pPr>
                  <w:r>
                    <w:rPr>
                      <w:rFonts w:hint="eastAsia"/>
                    </w:rPr>
                    <w:t>（2）加强仓库管理，禁止明火；</w:t>
                  </w:r>
                </w:p>
                <w:p w14:paraId="6143EB74">
                  <w:pPr>
                    <w:pStyle w:val="67"/>
                    <w:jc w:val="left"/>
                  </w:pPr>
                  <w:r>
                    <w:rPr>
                      <w:rFonts w:hint="eastAsia"/>
                    </w:rPr>
                    <w:t>（3）营运过程中应严格按照操作规程进行，注意各生产设备的规范使用；</w:t>
                  </w:r>
                </w:p>
                <w:p w14:paraId="7DA7FE7B">
                  <w:pPr>
                    <w:pStyle w:val="67"/>
                    <w:jc w:val="left"/>
                    <w:rPr>
                      <w:rFonts w:hint="eastAsia"/>
                    </w:rPr>
                  </w:pPr>
                  <w:r>
                    <w:rPr>
                      <w:rFonts w:hint="eastAsia"/>
                    </w:rPr>
                    <w:t>（4）加强污水处理设施日常维护与巡检，保证各污染防治设施正常运行，避免非正常排放；若一体化处理设施消毒不达标，则立即停止排放，检查消毒设施投料等情况是否满足要求；</w:t>
                  </w:r>
                </w:p>
                <w:p w14:paraId="42E71C87">
                  <w:pPr>
                    <w:pStyle w:val="67"/>
                    <w:jc w:val="left"/>
                    <w:rPr>
                      <w:rFonts w:hint="eastAsia"/>
                    </w:rPr>
                  </w:pPr>
                  <w:r>
                    <w:rPr>
                      <w:rFonts w:hint="eastAsia"/>
                    </w:rPr>
                    <w:t>（5）诊疗过程发现有（传染）疫情的宠物，立即报告当地兽医主管部门、动物卫生监督机构或动物疾病预防控制机构，不得擅自进行治疗，防止动物疫情扩散。</w:t>
                  </w:r>
                </w:p>
                <w:p w14:paraId="74644E51">
                  <w:pPr>
                    <w:pStyle w:val="67"/>
                    <w:jc w:val="left"/>
                    <w:rPr>
                      <w:rFonts w:hint="eastAsia"/>
                    </w:rPr>
                  </w:pPr>
                  <w:r>
                    <w:rPr>
                      <w:rFonts w:hint="eastAsia"/>
                    </w:rPr>
                    <w:t>（6）通过加强目常监督检查、管理，严格规范医护人员的操作流程等，可以有效降低或避免风险事故的发生</w:t>
                  </w:r>
                </w:p>
                <w:p w14:paraId="36A8A509">
                  <w:pPr>
                    <w:pStyle w:val="67"/>
                    <w:jc w:val="left"/>
                  </w:pPr>
                  <w:r>
                    <w:rPr>
                      <w:rFonts w:hint="eastAsia"/>
                    </w:rPr>
                    <w:t>（7）根据《环境信息公开办法（试行）》、《企业事业单位环境信息公开办法》要求向社会公开相关企业信息</w:t>
                  </w:r>
                </w:p>
              </w:tc>
            </w:tr>
          </w:tbl>
          <w:p w14:paraId="672D2B3F">
            <w:pPr>
              <w:pStyle w:val="5"/>
              <w:numPr>
                <w:ilvl w:val="0"/>
                <w:numId w:val="0"/>
              </w:numPr>
              <w:spacing w:before="120" w:after="120"/>
              <w:ind w:left="0" w:leftChars="0" w:firstLine="0" w:firstLineChars="0"/>
            </w:pPr>
            <w:r>
              <w:rPr>
                <w:rFonts w:hint="eastAsia" w:ascii="Times New Roman" w:hAnsi="Times New Roman" w:eastAsia="宋体" w:cs="宋体"/>
                <w:b/>
                <w:bCs/>
                <w:color w:val="000000"/>
                <w:kern w:val="44"/>
                <w:sz w:val="30"/>
                <w:szCs w:val="32"/>
                <w:lang w:val="en-US" w:eastAsia="zh-CN" w:bidi="ar-SA"/>
              </w:rPr>
              <w:t>4.10</w:t>
            </w:r>
            <w:r>
              <w:t>环境监测</w:t>
            </w:r>
          </w:p>
          <w:p w14:paraId="448B2B84">
            <w:pPr>
              <w:pStyle w:val="6"/>
              <w:numPr>
                <w:ilvl w:val="0"/>
                <w:numId w:val="0"/>
              </w:numPr>
              <w:tabs>
                <w:tab w:val="left" w:pos="0"/>
              </w:tabs>
              <w:ind w:left="993" w:leftChars="0" w:hanging="993" w:firstLineChars="0"/>
            </w:pPr>
            <w:r>
              <w:rPr>
                <w:rFonts w:hint="eastAsia" w:ascii="Times New Roman" w:hAnsi="Times New Roman" w:eastAsia="宋体" w:cs="宋体"/>
                <w:b/>
                <w:bCs/>
                <w:kern w:val="2"/>
                <w:sz w:val="28"/>
                <w:szCs w:val="32"/>
                <w:lang w:val="en-US" w:eastAsia="zh-CN" w:bidi="ar-SA"/>
              </w:rPr>
              <w:t>4.10.1</w:t>
            </w:r>
            <w:r>
              <w:t>环境监测机构</w:t>
            </w:r>
          </w:p>
          <w:p w14:paraId="5B4EE41B">
            <w:pPr>
              <w:pStyle w:val="76"/>
              <w:ind w:firstLine="480"/>
              <w:rPr>
                <w:rFonts w:hint="default"/>
              </w:rPr>
            </w:pPr>
            <w:r>
              <w:rPr>
                <w:rFonts w:hint="default"/>
              </w:rPr>
              <w:t>建设单位环保部门负责监测任务计划的安排，委托有资质的单位承担环境监测工作。主要任务是对环保设施的运行效果进行监测，并根据排污情况，对受其影响的环境敏感目标进行监测分析。</w:t>
            </w:r>
          </w:p>
          <w:p w14:paraId="55D94296">
            <w:pPr>
              <w:pStyle w:val="6"/>
              <w:numPr>
                <w:ilvl w:val="0"/>
                <w:numId w:val="0"/>
              </w:numPr>
              <w:tabs>
                <w:tab w:val="left" w:pos="0"/>
              </w:tabs>
              <w:ind w:left="993" w:leftChars="0" w:hanging="993" w:firstLineChars="0"/>
            </w:pPr>
            <w:r>
              <w:rPr>
                <w:rFonts w:hint="eastAsia" w:ascii="Times New Roman" w:hAnsi="Times New Roman" w:eastAsia="宋体" w:cs="宋体"/>
                <w:b/>
                <w:bCs/>
                <w:kern w:val="2"/>
                <w:sz w:val="28"/>
                <w:szCs w:val="32"/>
                <w:lang w:val="en-US" w:eastAsia="zh-CN" w:bidi="ar-SA"/>
              </w:rPr>
              <w:t>4.10.2</w:t>
            </w:r>
            <w:r>
              <w:t>环境监测内容与管理计划</w:t>
            </w:r>
          </w:p>
          <w:p w14:paraId="0090B7F0">
            <w:pPr>
              <w:pStyle w:val="76"/>
              <w:ind w:firstLine="480"/>
              <w:rPr>
                <w:rFonts w:hint="default"/>
              </w:rPr>
            </w:pPr>
            <w:r>
              <w:rPr>
                <w:rFonts w:hint="default"/>
              </w:rPr>
              <w:t>为切实控制本次工程环保设施的有效运行和污染物达标排放，建设单位要按照《排污单位自行监测技术指南</w:t>
            </w:r>
            <w:r>
              <w:t xml:space="preserve"> </w:t>
            </w:r>
            <w:r>
              <w:rPr>
                <w:rFonts w:hint="default"/>
              </w:rPr>
              <w:t>总则》（HJ819-2017）定环境监测计划，包括监测点位、监测指标、监测频次等，当发生污染事故时，应增加监测频次，按照应急监测要求进行监测。</w:t>
            </w:r>
          </w:p>
          <w:p w14:paraId="29B039AA">
            <w:pPr>
              <w:pStyle w:val="76"/>
              <w:ind w:firstLine="480"/>
            </w:pPr>
            <w:r>
              <w:rPr>
                <w:rFonts w:hint="default"/>
              </w:rPr>
              <w:t>本项目主要监测内容见表</w:t>
            </w:r>
            <w:r>
              <w:t>4.1</w:t>
            </w:r>
            <w:r>
              <w:rPr>
                <w:rFonts w:hint="eastAsia"/>
                <w:lang w:val="en-US" w:eastAsia="zh-CN"/>
              </w:rPr>
              <w:t>0</w:t>
            </w:r>
            <w:r>
              <w:t>-1。</w:t>
            </w:r>
          </w:p>
          <w:p w14:paraId="2F83B2EA">
            <w:pPr>
              <w:pStyle w:val="63"/>
              <w:numPr>
                <w:ilvl w:val="0"/>
                <w:numId w:val="0"/>
              </w:numPr>
              <w:ind w:left="0" w:leftChars="0" w:firstLine="0" w:firstLineChars="0"/>
            </w:pPr>
            <w:r>
              <w:rPr>
                <w:rFonts w:hint="eastAsia" w:ascii="Times New Roman" w:hAnsi="Times New Roman" w:eastAsia="宋体" w:cs="宋体"/>
                <w:b/>
                <w:kern w:val="2"/>
                <w:sz w:val="24"/>
                <w:szCs w:val="24"/>
                <w:lang w:val="en-US" w:eastAsia="zh-CN" w:bidi="ar-SA"/>
              </w:rPr>
              <w:t>表4.10-1</w:t>
            </w:r>
            <w:r>
              <w:t>环境监测计划一览表</w:t>
            </w:r>
          </w:p>
          <w:tbl>
            <w:tblPr>
              <w:tblStyle w:val="25"/>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1336"/>
              <w:gridCol w:w="2380"/>
              <w:gridCol w:w="2421"/>
              <w:gridCol w:w="1800"/>
            </w:tblGrid>
            <w:tr w14:paraId="49EADD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336" w:type="dxa"/>
                  <w:noWrap w:val="0"/>
                  <w:vAlign w:val="center"/>
                </w:tcPr>
                <w:p w14:paraId="610C82A7">
                  <w:pPr>
                    <w:pStyle w:val="67"/>
                  </w:pPr>
                  <w:r>
                    <w:rPr>
                      <w:rFonts w:hint="eastAsia"/>
                    </w:rPr>
                    <w:t>污染源名称</w:t>
                  </w:r>
                </w:p>
              </w:tc>
              <w:tc>
                <w:tcPr>
                  <w:tcW w:w="2380" w:type="dxa"/>
                  <w:noWrap w:val="0"/>
                  <w:vAlign w:val="center"/>
                </w:tcPr>
                <w:p w14:paraId="29424674">
                  <w:pPr>
                    <w:pStyle w:val="67"/>
                  </w:pPr>
                  <w:r>
                    <w:rPr>
                      <w:rFonts w:hint="eastAsia"/>
                    </w:rPr>
                    <w:t>监测位置</w:t>
                  </w:r>
                </w:p>
              </w:tc>
              <w:tc>
                <w:tcPr>
                  <w:tcW w:w="2421" w:type="dxa"/>
                  <w:noWrap w:val="0"/>
                  <w:vAlign w:val="center"/>
                </w:tcPr>
                <w:p w14:paraId="49BEC4BE">
                  <w:pPr>
                    <w:pStyle w:val="67"/>
                  </w:pPr>
                  <w:r>
                    <w:rPr>
                      <w:rFonts w:hint="eastAsia"/>
                    </w:rPr>
                    <w:t>监测项目</w:t>
                  </w:r>
                </w:p>
              </w:tc>
              <w:tc>
                <w:tcPr>
                  <w:tcW w:w="1800" w:type="dxa"/>
                  <w:noWrap w:val="0"/>
                  <w:vAlign w:val="center"/>
                </w:tcPr>
                <w:p w14:paraId="4917BFFA">
                  <w:pPr>
                    <w:pStyle w:val="67"/>
                  </w:pPr>
                  <w:r>
                    <w:rPr>
                      <w:rFonts w:hint="eastAsia"/>
                    </w:rPr>
                    <w:t>监测频次</w:t>
                  </w:r>
                </w:p>
              </w:tc>
            </w:tr>
            <w:tr w14:paraId="4FB490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20" w:hRule="atLeast"/>
                <w:jc w:val="center"/>
              </w:trPr>
              <w:tc>
                <w:tcPr>
                  <w:tcW w:w="1336" w:type="dxa"/>
                  <w:vMerge w:val="restart"/>
                  <w:noWrap w:val="0"/>
                  <w:vAlign w:val="center"/>
                </w:tcPr>
                <w:p w14:paraId="026FCF76">
                  <w:pPr>
                    <w:pStyle w:val="67"/>
                  </w:pPr>
                  <w:r>
                    <w:rPr>
                      <w:rFonts w:hint="eastAsia"/>
                    </w:rPr>
                    <w:t>废水</w:t>
                  </w:r>
                </w:p>
              </w:tc>
              <w:tc>
                <w:tcPr>
                  <w:tcW w:w="2380" w:type="dxa"/>
                  <w:noWrap w:val="0"/>
                  <w:vAlign w:val="center"/>
                </w:tcPr>
                <w:p w14:paraId="5B399FA3">
                  <w:pPr>
                    <w:pStyle w:val="67"/>
                  </w:pPr>
                  <w:r>
                    <w:rPr>
                      <w:rFonts w:hint="eastAsia"/>
                    </w:rPr>
                    <w:t>化粪池出口</w:t>
                  </w:r>
                </w:p>
              </w:tc>
              <w:tc>
                <w:tcPr>
                  <w:tcW w:w="2421" w:type="dxa"/>
                  <w:noWrap w:val="0"/>
                  <w:vAlign w:val="center"/>
                </w:tcPr>
                <w:p w14:paraId="2C0E79E4">
                  <w:pPr>
                    <w:pStyle w:val="67"/>
                  </w:pPr>
                  <w:r>
                    <w:rPr>
                      <w:rFonts w:hint="eastAsia"/>
                    </w:rPr>
                    <w:t>pH值、</w:t>
                  </w:r>
                  <w:r>
                    <w:t>COD、BOD</w:t>
                  </w:r>
                  <w:r>
                    <w:rPr>
                      <w:vertAlign w:val="subscript"/>
                    </w:rPr>
                    <w:t>5</w:t>
                  </w:r>
                  <w:r>
                    <w:t>、SS</w:t>
                  </w:r>
                  <w:r>
                    <w:rPr>
                      <w:rFonts w:hint="eastAsia"/>
                    </w:rPr>
                    <w:t>、氨氮、LAS</w:t>
                  </w:r>
                </w:p>
              </w:tc>
              <w:tc>
                <w:tcPr>
                  <w:tcW w:w="1800" w:type="dxa"/>
                  <w:noWrap w:val="0"/>
                  <w:vAlign w:val="center"/>
                </w:tcPr>
                <w:p w14:paraId="7F4EB05A">
                  <w:pPr>
                    <w:pStyle w:val="67"/>
                    <w:rPr>
                      <w:rFonts w:hint="eastAsia"/>
                    </w:rPr>
                  </w:pPr>
                  <w:r>
                    <w:t>1</w:t>
                  </w:r>
                  <w:r>
                    <w:rPr>
                      <w:rFonts w:hint="eastAsia"/>
                    </w:rPr>
                    <w:t>次</w:t>
                  </w:r>
                  <w:r>
                    <w:t>/</w:t>
                  </w:r>
                  <w:r>
                    <w:rPr>
                      <w:rFonts w:hint="eastAsia"/>
                    </w:rPr>
                    <w:t>季度</w:t>
                  </w:r>
                </w:p>
              </w:tc>
            </w:tr>
            <w:tr w14:paraId="33B09F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07" w:hRule="atLeast"/>
                <w:jc w:val="center"/>
              </w:trPr>
              <w:tc>
                <w:tcPr>
                  <w:tcW w:w="1336" w:type="dxa"/>
                  <w:vMerge w:val="continue"/>
                  <w:noWrap w:val="0"/>
                  <w:vAlign w:val="center"/>
                </w:tcPr>
                <w:p w14:paraId="64D08A28">
                  <w:pPr>
                    <w:pStyle w:val="67"/>
                    <w:rPr>
                      <w:rFonts w:hint="eastAsia"/>
                    </w:rPr>
                  </w:pPr>
                </w:p>
              </w:tc>
              <w:tc>
                <w:tcPr>
                  <w:tcW w:w="2380" w:type="dxa"/>
                  <w:noWrap w:val="0"/>
                  <w:vAlign w:val="center"/>
                </w:tcPr>
                <w:p w14:paraId="5F93591B">
                  <w:pPr>
                    <w:pStyle w:val="67"/>
                  </w:pPr>
                  <w:r>
                    <w:rPr>
                      <w:rFonts w:hint="eastAsia"/>
                    </w:rPr>
                    <w:t>小型一体化医疗废水处理设施出口</w:t>
                  </w:r>
                </w:p>
              </w:tc>
              <w:tc>
                <w:tcPr>
                  <w:tcW w:w="2421" w:type="dxa"/>
                  <w:noWrap w:val="0"/>
                  <w:vAlign w:val="center"/>
                </w:tcPr>
                <w:p w14:paraId="4A6D8F61">
                  <w:pPr>
                    <w:pStyle w:val="67"/>
                  </w:pPr>
                  <w:r>
                    <w:t>pH、COD、BOD</w:t>
                  </w:r>
                  <w:r>
                    <w:rPr>
                      <w:vertAlign w:val="subscript"/>
                    </w:rPr>
                    <w:t>5</w:t>
                  </w:r>
                  <w:r>
                    <w:t>、SS、粪大肠菌群</w:t>
                  </w:r>
                  <w:r>
                    <w:rPr>
                      <w:rFonts w:hint="eastAsia"/>
                    </w:rPr>
                    <w:t>、总余氯</w:t>
                  </w:r>
                </w:p>
              </w:tc>
              <w:tc>
                <w:tcPr>
                  <w:tcW w:w="1800" w:type="dxa"/>
                  <w:noWrap w:val="0"/>
                  <w:vAlign w:val="center"/>
                </w:tcPr>
                <w:p w14:paraId="63BFD4DF">
                  <w:pPr>
                    <w:pStyle w:val="67"/>
                  </w:pPr>
                  <w:r>
                    <w:t>1</w:t>
                  </w:r>
                  <w:r>
                    <w:rPr>
                      <w:rFonts w:hint="eastAsia"/>
                    </w:rPr>
                    <w:t>次</w:t>
                  </w:r>
                  <w:r>
                    <w:t>/</w:t>
                  </w:r>
                  <w:r>
                    <w:rPr>
                      <w:rFonts w:hint="eastAsia"/>
                    </w:rPr>
                    <w:t>季度</w:t>
                  </w:r>
                </w:p>
              </w:tc>
            </w:tr>
            <w:tr w14:paraId="733C43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336" w:type="dxa"/>
                  <w:noWrap w:val="0"/>
                  <w:vAlign w:val="center"/>
                </w:tcPr>
                <w:p w14:paraId="1455797E">
                  <w:pPr>
                    <w:pStyle w:val="67"/>
                  </w:pPr>
                  <w:r>
                    <w:rPr>
                      <w:rFonts w:hint="eastAsia"/>
                    </w:rPr>
                    <w:t>噪声</w:t>
                  </w:r>
                </w:p>
              </w:tc>
              <w:tc>
                <w:tcPr>
                  <w:tcW w:w="2380" w:type="dxa"/>
                  <w:noWrap w:val="0"/>
                  <w:vAlign w:val="center"/>
                </w:tcPr>
                <w:p w14:paraId="3D8E1AD4">
                  <w:pPr>
                    <w:pStyle w:val="67"/>
                  </w:pPr>
                  <w:r>
                    <w:rPr>
                      <w:rFonts w:hint="eastAsia"/>
                      <w:lang w:val="en-US" w:eastAsia="zh-CN"/>
                    </w:rPr>
                    <w:t>北、南</w:t>
                  </w:r>
                  <w:r>
                    <w:rPr>
                      <w:rFonts w:hint="eastAsia"/>
                    </w:rPr>
                    <w:t>厂界</w:t>
                  </w:r>
                  <w:r>
                    <w:rPr>
                      <w:rFonts w:hint="eastAsia"/>
                      <w:lang w:val="en-US" w:eastAsia="zh-CN"/>
                    </w:rPr>
                    <w:t>外1米2</w:t>
                  </w:r>
                  <w:r>
                    <w:rPr>
                      <w:rFonts w:hint="eastAsia"/>
                    </w:rPr>
                    <w:t>个点</w:t>
                  </w:r>
                </w:p>
              </w:tc>
              <w:tc>
                <w:tcPr>
                  <w:tcW w:w="2421" w:type="dxa"/>
                  <w:noWrap w:val="0"/>
                  <w:vAlign w:val="center"/>
                </w:tcPr>
                <w:p w14:paraId="73FDC750">
                  <w:pPr>
                    <w:pStyle w:val="67"/>
                  </w:pPr>
                  <w:r>
                    <w:rPr>
                      <w:rFonts w:hint="eastAsia"/>
                    </w:rPr>
                    <w:t>昼</w:t>
                  </w:r>
                  <w:r>
                    <w:rPr>
                      <w:rFonts w:hint="eastAsia"/>
                      <w:lang w:val="en-US" w:eastAsia="zh-CN"/>
                    </w:rPr>
                    <w:t>间</w:t>
                  </w:r>
                  <w:r>
                    <w:t>L</w:t>
                  </w:r>
                  <w:r>
                    <w:rPr>
                      <w:vertAlign w:val="subscript"/>
                    </w:rPr>
                    <w:t>Aeq</w:t>
                  </w:r>
                </w:p>
              </w:tc>
              <w:tc>
                <w:tcPr>
                  <w:tcW w:w="1800" w:type="dxa"/>
                  <w:noWrap w:val="0"/>
                  <w:vAlign w:val="center"/>
                </w:tcPr>
                <w:p w14:paraId="2E17ACD4">
                  <w:pPr>
                    <w:pStyle w:val="67"/>
                  </w:pPr>
                  <w:r>
                    <w:t>1</w:t>
                  </w:r>
                  <w:r>
                    <w:rPr>
                      <w:rFonts w:hint="eastAsia"/>
                    </w:rPr>
                    <w:t>次</w:t>
                  </w:r>
                  <w:r>
                    <w:t>/</w:t>
                  </w:r>
                  <w:r>
                    <w:rPr>
                      <w:rFonts w:hint="eastAsia"/>
                    </w:rPr>
                    <w:t>季度</w:t>
                  </w:r>
                </w:p>
              </w:tc>
            </w:tr>
            <w:tr w14:paraId="696D27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54" w:hRule="atLeast"/>
                <w:jc w:val="center"/>
              </w:trPr>
              <w:tc>
                <w:tcPr>
                  <w:tcW w:w="1336" w:type="dxa"/>
                  <w:noWrap w:val="0"/>
                  <w:vAlign w:val="center"/>
                </w:tcPr>
                <w:p w14:paraId="0D620E13">
                  <w:pPr>
                    <w:pStyle w:val="67"/>
                    <w:rPr>
                      <w:rFonts w:hint="eastAsia"/>
                      <w:color w:val="auto"/>
                    </w:rPr>
                  </w:pPr>
                  <w:r>
                    <w:rPr>
                      <w:rFonts w:hint="eastAsia"/>
                      <w:color w:val="auto"/>
                    </w:rPr>
                    <w:t>废气</w:t>
                  </w:r>
                </w:p>
              </w:tc>
              <w:tc>
                <w:tcPr>
                  <w:tcW w:w="2380" w:type="dxa"/>
                  <w:noWrap w:val="0"/>
                  <w:vAlign w:val="center"/>
                </w:tcPr>
                <w:p w14:paraId="719D29F2">
                  <w:pPr>
                    <w:pStyle w:val="67"/>
                    <w:rPr>
                      <w:color w:val="auto"/>
                    </w:rPr>
                  </w:pPr>
                  <w:r>
                    <w:rPr>
                      <w:color w:val="auto"/>
                    </w:rPr>
                    <w:t>厂界上、下风向</w:t>
                  </w:r>
                  <w:r>
                    <w:rPr>
                      <w:rFonts w:hint="eastAsia"/>
                      <w:color w:val="auto"/>
                    </w:rPr>
                    <w:t>各一个点</w:t>
                  </w:r>
                </w:p>
              </w:tc>
              <w:tc>
                <w:tcPr>
                  <w:tcW w:w="2421" w:type="dxa"/>
                  <w:noWrap w:val="0"/>
                  <w:vAlign w:val="center"/>
                </w:tcPr>
                <w:p w14:paraId="60A375FD">
                  <w:pPr>
                    <w:pStyle w:val="67"/>
                    <w:rPr>
                      <w:color w:val="auto"/>
                    </w:rPr>
                  </w:pPr>
                  <w:r>
                    <w:rPr>
                      <w:color w:val="auto"/>
                    </w:rPr>
                    <w:t>NH</w:t>
                  </w:r>
                  <w:r>
                    <w:rPr>
                      <w:color w:val="auto"/>
                      <w:vertAlign w:val="subscript"/>
                    </w:rPr>
                    <w:t>3</w:t>
                  </w:r>
                  <w:r>
                    <w:rPr>
                      <w:color w:val="auto"/>
                    </w:rPr>
                    <w:t>、H</w:t>
                  </w:r>
                  <w:r>
                    <w:rPr>
                      <w:color w:val="auto"/>
                      <w:vertAlign w:val="subscript"/>
                    </w:rPr>
                    <w:t>2</w:t>
                  </w:r>
                  <w:r>
                    <w:rPr>
                      <w:color w:val="auto"/>
                    </w:rPr>
                    <w:t>S、臭气</w:t>
                  </w:r>
                  <w:r>
                    <w:rPr>
                      <w:rFonts w:hint="eastAsia"/>
                      <w:color w:val="auto"/>
                    </w:rPr>
                    <w:t>浓度</w:t>
                  </w:r>
                </w:p>
              </w:tc>
              <w:tc>
                <w:tcPr>
                  <w:tcW w:w="1800" w:type="dxa"/>
                  <w:noWrap w:val="0"/>
                  <w:vAlign w:val="center"/>
                </w:tcPr>
                <w:p w14:paraId="3E83034D">
                  <w:pPr>
                    <w:pStyle w:val="67"/>
                    <w:rPr>
                      <w:rFonts w:hint="eastAsia"/>
                      <w:color w:val="auto"/>
                    </w:rPr>
                  </w:pPr>
                  <w:r>
                    <w:rPr>
                      <w:color w:val="auto"/>
                    </w:rPr>
                    <w:t>1</w:t>
                  </w:r>
                  <w:r>
                    <w:rPr>
                      <w:rFonts w:hint="eastAsia"/>
                      <w:color w:val="auto"/>
                    </w:rPr>
                    <w:t>次</w:t>
                  </w:r>
                  <w:r>
                    <w:rPr>
                      <w:color w:val="auto"/>
                    </w:rPr>
                    <w:t>/</w:t>
                  </w:r>
                  <w:r>
                    <w:rPr>
                      <w:rFonts w:hint="eastAsia"/>
                      <w:color w:val="auto"/>
                    </w:rPr>
                    <w:t>季度</w:t>
                  </w:r>
                </w:p>
              </w:tc>
            </w:tr>
          </w:tbl>
          <w:p w14:paraId="3880D1F2">
            <w:pPr>
              <w:pStyle w:val="5"/>
              <w:numPr>
                <w:ilvl w:val="0"/>
                <w:numId w:val="0"/>
              </w:numPr>
              <w:spacing w:before="120" w:after="120"/>
              <w:ind w:left="0" w:leftChars="0" w:firstLine="0" w:firstLineChars="0"/>
              <w:rPr>
                <w:rFonts w:hint="eastAsia"/>
              </w:rPr>
            </w:pPr>
            <w:r>
              <w:rPr>
                <w:rFonts w:hint="eastAsia" w:ascii="Times New Roman" w:hAnsi="Times New Roman" w:eastAsia="宋体" w:cs="宋体"/>
                <w:b/>
                <w:bCs/>
                <w:color w:val="000000"/>
                <w:kern w:val="44"/>
                <w:sz w:val="30"/>
                <w:szCs w:val="32"/>
                <w:lang w:val="en-US" w:eastAsia="zh-CN" w:bidi="ar-SA"/>
              </w:rPr>
              <w:t>4.11</w:t>
            </w:r>
            <w:r>
              <w:rPr>
                <w:rFonts w:hint="eastAsia"/>
              </w:rPr>
              <w:t>环保投资估算及经济损益分析</w:t>
            </w:r>
          </w:p>
          <w:p w14:paraId="6DAE8F9C">
            <w:pPr>
              <w:pStyle w:val="6"/>
              <w:numPr>
                <w:ilvl w:val="0"/>
                <w:numId w:val="0"/>
              </w:numPr>
              <w:tabs>
                <w:tab w:val="left" w:pos="0"/>
              </w:tabs>
              <w:ind w:left="993" w:leftChars="0" w:hanging="993" w:firstLineChars="0"/>
              <w:rPr>
                <w:rFonts w:hint="eastAsia"/>
              </w:rPr>
            </w:pPr>
            <w:bookmarkStart w:id="42" w:name="_Toc27047"/>
            <w:r>
              <w:rPr>
                <w:rFonts w:hint="eastAsia" w:ascii="Times New Roman" w:hAnsi="Times New Roman" w:eastAsia="宋体" w:cs="宋体"/>
                <w:b/>
                <w:bCs/>
                <w:kern w:val="2"/>
                <w:sz w:val="28"/>
                <w:szCs w:val="32"/>
                <w:lang w:val="en-US" w:eastAsia="zh-CN" w:bidi="ar-SA"/>
              </w:rPr>
              <w:t>4.11.1</w:t>
            </w:r>
            <w:r>
              <w:rPr>
                <w:rFonts w:hint="eastAsia"/>
              </w:rPr>
              <w:t>环保设施投资估算</w:t>
            </w:r>
            <w:bookmarkEnd w:id="42"/>
          </w:p>
          <w:p w14:paraId="1DE77BCC">
            <w:pPr>
              <w:pStyle w:val="76"/>
              <w:ind w:firstLine="480"/>
            </w:pPr>
            <w:r>
              <w:t>本工程的环保投资包括废气、废水处理设施、降噪设施和厂区绿化等，工程需要的环保投资约</w:t>
            </w:r>
            <w:r>
              <w:rPr>
                <w:rFonts w:hint="eastAsia"/>
                <w:lang w:val="en-US" w:eastAsia="zh-CN"/>
              </w:rPr>
              <w:t>8</w:t>
            </w:r>
            <w:r>
              <w:t>万元，占项目总投资</w:t>
            </w:r>
            <w:r>
              <w:rPr>
                <w:rFonts w:hint="eastAsia"/>
                <w:lang w:val="en-US" w:eastAsia="zh-CN"/>
              </w:rPr>
              <w:t>50万元</w:t>
            </w:r>
            <w:r>
              <w:t>的</w:t>
            </w:r>
            <w:r>
              <w:rPr>
                <w:rFonts w:hint="eastAsia"/>
                <w:lang w:val="en-US" w:eastAsia="zh-CN"/>
              </w:rPr>
              <w:t>16</w:t>
            </w:r>
            <w:r>
              <w:t>%。环保投资及运行费用详见表4.</w:t>
            </w:r>
            <w:r>
              <w:rPr>
                <w:rFonts w:hint="eastAsia"/>
                <w:lang w:val="en-US" w:eastAsia="zh-CN"/>
              </w:rPr>
              <w:t>11</w:t>
            </w:r>
            <w:r>
              <w:t>-1。</w:t>
            </w:r>
          </w:p>
          <w:p w14:paraId="29A8D8E5">
            <w:pPr>
              <w:pStyle w:val="63"/>
              <w:numPr>
                <w:ilvl w:val="0"/>
                <w:numId w:val="0"/>
              </w:numPr>
              <w:ind w:left="0" w:leftChars="0" w:firstLine="0" w:firstLineChars="0"/>
            </w:pPr>
            <w:r>
              <w:rPr>
                <w:rFonts w:hint="eastAsia" w:ascii="Times New Roman" w:hAnsi="Times New Roman" w:eastAsia="宋体" w:cs="宋体"/>
                <w:b/>
                <w:kern w:val="2"/>
                <w:sz w:val="24"/>
                <w:szCs w:val="24"/>
                <w:lang w:val="en-US" w:eastAsia="zh-CN" w:bidi="ar-SA"/>
              </w:rPr>
              <w:t>表4.11-1</w:t>
            </w:r>
            <w:r>
              <w:rPr>
                <w:rFonts w:hint="eastAsia"/>
              </w:rPr>
              <w:t>营运期环保</w:t>
            </w:r>
            <w:r>
              <w:t>投资</w:t>
            </w:r>
            <w:r>
              <w:rPr>
                <w:rFonts w:hint="eastAsia"/>
              </w:rPr>
              <w:t>一览表</w:t>
            </w:r>
          </w:p>
          <w:tbl>
            <w:tblPr>
              <w:tblStyle w:val="25"/>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55"/>
              <w:gridCol w:w="757"/>
              <w:gridCol w:w="5180"/>
              <w:gridCol w:w="1245"/>
            </w:tblGrid>
            <w:tr w14:paraId="7D45C3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5" w:type="dxa"/>
                  <w:noWrap w:val="0"/>
                  <w:vAlign w:val="center"/>
                </w:tcPr>
                <w:p w14:paraId="0258282A">
                  <w:pPr>
                    <w:pStyle w:val="67"/>
                  </w:pPr>
                  <w:r>
                    <w:t>序号</w:t>
                  </w:r>
                </w:p>
              </w:tc>
              <w:tc>
                <w:tcPr>
                  <w:tcW w:w="757" w:type="dxa"/>
                  <w:noWrap w:val="0"/>
                  <w:vAlign w:val="center"/>
                </w:tcPr>
                <w:p w14:paraId="3DD77378">
                  <w:pPr>
                    <w:pStyle w:val="67"/>
                  </w:pPr>
                  <w:r>
                    <w:t>类别</w:t>
                  </w:r>
                </w:p>
              </w:tc>
              <w:tc>
                <w:tcPr>
                  <w:tcW w:w="5180" w:type="dxa"/>
                  <w:noWrap w:val="0"/>
                  <w:vAlign w:val="center"/>
                </w:tcPr>
                <w:p w14:paraId="05CAC140">
                  <w:pPr>
                    <w:pStyle w:val="67"/>
                  </w:pPr>
                  <w:r>
                    <w:t>环保设施名称</w:t>
                  </w:r>
                </w:p>
              </w:tc>
              <w:tc>
                <w:tcPr>
                  <w:tcW w:w="1245" w:type="dxa"/>
                  <w:noWrap w:val="0"/>
                  <w:vAlign w:val="center"/>
                </w:tcPr>
                <w:p w14:paraId="684FA6BE">
                  <w:pPr>
                    <w:pStyle w:val="67"/>
                  </w:pPr>
                  <w:r>
                    <w:t>投资</w:t>
                  </w:r>
                </w:p>
                <w:p w14:paraId="3999070D">
                  <w:pPr>
                    <w:pStyle w:val="67"/>
                  </w:pPr>
                  <w:r>
                    <w:t>（万元）</w:t>
                  </w:r>
                </w:p>
              </w:tc>
            </w:tr>
            <w:tr w14:paraId="624FB9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5" w:type="dxa"/>
                  <w:noWrap w:val="0"/>
                  <w:vAlign w:val="center"/>
                </w:tcPr>
                <w:p w14:paraId="511533DD">
                  <w:pPr>
                    <w:pStyle w:val="67"/>
                  </w:pPr>
                  <w:r>
                    <w:t>1</w:t>
                  </w:r>
                </w:p>
              </w:tc>
              <w:tc>
                <w:tcPr>
                  <w:tcW w:w="757" w:type="dxa"/>
                  <w:noWrap w:val="0"/>
                  <w:vAlign w:val="center"/>
                </w:tcPr>
                <w:p w14:paraId="4F7E20C9">
                  <w:pPr>
                    <w:pStyle w:val="67"/>
                  </w:pPr>
                  <w:r>
                    <w:t>废气</w:t>
                  </w:r>
                </w:p>
              </w:tc>
              <w:tc>
                <w:tcPr>
                  <w:tcW w:w="5180" w:type="dxa"/>
                  <w:noWrap w:val="0"/>
                  <w:vAlign w:val="center"/>
                </w:tcPr>
                <w:p w14:paraId="67A559F7">
                  <w:pPr>
                    <w:pStyle w:val="67"/>
                  </w:pPr>
                  <w:r>
                    <w:t>除臭剂</w:t>
                  </w:r>
                  <w:r>
                    <w:rPr>
                      <w:rFonts w:hint="eastAsia"/>
                    </w:rPr>
                    <w:t>、新风系统</w:t>
                  </w:r>
                </w:p>
              </w:tc>
              <w:tc>
                <w:tcPr>
                  <w:tcW w:w="1245" w:type="dxa"/>
                  <w:noWrap w:val="0"/>
                  <w:vAlign w:val="center"/>
                </w:tcPr>
                <w:p w14:paraId="35DF98D4">
                  <w:pPr>
                    <w:pStyle w:val="67"/>
                    <w:rPr>
                      <w:rFonts w:hint="eastAsia" w:eastAsia="宋体"/>
                      <w:lang w:eastAsia="zh-CN"/>
                    </w:rPr>
                  </w:pPr>
                  <w:r>
                    <w:rPr>
                      <w:rFonts w:hint="eastAsia"/>
                      <w:lang w:val="en-US" w:eastAsia="zh-CN"/>
                    </w:rPr>
                    <w:t>5</w:t>
                  </w:r>
                </w:p>
              </w:tc>
            </w:tr>
            <w:tr w14:paraId="0F8133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5" w:type="dxa"/>
                  <w:noWrap w:val="0"/>
                  <w:vAlign w:val="center"/>
                </w:tcPr>
                <w:p w14:paraId="57E94BF7">
                  <w:pPr>
                    <w:pStyle w:val="67"/>
                  </w:pPr>
                  <w:r>
                    <w:t>3</w:t>
                  </w:r>
                </w:p>
              </w:tc>
              <w:tc>
                <w:tcPr>
                  <w:tcW w:w="757" w:type="dxa"/>
                  <w:noWrap w:val="0"/>
                  <w:vAlign w:val="center"/>
                </w:tcPr>
                <w:p w14:paraId="50250FCF">
                  <w:pPr>
                    <w:pStyle w:val="67"/>
                  </w:pPr>
                  <w:r>
                    <w:t>废水</w:t>
                  </w:r>
                </w:p>
              </w:tc>
              <w:tc>
                <w:tcPr>
                  <w:tcW w:w="5180" w:type="dxa"/>
                  <w:noWrap w:val="0"/>
                  <w:vAlign w:val="center"/>
                </w:tcPr>
                <w:p w14:paraId="4AAE878F">
                  <w:pPr>
                    <w:pStyle w:val="67"/>
                  </w:pPr>
                  <w:r>
                    <w:rPr>
                      <w:rFonts w:hint="eastAsia"/>
                    </w:rPr>
                    <w:t>医疗废水经一体化水处理设施（滤网+二氧化氯消毒）处理后与其他废水一并进入化粪池处理排入市政污水管网</w:t>
                  </w:r>
                </w:p>
              </w:tc>
              <w:tc>
                <w:tcPr>
                  <w:tcW w:w="1245" w:type="dxa"/>
                  <w:noWrap w:val="0"/>
                  <w:vAlign w:val="center"/>
                </w:tcPr>
                <w:p w14:paraId="27FC13F6">
                  <w:pPr>
                    <w:pStyle w:val="67"/>
                    <w:rPr>
                      <w:rFonts w:hint="eastAsia" w:eastAsia="宋体"/>
                      <w:lang w:eastAsia="zh-CN"/>
                    </w:rPr>
                  </w:pPr>
                  <w:r>
                    <w:rPr>
                      <w:rFonts w:hint="eastAsia"/>
                      <w:lang w:val="en-US" w:eastAsia="zh-CN"/>
                    </w:rPr>
                    <w:t>1</w:t>
                  </w:r>
                </w:p>
              </w:tc>
            </w:tr>
            <w:tr w14:paraId="6DCEE2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5" w:type="dxa"/>
                  <w:noWrap w:val="0"/>
                  <w:vAlign w:val="center"/>
                </w:tcPr>
                <w:p w14:paraId="04C97026">
                  <w:pPr>
                    <w:pStyle w:val="67"/>
                  </w:pPr>
                  <w:r>
                    <w:t>4</w:t>
                  </w:r>
                </w:p>
              </w:tc>
              <w:tc>
                <w:tcPr>
                  <w:tcW w:w="757" w:type="dxa"/>
                  <w:noWrap w:val="0"/>
                  <w:vAlign w:val="center"/>
                </w:tcPr>
                <w:p w14:paraId="47DC65D8">
                  <w:pPr>
                    <w:pStyle w:val="67"/>
                  </w:pPr>
                  <w:r>
                    <w:t>噪声</w:t>
                  </w:r>
                </w:p>
              </w:tc>
              <w:tc>
                <w:tcPr>
                  <w:tcW w:w="5180" w:type="dxa"/>
                  <w:noWrap w:val="0"/>
                  <w:vAlign w:val="center"/>
                </w:tcPr>
                <w:p w14:paraId="44D95947">
                  <w:pPr>
                    <w:pStyle w:val="67"/>
                    <w:rPr>
                      <w:rFonts w:hint="eastAsia" w:eastAsia="宋体"/>
                      <w:lang w:eastAsia="zh-CN"/>
                    </w:rPr>
                  </w:pPr>
                  <w:r>
                    <w:rPr>
                      <w:rFonts w:hint="eastAsia"/>
                    </w:rPr>
                    <w:t>门窗隔声、靠近居民区一侧墙体设</w:t>
                  </w:r>
                  <w:r>
                    <w:rPr>
                      <w:rFonts w:hint="eastAsia"/>
                      <w:lang w:val="en-US" w:eastAsia="zh-CN"/>
                    </w:rPr>
                    <w:t>隔声窗</w:t>
                  </w:r>
                </w:p>
              </w:tc>
              <w:tc>
                <w:tcPr>
                  <w:tcW w:w="1245" w:type="dxa"/>
                  <w:noWrap w:val="0"/>
                  <w:vAlign w:val="center"/>
                </w:tcPr>
                <w:p w14:paraId="18081933">
                  <w:pPr>
                    <w:pStyle w:val="67"/>
                    <w:rPr>
                      <w:rFonts w:hint="default" w:eastAsia="宋体"/>
                      <w:lang w:val="en-US" w:eastAsia="zh-CN"/>
                    </w:rPr>
                  </w:pPr>
                  <w:r>
                    <w:rPr>
                      <w:rFonts w:hint="eastAsia"/>
                      <w:lang w:val="en-US" w:eastAsia="zh-CN"/>
                    </w:rPr>
                    <w:t>1</w:t>
                  </w:r>
                </w:p>
              </w:tc>
            </w:tr>
            <w:tr w14:paraId="119DCF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755" w:type="dxa"/>
                  <w:noWrap w:val="0"/>
                  <w:vAlign w:val="center"/>
                </w:tcPr>
                <w:p w14:paraId="40E2C7B9">
                  <w:pPr>
                    <w:pStyle w:val="67"/>
                  </w:pPr>
                  <w:r>
                    <w:t>5</w:t>
                  </w:r>
                </w:p>
              </w:tc>
              <w:tc>
                <w:tcPr>
                  <w:tcW w:w="757" w:type="dxa"/>
                  <w:noWrap w:val="0"/>
                  <w:vAlign w:val="center"/>
                </w:tcPr>
                <w:p w14:paraId="576BC795">
                  <w:pPr>
                    <w:pStyle w:val="67"/>
                  </w:pPr>
                  <w:r>
                    <w:t>固废</w:t>
                  </w:r>
                </w:p>
              </w:tc>
              <w:tc>
                <w:tcPr>
                  <w:tcW w:w="5180" w:type="dxa"/>
                  <w:noWrap w:val="0"/>
                  <w:vAlign w:val="center"/>
                </w:tcPr>
                <w:p w14:paraId="362B71AC">
                  <w:pPr>
                    <w:pStyle w:val="67"/>
                    <w:rPr>
                      <w:rFonts w:hint="eastAsia" w:eastAsia="宋体"/>
                      <w:lang w:eastAsia="zh-CN"/>
                    </w:rPr>
                  </w:pPr>
                  <w:r>
                    <w:rPr>
                      <w:rFonts w:hint="eastAsia"/>
                    </w:rPr>
                    <w:t>设垃圾收集桶</w:t>
                  </w:r>
                  <w:r>
                    <w:rPr>
                      <w:rFonts w:hint="eastAsia"/>
                      <w:lang w:eastAsia="zh-CN"/>
                    </w:rPr>
                    <w:t>、</w:t>
                  </w:r>
                  <w:r>
                    <w:rPr>
                      <w:rFonts w:hint="eastAsia"/>
                    </w:rPr>
                    <w:t>设危暂暂存间1处（4m</w:t>
                  </w:r>
                  <w:r>
                    <w:rPr>
                      <w:rFonts w:hint="eastAsia"/>
                      <w:vertAlign w:val="superscript"/>
                    </w:rPr>
                    <w:t>2</w:t>
                  </w:r>
                  <w:r>
                    <w:rPr>
                      <w:rFonts w:hint="eastAsia"/>
                    </w:rPr>
                    <w:t>）</w:t>
                  </w:r>
                </w:p>
              </w:tc>
              <w:tc>
                <w:tcPr>
                  <w:tcW w:w="1245" w:type="dxa"/>
                  <w:noWrap w:val="0"/>
                  <w:vAlign w:val="center"/>
                </w:tcPr>
                <w:p w14:paraId="3DD9FA15">
                  <w:pPr>
                    <w:pStyle w:val="67"/>
                    <w:rPr>
                      <w:rFonts w:hint="default" w:eastAsia="宋体"/>
                      <w:lang w:val="en-US" w:eastAsia="zh-CN"/>
                    </w:rPr>
                  </w:pPr>
                  <w:r>
                    <w:rPr>
                      <w:rFonts w:hint="eastAsia"/>
                      <w:lang w:val="en-US" w:eastAsia="zh-CN"/>
                    </w:rPr>
                    <w:t>1</w:t>
                  </w:r>
                </w:p>
              </w:tc>
            </w:tr>
            <w:tr w14:paraId="6C0EDF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92" w:type="dxa"/>
                  <w:gridSpan w:val="3"/>
                  <w:noWrap w:val="0"/>
                  <w:vAlign w:val="center"/>
                </w:tcPr>
                <w:p w14:paraId="6BA3BE2B">
                  <w:pPr>
                    <w:pStyle w:val="67"/>
                  </w:pPr>
                  <w:r>
                    <w:t>合计</w:t>
                  </w:r>
                </w:p>
              </w:tc>
              <w:tc>
                <w:tcPr>
                  <w:tcW w:w="1245" w:type="dxa"/>
                  <w:noWrap w:val="0"/>
                  <w:vAlign w:val="center"/>
                </w:tcPr>
                <w:p w14:paraId="30685015">
                  <w:pPr>
                    <w:pStyle w:val="67"/>
                    <w:rPr>
                      <w:rFonts w:hint="eastAsia" w:eastAsia="宋体"/>
                      <w:lang w:eastAsia="zh-CN"/>
                    </w:rPr>
                  </w:pPr>
                  <w:r>
                    <w:rPr>
                      <w:rFonts w:hint="eastAsia"/>
                      <w:lang w:val="en-US" w:eastAsia="zh-CN"/>
                    </w:rPr>
                    <w:t>8</w:t>
                  </w:r>
                </w:p>
              </w:tc>
            </w:tr>
          </w:tbl>
          <w:p w14:paraId="17600BF3">
            <w:pPr>
              <w:pStyle w:val="6"/>
              <w:numPr>
                <w:ilvl w:val="0"/>
                <w:numId w:val="0"/>
              </w:numPr>
              <w:tabs>
                <w:tab w:val="left" w:pos="0"/>
              </w:tabs>
              <w:ind w:left="993" w:leftChars="0" w:hanging="993" w:firstLineChars="0"/>
              <w:rPr>
                <w:rFonts w:hint="eastAsia"/>
              </w:rPr>
            </w:pPr>
            <w:bookmarkStart w:id="43" w:name="_Toc30168"/>
            <w:r>
              <w:rPr>
                <w:rFonts w:hint="eastAsia" w:ascii="Times New Roman" w:hAnsi="Times New Roman" w:eastAsia="宋体" w:cs="宋体"/>
                <w:b/>
                <w:bCs/>
                <w:kern w:val="2"/>
                <w:sz w:val="28"/>
                <w:szCs w:val="32"/>
                <w:lang w:val="en-US" w:eastAsia="zh-CN" w:bidi="ar-SA"/>
              </w:rPr>
              <w:t>4.11.2</w:t>
            </w:r>
            <w:r>
              <w:rPr>
                <w:rFonts w:hint="eastAsia"/>
              </w:rPr>
              <w:t>环保投资效益分析</w:t>
            </w:r>
            <w:bookmarkEnd w:id="43"/>
          </w:p>
          <w:p w14:paraId="77F7F202">
            <w:pPr>
              <w:pStyle w:val="76"/>
              <w:ind w:firstLine="480"/>
            </w:pPr>
            <w:r>
              <w:t>本次环保工程投资估算约为</w:t>
            </w:r>
            <w:r>
              <w:rPr>
                <w:rFonts w:hint="eastAsia"/>
                <w:lang w:val="en-US" w:eastAsia="zh-CN"/>
              </w:rPr>
              <w:t>10</w:t>
            </w:r>
            <w:r>
              <w:t>万元，占总投资额</w:t>
            </w:r>
            <w:r>
              <w:rPr>
                <w:rFonts w:hint="eastAsia"/>
                <w:lang w:val="en-US" w:eastAsia="zh-CN"/>
              </w:rPr>
              <w:t>50</w:t>
            </w:r>
            <w:r>
              <w:t>万元的</w:t>
            </w:r>
            <w:r>
              <w:rPr>
                <w:rFonts w:hint="eastAsia"/>
                <w:lang w:val="en-US" w:eastAsia="zh-CN"/>
              </w:rPr>
              <w:t>16</w:t>
            </w:r>
            <w:r>
              <w:t>%。本次环保投资可使企业做到各种污染物达标排放，将环境污染降到最低，以促进环境资源的可持续发展；减少项目生产对周围环境的影响，具有明显的经济效益和环境效益。</w:t>
            </w:r>
          </w:p>
        </w:tc>
      </w:tr>
    </w:tbl>
    <w:p w14:paraId="4373BA34">
      <w:pPr>
        <w:adjustRightInd w:val="0"/>
        <w:snapToGrid w:val="0"/>
        <w:spacing w:line="360" w:lineRule="auto"/>
        <w:rPr>
          <w:b/>
          <w:kern w:val="0"/>
          <w:sz w:val="28"/>
          <w:szCs w:val="28"/>
        </w:rPr>
        <w:sectPr>
          <w:footerReference r:id="rId6" w:type="default"/>
          <w:pgSz w:w="11907" w:h="16840"/>
          <w:pgMar w:top="1440" w:right="1080" w:bottom="1440" w:left="1080" w:header="851" w:footer="851" w:gutter="0"/>
          <w:cols w:space="720" w:num="1"/>
          <w:docGrid w:linePitch="312" w:charSpace="0"/>
        </w:sectPr>
      </w:pPr>
    </w:p>
    <w:p w14:paraId="5636CB9A">
      <w:pPr>
        <w:jc w:val="center"/>
        <w:outlineLvl w:val="0"/>
        <w:rPr>
          <w:rFonts w:eastAsia="黑体"/>
          <w:snapToGrid w:val="0"/>
          <w:sz w:val="30"/>
          <w:szCs w:val="30"/>
        </w:rPr>
      </w:pPr>
      <w:bookmarkStart w:id="44" w:name="_Toc22500"/>
      <w:r>
        <w:rPr>
          <w:rFonts w:eastAsia="黑体"/>
          <w:snapToGrid w:val="0"/>
          <w:sz w:val="30"/>
          <w:szCs w:val="30"/>
        </w:rPr>
        <w:t>五、</w:t>
      </w:r>
      <w:bookmarkStart w:id="45" w:name="_Hlk54167917"/>
      <w:r>
        <w:rPr>
          <w:rFonts w:eastAsia="黑体"/>
          <w:snapToGrid w:val="0"/>
          <w:sz w:val="30"/>
          <w:szCs w:val="30"/>
        </w:rPr>
        <w:t>环境保护措施监督检查清单</w:t>
      </w:r>
      <w:bookmarkEnd w:id="44"/>
      <w:bookmarkEnd w:id="45"/>
    </w:p>
    <w:tbl>
      <w:tblPr>
        <w:tblStyle w:val="2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41"/>
        <w:gridCol w:w="1975"/>
        <w:gridCol w:w="1448"/>
        <w:gridCol w:w="1287"/>
        <w:gridCol w:w="3030"/>
      </w:tblGrid>
      <w:tr w14:paraId="016753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1" w:type="dxa"/>
            <w:tcBorders>
              <w:tl2br w:val="single" w:color="auto" w:sz="4" w:space="0"/>
            </w:tcBorders>
            <w:noWrap w:val="0"/>
            <w:vAlign w:val="top"/>
          </w:tcPr>
          <w:p w14:paraId="6CA1E901">
            <w:pPr>
              <w:adjustRightInd w:val="0"/>
              <w:snapToGrid w:val="0"/>
              <w:ind w:firstLine="720" w:firstLineChars="300"/>
              <w:rPr>
                <w:szCs w:val="21"/>
              </w:rPr>
            </w:pPr>
            <w:r>
              <w:rPr>
                <w:szCs w:val="21"/>
              </w:rPr>
              <w:t>内容</w:t>
            </w:r>
          </w:p>
          <w:p w14:paraId="0744D978">
            <w:pPr>
              <w:adjustRightInd w:val="0"/>
              <w:snapToGrid w:val="0"/>
              <w:rPr>
                <w:szCs w:val="21"/>
              </w:rPr>
            </w:pPr>
            <w:r>
              <w:rPr>
                <w:szCs w:val="21"/>
              </w:rPr>
              <w:t>要素</w:t>
            </w:r>
          </w:p>
        </w:tc>
        <w:tc>
          <w:tcPr>
            <w:tcW w:w="1975" w:type="dxa"/>
            <w:noWrap w:val="0"/>
            <w:vAlign w:val="center"/>
          </w:tcPr>
          <w:p w14:paraId="71C3231C">
            <w:pPr>
              <w:adjustRightInd w:val="0"/>
              <w:snapToGrid w:val="0"/>
              <w:jc w:val="center"/>
              <w:rPr>
                <w:szCs w:val="21"/>
              </w:rPr>
            </w:pPr>
            <w:r>
              <w:rPr>
                <w:szCs w:val="21"/>
              </w:rPr>
              <w:t>排放口</w:t>
            </w:r>
            <w:r>
              <w:rPr>
                <w:rFonts w:hint="eastAsia"/>
                <w:szCs w:val="21"/>
              </w:rPr>
              <w:t>（</w:t>
            </w:r>
            <w:r>
              <w:rPr>
                <w:szCs w:val="21"/>
              </w:rPr>
              <w:t>编号、</w:t>
            </w:r>
          </w:p>
          <w:p w14:paraId="743A59AA">
            <w:pPr>
              <w:adjustRightInd w:val="0"/>
              <w:snapToGrid w:val="0"/>
              <w:jc w:val="center"/>
              <w:rPr>
                <w:szCs w:val="21"/>
              </w:rPr>
            </w:pPr>
            <w:r>
              <w:rPr>
                <w:szCs w:val="21"/>
              </w:rPr>
              <w:t>名称</w:t>
            </w:r>
            <w:r>
              <w:rPr>
                <w:rFonts w:hint="eastAsia"/>
                <w:szCs w:val="21"/>
              </w:rPr>
              <w:t>）</w:t>
            </w:r>
            <w:r>
              <w:rPr>
                <w:szCs w:val="21"/>
              </w:rPr>
              <w:t>/污染源</w:t>
            </w:r>
          </w:p>
        </w:tc>
        <w:tc>
          <w:tcPr>
            <w:tcW w:w="1448" w:type="dxa"/>
            <w:noWrap w:val="0"/>
            <w:vAlign w:val="center"/>
          </w:tcPr>
          <w:p w14:paraId="6404997E">
            <w:pPr>
              <w:adjustRightInd w:val="0"/>
              <w:snapToGrid w:val="0"/>
              <w:jc w:val="center"/>
              <w:rPr>
                <w:szCs w:val="21"/>
              </w:rPr>
            </w:pPr>
            <w:r>
              <w:rPr>
                <w:szCs w:val="21"/>
              </w:rPr>
              <w:t>污染物项目</w:t>
            </w:r>
          </w:p>
        </w:tc>
        <w:tc>
          <w:tcPr>
            <w:tcW w:w="1287" w:type="dxa"/>
            <w:noWrap w:val="0"/>
            <w:vAlign w:val="center"/>
          </w:tcPr>
          <w:p w14:paraId="74BE08ED">
            <w:pPr>
              <w:adjustRightInd w:val="0"/>
              <w:snapToGrid w:val="0"/>
              <w:jc w:val="center"/>
              <w:rPr>
                <w:szCs w:val="21"/>
              </w:rPr>
            </w:pPr>
            <w:r>
              <w:rPr>
                <w:szCs w:val="21"/>
              </w:rPr>
              <w:t>环境保护措施</w:t>
            </w:r>
          </w:p>
        </w:tc>
        <w:tc>
          <w:tcPr>
            <w:tcW w:w="3030" w:type="dxa"/>
            <w:noWrap w:val="0"/>
            <w:vAlign w:val="center"/>
          </w:tcPr>
          <w:p w14:paraId="67BC706D">
            <w:pPr>
              <w:adjustRightInd w:val="0"/>
              <w:snapToGrid w:val="0"/>
              <w:jc w:val="center"/>
              <w:rPr>
                <w:szCs w:val="21"/>
              </w:rPr>
            </w:pPr>
            <w:r>
              <w:rPr>
                <w:szCs w:val="21"/>
              </w:rPr>
              <w:t>执行标准</w:t>
            </w:r>
          </w:p>
        </w:tc>
      </w:tr>
      <w:tr w14:paraId="3FF285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1" w:type="dxa"/>
            <w:noWrap w:val="0"/>
            <w:vAlign w:val="center"/>
          </w:tcPr>
          <w:p w14:paraId="2161133A">
            <w:pPr>
              <w:adjustRightInd w:val="0"/>
              <w:snapToGrid w:val="0"/>
              <w:jc w:val="center"/>
              <w:rPr>
                <w:szCs w:val="21"/>
              </w:rPr>
            </w:pPr>
            <w:r>
              <w:rPr>
                <w:szCs w:val="21"/>
              </w:rPr>
              <w:t>大气环境</w:t>
            </w:r>
          </w:p>
        </w:tc>
        <w:tc>
          <w:tcPr>
            <w:tcW w:w="1975" w:type="dxa"/>
            <w:noWrap w:val="0"/>
            <w:vAlign w:val="center"/>
          </w:tcPr>
          <w:p w14:paraId="17A91221">
            <w:pPr>
              <w:adjustRightInd w:val="0"/>
              <w:snapToGrid w:val="0"/>
              <w:jc w:val="center"/>
              <w:rPr>
                <w:rFonts w:hint="eastAsia"/>
                <w:szCs w:val="21"/>
              </w:rPr>
            </w:pPr>
            <w:r>
              <w:rPr>
                <w:rFonts w:hint="eastAsia"/>
                <w:szCs w:val="21"/>
              </w:rPr>
              <w:t>无组织</w:t>
            </w:r>
          </w:p>
        </w:tc>
        <w:tc>
          <w:tcPr>
            <w:tcW w:w="1448" w:type="dxa"/>
            <w:noWrap w:val="0"/>
            <w:vAlign w:val="center"/>
          </w:tcPr>
          <w:p w14:paraId="3D400A09">
            <w:pPr>
              <w:adjustRightInd w:val="0"/>
              <w:snapToGrid w:val="0"/>
              <w:jc w:val="center"/>
              <w:rPr>
                <w:szCs w:val="21"/>
              </w:rPr>
            </w:pPr>
            <w:r>
              <w:rPr>
                <w:sz w:val="21"/>
                <w:szCs w:val="21"/>
              </w:rPr>
              <w:t>臭气浓度、H</w:t>
            </w:r>
            <w:r>
              <w:rPr>
                <w:sz w:val="21"/>
                <w:szCs w:val="21"/>
                <w:vertAlign w:val="subscript"/>
              </w:rPr>
              <w:t>2</w:t>
            </w:r>
            <w:r>
              <w:rPr>
                <w:sz w:val="21"/>
                <w:szCs w:val="21"/>
              </w:rPr>
              <w:t>S、NH</w:t>
            </w:r>
            <w:r>
              <w:rPr>
                <w:sz w:val="21"/>
                <w:szCs w:val="21"/>
                <w:vertAlign w:val="subscript"/>
              </w:rPr>
              <w:t>3</w:t>
            </w:r>
          </w:p>
        </w:tc>
        <w:tc>
          <w:tcPr>
            <w:tcW w:w="1287" w:type="dxa"/>
            <w:noWrap w:val="0"/>
            <w:vAlign w:val="center"/>
          </w:tcPr>
          <w:p w14:paraId="652E3F56">
            <w:pPr>
              <w:adjustRightInd w:val="0"/>
              <w:snapToGrid w:val="0"/>
              <w:jc w:val="center"/>
              <w:rPr>
                <w:szCs w:val="21"/>
              </w:rPr>
            </w:pPr>
            <w:r>
              <w:rPr>
                <w:rFonts w:hint="eastAsia"/>
                <w:szCs w:val="21"/>
              </w:rPr>
              <w:t>新风系统、定期喷洒除臭剂等</w:t>
            </w:r>
          </w:p>
        </w:tc>
        <w:tc>
          <w:tcPr>
            <w:tcW w:w="3030" w:type="dxa"/>
            <w:noWrap w:val="0"/>
            <w:vAlign w:val="center"/>
          </w:tcPr>
          <w:p w14:paraId="2B68310B">
            <w:pPr>
              <w:adjustRightInd w:val="0"/>
              <w:snapToGrid w:val="0"/>
              <w:jc w:val="center"/>
              <w:rPr>
                <w:rFonts w:hint="eastAsia"/>
                <w:szCs w:val="21"/>
              </w:rPr>
            </w:pPr>
            <w:r>
              <w:rPr>
                <w:rFonts w:hint="eastAsia"/>
                <w:szCs w:val="21"/>
              </w:rPr>
              <w:t>《恶臭污染物排放标准》（GB14554-93），厂界氨</w:t>
            </w:r>
            <w:r>
              <w:rPr>
                <w:rFonts w:hint="eastAsia"/>
              </w:rPr>
              <w:t>≤1.5mg/m</w:t>
            </w:r>
            <w:r>
              <w:rPr>
                <w:rFonts w:hint="eastAsia"/>
                <w:vertAlign w:val="superscript"/>
              </w:rPr>
              <w:t>3</w:t>
            </w:r>
            <w:r>
              <w:rPr>
                <w:rFonts w:hint="eastAsia"/>
              </w:rPr>
              <w:t>，</w:t>
            </w:r>
            <w:r>
              <w:rPr>
                <w:rFonts w:hint="eastAsia"/>
                <w:szCs w:val="21"/>
              </w:rPr>
              <w:t>硫化氢</w:t>
            </w:r>
            <w:r>
              <w:rPr>
                <w:rFonts w:hint="eastAsia"/>
              </w:rPr>
              <w:t>≤0.06mg/m</w:t>
            </w:r>
            <w:r>
              <w:rPr>
                <w:rFonts w:hint="eastAsia"/>
                <w:vertAlign w:val="superscript"/>
              </w:rPr>
              <w:t>3</w:t>
            </w:r>
            <w:r>
              <w:rPr>
                <w:rFonts w:hint="eastAsia"/>
              </w:rPr>
              <w:t>，</w:t>
            </w:r>
            <w:r>
              <w:t>臭气浓度</w:t>
            </w:r>
            <w:r>
              <w:rPr>
                <w:rFonts w:hint="eastAsia"/>
              </w:rPr>
              <w:t>＜</w:t>
            </w:r>
            <w:r>
              <w:t>20（无量纲）</w:t>
            </w:r>
          </w:p>
        </w:tc>
      </w:tr>
      <w:tr w14:paraId="2E9137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1" w:type="dxa"/>
            <w:vMerge w:val="restart"/>
            <w:noWrap w:val="0"/>
            <w:vAlign w:val="center"/>
          </w:tcPr>
          <w:p w14:paraId="667300C4">
            <w:pPr>
              <w:adjustRightInd w:val="0"/>
              <w:snapToGrid w:val="0"/>
              <w:jc w:val="center"/>
              <w:rPr>
                <w:szCs w:val="21"/>
              </w:rPr>
            </w:pPr>
            <w:r>
              <w:rPr>
                <w:szCs w:val="21"/>
              </w:rPr>
              <w:t>地表水环境</w:t>
            </w:r>
          </w:p>
        </w:tc>
        <w:tc>
          <w:tcPr>
            <w:tcW w:w="1975" w:type="dxa"/>
            <w:noWrap w:val="0"/>
            <w:vAlign w:val="center"/>
          </w:tcPr>
          <w:p w14:paraId="3E849D2B">
            <w:pPr>
              <w:adjustRightInd w:val="0"/>
              <w:snapToGrid w:val="0"/>
              <w:jc w:val="center"/>
              <w:rPr>
                <w:rFonts w:hint="eastAsia"/>
                <w:kern w:val="2"/>
                <w:sz w:val="24"/>
                <w:szCs w:val="24"/>
                <w:lang w:val="en-US" w:eastAsia="zh-CN" w:bidi="ar-SA"/>
              </w:rPr>
            </w:pPr>
            <w:r>
              <w:rPr>
                <w:rFonts w:hint="eastAsia"/>
              </w:rPr>
              <w:t>小型一体化医疗废水处理设施出口</w:t>
            </w:r>
          </w:p>
        </w:tc>
        <w:tc>
          <w:tcPr>
            <w:tcW w:w="1448" w:type="dxa"/>
            <w:noWrap w:val="0"/>
            <w:vAlign w:val="center"/>
          </w:tcPr>
          <w:p w14:paraId="5920101B">
            <w:pPr>
              <w:adjustRightInd w:val="0"/>
              <w:snapToGrid w:val="0"/>
              <w:jc w:val="center"/>
              <w:rPr>
                <w:kern w:val="2"/>
                <w:sz w:val="24"/>
                <w:szCs w:val="21"/>
                <w:lang w:val="en-US" w:eastAsia="zh-CN" w:bidi="ar-SA"/>
              </w:rPr>
            </w:pPr>
            <w:r>
              <w:t>pH、COD、BOD</w:t>
            </w:r>
            <w:r>
              <w:rPr>
                <w:vertAlign w:val="subscript"/>
              </w:rPr>
              <w:t>5</w:t>
            </w:r>
            <w:r>
              <w:t>、SS、粪大肠菌群</w:t>
            </w:r>
            <w:r>
              <w:rPr>
                <w:rFonts w:hint="eastAsia"/>
              </w:rPr>
              <w:t>、总余氯</w:t>
            </w:r>
          </w:p>
        </w:tc>
        <w:tc>
          <w:tcPr>
            <w:tcW w:w="1287" w:type="dxa"/>
            <w:noWrap w:val="0"/>
            <w:vAlign w:val="center"/>
          </w:tcPr>
          <w:p w14:paraId="745C4C2E">
            <w:pPr>
              <w:adjustRightInd w:val="0"/>
              <w:snapToGrid w:val="0"/>
              <w:jc w:val="center"/>
              <w:rPr>
                <w:rFonts w:hint="eastAsia" w:eastAsia="宋体"/>
                <w:kern w:val="2"/>
                <w:sz w:val="24"/>
                <w:szCs w:val="24"/>
                <w:lang w:val="en-US" w:eastAsia="zh-CN" w:bidi="ar-SA"/>
              </w:rPr>
            </w:pPr>
            <w:r>
              <w:rPr>
                <w:rFonts w:hint="eastAsia"/>
                <w:color w:val="auto"/>
              </w:rPr>
              <w:t>小型一体化医疗废水处理设施</w:t>
            </w:r>
            <w:r>
              <w:rPr>
                <w:rFonts w:hint="eastAsia"/>
                <w:color w:val="auto"/>
                <w:lang w:eastAsia="zh-CN"/>
              </w:rPr>
              <w:t>（</w:t>
            </w:r>
            <w:r>
              <w:rPr>
                <w:rFonts w:hint="eastAsia"/>
              </w:rPr>
              <w:t>过滤网+二氧化氯消毒</w:t>
            </w:r>
            <w:r>
              <w:rPr>
                <w:rFonts w:hint="eastAsia"/>
                <w:lang w:eastAsia="zh-CN"/>
              </w:rPr>
              <w:t>）</w:t>
            </w:r>
          </w:p>
        </w:tc>
        <w:tc>
          <w:tcPr>
            <w:tcW w:w="3030" w:type="dxa"/>
            <w:noWrap w:val="0"/>
            <w:vAlign w:val="center"/>
          </w:tcPr>
          <w:p w14:paraId="437ADB3B">
            <w:pPr>
              <w:adjustRightInd w:val="0"/>
              <w:snapToGrid w:val="0"/>
              <w:jc w:val="center"/>
            </w:pPr>
            <w:r>
              <w:rPr>
                <w:rFonts w:hint="eastAsia"/>
              </w:rPr>
              <w:t>达到《医疗机构水污染物排放标准》（GB18466-2005）表2中的预处理标准：</w:t>
            </w:r>
            <w:r>
              <w:t>pH</w:t>
            </w:r>
            <w:r>
              <w:rPr>
                <w:rFonts w:hint="eastAsia"/>
              </w:rPr>
              <w:t>：6~9、COD</w:t>
            </w:r>
            <w:r>
              <w:rPr>
                <w:rFonts w:hint="eastAsia"/>
                <w:vertAlign w:val="subscript"/>
                <w:lang w:val="en-US" w:eastAsia="zh-CN"/>
              </w:rPr>
              <w:t>Cr</w:t>
            </w:r>
            <w:r>
              <w:rPr>
                <w:rFonts w:hint="eastAsia"/>
              </w:rPr>
              <w:t>≤250mg/L、BOD</w:t>
            </w:r>
            <w:r>
              <w:rPr>
                <w:rFonts w:hint="eastAsia"/>
                <w:vertAlign w:val="subscript"/>
              </w:rPr>
              <w:t>5</w:t>
            </w:r>
            <w:r>
              <w:rPr>
                <w:rFonts w:hint="eastAsia"/>
              </w:rPr>
              <w:t>≤100mg/L、SS≤60mg/L、粪大肠菌群≤5000MPN/L</w:t>
            </w:r>
          </w:p>
          <w:p w14:paraId="5FC7C35B">
            <w:pPr>
              <w:adjustRightInd w:val="0"/>
              <w:snapToGrid w:val="0"/>
              <w:jc w:val="center"/>
              <w:rPr>
                <w:rFonts w:hint="eastAsia"/>
                <w:kern w:val="2"/>
                <w:sz w:val="24"/>
                <w:szCs w:val="24"/>
                <w:lang w:val="en-US" w:eastAsia="zh-CN" w:bidi="ar-SA"/>
              </w:rPr>
            </w:pPr>
            <w:r>
              <w:rPr>
                <w:rFonts w:hint="eastAsia"/>
              </w:rPr>
              <w:t>消毒接触池接触时间≥1h，接触池出口总余氯2~8mg/L</w:t>
            </w:r>
          </w:p>
        </w:tc>
      </w:tr>
      <w:tr w14:paraId="189635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1" w:type="dxa"/>
            <w:vMerge w:val="continue"/>
            <w:noWrap w:val="0"/>
            <w:vAlign w:val="center"/>
          </w:tcPr>
          <w:p w14:paraId="38D4F719">
            <w:pPr>
              <w:adjustRightInd w:val="0"/>
              <w:snapToGrid w:val="0"/>
              <w:jc w:val="center"/>
              <w:rPr>
                <w:szCs w:val="21"/>
              </w:rPr>
            </w:pPr>
          </w:p>
        </w:tc>
        <w:tc>
          <w:tcPr>
            <w:tcW w:w="1975" w:type="dxa"/>
            <w:noWrap w:val="0"/>
            <w:vAlign w:val="center"/>
          </w:tcPr>
          <w:p w14:paraId="25D6AA7F">
            <w:pPr>
              <w:adjustRightInd w:val="0"/>
              <w:snapToGrid w:val="0"/>
              <w:jc w:val="center"/>
              <w:rPr>
                <w:rFonts w:hint="eastAsia"/>
                <w:color w:val="auto"/>
                <w:kern w:val="2"/>
                <w:sz w:val="24"/>
                <w:szCs w:val="21"/>
                <w:lang w:val="en-US" w:eastAsia="zh-CN" w:bidi="ar-SA"/>
              </w:rPr>
            </w:pPr>
            <w:r>
              <w:rPr>
                <w:rFonts w:hint="eastAsia"/>
                <w:color w:val="auto"/>
              </w:rPr>
              <w:t>废水排放口</w:t>
            </w:r>
            <w:r>
              <w:rPr>
                <w:rFonts w:hint="eastAsia"/>
                <w:color w:val="auto"/>
                <w:szCs w:val="21"/>
              </w:rPr>
              <w:t>DW001</w:t>
            </w:r>
          </w:p>
        </w:tc>
        <w:tc>
          <w:tcPr>
            <w:tcW w:w="1448" w:type="dxa"/>
            <w:noWrap w:val="0"/>
            <w:vAlign w:val="center"/>
          </w:tcPr>
          <w:p w14:paraId="32ACBD22">
            <w:pPr>
              <w:adjustRightInd w:val="0"/>
              <w:snapToGrid w:val="0"/>
              <w:jc w:val="center"/>
              <w:rPr>
                <w:color w:val="auto"/>
              </w:rPr>
            </w:pPr>
            <w:r>
              <w:rPr>
                <w:color w:val="auto"/>
              </w:rPr>
              <w:t>pH</w:t>
            </w:r>
            <w:r>
              <w:rPr>
                <w:rFonts w:hint="eastAsia"/>
                <w:color w:val="auto"/>
              </w:rPr>
              <w:t>、COD、BOD</w:t>
            </w:r>
            <w:r>
              <w:rPr>
                <w:rFonts w:hint="eastAsia"/>
                <w:color w:val="auto"/>
                <w:vertAlign w:val="subscript"/>
              </w:rPr>
              <w:t>5</w:t>
            </w:r>
            <w:r>
              <w:rPr>
                <w:rFonts w:hint="eastAsia"/>
                <w:color w:val="auto"/>
              </w:rPr>
              <w:t>、SS、NH</w:t>
            </w:r>
            <w:r>
              <w:rPr>
                <w:rFonts w:hint="eastAsia"/>
                <w:color w:val="auto"/>
                <w:vertAlign w:val="subscript"/>
              </w:rPr>
              <w:t>3</w:t>
            </w:r>
            <w:r>
              <w:rPr>
                <w:rFonts w:hint="eastAsia"/>
                <w:color w:val="auto"/>
              </w:rPr>
              <w:t>-N、粪大肠菌群</w:t>
            </w:r>
          </w:p>
          <w:p w14:paraId="72654C6F">
            <w:pPr>
              <w:adjustRightInd w:val="0"/>
              <w:snapToGrid w:val="0"/>
              <w:jc w:val="center"/>
              <w:rPr>
                <w:color w:val="auto"/>
                <w:kern w:val="2"/>
                <w:sz w:val="24"/>
                <w:szCs w:val="21"/>
                <w:lang w:val="en-US" w:eastAsia="zh-CN" w:bidi="ar-SA"/>
              </w:rPr>
            </w:pPr>
          </w:p>
        </w:tc>
        <w:tc>
          <w:tcPr>
            <w:tcW w:w="1287" w:type="dxa"/>
            <w:noWrap w:val="0"/>
            <w:vAlign w:val="center"/>
          </w:tcPr>
          <w:p w14:paraId="407B8575">
            <w:pPr>
              <w:adjustRightInd w:val="0"/>
              <w:snapToGrid w:val="0"/>
              <w:jc w:val="center"/>
              <w:rPr>
                <w:rFonts w:hint="eastAsia"/>
                <w:color w:val="auto"/>
                <w:kern w:val="2"/>
                <w:sz w:val="24"/>
                <w:szCs w:val="21"/>
                <w:lang w:val="en-US" w:eastAsia="zh-CN" w:bidi="ar-SA"/>
              </w:rPr>
            </w:pPr>
            <w:r>
              <w:rPr>
                <w:rFonts w:hint="eastAsia"/>
                <w:color w:val="auto"/>
              </w:rPr>
              <w:t>医疗废水经小型一体化医疗废水处理设施</w:t>
            </w:r>
            <w:r>
              <w:rPr>
                <w:rFonts w:hint="eastAsia"/>
                <w:color w:val="auto"/>
                <w:lang w:val="en-US" w:eastAsia="zh-CN"/>
              </w:rPr>
              <w:t>预处理后</w:t>
            </w:r>
            <w:r>
              <w:rPr>
                <w:rFonts w:hint="eastAsia"/>
                <w:color w:val="auto"/>
              </w:rPr>
              <w:t>与宠物美容废水、生活污水一起汇入化粪池处理</w:t>
            </w:r>
          </w:p>
        </w:tc>
        <w:tc>
          <w:tcPr>
            <w:tcW w:w="3030" w:type="dxa"/>
            <w:noWrap w:val="0"/>
            <w:vAlign w:val="center"/>
          </w:tcPr>
          <w:p w14:paraId="53C32120">
            <w:pPr>
              <w:adjustRightInd w:val="0"/>
              <w:snapToGrid w:val="0"/>
              <w:jc w:val="center"/>
              <w:rPr>
                <w:rFonts w:hint="eastAsia"/>
                <w:color w:val="auto"/>
                <w:kern w:val="2"/>
                <w:sz w:val="24"/>
                <w:szCs w:val="24"/>
                <w:lang w:val="en-US" w:eastAsia="zh-CN" w:bidi="ar-SA"/>
              </w:rPr>
            </w:pPr>
            <w:r>
              <w:rPr>
                <w:rFonts w:hint="eastAsia"/>
                <w:color w:val="auto"/>
              </w:rPr>
              <w:t>《污水综合排放标准》（GB8978-1996）表4中的三级标准排放标准（氨氮排放标准参考《污水排入城镇下水道水质标准》（GB/T31962-2015）B等级标准限值）：COD</w:t>
            </w:r>
            <w:r>
              <w:rPr>
                <w:rFonts w:hint="eastAsia"/>
                <w:color w:val="auto"/>
                <w:vertAlign w:val="subscript"/>
                <w:lang w:val="en-US" w:eastAsia="zh-CN"/>
              </w:rPr>
              <w:t>C</w:t>
            </w:r>
            <w:r>
              <w:rPr>
                <w:rFonts w:hint="eastAsia"/>
                <w:color w:val="auto"/>
                <w:vertAlign w:val="subscript"/>
              </w:rPr>
              <w:t>r</w:t>
            </w:r>
            <w:r>
              <w:rPr>
                <w:rFonts w:hint="eastAsia"/>
                <w:color w:val="auto"/>
              </w:rPr>
              <w:t>≤500mg/L、BOD</w:t>
            </w:r>
            <w:r>
              <w:rPr>
                <w:rFonts w:hint="eastAsia"/>
                <w:color w:val="auto"/>
                <w:vertAlign w:val="subscript"/>
              </w:rPr>
              <w:t>5</w:t>
            </w:r>
            <w:r>
              <w:rPr>
                <w:rFonts w:hint="eastAsia"/>
                <w:color w:val="auto"/>
              </w:rPr>
              <w:t>≤300mg/L、SS≤400mg/L、氨氮≤45mg/L、粪大肠菌群≤5000个/L、LAS≤20mg/L</w:t>
            </w:r>
          </w:p>
        </w:tc>
      </w:tr>
      <w:tr w14:paraId="004722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1" w:type="dxa"/>
            <w:noWrap w:val="0"/>
            <w:vAlign w:val="center"/>
          </w:tcPr>
          <w:p w14:paraId="5818615A">
            <w:pPr>
              <w:adjustRightInd w:val="0"/>
              <w:snapToGrid w:val="0"/>
              <w:jc w:val="center"/>
              <w:rPr>
                <w:szCs w:val="21"/>
              </w:rPr>
            </w:pPr>
            <w:r>
              <w:rPr>
                <w:szCs w:val="21"/>
              </w:rPr>
              <w:t>声环境</w:t>
            </w:r>
          </w:p>
        </w:tc>
        <w:tc>
          <w:tcPr>
            <w:tcW w:w="1975" w:type="dxa"/>
            <w:noWrap w:val="0"/>
            <w:vAlign w:val="center"/>
          </w:tcPr>
          <w:p w14:paraId="21423D70">
            <w:pPr>
              <w:pStyle w:val="67"/>
              <w:rPr>
                <w:szCs w:val="21"/>
              </w:rPr>
            </w:pPr>
            <w:r>
              <w:rPr>
                <w:rFonts w:hint="eastAsia"/>
                <w:kern w:val="2"/>
                <w:sz w:val="24"/>
                <w:szCs w:val="21"/>
              </w:rPr>
              <w:t>厂界噪声</w:t>
            </w:r>
          </w:p>
        </w:tc>
        <w:tc>
          <w:tcPr>
            <w:tcW w:w="1448" w:type="dxa"/>
            <w:noWrap w:val="0"/>
            <w:vAlign w:val="center"/>
          </w:tcPr>
          <w:p w14:paraId="6C80BE89">
            <w:pPr>
              <w:pStyle w:val="67"/>
              <w:rPr>
                <w:szCs w:val="21"/>
              </w:rPr>
            </w:pPr>
            <w:r>
              <w:rPr>
                <w:szCs w:val="21"/>
              </w:rPr>
              <w:t>Leq</w:t>
            </w:r>
          </w:p>
        </w:tc>
        <w:tc>
          <w:tcPr>
            <w:tcW w:w="1287" w:type="dxa"/>
            <w:noWrap w:val="0"/>
            <w:vAlign w:val="center"/>
          </w:tcPr>
          <w:p w14:paraId="490B739C">
            <w:pPr>
              <w:pStyle w:val="67"/>
              <w:rPr>
                <w:szCs w:val="21"/>
              </w:rPr>
            </w:pPr>
            <w:r>
              <w:rPr>
                <w:rFonts w:hint="eastAsia"/>
                <w:kern w:val="2"/>
                <w:sz w:val="24"/>
                <w:szCs w:val="21"/>
                <w:lang w:val="en-US" w:eastAsia="zh-CN"/>
              </w:rPr>
              <w:t>隔声</w:t>
            </w:r>
            <w:r>
              <w:rPr>
                <w:rFonts w:hint="eastAsia"/>
                <w:kern w:val="2"/>
                <w:sz w:val="24"/>
                <w:szCs w:val="21"/>
              </w:rPr>
              <w:t>减震</w:t>
            </w:r>
          </w:p>
        </w:tc>
        <w:tc>
          <w:tcPr>
            <w:tcW w:w="3030" w:type="dxa"/>
            <w:noWrap w:val="0"/>
            <w:vAlign w:val="center"/>
          </w:tcPr>
          <w:p w14:paraId="50B4A202">
            <w:pPr>
              <w:adjustRightInd w:val="0"/>
              <w:snapToGrid w:val="0"/>
              <w:jc w:val="center"/>
              <w:rPr>
                <w:szCs w:val="21"/>
              </w:rPr>
            </w:pPr>
            <w:r>
              <w:rPr>
                <w:rFonts w:hint="eastAsia"/>
              </w:rPr>
              <w:t>《社会生活环境噪声排放标准》（GB22337-2008）</w:t>
            </w:r>
            <w:r>
              <w:rPr>
                <w:rFonts w:hint="eastAsia"/>
                <w:lang w:val="en-US" w:eastAsia="zh-CN"/>
              </w:rPr>
              <w:t>4</w:t>
            </w:r>
            <w:r>
              <w:rPr>
                <w:rFonts w:hint="eastAsia"/>
              </w:rPr>
              <w:t>类标准；昼间</w:t>
            </w:r>
            <w:r>
              <w:rPr>
                <w:rFonts w:hint="eastAsia"/>
                <w:szCs w:val="21"/>
              </w:rPr>
              <w:t>≤</w:t>
            </w:r>
            <w:r>
              <w:rPr>
                <w:rFonts w:hint="eastAsia"/>
                <w:szCs w:val="21"/>
                <w:lang w:val="en-US" w:eastAsia="zh-CN"/>
              </w:rPr>
              <w:t>70</w:t>
            </w:r>
            <w:r>
              <w:rPr>
                <w:rFonts w:hint="eastAsia"/>
                <w:szCs w:val="21"/>
              </w:rPr>
              <w:t>dB（A）</w:t>
            </w:r>
          </w:p>
        </w:tc>
      </w:tr>
      <w:tr w14:paraId="25E9FB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1" w:type="dxa"/>
            <w:noWrap w:val="0"/>
            <w:vAlign w:val="center"/>
          </w:tcPr>
          <w:p w14:paraId="551C86BE">
            <w:pPr>
              <w:adjustRightInd w:val="0"/>
              <w:snapToGrid w:val="0"/>
              <w:jc w:val="center"/>
              <w:rPr>
                <w:szCs w:val="21"/>
              </w:rPr>
            </w:pPr>
            <w:r>
              <w:rPr>
                <w:szCs w:val="21"/>
              </w:rPr>
              <w:t>电磁辐射</w:t>
            </w:r>
          </w:p>
        </w:tc>
        <w:tc>
          <w:tcPr>
            <w:tcW w:w="1975" w:type="dxa"/>
            <w:noWrap w:val="0"/>
            <w:vAlign w:val="center"/>
          </w:tcPr>
          <w:p w14:paraId="6FF0CC16">
            <w:pPr>
              <w:adjustRightInd w:val="0"/>
              <w:snapToGrid w:val="0"/>
              <w:jc w:val="center"/>
              <w:rPr>
                <w:rFonts w:hint="eastAsia"/>
                <w:szCs w:val="21"/>
              </w:rPr>
            </w:pPr>
            <w:r>
              <w:rPr>
                <w:rFonts w:hint="eastAsia"/>
                <w:szCs w:val="21"/>
              </w:rPr>
              <w:t>/</w:t>
            </w:r>
          </w:p>
        </w:tc>
        <w:tc>
          <w:tcPr>
            <w:tcW w:w="1448" w:type="dxa"/>
            <w:noWrap w:val="0"/>
            <w:vAlign w:val="center"/>
          </w:tcPr>
          <w:p w14:paraId="777AF6DD">
            <w:pPr>
              <w:adjustRightInd w:val="0"/>
              <w:snapToGrid w:val="0"/>
              <w:jc w:val="center"/>
              <w:rPr>
                <w:rFonts w:hint="eastAsia"/>
                <w:szCs w:val="21"/>
              </w:rPr>
            </w:pPr>
            <w:r>
              <w:rPr>
                <w:rFonts w:hint="eastAsia"/>
                <w:szCs w:val="21"/>
              </w:rPr>
              <w:t>/</w:t>
            </w:r>
          </w:p>
        </w:tc>
        <w:tc>
          <w:tcPr>
            <w:tcW w:w="1287" w:type="dxa"/>
            <w:noWrap w:val="0"/>
            <w:vAlign w:val="center"/>
          </w:tcPr>
          <w:p w14:paraId="13970E53">
            <w:pPr>
              <w:adjustRightInd w:val="0"/>
              <w:snapToGrid w:val="0"/>
              <w:jc w:val="center"/>
              <w:rPr>
                <w:rFonts w:hint="eastAsia"/>
                <w:szCs w:val="21"/>
              </w:rPr>
            </w:pPr>
            <w:r>
              <w:rPr>
                <w:rFonts w:hint="eastAsia"/>
                <w:szCs w:val="21"/>
              </w:rPr>
              <w:t>/</w:t>
            </w:r>
          </w:p>
        </w:tc>
        <w:tc>
          <w:tcPr>
            <w:tcW w:w="3030" w:type="dxa"/>
            <w:noWrap w:val="0"/>
            <w:vAlign w:val="center"/>
          </w:tcPr>
          <w:p w14:paraId="68287834">
            <w:pPr>
              <w:adjustRightInd w:val="0"/>
              <w:snapToGrid w:val="0"/>
              <w:jc w:val="center"/>
              <w:rPr>
                <w:rFonts w:hint="eastAsia"/>
                <w:szCs w:val="21"/>
              </w:rPr>
            </w:pPr>
            <w:r>
              <w:rPr>
                <w:rFonts w:hint="eastAsia"/>
                <w:szCs w:val="21"/>
              </w:rPr>
              <w:t>/</w:t>
            </w:r>
          </w:p>
        </w:tc>
      </w:tr>
      <w:tr w14:paraId="69D9C8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1" w:type="dxa"/>
            <w:noWrap w:val="0"/>
            <w:vAlign w:val="center"/>
          </w:tcPr>
          <w:p w14:paraId="5509F373">
            <w:pPr>
              <w:adjustRightInd w:val="0"/>
              <w:snapToGrid w:val="0"/>
              <w:jc w:val="center"/>
              <w:rPr>
                <w:szCs w:val="21"/>
              </w:rPr>
            </w:pPr>
            <w:r>
              <w:rPr>
                <w:szCs w:val="21"/>
              </w:rPr>
              <w:t>固体废物</w:t>
            </w:r>
          </w:p>
        </w:tc>
        <w:tc>
          <w:tcPr>
            <w:tcW w:w="7740" w:type="dxa"/>
            <w:gridSpan w:val="4"/>
            <w:noWrap w:val="0"/>
            <w:vAlign w:val="center"/>
          </w:tcPr>
          <w:p w14:paraId="118BFAFA">
            <w:pPr>
              <w:adjustRightInd w:val="0"/>
              <w:snapToGrid w:val="0"/>
              <w:jc w:val="left"/>
              <w:rPr>
                <w:rFonts w:hint="eastAsia"/>
              </w:rPr>
            </w:pPr>
            <w:r>
              <w:t>生活垃圾收集时设置专门的存储设施和场所，收集后及时交由环卫部门统一收集后外运处置</w:t>
            </w:r>
            <w:r>
              <w:rPr>
                <w:rFonts w:hint="eastAsia"/>
              </w:rPr>
              <w:t>；</w:t>
            </w:r>
          </w:p>
          <w:p w14:paraId="2D314FFF">
            <w:pPr>
              <w:adjustRightInd w:val="0"/>
              <w:snapToGrid w:val="0"/>
              <w:jc w:val="left"/>
            </w:pPr>
            <w:r>
              <w:rPr>
                <w:rFonts w:hint="eastAsia"/>
              </w:rPr>
              <w:t>本项目产生医疗废物属于《国家危险废物名录》中HW01医疗废物，医疗废物单独收集于医疗废物收集桶，</w:t>
            </w:r>
            <w:r>
              <w:rPr>
                <w:rFonts w:hint="eastAsia"/>
                <w:lang w:val="en-US" w:eastAsia="zh-CN"/>
              </w:rPr>
              <w:t>暂存在危废暂存间，</w:t>
            </w:r>
            <w:r>
              <w:rPr>
                <w:rFonts w:hint="eastAsia"/>
              </w:rPr>
              <w:t>定期交由有资质的单位安全处置。</w:t>
            </w:r>
          </w:p>
        </w:tc>
      </w:tr>
      <w:tr w14:paraId="56750C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1" w:type="dxa"/>
            <w:noWrap w:val="0"/>
            <w:vAlign w:val="center"/>
          </w:tcPr>
          <w:p w14:paraId="6938C8DF">
            <w:pPr>
              <w:adjustRightInd w:val="0"/>
              <w:snapToGrid w:val="0"/>
              <w:jc w:val="center"/>
              <w:rPr>
                <w:szCs w:val="21"/>
              </w:rPr>
            </w:pPr>
            <w:r>
              <w:rPr>
                <w:szCs w:val="21"/>
              </w:rPr>
              <w:t>土壤及地下水污染防治措施</w:t>
            </w:r>
          </w:p>
        </w:tc>
        <w:tc>
          <w:tcPr>
            <w:tcW w:w="7740" w:type="dxa"/>
            <w:gridSpan w:val="4"/>
            <w:noWrap w:val="0"/>
            <w:vAlign w:val="center"/>
          </w:tcPr>
          <w:p w14:paraId="57DE56D9">
            <w:pPr>
              <w:adjustRightInd w:val="0"/>
              <w:snapToGrid w:val="0"/>
              <w:jc w:val="center"/>
              <w:rPr>
                <w:szCs w:val="21"/>
              </w:rPr>
            </w:pPr>
            <w:r>
              <w:rPr>
                <w:rFonts w:hint="eastAsia"/>
                <w:szCs w:val="21"/>
              </w:rPr>
              <w:t>/</w:t>
            </w:r>
          </w:p>
        </w:tc>
      </w:tr>
      <w:tr w14:paraId="152D96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1" w:type="dxa"/>
            <w:noWrap w:val="0"/>
            <w:vAlign w:val="center"/>
          </w:tcPr>
          <w:p w14:paraId="6D466A92">
            <w:pPr>
              <w:adjustRightInd w:val="0"/>
              <w:snapToGrid w:val="0"/>
              <w:jc w:val="center"/>
              <w:rPr>
                <w:szCs w:val="21"/>
              </w:rPr>
            </w:pPr>
            <w:r>
              <w:rPr>
                <w:szCs w:val="21"/>
              </w:rPr>
              <w:t>生态保护措施</w:t>
            </w:r>
          </w:p>
        </w:tc>
        <w:tc>
          <w:tcPr>
            <w:tcW w:w="7740" w:type="dxa"/>
            <w:gridSpan w:val="4"/>
            <w:noWrap w:val="0"/>
            <w:vAlign w:val="center"/>
          </w:tcPr>
          <w:p w14:paraId="4E0D3951">
            <w:pPr>
              <w:adjustRightInd w:val="0"/>
              <w:snapToGrid w:val="0"/>
              <w:jc w:val="center"/>
              <w:rPr>
                <w:rFonts w:hint="eastAsia"/>
                <w:szCs w:val="21"/>
              </w:rPr>
            </w:pPr>
            <w:r>
              <w:rPr>
                <w:rFonts w:hint="eastAsia"/>
                <w:szCs w:val="21"/>
              </w:rPr>
              <w:t>/</w:t>
            </w:r>
          </w:p>
        </w:tc>
      </w:tr>
      <w:tr w14:paraId="4DA11D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1" w:type="dxa"/>
            <w:noWrap w:val="0"/>
            <w:vAlign w:val="center"/>
          </w:tcPr>
          <w:p w14:paraId="3B33F692">
            <w:pPr>
              <w:adjustRightInd w:val="0"/>
              <w:snapToGrid w:val="0"/>
              <w:jc w:val="center"/>
              <w:rPr>
                <w:spacing w:val="-8"/>
                <w:szCs w:val="21"/>
              </w:rPr>
            </w:pPr>
            <w:r>
              <w:rPr>
                <w:spacing w:val="-8"/>
                <w:szCs w:val="21"/>
              </w:rPr>
              <w:t>环境风险</w:t>
            </w:r>
          </w:p>
          <w:p w14:paraId="473BCC15">
            <w:pPr>
              <w:adjustRightInd w:val="0"/>
              <w:snapToGrid w:val="0"/>
              <w:jc w:val="center"/>
              <w:rPr>
                <w:spacing w:val="-8"/>
                <w:szCs w:val="21"/>
              </w:rPr>
            </w:pPr>
            <w:r>
              <w:rPr>
                <w:spacing w:val="-8"/>
                <w:szCs w:val="21"/>
              </w:rPr>
              <w:t>防范措施</w:t>
            </w:r>
          </w:p>
        </w:tc>
        <w:tc>
          <w:tcPr>
            <w:tcW w:w="7740" w:type="dxa"/>
            <w:gridSpan w:val="4"/>
            <w:noWrap w:val="0"/>
            <w:vAlign w:val="center"/>
          </w:tcPr>
          <w:p w14:paraId="1CD1BAD7">
            <w:pPr>
              <w:adjustRightInd w:val="0"/>
              <w:snapToGrid w:val="0"/>
              <w:jc w:val="center"/>
              <w:rPr>
                <w:szCs w:val="21"/>
              </w:rPr>
            </w:pPr>
            <w:r>
              <w:rPr>
                <w:rFonts w:hint="eastAsia"/>
                <w:szCs w:val="21"/>
              </w:rPr>
              <w:t>若一体化处理设施消毒不达标，则立即停止排放，检查消毒设施投料等情况是否满足要求；诊疗过程发现有（传染）疫情的宠物，立即报告当地兽医主管部门、动物卫生监督机构或动物疾病预防控制机构，不得擅自进行治疗，防止动物疫情扩散。加强对危废暂存间医疗废物的管理，通过加强目常监督检查、管理，严格规范医护人员的操作流程等，可以有效降低或避免风险事故的发生，环境风险处于可接受范围</w:t>
            </w:r>
          </w:p>
        </w:tc>
      </w:tr>
      <w:tr w14:paraId="336C5A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1" w:type="dxa"/>
            <w:noWrap w:val="0"/>
            <w:vAlign w:val="center"/>
          </w:tcPr>
          <w:p w14:paraId="441563DF">
            <w:pPr>
              <w:adjustRightInd w:val="0"/>
              <w:snapToGrid w:val="0"/>
              <w:jc w:val="center"/>
              <w:rPr>
                <w:spacing w:val="-8"/>
                <w:szCs w:val="21"/>
              </w:rPr>
            </w:pPr>
            <w:r>
              <w:rPr>
                <w:spacing w:val="-8"/>
                <w:szCs w:val="21"/>
              </w:rPr>
              <w:t>其他环境</w:t>
            </w:r>
          </w:p>
          <w:p w14:paraId="328F521B">
            <w:pPr>
              <w:adjustRightInd w:val="0"/>
              <w:snapToGrid w:val="0"/>
              <w:jc w:val="center"/>
              <w:rPr>
                <w:spacing w:val="-8"/>
                <w:szCs w:val="21"/>
              </w:rPr>
            </w:pPr>
            <w:r>
              <w:rPr>
                <w:spacing w:val="-8"/>
                <w:szCs w:val="21"/>
              </w:rPr>
              <w:t>管理要求</w:t>
            </w:r>
          </w:p>
        </w:tc>
        <w:tc>
          <w:tcPr>
            <w:tcW w:w="7740" w:type="dxa"/>
            <w:gridSpan w:val="4"/>
            <w:noWrap w:val="0"/>
            <w:vAlign w:val="center"/>
          </w:tcPr>
          <w:p w14:paraId="49B9FAC9">
            <w:pPr>
              <w:adjustRightInd w:val="0"/>
              <w:snapToGrid w:val="0"/>
              <w:jc w:val="center"/>
            </w:pPr>
          </w:p>
          <w:p w14:paraId="7BDFF0C8">
            <w:pPr>
              <w:adjustRightInd w:val="0"/>
              <w:snapToGrid w:val="0"/>
              <w:jc w:val="left"/>
              <w:rPr>
                <w:rFonts w:hint="eastAsia"/>
              </w:rPr>
            </w:pPr>
            <w:r>
              <w:rPr>
                <w:rFonts w:hint="eastAsia"/>
              </w:rPr>
              <w:t>①设立专门的环保机构，加强环保设施运行管理维护，建立环保设施运行台账，确保环保设施正常运行及污染物稳定达标排放。</w:t>
            </w:r>
          </w:p>
          <w:p w14:paraId="24720419">
            <w:pPr>
              <w:adjustRightInd w:val="0"/>
              <w:snapToGrid w:val="0"/>
              <w:jc w:val="left"/>
              <w:rPr>
                <w:rFonts w:hint="eastAsia"/>
              </w:rPr>
            </w:pPr>
            <w:r>
              <w:rPr>
                <w:rFonts w:hint="eastAsia"/>
              </w:rPr>
              <w:t>②项目竣工后，建设单位应当依照国家有关法律法规、建设项目竣工环境保护验收技术规范、建设项目环境影响报告表和审批决定等要求，如实查验、监测、记载建设项目环境保护设施的建设和调试情况，同时还应如实记载其他环境保护对策措施“三同时”落实情况，编制竣工环境保护验收报告。</w:t>
            </w:r>
          </w:p>
          <w:p w14:paraId="53F21E57">
            <w:pPr>
              <w:adjustRightInd w:val="0"/>
              <w:snapToGrid w:val="0"/>
              <w:jc w:val="left"/>
              <w:rPr>
                <w:rFonts w:hint="eastAsia"/>
              </w:rPr>
            </w:pPr>
            <w:r>
              <w:rPr>
                <w:rFonts w:hint="eastAsia"/>
              </w:rPr>
              <w:t>③按要求落实监测计划。</w:t>
            </w:r>
          </w:p>
          <w:p w14:paraId="7CA74197">
            <w:pPr>
              <w:adjustRightInd w:val="0"/>
              <w:snapToGrid w:val="0"/>
              <w:jc w:val="left"/>
              <w:rPr>
                <w:rFonts w:hint="eastAsia"/>
              </w:rPr>
            </w:pPr>
            <w:r>
              <w:rPr>
                <w:rFonts w:hint="eastAsia"/>
              </w:rPr>
              <w:t>④排污口规范化管理要求：项目废水排放口、固体废物临时堆放点应按照规范化设置。对各种固体废物应分类收集暂存，设置的暂存点应有防扬尘、防流失、防渗漏等措施，暂存场应设置规范化标志牌。</w:t>
            </w:r>
          </w:p>
          <w:p w14:paraId="18E1C06E">
            <w:pPr>
              <w:adjustRightInd w:val="0"/>
              <w:snapToGrid w:val="0"/>
              <w:jc w:val="left"/>
            </w:pPr>
          </w:p>
        </w:tc>
      </w:tr>
    </w:tbl>
    <w:p w14:paraId="13133213">
      <w:pPr>
        <w:jc w:val="center"/>
        <w:outlineLvl w:val="0"/>
        <w:rPr>
          <w:rFonts w:eastAsia="黑体"/>
          <w:snapToGrid w:val="0"/>
          <w:sz w:val="30"/>
          <w:szCs w:val="30"/>
        </w:rPr>
      </w:pPr>
      <w:r>
        <w:rPr>
          <w:snapToGrid w:val="0"/>
        </w:rPr>
        <w:br w:type="page"/>
      </w:r>
      <w:bookmarkStart w:id="46" w:name="_Toc15610"/>
      <w:r>
        <w:rPr>
          <w:rFonts w:eastAsia="黑体"/>
          <w:snapToGrid w:val="0"/>
          <w:sz w:val="30"/>
          <w:szCs w:val="30"/>
        </w:rPr>
        <w:t>六、结论</w:t>
      </w:r>
      <w:bookmarkEnd w:id="46"/>
    </w:p>
    <w:tbl>
      <w:tblPr>
        <w:tblStyle w:val="2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113BE6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noWrap w:val="0"/>
            <w:vAlign w:val="top"/>
          </w:tcPr>
          <w:p w14:paraId="6AFBB548">
            <w:pPr>
              <w:pStyle w:val="76"/>
              <w:ind w:firstLine="480"/>
              <w:jc w:val="both"/>
            </w:pPr>
            <w:r>
              <w:rPr>
                <w:rFonts w:hint="eastAsia"/>
                <w:lang w:eastAsia="zh-CN"/>
              </w:rPr>
              <w:t>福州市鼓楼区欣慷动物医院</w:t>
            </w:r>
            <w:r>
              <w:rPr>
                <w:rFonts w:hint="eastAsia"/>
                <w:lang w:val="en-US" w:eastAsia="zh-CN"/>
              </w:rPr>
              <w:t>项目</w:t>
            </w:r>
            <w:r>
              <w:t>位于</w:t>
            </w:r>
            <w:r>
              <w:rPr>
                <w:rFonts w:hint="eastAsia"/>
              </w:rPr>
              <w:t>福州市鼓楼区鼓西街道善化新村8#楼东起第六间店面</w:t>
            </w:r>
            <w:r>
              <w:t>，项目选址符合相关规划要求，符合国家产业政策，项目选址符合区域规划和环境规划，与周边环境相容。在采取有效的环境保护措施情况下，废气、废水、噪声等污染物可实现达标排放，固体废物可得到妥善安全处置。</w:t>
            </w:r>
          </w:p>
          <w:p w14:paraId="5AEC9A2D">
            <w:pPr>
              <w:pStyle w:val="76"/>
              <w:ind w:firstLine="480"/>
              <w:jc w:val="both"/>
              <w:rPr>
                <w:rFonts w:cs="Times New Roman"/>
              </w:rPr>
            </w:pPr>
            <w:r>
              <w:rPr>
                <w:rFonts w:cs="Times New Roman"/>
              </w:rPr>
              <w:t>项目在严格遵守“三同时”等环保制度、认真落实本报告表所提出的环保对策措施和加强环境管理的前提下，可将其对环境的不利影响降低到最低程度或允许限度。从环境保护角度分析论证，项目的建设是可行的。</w:t>
            </w:r>
          </w:p>
          <w:p w14:paraId="12F645F2">
            <w:pPr>
              <w:spacing w:line="360" w:lineRule="auto"/>
              <w:rPr>
                <w:rFonts w:hint="eastAsia"/>
              </w:rPr>
            </w:pPr>
          </w:p>
        </w:tc>
      </w:tr>
    </w:tbl>
    <w:p w14:paraId="1E94B611">
      <w:pPr>
        <w:sectPr>
          <w:pgSz w:w="11906" w:h="16838"/>
          <w:pgMar w:top="1417" w:right="1417" w:bottom="1417" w:left="1417" w:header="851" w:footer="851" w:gutter="0"/>
          <w:cols w:space="720" w:num="1"/>
          <w:docGrid w:linePitch="312" w:charSpace="0"/>
        </w:sectPr>
      </w:pPr>
    </w:p>
    <w:p w14:paraId="5C7F3929">
      <w:pPr>
        <w:pStyle w:val="6"/>
        <w:numPr>
          <w:ilvl w:val="2"/>
          <w:numId w:val="0"/>
        </w:numPr>
        <w:tabs>
          <w:tab w:val="left" w:pos="0"/>
          <w:tab w:val="clear" w:pos="420"/>
        </w:tabs>
        <w:spacing w:line="240" w:lineRule="auto"/>
        <w:rPr>
          <w:rFonts w:hint="eastAsia"/>
          <w:sz w:val="24"/>
          <w:szCs w:val="28"/>
        </w:rPr>
      </w:pPr>
      <w:bookmarkStart w:id="47" w:name="_Toc10743"/>
      <w:r>
        <w:rPr>
          <w:rFonts w:hint="eastAsia"/>
          <w:sz w:val="24"/>
          <w:szCs w:val="28"/>
        </w:rPr>
        <w:t>附表1 建设项目污染物排放量汇总表</w:t>
      </w:r>
      <w:bookmarkEnd w:id="47"/>
    </w:p>
    <w:p w14:paraId="07438DE5">
      <w:pPr>
        <w:pStyle w:val="76"/>
        <w:ind w:firstLine="0" w:firstLineChars="0"/>
        <w:jc w:val="center"/>
        <w:rPr>
          <w:rFonts w:hint="default" w:cs="Times New Roman"/>
          <w:sz w:val="32"/>
          <w:szCs w:val="24"/>
        </w:rPr>
      </w:pPr>
    </w:p>
    <w:p w14:paraId="67D20735">
      <w:pPr>
        <w:pStyle w:val="76"/>
        <w:ind w:firstLine="0" w:firstLineChars="0"/>
        <w:jc w:val="center"/>
        <w:rPr>
          <w:rFonts w:hint="default" w:cs="Times New Roman"/>
          <w:b/>
          <w:bCs/>
          <w:sz w:val="36"/>
          <w:szCs w:val="28"/>
        </w:rPr>
      </w:pPr>
      <w:r>
        <w:rPr>
          <w:rFonts w:hint="default" w:cs="Times New Roman"/>
          <w:b/>
          <w:bCs/>
          <w:sz w:val="36"/>
          <w:szCs w:val="28"/>
        </w:rPr>
        <w:t>建设项目污染物排放量汇总表</w:t>
      </w:r>
    </w:p>
    <w:tbl>
      <w:tblPr>
        <w:tblStyle w:val="25"/>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1417"/>
        <w:gridCol w:w="1701"/>
        <w:gridCol w:w="1276"/>
        <w:gridCol w:w="1701"/>
        <w:gridCol w:w="1559"/>
        <w:gridCol w:w="1761"/>
        <w:gridCol w:w="1775"/>
        <w:gridCol w:w="1258"/>
      </w:tblGrid>
      <w:tr w14:paraId="178FC1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588" w:type="dxa"/>
            <w:tcBorders>
              <w:tl2br w:val="single" w:color="auto" w:sz="4" w:space="0"/>
            </w:tcBorders>
            <w:noWrap w:val="0"/>
            <w:tcMar>
              <w:left w:w="28" w:type="dxa"/>
              <w:right w:w="28" w:type="dxa"/>
            </w:tcMar>
            <w:vAlign w:val="center"/>
          </w:tcPr>
          <w:p w14:paraId="37599805">
            <w:pPr>
              <w:pStyle w:val="53"/>
              <w:spacing w:beforeLines="0" w:afterLines="0" w:line="240" w:lineRule="auto"/>
              <w:jc w:val="right"/>
              <w:rPr>
                <w:rFonts w:ascii="Times New Roman" w:eastAsia="黑体"/>
                <w:snapToGrid w:val="0"/>
                <w:spacing w:val="-6"/>
                <w:kern w:val="21"/>
                <w:szCs w:val="21"/>
              </w:rPr>
            </w:pPr>
            <w:r>
              <w:rPr>
                <w:rFonts w:ascii="Times New Roman" w:eastAsia="黑体"/>
                <w:snapToGrid w:val="0"/>
                <w:spacing w:val="-6"/>
                <w:kern w:val="21"/>
                <w:szCs w:val="21"/>
              </w:rPr>
              <w:t>项目</w:t>
            </w:r>
          </w:p>
          <w:p w14:paraId="5B62C176">
            <w:pPr>
              <w:pStyle w:val="53"/>
              <w:spacing w:beforeLines="0" w:afterLines="0" w:line="240" w:lineRule="auto"/>
              <w:jc w:val="left"/>
              <w:rPr>
                <w:rFonts w:ascii="Times New Roman" w:eastAsia="黑体"/>
                <w:snapToGrid w:val="0"/>
                <w:spacing w:val="-6"/>
                <w:kern w:val="21"/>
                <w:szCs w:val="21"/>
              </w:rPr>
            </w:pPr>
            <w:r>
              <w:rPr>
                <w:rFonts w:ascii="Times New Roman" w:eastAsia="黑体"/>
                <w:snapToGrid w:val="0"/>
                <w:spacing w:val="-6"/>
                <w:kern w:val="21"/>
                <w:szCs w:val="21"/>
              </w:rPr>
              <w:t>分类</w:t>
            </w:r>
          </w:p>
        </w:tc>
        <w:tc>
          <w:tcPr>
            <w:tcW w:w="1417" w:type="dxa"/>
            <w:noWrap w:val="0"/>
            <w:tcMar>
              <w:left w:w="28" w:type="dxa"/>
              <w:right w:w="28" w:type="dxa"/>
            </w:tcMar>
            <w:vAlign w:val="center"/>
          </w:tcPr>
          <w:p w14:paraId="2812702B">
            <w:pPr>
              <w:pStyle w:val="53"/>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污染物名称</w:t>
            </w:r>
          </w:p>
        </w:tc>
        <w:tc>
          <w:tcPr>
            <w:tcW w:w="1701" w:type="dxa"/>
            <w:noWrap w:val="0"/>
            <w:tcMar>
              <w:left w:w="28" w:type="dxa"/>
              <w:right w:w="28" w:type="dxa"/>
            </w:tcMar>
            <w:vAlign w:val="center"/>
          </w:tcPr>
          <w:p w14:paraId="152BE144">
            <w:pPr>
              <w:pStyle w:val="53"/>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现有工程</w:t>
            </w:r>
          </w:p>
          <w:p w14:paraId="76F52C37">
            <w:pPr>
              <w:pStyle w:val="53"/>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排放量（固体废物产生量）</w:t>
            </w:r>
            <w:r>
              <w:rPr>
                <w:rFonts w:ascii="Times New Roman" w:eastAsia="黑体"/>
                <w:snapToGrid w:val="0"/>
                <w:spacing w:val="-6"/>
                <w:kern w:val="21"/>
                <w:szCs w:val="21"/>
              </w:rPr>
              <w:fldChar w:fldCharType="begin"/>
            </w:r>
            <w:r>
              <w:rPr>
                <w:rFonts w:ascii="Times New Roman" w:eastAsia="黑体"/>
                <w:snapToGrid w:val="0"/>
                <w:spacing w:val="-6"/>
                <w:kern w:val="21"/>
                <w:szCs w:val="21"/>
              </w:rPr>
              <w:instrText xml:space="preserve"> = 1 \* GB3 \* MERGEFORMAT </w:instrText>
            </w:r>
            <w:r>
              <w:rPr>
                <w:rFonts w:ascii="Times New Roman" w:eastAsia="黑体"/>
                <w:snapToGrid w:val="0"/>
                <w:spacing w:val="-6"/>
                <w:kern w:val="21"/>
                <w:szCs w:val="21"/>
              </w:rPr>
              <w:fldChar w:fldCharType="separate"/>
            </w:r>
            <w:r>
              <w:rPr>
                <w:rFonts w:ascii="Times New Roman" w:eastAsia="黑体"/>
                <w:kern w:val="2"/>
                <w:szCs w:val="21"/>
              </w:rPr>
              <w:t>①</w:t>
            </w:r>
            <w:r>
              <w:rPr>
                <w:rFonts w:ascii="Times New Roman" w:eastAsia="黑体"/>
                <w:snapToGrid w:val="0"/>
                <w:spacing w:val="-6"/>
                <w:kern w:val="21"/>
                <w:szCs w:val="21"/>
              </w:rPr>
              <w:fldChar w:fldCharType="end"/>
            </w:r>
          </w:p>
        </w:tc>
        <w:tc>
          <w:tcPr>
            <w:tcW w:w="1276" w:type="dxa"/>
            <w:noWrap w:val="0"/>
            <w:tcMar>
              <w:left w:w="28" w:type="dxa"/>
              <w:right w:w="28" w:type="dxa"/>
            </w:tcMar>
            <w:vAlign w:val="center"/>
          </w:tcPr>
          <w:p w14:paraId="5E943985">
            <w:pPr>
              <w:pStyle w:val="53"/>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现有工程</w:t>
            </w:r>
          </w:p>
          <w:p w14:paraId="0683B7F4">
            <w:pPr>
              <w:pStyle w:val="53"/>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许可排放量</w:t>
            </w:r>
          </w:p>
          <w:p w14:paraId="7DED9463">
            <w:pPr>
              <w:pStyle w:val="53"/>
              <w:spacing w:beforeLines="0" w:afterLines="0"/>
              <w:rPr>
                <w:rFonts w:ascii="Times New Roman" w:eastAsia="黑体"/>
                <w:snapToGrid w:val="0"/>
                <w:spacing w:val="-6"/>
                <w:kern w:val="21"/>
                <w:szCs w:val="21"/>
              </w:rPr>
            </w:pPr>
            <w:r>
              <w:rPr>
                <w:rFonts w:ascii="Times New Roman" w:eastAsia="黑体"/>
                <w:snapToGrid w:val="0"/>
                <w:spacing w:val="-6"/>
                <w:kern w:val="21"/>
                <w:szCs w:val="21"/>
              </w:rPr>
              <w:fldChar w:fldCharType="begin"/>
            </w:r>
            <w:r>
              <w:rPr>
                <w:rFonts w:ascii="Times New Roman" w:eastAsia="黑体"/>
                <w:snapToGrid w:val="0"/>
                <w:spacing w:val="-6"/>
                <w:kern w:val="21"/>
                <w:szCs w:val="21"/>
              </w:rPr>
              <w:instrText xml:space="preserve"> = 2 \* GB3 \* MERGEFORMAT </w:instrText>
            </w:r>
            <w:r>
              <w:rPr>
                <w:rFonts w:ascii="Times New Roman" w:eastAsia="黑体"/>
                <w:snapToGrid w:val="0"/>
                <w:spacing w:val="-6"/>
                <w:kern w:val="21"/>
                <w:szCs w:val="21"/>
              </w:rPr>
              <w:fldChar w:fldCharType="separate"/>
            </w:r>
            <w:r>
              <w:rPr>
                <w:rFonts w:ascii="Times New Roman" w:eastAsia="黑体"/>
                <w:snapToGrid w:val="0"/>
                <w:spacing w:val="-6"/>
                <w:kern w:val="21"/>
                <w:szCs w:val="21"/>
              </w:rPr>
              <w:t>②</w:t>
            </w:r>
            <w:r>
              <w:rPr>
                <w:rFonts w:ascii="Times New Roman" w:eastAsia="黑体"/>
                <w:snapToGrid w:val="0"/>
                <w:spacing w:val="-6"/>
                <w:kern w:val="21"/>
                <w:szCs w:val="21"/>
              </w:rPr>
              <w:fldChar w:fldCharType="end"/>
            </w:r>
          </w:p>
        </w:tc>
        <w:tc>
          <w:tcPr>
            <w:tcW w:w="1701" w:type="dxa"/>
            <w:noWrap w:val="0"/>
            <w:tcMar>
              <w:left w:w="28" w:type="dxa"/>
              <w:right w:w="28" w:type="dxa"/>
            </w:tcMar>
            <w:vAlign w:val="center"/>
          </w:tcPr>
          <w:p w14:paraId="50CE8615">
            <w:pPr>
              <w:pStyle w:val="53"/>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在建工程</w:t>
            </w:r>
          </w:p>
          <w:p w14:paraId="6A554EEE">
            <w:pPr>
              <w:pStyle w:val="53"/>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排放量（固体废物产生量）</w:t>
            </w:r>
            <w:r>
              <w:rPr>
                <w:rFonts w:ascii="Times New Roman" w:eastAsia="黑体"/>
                <w:snapToGrid w:val="0"/>
                <w:spacing w:val="-6"/>
                <w:kern w:val="21"/>
                <w:szCs w:val="21"/>
              </w:rPr>
              <w:fldChar w:fldCharType="begin"/>
            </w:r>
            <w:r>
              <w:rPr>
                <w:rFonts w:ascii="Times New Roman" w:eastAsia="黑体"/>
                <w:snapToGrid w:val="0"/>
                <w:spacing w:val="-6"/>
                <w:kern w:val="21"/>
                <w:szCs w:val="21"/>
              </w:rPr>
              <w:instrText xml:space="preserve"> = 3 \* GB3 \* MERGEFORMAT </w:instrText>
            </w:r>
            <w:r>
              <w:rPr>
                <w:rFonts w:ascii="Times New Roman" w:eastAsia="黑体"/>
                <w:snapToGrid w:val="0"/>
                <w:spacing w:val="-6"/>
                <w:kern w:val="21"/>
                <w:szCs w:val="21"/>
              </w:rPr>
              <w:fldChar w:fldCharType="separate"/>
            </w:r>
            <w:r>
              <w:rPr>
                <w:rFonts w:ascii="Times New Roman" w:eastAsia="黑体"/>
                <w:kern w:val="2"/>
                <w:szCs w:val="21"/>
              </w:rPr>
              <w:t>③</w:t>
            </w:r>
            <w:r>
              <w:rPr>
                <w:rFonts w:ascii="Times New Roman" w:eastAsia="黑体"/>
                <w:snapToGrid w:val="0"/>
                <w:spacing w:val="-6"/>
                <w:kern w:val="21"/>
                <w:szCs w:val="21"/>
              </w:rPr>
              <w:fldChar w:fldCharType="end"/>
            </w:r>
          </w:p>
        </w:tc>
        <w:tc>
          <w:tcPr>
            <w:tcW w:w="1559" w:type="dxa"/>
            <w:noWrap w:val="0"/>
            <w:tcMar>
              <w:left w:w="28" w:type="dxa"/>
              <w:right w:w="28" w:type="dxa"/>
            </w:tcMar>
            <w:vAlign w:val="center"/>
          </w:tcPr>
          <w:p w14:paraId="3DED3165">
            <w:pPr>
              <w:pStyle w:val="53"/>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本项目</w:t>
            </w:r>
          </w:p>
          <w:p w14:paraId="787F9048">
            <w:pPr>
              <w:pStyle w:val="53"/>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排放量（固体废物产生量）</w:t>
            </w:r>
            <w:r>
              <w:rPr>
                <w:rFonts w:ascii="Times New Roman" w:eastAsia="黑体"/>
                <w:snapToGrid w:val="0"/>
                <w:spacing w:val="-6"/>
                <w:kern w:val="21"/>
                <w:szCs w:val="21"/>
              </w:rPr>
              <w:fldChar w:fldCharType="begin"/>
            </w:r>
            <w:r>
              <w:rPr>
                <w:rFonts w:ascii="Times New Roman" w:eastAsia="黑体"/>
                <w:snapToGrid w:val="0"/>
                <w:spacing w:val="-6"/>
                <w:kern w:val="21"/>
                <w:szCs w:val="21"/>
              </w:rPr>
              <w:instrText xml:space="preserve"> = 4 \* GB3 \* MERGEFORMAT </w:instrText>
            </w:r>
            <w:r>
              <w:rPr>
                <w:rFonts w:ascii="Times New Roman" w:eastAsia="黑体"/>
                <w:snapToGrid w:val="0"/>
                <w:spacing w:val="-6"/>
                <w:kern w:val="21"/>
                <w:szCs w:val="21"/>
              </w:rPr>
              <w:fldChar w:fldCharType="separate"/>
            </w:r>
            <w:r>
              <w:rPr>
                <w:rFonts w:ascii="Times New Roman" w:eastAsia="黑体"/>
                <w:kern w:val="2"/>
                <w:szCs w:val="21"/>
              </w:rPr>
              <w:t>④</w:t>
            </w:r>
            <w:r>
              <w:rPr>
                <w:rFonts w:ascii="Times New Roman" w:eastAsia="黑体"/>
                <w:snapToGrid w:val="0"/>
                <w:spacing w:val="-6"/>
                <w:kern w:val="21"/>
                <w:szCs w:val="21"/>
              </w:rPr>
              <w:fldChar w:fldCharType="end"/>
            </w:r>
          </w:p>
        </w:tc>
        <w:tc>
          <w:tcPr>
            <w:tcW w:w="1761" w:type="dxa"/>
            <w:noWrap w:val="0"/>
            <w:tcMar>
              <w:left w:w="28" w:type="dxa"/>
              <w:right w:w="28" w:type="dxa"/>
            </w:tcMar>
            <w:vAlign w:val="center"/>
          </w:tcPr>
          <w:p w14:paraId="542E9F2D">
            <w:pPr>
              <w:pStyle w:val="53"/>
              <w:spacing w:beforeLines="0" w:afterLines="0" w:line="240" w:lineRule="auto"/>
              <w:rPr>
                <w:rFonts w:ascii="Times New Roman" w:eastAsia="黑体"/>
                <w:snapToGrid w:val="0"/>
                <w:spacing w:val="-16"/>
                <w:kern w:val="21"/>
                <w:szCs w:val="21"/>
              </w:rPr>
            </w:pPr>
            <w:r>
              <w:rPr>
                <w:rFonts w:ascii="Times New Roman" w:eastAsia="黑体"/>
                <w:snapToGrid w:val="0"/>
                <w:spacing w:val="-16"/>
                <w:kern w:val="21"/>
                <w:szCs w:val="21"/>
              </w:rPr>
              <w:t>以新带老削减量</w:t>
            </w:r>
          </w:p>
          <w:p w14:paraId="7167FD2D">
            <w:pPr>
              <w:pStyle w:val="53"/>
              <w:spacing w:beforeLines="0" w:afterLines="0" w:line="240" w:lineRule="auto"/>
              <w:rPr>
                <w:rFonts w:ascii="Times New Roman" w:eastAsia="黑体"/>
                <w:snapToGrid w:val="0"/>
                <w:spacing w:val="-16"/>
                <w:kern w:val="21"/>
                <w:szCs w:val="21"/>
              </w:rPr>
            </w:pPr>
            <w:r>
              <w:rPr>
                <w:rFonts w:ascii="Times New Roman" w:eastAsia="黑体"/>
                <w:snapToGrid w:val="0"/>
                <w:spacing w:val="-16"/>
                <w:kern w:val="21"/>
                <w:szCs w:val="21"/>
              </w:rPr>
              <w:t>（新建项目不填）</w:t>
            </w:r>
            <w:r>
              <w:rPr>
                <w:rFonts w:ascii="Times New Roman" w:eastAsia="黑体"/>
                <w:snapToGrid w:val="0"/>
                <w:spacing w:val="-16"/>
                <w:kern w:val="21"/>
                <w:szCs w:val="21"/>
              </w:rPr>
              <w:fldChar w:fldCharType="begin"/>
            </w:r>
            <w:r>
              <w:rPr>
                <w:rFonts w:ascii="Times New Roman" w:eastAsia="黑体"/>
                <w:snapToGrid w:val="0"/>
                <w:spacing w:val="-16"/>
                <w:kern w:val="21"/>
                <w:szCs w:val="21"/>
              </w:rPr>
              <w:instrText xml:space="preserve"> = 5 \* GB3 \* MERGEFORMAT </w:instrText>
            </w:r>
            <w:r>
              <w:rPr>
                <w:rFonts w:ascii="Times New Roman" w:eastAsia="黑体"/>
                <w:snapToGrid w:val="0"/>
                <w:spacing w:val="-16"/>
                <w:kern w:val="21"/>
                <w:szCs w:val="21"/>
              </w:rPr>
              <w:fldChar w:fldCharType="separate"/>
            </w:r>
            <w:r>
              <w:rPr>
                <w:rFonts w:ascii="Times New Roman" w:eastAsia="黑体"/>
                <w:kern w:val="2"/>
                <w:szCs w:val="21"/>
              </w:rPr>
              <w:t>⑤</w:t>
            </w:r>
            <w:r>
              <w:rPr>
                <w:rFonts w:ascii="Times New Roman" w:eastAsia="黑体"/>
                <w:snapToGrid w:val="0"/>
                <w:spacing w:val="-16"/>
                <w:kern w:val="21"/>
                <w:szCs w:val="21"/>
              </w:rPr>
              <w:fldChar w:fldCharType="end"/>
            </w:r>
          </w:p>
        </w:tc>
        <w:tc>
          <w:tcPr>
            <w:tcW w:w="1775" w:type="dxa"/>
            <w:noWrap w:val="0"/>
            <w:tcMar>
              <w:left w:w="28" w:type="dxa"/>
              <w:right w:w="28" w:type="dxa"/>
            </w:tcMar>
            <w:vAlign w:val="center"/>
          </w:tcPr>
          <w:p w14:paraId="47A8FAB7">
            <w:pPr>
              <w:pStyle w:val="53"/>
              <w:spacing w:beforeLines="0" w:afterLines="0" w:line="240" w:lineRule="auto"/>
              <w:rPr>
                <w:rFonts w:ascii="Times New Roman" w:eastAsia="黑体"/>
                <w:snapToGrid w:val="0"/>
                <w:spacing w:val="-16"/>
                <w:kern w:val="21"/>
                <w:szCs w:val="21"/>
              </w:rPr>
            </w:pPr>
            <w:r>
              <w:rPr>
                <w:rFonts w:ascii="Times New Roman" w:eastAsia="黑体"/>
                <w:snapToGrid w:val="0"/>
                <w:spacing w:val="-16"/>
                <w:kern w:val="21"/>
                <w:szCs w:val="21"/>
              </w:rPr>
              <w:t>本项目建成后</w:t>
            </w:r>
          </w:p>
          <w:p w14:paraId="23533851">
            <w:pPr>
              <w:pStyle w:val="53"/>
              <w:spacing w:beforeLines="0" w:afterLines="0" w:line="240" w:lineRule="auto"/>
              <w:rPr>
                <w:rFonts w:ascii="Times New Roman" w:eastAsia="黑体"/>
                <w:snapToGrid w:val="0"/>
                <w:spacing w:val="-16"/>
                <w:kern w:val="21"/>
                <w:szCs w:val="21"/>
              </w:rPr>
            </w:pPr>
            <w:r>
              <w:rPr>
                <w:rFonts w:ascii="Times New Roman" w:eastAsia="黑体"/>
                <w:snapToGrid w:val="0"/>
                <w:spacing w:val="-16"/>
                <w:kern w:val="21"/>
                <w:szCs w:val="21"/>
              </w:rPr>
              <w:t>全厂排放量（固体废物产生量）</w:t>
            </w:r>
            <w:r>
              <w:rPr>
                <w:rFonts w:ascii="Times New Roman" w:eastAsia="黑体"/>
                <w:snapToGrid w:val="0"/>
                <w:spacing w:val="-16"/>
                <w:kern w:val="21"/>
                <w:szCs w:val="21"/>
              </w:rPr>
              <w:fldChar w:fldCharType="begin"/>
            </w:r>
            <w:r>
              <w:rPr>
                <w:rFonts w:ascii="Times New Roman" w:eastAsia="黑体"/>
                <w:snapToGrid w:val="0"/>
                <w:spacing w:val="-16"/>
                <w:kern w:val="21"/>
                <w:szCs w:val="21"/>
              </w:rPr>
              <w:instrText xml:space="preserve"> = 6 \* GB3 \* MERGEFORMAT </w:instrText>
            </w:r>
            <w:r>
              <w:rPr>
                <w:rFonts w:ascii="Times New Roman" w:eastAsia="黑体"/>
                <w:snapToGrid w:val="0"/>
                <w:spacing w:val="-16"/>
                <w:kern w:val="21"/>
                <w:szCs w:val="21"/>
              </w:rPr>
              <w:fldChar w:fldCharType="separate"/>
            </w:r>
            <w:r>
              <w:rPr>
                <w:rFonts w:ascii="Times New Roman" w:eastAsia="黑体"/>
                <w:kern w:val="2"/>
                <w:szCs w:val="21"/>
              </w:rPr>
              <w:t>⑥</w:t>
            </w:r>
            <w:r>
              <w:rPr>
                <w:rFonts w:ascii="Times New Roman" w:eastAsia="黑体"/>
                <w:snapToGrid w:val="0"/>
                <w:spacing w:val="-16"/>
                <w:kern w:val="21"/>
                <w:szCs w:val="21"/>
              </w:rPr>
              <w:fldChar w:fldCharType="end"/>
            </w:r>
          </w:p>
        </w:tc>
        <w:tc>
          <w:tcPr>
            <w:tcW w:w="1258" w:type="dxa"/>
            <w:noWrap w:val="0"/>
            <w:tcMar>
              <w:left w:w="28" w:type="dxa"/>
              <w:right w:w="28" w:type="dxa"/>
            </w:tcMar>
            <w:vAlign w:val="center"/>
          </w:tcPr>
          <w:p w14:paraId="6DB6594C">
            <w:pPr>
              <w:pStyle w:val="53"/>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变化量</w:t>
            </w:r>
          </w:p>
          <w:p w14:paraId="74AB2BF8">
            <w:pPr>
              <w:pStyle w:val="53"/>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fldChar w:fldCharType="begin"/>
            </w:r>
            <w:r>
              <w:rPr>
                <w:rFonts w:ascii="Times New Roman" w:eastAsia="黑体"/>
                <w:snapToGrid w:val="0"/>
                <w:spacing w:val="-6"/>
                <w:kern w:val="21"/>
                <w:szCs w:val="21"/>
              </w:rPr>
              <w:instrText xml:space="preserve"> = 7 \* GB3 \* MERGEFORMAT </w:instrText>
            </w:r>
            <w:r>
              <w:rPr>
                <w:rFonts w:ascii="Times New Roman" w:eastAsia="黑体"/>
                <w:snapToGrid w:val="0"/>
                <w:spacing w:val="-6"/>
                <w:kern w:val="21"/>
                <w:szCs w:val="21"/>
              </w:rPr>
              <w:fldChar w:fldCharType="separate"/>
            </w:r>
            <w:r>
              <w:rPr>
                <w:rFonts w:ascii="Times New Roman" w:eastAsia="黑体"/>
                <w:kern w:val="2"/>
                <w:szCs w:val="21"/>
              </w:rPr>
              <w:t>⑦</w:t>
            </w:r>
            <w:r>
              <w:rPr>
                <w:rFonts w:ascii="Times New Roman" w:eastAsia="黑体"/>
                <w:snapToGrid w:val="0"/>
                <w:spacing w:val="-6"/>
                <w:kern w:val="21"/>
                <w:szCs w:val="21"/>
              </w:rPr>
              <w:fldChar w:fldCharType="end"/>
            </w:r>
          </w:p>
        </w:tc>
      </w:tr>
      <w:tr w14:paraId="2FB86C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noWrap w:val="0"/>
            <w:vAlign w:val="center"/>
          </w:tcPr>
          <w:p w14:paraId="20A7FE39">
            <w:pPr>
              <w:pStyle w:val="53"/>
              <w:spacing w:beforeLines="0" w:afterLines="0" w:line="240" w:lineRule="auto"/>
              <w:rPr>
                <w:rFonts w:ascii="Times New Roman"/>
                <w:snapToGrid w:val="0"/>
                <w:color w:val="auto"/>
                <w:kern w:val="21"/>
                <w:szCs w:val="21"/>
              </w:rPr>
            </w:pPr>
            <w:r>
              <w:rPr>
                <w:rFonts w:ascii="Times New Roman"/>
                <w:snapToGrid w:val="0"/>
                <w:color w:val="auto"/>
                <w:kern w:val="21"/>
                <w:szCs w:val="21"/>
              </w:rPr>
              <w:t>废气</w:t>
            </w:r>
          </w:p>
        </w:tc>
        <w:tc>
          <w:tcPr>
            <w:tcW w:w="1417" w:type="dxa"/>
            <w:noWrap w:val="0"/>
            <w:vAlign w:val="center"/>
          </w:tcPr>
          <w:p w14:paraId="35757A91">
            <w:pPr>
              <w:pStyle w:val="53"/>
              <w:spacing w:beforeLines="0" w:afterLines="0" w:line="240" w:lineRule="auto"/>
              <w:rPr>
                <w:rFonts w:hint="eastAsia" w:ascii="Times New Roman"/>
                <w:snapToGrid w:val="0"/>
                <w:color w:val="auto"/>
                <w:kern w:val="21"/>
                <w:szCs w:val="21"/>
              </w:rPr>
            </w:pPr>
            <w:r>
              <w:rPr>
                <w:rFonts w:hint="eastAsia" w:ascii="Times New Roman"/>
                <w:snapToGrid w:val="0"/>
                <w:color w:val="auto"/>
                <w:kern w:val="21"/>
                <w:szCs w:val="21"/>
              </w:rPr>
              <w:t>/</w:t>
            </w:r>
          </w:p>
        </w:tc>
        <w:tc>
          <w:tcPr>
            <w:tcW w:w="1701" w:type="dxa"/>
            <w:noWrap w:val="0"/>
            <w:vAlign w:val="center"/>
          </w:tcPr>
          <w:p w14:paraId="057D7A36">
            <w:pPr>
              <w:pStyle w:val="53"/>
              <w:spacing w:beforeLines="0" w:afterLines="0" w:line="240" w:lineRule="auto"/>
              <w:rPr>
                <w:rFonts w:ascii="Times New Roman"/>
                <w:snapToGrid w:val="0"/>
                <w:color w:val="auto"/>
                <w:kern w:val="21"/>
                <w:szCs w:val="21"/>
              </w:rPr>
            </w:pPr>
            <w:r>
              <w:rPr>
                <w:rFonts w:hint="eastAsia" w:ascii="Times New Roman"/>
                <w:snapToGrid w:val="0"/>
                <w:color w:val="auto"/>
                <w:kern w:val="21"/>
                <w:szCs w:val="21"/>
              </w:rPr>
              <w:t>/</w:t>
            </w:r>
          </w:p>
        </w:tc>
        <w:tc>
          <w:tcPr>
            <w:tcW w:w="1276" w:type="dxa"/>
            <w:noWrap w:val="0"/>
            <w:vAlign w:val="center"/>
          </w:tcPr>
          <w:p w14:paraId="13C3F636">
            <w:pPr>
              <w:pStyle w:val="53"/>
              <w:spacing w:beforeLines="0" w:afterLines="0" w:line="240" w:lineRule="auto"/>
              <w:rPr>
                <w:rFonts w:ascii="Times New Roman"/>
                <w:snapToGrid w:val="0"/>
                <w:color w:val="auto"/>
                <w:kern w:val="21"/>
                <w:szCs w:val="21"/>
              </w:rPr>
            </w:pPr>
            <w:r>
              <w:rPr>
                <w:rFonts w:hint="eastAsia" w:ascii="Times New Roman"/>
                <w:snapToGrid w:val="0"/>
                <w:color w:val="auto"/>
                <w:kern w:val="21"/>
                <w:szCs w:val="21"/>
              </w:rPr>
              <w:t>/</w:t>
            </w:r>
          </w:p>
        </w:tc>
        <w:tc>
          <w:tcPr>
            <w:tcW w:w="1701" w:type="dxa"/>
            <w:noWrap w:val="0"/>
            <w:vAlign w:val="center"/>
          </w:tcPr>
          <w:p w14:paraId="6D832ACF">
            <w:pPr>
              <w:pStyle w:val="53"/>
              <w:spacing w:beforeLines="0" w:afterLines="0" w:line="240" w:lineRule="auto"/>
              <w:rPr>
                <w:rFonts w:ascii="Times New Roman"/>
                <w:snapToGrid w:val="0"/>
                <w:color w:val="auto"/>
                <w:kern w:val="21"/>
                <w:szCs w:val="21"/>
              </w:rPr>
            </w:pPr>
            <w:r>
              <w:rPr>
                <w:rFonts w:hint="eastAsia" w:ascii="Times New Roman"/>
                <w:snapToGrid w:val="0"/>
                <w:color w:val="auto"/>
                <w:kern w:val="21"/>
                <w:szCs w:val="21"/>
              </w:rPr>
              <w:t>/</w:t>
            </w:r>
          </w:p>
        </w:tc>
        <w:tc>
          <w:tcPr>
            <w:tcW w:w="1559" w:type="dxa"/>
            <w:noWrap w:val="0"/>
            <w:vAlign w:val="center"/>
          </w:tcPr>
          <w:p w14:paraId="17B8351C">
            <w:pPr>
              <w:pStyle w:val="53"/>
              <w:spacing w:beforeLines="0" w:afterLines="0" w:line="240" w:lineRule="auto"/>
              <w:rPr>
                <w:rFonts w:ascii="Times New Roman"/>
                <w:snapToGrid w:val="0"/>
                <w:color w:val="auto"/>
                <w:kern w:val="21"/>
                <w:szCs w:val="21"/>
              </w:rPr>
            </w:pPr>
            <w:r>
              <w:rPr>
                <w:rFonts w:hint="eastAsia" w:ascii="Times New Roman"/>
                <w:snapToGrid w:val="0"/>
                <w:color w:val="auto"/>
                <w:kern w:val="21"/>
                <w:szCs w:val="21"/>
              </w:rPr>
              <w:t>/</w:t>
            </w:r>
          </w:p>
        </w:tc>
        <w:tc>
          <w:tcPr>
            <w:tcW w:w="1761" w:type="dxa"/>
            <w:noWrap w:val="0"/>
            <w:vAlign w:val="center"/>
          </w:tcPr>
          <w:p w14:paraId="4BAE301D">
            <w:pPr>
              <w:pStyle w:val="53"/>
              <w:spacing w:beforeLines="0" w:afterLines="0" w:line="240" w:lineRule="auto"/>
              <w:rPr>
                <w:rFonts w:ascii="Times New Roman"/>
                <w:snapToGrid w:val="0"/>
                <w:color w:val="auto"/>
                <w:kern w:val="21"/>
                <w:szCs w:val="21"/>
              </w:rPr>
            </w:pPr>
            <w:r>
              <w:rPr>
                <w:rFonts w:hint="eastAsia" w:ascii="Times New Roman"/>
                <w:snapToGrid w:val="0"/>
                <w:color w:val="auto"/>
                <w:kern w:val="21"/>
                <w:szCs w:val="21"/>
              </w:rPr>
              <w:t>/</w:t>
            </w:r>
          </w:p>
        </w:tc>
        <w:tc>
          <w:tcPr>
            <w:tcW w:w="1775" w:type="dxa"/>
            <w:noWrap w:val="0"/>
            <w:vAlign w:val="center"/>
          </w:tcPr>
          <w:p w14:paraId="32DD1C9D">
            <w:pPr>
              <w:pStyle w:val="53"/>
              <w:spacing w:beforeLines="0" w:afterLines="0" w:line="240" w:lineRule="auto"/>
              <w:rPr>
                <w:rFonts w:ascii="Times New Roman"/>
                <w:snapToGrid w:val="0"/>
                <w:color w:val="auto"/>
                <w:kern w:val="21"/>
                <w:szCs w:val="21"/>
              </w:rPr>
            </w:pPr>
            <w:r>
              <w:rPr>
                <w:rFonts w:hint="eastAsia" w:ascii="Times New Roman"/>
                <w:snapToGrid w:val="0"/>
                <w:color w:val="auto"/>
                <w:kern w:val="21"/>
                <w:szCs w:val="21"/>
              </w:rPr>
              <w:t>/</w:t>
            </w:r>
          </w:p>
        </w:tc>
        <w:tc>
          <w:tcPr>
            <w:tcW w:w="1258" w:type="dxa"/>
            <w:noWrap w:val="0"/>
            <w:vAlign w:val="center"/>
          </w:tcPr>
          <w:p w14:paraId="218F2539">
            <w:pPr>
              <w:pStyle w:val="53"/>
              <w:spacing w:beforeLines="0" w:afterLines="0" w:line="240" w:lineRule="auto"/>
              <w:rPr>
                <w:rFonts w:ascii="Times New Roman"/>
                <w:snapToGrid w:val="0"/>
                <w:color w:val="auto"/>
                <w:kern w:val="21"/>
                <w:szCs w:val="21"/>
              </w:rPr>
            </w:pPr>
            <w:r>
              <w:rPr>
                <w:rFonts w:hint="eastAsia" w:ascii="Times New Roman"/>
                <w:snapToGrid w:val="0"/>
                <w:color w:val="auto"/>
                <w:kern w:val="21"/>
                <w:szCs w:val="21"/>
              </w:rPr>
              <w:t>/</w:t>
            </w:r>
          </w:p>
        </w:tc>
      </w:tr>
      <w:tr w14:paraId="7EBB80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588" w:type="dxa"/>
            <w:vMerge w:val="restart"/>
            <w:noWrap w:val="0"/>
            <w:vAlign w:val="center"/>
          </w:tcPr>
          <w:p w14:paraId="35E32DA4">
            <w:pPr>
              <w:pStyle w:val="53"/>
              <w:spacing w:beforeLines="0" w:afterLines="0" w:line="240" w:lineRule="auto"/>
              <w:rPr>
                <w:rFonts w:ascii="Times New Roman"/>
                <w:snapToGrid w:val="0"/>
                <w:color w:val="auto"/>
                <w:kern w:val="21"/>
                <w:szCs w:val="21"/>
              </w:rPr>
            </w:pPr>
            <w:r>
              <w:rPr>
                <w:rFonts w:ascii="Times New Roman"/>
                <w:snapToGrid w:val="0"/>
                <w:color w:val="auto"/>
                <w:kern w:val="21"/>
                <w:szCs w:val="21"/>
              </w:rPr>
              <w:t>废水</w:t>
            </w:r>
          </w:p>
        </w:tc>
        <w:tc>
          <w:tcPr>
            <w:tcW w:w="1417" w:type="dxa"/>
            <w:noWrap w:val="0"/>
            <w:vAlign w:val="center"/>
          </w:tcPr>
          <w:p w14:paraId="1DE4EE2B">
            <w:pPr>
              <w:pStyle w:val="67"/>
              <w:rPr>
                <w:rFonts w:hint="eastAsia" w:eastAsia="宋体"/>
                <w:color w:val="auto"/>
                <w:lang w:val="en-US" w:eastAsia="zh-CN"/>
              </w:rPr>
            </w:pPr>
            <w:r>
              <w:rPr>
                <w:rFonts w:hint="eastAsia"/>
                <w:color w:val="auto"/>
                <w:lang w:val="en-US" w:eastAsia="zh-CN"/>
              </w:rPr>
              <w:t>废水量</w:t>
            </w:r>
          </w:p>
        </w:tc>
        <w:tc>
          <w:tcPr>
            <w:tcW w:w="1701" w:type="dxa"/>
            <w:noWrap w:val="0"/>
            <w:vAlign w:val="center"/>
          </w:tcPr>
          <w:p w14:paraId="312BE87E">
            <w:pPr>
              <w:pStyle w:val="53"/>
              <w:spacing w:beforeLines="0" w:afterLines="0" w:line="240" w:lineRule="auto"/>
              <w:rPr>
                <w:rFonts w:hint="eastAsia" w:ascii="Times New Roman" w:eastAsia="宋体"/>
                <w:snapToGrid w:val="0"/>
                <w:color w:val="auto"/>
                <w:kern w:val="21"/>
                <w:szCs w:val="21"/>
                <w:lang w:val="en-US" w:eastAsia="zh-CN"/>
              </w:rPr>
            </w:pPr>
            <w:r>
              <w:rPr>
                <w:rFonts w:hint="eastAsia" w:ascii="Times New Roman"/>
                <w:snapToGrid w:val="0"/>
                <w:color w:val="auto"/>
                <w:kern w:val="21"/>
                <w:szCs w:val="21"/>
                <w:lang w:val="en-US" w:eastAsia="zh-CN"/>
              </w:rPr>
              <w:t>/</w:t>
            </w:r>
          </w:p>
        </w:tc>
        <w:tc>
          <w:tcPr>
            <w:tcW w:w="1276" w:type="dxa"/>
            <w:noWrap w:val="0"/>
            <w:vAlign w:val="center"/>
          </w:tcPr>
          <w:p w14:paraId="0F45D23B">
            <w:pPr>
              <w:pStyle w:val="53"/>
              <w:spacing w:beforeLines="0" w:afterLines="0" w:line="240" w:lineRule="auto"/>
              <w:rPr>
                <w:rFonts w:hint="eastAsia" w:ascii="Times New Roman" w:eastAsia="宋体"/>
                <w:snapToGrid w:val="0"/>
                <w:color w:val="auto"/>
                <w:kern w:val="21"/>
                <w:szCs w:val="21"/>
                <w:lang w:val="en-US" w:eastAsia="zh-CN"/>
              </w:rPr>
            </w:pPr>
            <w:r>
              <w:rPr>
                <w:rFonts w:hint="eastAsia" w:ascii="Times New Roman"/>
                <w:snapToGrid w:val="0"/>
                <w:color w:val="auto"/>
                <w:kern w:val="21"/>
                <w:szCs w:val="21"/>
                <w:lang w:val="en-US" w:eastAsia="zh-CN"/>
              </w:rPr>
              <w:t>/</w:t>
            </w:r>
          </w:p>
        </w:tc>
        <w:tc>
          <w:tcPr>
            <w:tcW w:w="1701" w:type="dxa"/>
            <w:noWrap w:val="0"/>
            <w:vAlign w:val="center"/>
          </w:tcPr>
          <w:p w14:paraId="134CE042">
            <w:pPr>
              <w:pStyle w:val="53"/>
              <w:spacing w:beforeLines="0" w:afterLines="0" w:line="240" w:lineRule="auto"/>
              <w:rPr>
                <w:rFonts w:hint="default" w:ascii="Times New Roman" w:eastAsia="宋体"/>
                <w:snapToGrid w:val="0"/>
                <w:color w:val="auto"/>
                <w:kern w:val="21"/>
                <w:szCs w:val="21"/>
                <w:lang w:val="en-US" w:eastAsia="zh-CN"/>
              </w:rPr>
            </w:pPr>
            <w:r>
              <w:rPr>
                <w:rFonts w:hint="eastAsia" w:ascii="Times New Roman"/>
                <w:snapToGrid w:val="0"/>
                <w:color w:val="auto"/>
                <w:kern w:val="21"/>
                <w:szCs w:val="21"/>
                <w:lang w:val="en-US" w:eastAsia="zh-CN"/>
              </w:rPr>
              <w:t>290.7</w:t>
            </w:r>
          </w:p>
        </w:tc>
        <w:tc>
          <w:tcPr>
            <w:tcW w:w="1559" w:type="dxa"/>
            <w:noWrap w:val="0"/>
            <w:vAlign w:val="center"/>
          </w:tcPr>
          <w:p w14:paraId="48579AB4">
            <w:pPr>
              <w:widowControl/>
              <w:jc w:val="center"/>
              <w:textAlignment w:val="center"/>
              <w:rPr>
                <w:rFonts w:hint="eastAsia" w:eastAsia="宋体"/>
                <w:snapToGrid w:val="0"/>
                <w:color w:val="auto"/>
                <w:kern w:val="21"/>
                <w:szCs w:val="21"/>
                <w:lang w:val="en-US" w:eastAsia="zh-CN"/>
              </w:rPr>
            </w:pPr>
            <w:r>
              <w:rPr>
                <w:rFonts w:hint="eastAsia"/>
                <w:snapToGrid w:val="0"/>
                <w:color w:val="auto"/>
                <w:kern w:val="21"/>
                <w:szCs w:val="21"/>
                <w:lang w:val="en-US" w:eastAsia="zh-CN"/>
              </w:rPr>
              <w:t>/</w:t>
            </w:r>
          </w:p>
        </w:tc>
        <w:tc>
          <w:tcPr>
            <w:tcW w:w="1761" w:type="dxa"/>
            <w:noWrap w:val="0"/>
            <w:vAlign w:val="center"/>
          </w:tcPr>
          <w:p w14:paraId="493987B2">
            <w:pPr>
              <w:pStyle w:val="53"/>
              <w:spacing w:beforeLines="0" w:afterLines="0" w:line="240" w:lineRule="auto"/>
              <w:rPr>
                <w:rFonts w:hint="eastAsia" w:ascii="Times New Roman" w:eastAsia="宋体"/>
                <w:snapToGrid w:val="0"/>
                <w:color w:val="auto"/>
                <w:kern w:val="21"/>
                <w:szCs w:val="21"/>
                <w:lang w:val="en-US" w:eastAsia="zh-CN"/>
              </w:rPr>
            </w:pPr>
            <w:r>
              <w:rPr>
                <w:rFonts w:hint="eastAsia" w:ascii="Times New Roman"/>
                <w:snapToGrid w:val="0"/>
                <w:color w:val="auto"/>
                <w:kern w:val="21"/>
                <w:szCs w:val="21"/>
                <w:lang w:val="en-US" w:eastAsia="zh-CN"/>
              </w:rPr>
              <w:t>/</w:t>
            </w:r>
          </w:p>
        </w:tc>
        <w:tc>
          <w:tcPr>
            <w:tcW w:w="1775" w:type="dxa"/>
            <w:noWrap w:val="0"/>
            <w:vAlign w:val="center"/>
          </w:tcPr>
          <w:p w14:paraId="78174274">
            <w:pPr>
              <w:widowControl/>
              <w:jc w:val="center"/>
              <w:textAlignment w:val="center"/>
              <w:rPr>
                <w:rFonts w:hint="default" w:eastAsia="宋体"/>
                <w:snapToGrid w:val="0"/>
                <w:color w:val="auto"/>
                <w:kern w:val="21"/>
                <w:szCs w:val="21"/>
                <w:lang w:val="en-US" w:eastAsia="zh-CN"/>
              </w:rPr>
            </w:pPr>
            <w:r>
              <w:rPr>
                <w:rFonts w:hint="eastAsia"/>
                <w:snapToGrid w:val="0"/>
                <w:color w:val="auto"/>
                <w:kern w:val="21"/>
                <w:szCs w:val="21"/>
                <w:lang w:val="en-US" w:eastAsia="zh-CN"/>
              </w:rPr>
              <w:t>290.7</w:t>
            </w:r>
          </w:p>
        </w:tc>
        <w:tc>
          <w:tcPr>
            <w:tcW w:w="1258" w:type="dxa"/>
            <w:noWrap w:val="0"/>
            <w:vAlign w:val="center"/>
          </w:tcPr>
          <w:p w14:paraId="1BE9F568">
            <w:pPr>
              <w:widowControl/>
              <w:jc w:val="center"/>
              <w:textAlignment w:val="center"/>
              <w:rPr>
                <w:rFonts w:hint="default" w:eastAsia="宋体"/>
                <w:snapToGrid w:val="0"/>
                <w:color w:val="auto"/>
                <w:kern w:val="21"/>
                <w:szCs w:val="21"/>
                <w:lang w:val="en-US" w:eastAsia="zh-CN"/>
              </w:rPr>
            </w:pPr>
            <w:r>
              <w:rPr>
                <w:rFonts w:hint="eastAsia"/>
                <w:snapToGrid w:val="0"/>
                <w:color w:val="auto"/>
                <w:kern w:val="21"/>
                <w:szCs w:val="21"/>
                <w:lang w:val="en-US" w:eastAsia="zh-CN"/>
              </w:rPr>
              <w:t>+290.7</w:t>
            </w:r>
          </w:p>
        </w:tc>
      </w:tr>
      <w:tr w14:paraId="2884D1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588" w:type="dxa"/>
            <w:vMerge w:val="continue"/>
            <w:noWrap w:val="0"/>
            <w:vAlign w:val="center"/>
          </w:tcPr>
          <w:p w14:paraId="76ADA172">
            <w:pPr>
              <w:pStyle w:val="53"/>
              <w:spacing w:beforeLines="0" w:afterLines="0" w:line="240" w:lineRule="auto"/>
              <w:rPr>
                <w:rFonts w:ascii="Times New Roman"/>
                <w:snapToGrid w:val="0"/>
                <w:color w:val="auto"/>
                <w:kern w:val="21"/>
                <w:szCs w:val="21"/>
              </w:rPr>
            </w:pPr>
          </w:p>
        </w:tc>
        <w:tc>
          <w:tcPr>
            <w:tcW w:w="1417" w:type="dxa"/>
            <w:noWrap w:val="0"/>
            <w:vAlign w:val="center"/>
          </w:tcPr>
          <w:p w14:paraId="5FCD2D49">
            <w:pPr>
              <w:pStyle w:val="67"/>
              <w:rPr>
                <w:snapToGrid w:val="0"/>
                <w:color w:val="auto"/>
                <w:kern w:val="21"/>
                <w:szCs w:val="21"/>
              </w:rPr>
            </w:pPr>
            <w:r>
              <w:rPr>
                <w:color w:val="auto"/>
              </w:rPr>
              <w:t>COD</w:t>
            </w:r>
            <w:r>
              <w:rPr>
                <w:color w:val="auto"/>
                <w:vertAlign w:val="subscript"/>
              </w:rPr>
              <w:t>Cr</w:t>
            </w:r>
          </w:p>
        </w:tc>
        <w:tc>
          <w:tcPr>
            <w:tcW w:w="1701" w:type="dxa"/>
            <w:noWrap w:val="0"/>
            <w:vAlign w:val="center"/>
          </w:tcPr>
          <w:p w14:paraId="664657B6">
            <w:pPr>
              <w:pStyle w:val="53"/>
              <w:spacing w:beforeLines="0" w:afterLines="0" w:line="240" w:lineRule="auto"/>
              <w:rPr>
                <w:rFonts w:ascii="Times New Roman"/>
                <w:snapToGrid w:val="0"/>
                <w:color w:val="auto"/>
                <w:kern w:val="21"/>
                <w:szCs w:val="21"/>
              </w:rPr>
            </w:pPr>
            <w:r>
              <w:rPr>
                <w:rFonts w:hint="eastAsia" w:ascii="Times New Roman"/>
                <w:snapToGrid w:val="0"/>
                <w:color w:val="auto"/>
                <w:kern w:val="21"/>
                <w:szCs w:val="21"/>
              </w:rPr>
              <w:t>/</w:t>
            </w:r>
          </w:p>
        </w:tc>
        <w:tc>
          <w:tcPr>
            <w:tcW w:w="1276" w:type="dxa"/>
            <w:noWrap w:val="0"/>
            <w:vAlign w:val="center"/>
          </w:tcPr>
          <w:p w14:paraId="7A0B3EE9">
            <w:pPr>
              <w:pStyle w:val="53"/>
              <w:spacing w:beforeLines="0" w:afterLines="0" w:line="240" w:lineRule="auto"/>
              <w:rPr>
                <w:rFonts w:ascii="Times New Roman"/>
                <w:snapToGrid w:val="0"/>
                <w:color w:val="auto"/>
                <w:kern w:val="21"/>
                <w:szCs w:val="21"/>
              </w:rPr>
            </w:pPr>
            <w:r>
              <w:rPr>
                <w:rFonts w:hint="eastAsia" w:ascii="Times New Roman"/>
                <w:snapToGrid w:val="0"/>
                <w:color w:val="auto"/>
                <w:kern w:val="21"/>
                <w:szCs w:val="21"/>
              </w:rPr>
              <w:t>/</w:t>
            </w:r>
          </w:p>
        </w:tc>
        <w:tc>
          <w:tcPr>
            <w:tcW w:w="1701" w:type="dxa"/>
            <w:noWrap w:val="0"/>
            <w:vAlign w:val="center"/>
          </w:tcPr>
          <w:p w14:paraId="0F379E66">
            <w:pPr>
              <w:pStyle w:val="53"/>
              <w:spacing w:beforeLines="0" w:afterLines="0" w:line="240" w:lineRule="auto"/>
              <w:rPr>
                <w:rFonts w:ascii="Times New Roman"/>
                <w:snapToGrid w:val="0"/>
                <w:color w:val="auto"/>
                <w:kern w:val="21"/>
                <w:szCs w:val="21"/>
              </w:rPr>
            </w:pPr>
            <w:r>
              <w:rPr>
                <w:rFonts w:hint="eastAsia" w:ascii="Times New Roman"/>
                <w:snapToGrid w:val="0"/>
                <w:color w:val="auto"/>
                <w:kern w:val="21"/>
                <w:szCs w:val="21"/>
              </w:rPr>
              <w:t>/</w:t>
            </w:r>
          </w:p>
        </w:tc>
        <w:tc>
          <w:tcPr>
            <w:tcW w:w="1559" w:type="dxa"/>
            <w:noWrap w:val="0"/>
            <w:vAlign w:val="center"/>
          </w:tcPr>
          <w:p w14:paraId="75A02E00">
            <w:pPr>
              <w:widowControl/>
              <w:jc w:val="center"/>
              <w:textAlignment w:val="center"/>
              <w:rPr>
                <w:rFonts w:hint="default" w:eastAsia="宋体"/>
                <w:snapToGrid w:val="0"/>
                <w:color w:val="auto"/>
                <w:kern w:val="21"/>
                <w:szCs w:val="21"/>
                <w:lang w:val="en-US" w:eastAsia="zh-CN"/>
              </w:rPr>
            </w:pPr>
            <w:r>
              <w:rPr>
                <w:rFonts w:hint="eastAsia"/>
                <w:snapToGrid w:val="0"/>
                <w:color w:val="auto"/>
                <w:kern w:val="21"/>
                <w:szCs w:val="21"/>
              </w:rPr>
              <w:t>0.</w:t>
            </w:r>
            <w:r>
              <w:rPr>
                <w:rFonts w:hint="eastAsia"/>
                <w:snapToGrid w:val="0"/>
                <w:color w:val="auto"/>
                <w:kern w:val="21"/>
                <w:szCs w:val="21"/>
                <w:lang w:val="en-US" w:eastAsia="zh-CN"/>
              </w:rPr>
              <w:t>0145</w:t>
            </w:r>
          </w:p>
        </w:tc>
        <w:tc>
          <w:tcPr>
            <w:tcW w:w="1761" w:type="dxa"/>
            <w:noWrap w:val="0"/>
            <w:vAlign w:val="center"/>
          </w:tcPr>
          <w:p w14:paraId="3327EC41">
            <w:pPr>
              <w:pStyle w:val="53"/>
              <w:spacing w:beforeLines="0" w:afterLines="0" w:line="240" w:lineRule="auto"/>
              <w:rPr>
                <w:rFonts w:hint="eastAsia" w:ascii="Times New Roman"/>
                <w:snapToGrid w:val="0"/>
                <w:color w:val="auto"/>
                <w:kern w:val="21"/>
                <w:szCs w:val="21"/>
              </w:rPr>
            </w:pPr>
            <w:r>
              <w:rPr>
                <w:rFonts w:hint="eastAsia" w:ascii="Times New Roman"/>
                <w:snapToGrid w:val="0"/>
                <w:color w:val="auto"/>
                <w:kern w:val="21"/>
                <w:szCs w:val="21"/>
              </w:rPr>
              <w:t>/</w:t>
            </w:r>
          </w:p>
        </w:tc>
        <w:tc>
          <w:tcPr>
            <w:tcW w:w="1775" w:type="dxa"/>
            <w:noWrap w:val="0"/>
            <w:vAlign w:val="center"/>
          </w:tcPr>
          <w:p w14:paraId="32F96BC2">
            <w:pPr>
              <w:widowControl/>
              <w:jc w:val="center"/>
              <w:textAlignment w:val="center"/>
              <w:rPr>
                <w:rFonts w:hint="eastAsia"/>
                <w:snapToGrid w:val="0"/>
                <w:color w:val="auto"/>
                <w:kern w:val="21"/>
                <w:szCs w:val="21"/>
              </w:rPr>
            </w:pPr>
            <w:r>
              <w:rPr>
                <w:rFonts w:hint="eastAsia"/>
                <w:snapToGrid w:val="0"/>
                <w:color w:val="auto"/>
                <w:kern w:val="21"/>
                <w:szCs w:val="21"/>
              </w:rPr>
              <w:t>0.</w:t>
            </w:r>
            <w:r>
              <w:rPr>
                <w:rFonts w:hint="eastAsia"/>
                <w:snapToGrid w:val="0"/>
                <w:color w:val="auto"/>
                <w:kern w:val="21"/>
                <w:szCs w:val="21"/>
                <w:lang w:val="en-US" w:eastAsia="zh-CN"/>
              </w:rPr>
              <w:t>0145</w:t>
            </w:r>
          </w:p>
        </w:tc>
        <w:tc>
          <w:tcPr>
            <w:tcW w:w="1258" w:type="dxa"/>
            <w:noWrap w:val="0"/>
            <w:vAlign w:val="center"/>
          </w:tcPr>
          <w:p w14:paraId="74CA2F46">
            <w:pPr>
              <w:widowControl/>
              <w:jc w:val="center"/>
              <w:textAlignment w:val="center"/>
              <w:rPr>
                <w:rFonts w:hint="eastAsia"/>
                <w:snapToGrid w:val="0"/>
                <w:color w:val="auto"/>
                <w:kern w:val="21"/>
                <w:szCs w:val="21"/>
              </w:rPr>
            </w:pPr>
            <w:r>
              <w:rPr>
                <w:rFonts w:hint="eastAsia"/>
                <w:snapToGrid w:val="0"/>
                <w:color w:val="auto"/>
                <w:kern w:val="21"/>
                <w:szCs w:val="21"/>
                <w:lang w:val="en-US" w:eastAsia="zh-CN"/>
              </w:rPr>
              <w:t>+</w:t>
            </w:r>
            <w:r>
              <w:rPr>
                <w:rFonts w:hint="eastAsia"/>
                <w:snapToGrid w:val="0"/>
                <w:color w:val="auto"/>
                <w:kern w:val="21"/>
                <w:szCs w:val="21"/>
              </w:rPr>
              <w:t>0.</w:t>
            </w:r>
            <w:r>
              <w:rPr>
                <w:rFonts w:hint="eastAsia"/>
                <w:snapToGrid w:val="0"/>
                <w:color w:val="auto"/>
                <w:kern w:val="21"/>
                <w:szCs w:val="21"/>
                <w:lang w:val="en-US" w:eastAsia="zh-CN"/>
              </w:rPr>
              <w:t>0145</w:t>
            </w:r>
          </w:p>
        </w:tc>
      </w:tr>
      <w:tr w14:paraId="12B120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4" w:hRule="atLeast"/>
        </w:trPr>
        <w:tc>
          <w:tcPr>
            <w:tcW w:w="1588" w:type="dxa"/>
            <w:vMerge w:val="continue"/>
            <w:noWrap w:val="0"/>
            <w:vAlign w:val="center"/>
          </w:tcPr>
          <w:p w14:paraId="50C7B693">
            <w:pPr>
              <w:pStyle w:val="53"/>
              <w:spacing w:beforeLines="0" w:afterLines="0" w:line="240" w:lineRule="auto"/>
              <w:rPr>
                <w:rFonts w:ascii="Times New Roman"/>
                <w:snapToGrid w:val="0"/>
                <w:color w:val="auto"/>
                <w:kern w:val="21"/>
                <w:szCs w:val="21"/>
              </w:rPr>
            </w:pPr>
          </w:p>
        </w:tc>
        <w:tc>
          <w:tcPr>
            <w:tcW w:w="1417" w:type="dxa"/>
            <w:noWrap w:val="0"/>
            <w:vAlign w:val="center"/>
          </w:tcPr>
          <w:p w14:paraId="319EE24A">
            <w:pPr>
              <w:pStyle w:val="67"/>
              <w:rPr>
                <w:snapToGrid w:val="0"/>
                <w:color w:val="auto"/>
                <w:kern w:val="21"/>
                <w:szCs w:val="21"/>
              </w:rPr>
            </w:pPr>
            <w:r>
              <w:rPr>
                <w:color w:val="auto"/>
              </w:rPr>
              <w:t>氨氮</w:t>
            </w:r>
          </w:p>
        </w:tc>
        <w:tc>
          <w:tcPr>
            <w:tcW w:w="1701" w:type="dxa"/>
            <w:noWrap w:val="0"/>
            <w:vAlign w:val="center"/>
          </w:tcPr>
          <w:p w14:paraId="49E62678">
            <w:pPr>
              <w:pStyle w:val="53"/>
              <w:spacing w:beforeLines="0" w:afterLines="0" w:line="240" w:lineRule="auto"/>
              <w:rPr>
                <w:rFonts w:ascii="Times New Roman"/>
                <w:snapToGrid w:val="0"/>
                <w:color w:val="auto"/>
                <w:kern w:val="21"/>
                <w:szCs w:val="21"/>
              </w:rPr>
            </w:pPr>
            <w:r>
              <w:rPr>
                <w:rFonts w:hint="eastAsia" w:ascii="Times New Roman"/>
                <w:snapToGrid w:val="0"/>
                <w:color w:val="auto"/>
                <w:kern w:val="21"/>
                <w:szCs w:val="21"/>
              </w:rPr>
              <w:t>/</w:t>
            </w:r>
          </w:p>
        </w:tc>
        <w:tc>
          <w:tcPr>
            <w:tcW w:w="1276" w:type="dxa"/>
            <w:noWrap w:val="0"/>
            <w:vAlign w:val="center"/>
          </w:tcPr>
          <w:p w14:paraId="7EA3A857">
            <w:pPr>
              <w:pStyle w:val="53"/>
              <w:spacing w:beforeLines="0" w:afterLines="0" w:line="240" w:lineRule="auto"/>
              <w:rPr>
                <w:rFonts w:ascii="Times New Roman"/>
                <w:snapToGrid w:val="0"/>
                <w:color w:val="auto"/>
                <w:kern w:val="21"/>
                <w:szCs w:val="21"/>
              </w:rPr>
            </w:pPr>
            <w:r>
              <w:rPr>
                <w:rFonts w:hint="eastAsia" w:ascii="Times New Roman"/>
                <w:snapToGrid w:val="0"/>
                <w:color w:val="auto"/>
                <w:kern w:val="21"/>
                <w:szCs w:val="21"/>
              </w:rPr>
              <w:t>/</w:t>
            </w:r>
          </w:p>
        </w:tc>
        <w:tc>
          <w:tcPr>
            <w:tcW w:w="1701" w:type="dxa"/>
            <w:noWrap w:val="0"/>
            <w:vAlign w:val="center"/>
          </w:tcPr>
          <w:p w14:paraId="0EF4B90F">
            <w:pPr>
              <w:pStyle w:val="53"/>
              <w:spacing w:beforeLines="0" w:afterLines="0" w:line="240" w:lineRule="auto"/>
              <w:rPr>
                <w:rFonts w:ascii="Times New Roman"/>
                <w:snapToGrid w:val="0"/>
                <w:color w:val="auto"/>
                <w:kern w:val="21"/>
                <w:szCs w:val="21"/>
              </w:rPr>
            </w:pPr>
            <w:r>
              <w:rPr>
                <w:rFonts w:hint="eastAsia" w:ascii="Times New Roman"/>
                <w:snapToGrid w:val="0"/>
                <w:color w:val="auto"/>
                <w:kern w:val="21"/>
                <w:szCs w:val="21"/>
              </w:rPr>
              <w:t>/</w:t>
            </w:r>
          </w:p>
        </w:tc>
        <w:tc>
          <w:tcPr>
            <w:tcW w:w="1559" w:type="dxa"/>
            <w:noWrap w:val="0"/>
            <w:vAlign w:val="center"/>
          </w:tcPr>
          <w:p w14:paraId="484D26E1">
            <w:pPr>
              <w:widowControl/>
              <w:jc w:val="center"/>
              <w:textAlignment w:val="center"/>
              <w:rPr>
                <w:rFonts w:hint="default" w:eastAsia="宋体"/>
                <w:snapToGrid w:val="0"/>
                <w:color w:val="auto"/>
                <w:kern w:val="21"/>
                <w:szCs w:val="21"/>
                <w:lang w:val="en-US" w:eastAsia="zh-CN"/>
              </w:rPr>
            </w:pPr>
            <w:r>
              <w:rPr>
                <w:rFonts w:hint="eastAsia"/>
                <w:snapToGrid w:val="0"/>
                <w:color w:val="auto"/>
                <w:kern w:val="21"/>
                <w:szCs w:val="21"/>
              </w:rPr>
              <w:t>0.</w:t>
            </w:r>
            <w:r>
              <w:rPr>
                <w:rFonts w:hint="eastAsia"/>
                <w:snapToGrid w:val="0"/>
                <w:color w:val="auto"/>
                <w:kern w:val="21"/>
                <w:szCs w:val="21"/>
                <w:lang w:val="en-US" w:eastAsia="zh-CN"/>
              </w:rPr>
              <w:t>0015</w:t>
            </w:r>
          </w:p>
        </w:tc>
        <w:tc>
          <w:tcPr>
            <w:tcW w:w="1761" w:type="dxa"/>
            <w:noWrap w:val="0"/>
            <w:vAlign w:val="center"/>
          </w:tcPr>
          <w:p w14:paraId="5BAE73BF">
            <w:pPr>
              <w:pStyle w:val="53"/>
              <w:spacing w:beforeLines="0" w:afterLines="0" w:line="240" w:lineRule="auto"/>
              <w:rPr>
                <w:rFonts w:hint="eastAsia" w:ascii="Times New Roman"/>
                <w:snapToGrid w:val="0"/>
                <w:color w:val="auto"/>
                <w:kern w:val="21"/>
                <w:szCs w:val="21"/>
              </w:rPr>
            </w:pPr>
            <w:r>
              <w:rPr>
                <w:rFonts w:hint="eastAsia" w:ascii="Times New Roman"/>
                <w:snapToGrid w:val="0"/>
                <w:color w:val="auto"/>
                <w:kern w:val="21"/>
                <w:szCs w:val="21"/>
              </w:rPr>
              <w:t>/</w:t>
            </w:r>
          </w:p>
        </w:tc>
        <w:tc>
          <w:tcPr>
            <w:tcW w:w="1775" w:type="dxa"/>
            <w:noWrap w:val="0"/>
            <w:vAlign w:val="center"/>
          </w:tcPr>
          <w:p w14:paraId="5A38051B">
            <w:pPr>
              <w:widowControl/>
              <w:jc w:val="center"/>
              <w:textAlignment w:val="center"/>
              <w:rPr>
                <w:rFonts w:hint="eastAsia"/>
                <w:snapToGrid w:val="0"/>
                <w:color w:val="auto"/>
                <w:kern w:val="21"/>
                <w:szCs w:val="21"/>
              </w:rPr>
            </w:pPr>
            <w:r>
              <w:rPr>
                <w:rFonts w:hint="eastAsia"/>
                <w:snapToGrid w:val="0"/>
                <w:color w:val="auto"/>
                <w:kern w:val="21"/>
                <w:szCs w:val="21"/>
              </w:rPr>
              <w:t>0.</w:t>
            </w:r>
            <w:r>
              <w:rPr>
                <w:rFonts w:hint="eastAsia"/>
                <w:snapToGrid w:val="0"/>
                <w:color w:val="auto"/>
                <w:kern w:val="21"/>
                <w:szCs w:val="21"/>
                <w:lang w:val="en-US" w:eastAsia="zh-CN"/>
              </w:rPr>
              <w:t>0015</w:t>
            </w:r>
          </w:p>
        </w:tc>
        <w:tc>
          <w:tcPr>
            <w:tcW w:w="1258" w:type="dxa"/>
            <w:noWrap w:val="0"/>
            <w:vAlign w:val="center"/>
          </w:tcPr>
          <w:p w14:paraId="67EF2ED1">
            <w:pPr>
              <w:widowControl/>
              <w:jc w:val="center"/>
              <w:textAlignment w:val="center"/>
              <w:rPr>
                <w:rFonts w:hint="eastAsia"/>
                <w:snapToGrid w:val="0"/>
                <w:color w:val="auto"/>
                <w:kern w:val="21"/>
                <w:szCs w:val="21"/>
              </w:rPr>
            </w:pPr>
            <w:r>
              <w:rPr>
                <w:rFonts w:hint="eastAsia"/>
                <w:snapToGrid w:val="0"/>
                <w:color w:val="auto"/>
                <w:kern w:val="21"/>
                <w:szCs w:val="21"/>
                <w:lang w:val="en-US" w:eastAsia="zh-CN"/>
              </w:rPr>
              <w:t>+</w:t>
            </w:r>
            <w:r>
              <w:rPr>
                <w:rFonts w:hint="eastAsia"/>
                <w:snapToGrid w:val="0"/>
                <w:color w:val="auto"/>
                <w:kern w:val="21"/>
                <w:szCs w:val="21"/>
              </w:rPr>
              <w:t>0.</w:t>
            </w:r>
            <w:r>
              <w:rPr>
                <w:rFonts w:hint="eastAsia"/>
                <w:snapToGrid w:val="0"/>
                <w:color w:val="auto"/>
                <w:kern w:val="21"/>
                <w:szCs w:val="21"/>
                <w:lang w:val="en-US" w:eastAsia="zh-CN"/>
              </w:rPr>
              <w:t>0015</w:t>
            </w:r>
          </w:p>
        </w:tc>
      </w:tr>
      <w:tr w14:paraId="423F7C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noWrap w:val="0"/>
            <w:vAlign w:val="center"/>
          </w:tcPr>
          <w:p w14:paraId="58D22695">
            <w:pPr>
              <w:pStyle w:val="53"/>
              <w:spacing w:beforeLines="0" w:afterLines="0" w:line="240" w:lineRule="auto"/>
              <w:rPr>
                <w:rFonts w:ascii="Times New Roman"/>
                <w:snapToGrid w:val="0"/>
                <w:color w:val="auto"/>
                <w:kern w:val="21"/>
                <w:szCs w:val="21"/>
              </w:rPr>
            </w:pPr>
            <w:r>
              <w:rPr>
                <w:rFonts w:ascii="Times New Roman"/>
                <w:snapToGrid w:val="0"/>
                <w:color w:val="auto"/>
                <w:kern w:val="21"/>
                <w:szCs w:val="21"/>
              </w:rPr>
              <w:t>一般工业</w:t>
            </w:r>
          </w:p>
          <w:p w14:paraId="2B90237F">
            <w:pPr>
              <w:pStyle w:val="53"/>
              <w:spacing w:beforeLines="0" w:afterLines="0" w:line="240" w:lineRule="auto"/>
              <w:rPr>
                <w:rFonts w:ascii="Times New Roman"/>
                <w:snapToGrid w:val="0"/>
                <w:color w:val="auto"/>
                <w:kern w:val="21"/>
                <w:szCs w:val="21"/>
              </w:rPr>
            </w:pPr>
            <w:r>
              <w:rPr>
                <w:rFonts w:ascii="Times New Roman"/>
                <w:snapToGrid w:val="0"/>
                <w:color w:val="auto"/>
                <w:kern w:val="21"/>
                <w:szCs w:val="21"/>
              </w:rPr>
              <w:t>固体废物</w:t>
            </w:r>
          </w:p>
        </w:tc>
        <w:tc>
          <w:tcPr>
            <w:tcW w:w="1417" w:type="dxa"/>
            <w:noWrap w:val="0"/>
            <w:vAlign w:val="center"/>
          </w:tcPr>
          <w:p w14:paraId="14DA3944">
            <w:pPr>
              <w:pStyle w:val="53"/>
              <w:spacing w:beforeLines="0" w:afterLines="0" w:line="240" w:lineRule="auto"/>
              <w:rPr>
                <w:rFonts w:hint="eastAsia" w:ascii="Times New Roman" w:eastAsia="宋体"/>
                <w:snapToGrid w:val="0"/>
                <w:color w:val="auto"/>
                <w:kern w:val="21"/>
                <w:szCs w:val="21"/>
                <w:lang w:val="en-US" w:eastAsia="zh-CN"/>
              </w:rPr>
            </w:pPr>
            <w:r>
              <w:rPr>
                <w:rFonts w:hint="eastAsia" w:ascii="Times New Roman"/>
                <w:snapToGrid w:val="0"/>
                <w:color w:val="auto"/>
                <w:kern w:val="21"/>
                <w:szCs w:val="21"/>
                <w:lang w:val="en-US" w:eastAsia="zh-CN"/>
              </w:rPr>
              <w:t>/</w:t>
            </w:r>
          </w:p>
        </w:tc>
        <w:tc>
          <w:tcPr>
            <w:tcW w:w="1701" w:type="dxa"/>
            <w:noWrap w:val="0"/>
            <w:vAlign w:val="center"/>
          </w:tcPr>
          <w:p w14:paraId="64D2B38C">
            <w:pPr>
              <w:pStyle w:val="53"/>
              <w:spacing w:beforeLines="0" w:afterLines="0" w:line="240" w:lineRule="auto"/>
              <w:rPr>
                <w:rFonts w:hint="eastAsia" w:ascii="Times New Roman" w:eastAsia="宋体"/>
                <w:snapToGrid w:val="0"/>
                <w:color w:val="auto"/>
                <w:kern w:val="21"/>
                <w:szCs w:val="21"/>
                <w:lang w:val="en-US" w:eastAsia="zh-CN"/>
              </w:rPr>
            </w:pPr>
            <w:r>
              <w:rPr>
                <w:rFonts w:hint="eastAsia" w:ascii="Times New Roman"/>
                <w:snapToGrid w:val="0"/>
                <w:color w:val="auto"/>
                <w:kern w:val="21"/>
                <w:szCs w:val="21"/>
                <w:lang w:val="en-US" w:eastAsia="zh-CN"/>
              </w:rPr>
              <w:t>/</w:t>
            </w:r>
          </w:p>
        </w:tc>
        <w:tc>
          <w:tcPr>
            <w:tcW w:w="1276" w:type="dxa"/>
            <w:noWrap w:val="0"/>
            <w:vAlign w:val="center"/>
          </w:tcPr>
          <w:p w14:paraId="3CB37D1A">
            <w:pPr>
              <w:pStyle w:val="53"/>
              <w:spacing w:beforeLines="0" w:afterLines="0" w:line="240" w:lineRule="auto"/>
              <w:rPr>
                <w:rFonts w:hint="eastAsia" w:ascii="Times New Roman" w:eastAsia="宋体"/>
                <w:snapToGrid w:val="0"/>
                <w:color w:val="auto"/>
                <w:kern w:val="21"/>
                <w:szCs w:val="21"/>
                <w:lang w:val="en-US" w:eastAsia="zh-CN"/>
              </w:rPr>
            </w:pPr>
            <w:r>
              <w:rPr>
                <w:rFonts w:hint="eastAsia" w:ascii="Times New Roman"/>
                <w:snapToGrid w:val="0"/>
                <w:color w:val="auto"/>
                <w:kern w:val="21"/>
                <w:szCs w:val="21"/>
                <w:lang w:val="en-US" w:eastAsia="zh-CN"/>
              </w:rPr>
              <w:t>/</w:t>
            </w:r>
          </w:p>
        </w:tc>
        <w:tc>
          <w:tcPr>
            <w:tcW w:w="1701" w:type="dxa"/>
            <w:noWrap w:val="0"/>
            <w:vAlign w:val="center"/>
          </w:tcPr>
          <w:p w14:paraId="30B5EF3D">
            <w:pPr>
              <w:pStyle w:val="53"/>
              <w:spacing w:beforeLines="0" w:afterLines="0" w:line="240" w:lineRule="auto"/>
              <w:rPr>
                <w:rFonts w:hint="eastAsia" w:ascii="Times New Roman" w:eastAsia="宋体"/>
                <w:snapToGrid w:val="0"/>
                <w:color w:val="auto"/>
                <w:kern w:val="21"/>
                <w:szCs w:val="21"/>
                <w:lang w:val="en-US" w:eastAsia="zh-CN"/>
              </w:rPr>
            </w:pPr>
            <w:r>
              <w:rPr>
                <w:rFonts w:hint="eastAsia" w:ascii="Times New Roman"/>
                <w:snapToGrid w:val="0"/>
                <w:color w:val="auto"/>
                <w:kern w:val="21"/>
                <w:szCs w:val="21"/>
                <w:lang w:val="en-US" w:eastAsia="zh-CN"/>
              </w:rPr>
              <w:t>/</w:t>
            </w:r>
          </w:p>
        </w:tc>
        <w:tc>
          <w:tcPr>
            <w:tcW w:w="1559" w:type="dxa"/>
            <w:noWrap w:val="0"/>
            <w:vAlign w:val="center"/>
          </w:tcPr>
          <w:p w14:paraId="46C0EFAC">
            <w:pPr>
              <w:pStyle w:val="53"/>
              <w:spacing w:beforeLines="0" w:afterLines="0" w:line="240" w:lineRule="auto"/>
              <w:rPr>
                <w:rFonts w:hint="eastAsia" w:ascii="Times New Roman" w:eastAsia="宋体"/>
                <w:snapToGrid w:val="0"/>
                <w:color w:val="auto"/>
                <w:kern w:val="21"/>
                <w:szCs w:val="21"/>
                <w:lang w:val="en-US" w:eastAsia="zh-CN"/>
              </w:rPr>
            </w:pPr>
            <w:r>
              <w:rPr>
                <w:rFonts w:hint="eastAsia" w:ascii="Times New Roman"/>
                <w:snapToGrid w:val="0"/>
                <w:color w:val="auto"/>
                <w:kern w:val="21"/>
                <w:szCs w:val="21"/>
                <w:lang w:val="en-US" w:eastAsia="zh-CN"/>
              </w:rPr>
              <w:t>/</w:t>
            </w:r>
          </w:p>
        </w:tc>
        <w:tc>
          <w:tcPr>
            <w:tcW w:w="1761" w:type="dxa"/>
            <w:noWrap w:val="0"/>
            <w:vAlign w:val="center"/>
          </w:tcPr>
          <w:p w14:paraId="6788CAE7">
            <w:pPr>
              <w:pStyle w:val="53"/>
              <w:spacing w:beforeLines="0" w:afterLines="0" w:line="240" w:lineRule="auto"/>
              <w:rPr>
                <w:rFonts w:hint="eastAsia" w:ascii="Times New Roman" w:eastAsia="宋体"/>
                <w:snapToGrid w:val="0"/>
                <w:color w:val="auto"/>
                <w:kern w:val="21"/>
                <w:szCs w:val="21"/>
                <w:lang w:val="en-US" w:eastAsia="zh-CN"/>
              </w:rPr>
            </w:pPr>
            <w:r>
              <w:rPr>
                <w:rFonts w:hint="eastAsia" w:ascii="Times New Roman"/>
                <w:snapToGrid w:val="0"/>
                <w:color w:val="auto"/>
                <w:kern w:val="21"/>
                <w:szCs w:val="21"/>
                <w:lang w:val="en-US" w:eastAsia="zh-CN"/>
              </w:rPr>
              <w:t>/</w:t>
            </w:r>
          </w:p>
        </w:tc>
        <w:tc>
          <w:tcPr>
            <w:tcW w:w="1775" w:type="dxa"/>
            <w:noWrap w:val="0"/>
            <w:vAlign w:val="center"/>
          </w:tcPr>
          <w:p w14:paraId="2DFA435C">
            <w:pPr>
              <w:pStyle w:val="53"/>
              <w:spacing w:beforeLines="0" w:afterLines="0" w:line="240" w:lineRule="auto"/>
              <w:rPr>
                <w:rFonts w:hint="eastAsia" w:ascii="Times New Roman" w:eastAsia="宋体"/>
                <w:snapToGrid w:val="0"/>
                <w:color w:val="auto"/>
                <w:kern w:val="21"/>
                <w:szCs w:val="21"/>
                <w:lang w:val="en-US" w:eastAsia="zh-CN"/>
              </w:rPr>
            </w:pPr>
            <w:r>
              <w:rPr>
                <w:rFonts w:hint="eastAsia" w:ascii="Times New Roman"/>
                <w:snapToGrid w:val="0"/>
                <w:color w:val="auto"/>
                <w:kern w:val="21"/>
                <w:szCs w:val="21"/>
                <w:lang w:val="en-US" w:eastAsia="zh-CN"/>
              </w:rPr>
              <w:t>/</w:t>
            </w:r>
          </w:p>
        </w:tc>
        <w:tc>
          <w:tcPr>
            <w:tcW w:w="1258" w:type="dxa"/>
            <w:noWrap w:val="0"/>
            <w:vAlign w:val="center"/>
          </w:tcPr>
          <w:p w14:paraId="74F48343">
            <w:pPr>
              <w:pStyle w:val="53"/>
              <w:spacing w:beforeLines="0" w:afterLines="0" w:line="240" w:lineRule="auto"/>
              <w:rPr>
                <w:rFonts w:hint="eastAsia" w:ascii="Times New Roman" w:eastAsia="宋体"/>
                <w:snapToGrid w:val="0"/>
                <w:color w:val="auto"/>
                <w:kern w:val="21"/>
                <w:szCs w:val="21"/>
                <w:lang w:val="en-US" w:eastAsia="zh-CN"/>
              </w:rPr>
            </w:pPr>
            <w:r>
              <w:rPr>
                <w:rFonts w:hint="eastAsia" w:ascii="Times New Roman"/>
                <w:snapToGrid w:val="0"/>
                <w:color w:val="auto"/>
                <w:kern w:val="21"/>
                <w:szCs w:val="21"/>
                <w:lang w:val="en-US" w:eastAsia="zh-CN"/>
              </w:rPr>
              <w:t>/</w:t>
            </w:r>
          </w:p>
        </w:tc>
      </w:tr>
      <w:tr w14:paraId="12EA32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7" w:hRule="atLeast"/>
        </w:trPr>
        <w:tc>
          <w:tcPr>
            <w:tcW w:w="1588" w:type="dxa"/>
            <w:vMerge w:val="restart"/>
            <w:noWrap w:val="0"/>
            <w:vAlign w:val="center"/>
          </w:tcPr>
          <w:p w14:paraId="33AA29F4">
            <w:pPr>
              <w:pStyle w:val="53"/>
              <w:spacing w:beforeLines="0" w:afterLines="0" w:line="240" w:lineRule="auto"/>
              <w:rPr>
                <w:rFonts w:ascii="Times New Roman"/>
                <w:snapToGrid w:val="0"/>
                <w:color w:val="auto"/>
                <w:kern w:val="21"/>
                <w:szCs w:val="21"/>
              </w:rPr>
            </w:pPr>
            <w:r>
              <w:rPr>
                <w:rFonts w:ascii="Times New Roman"/>
                <w:snapToGrid w:val="0"/>
                <w:color w:val="auto"/>
                <w:kern w:val="21"/>
                <w:szCs w:val="21"/>
              </w:rPr>
              <w:t>危险废物</w:t>
            </w:r>
          </w:p>
        </w:tc>
        <w:tc>
          <w:tcPr>
            <w:tcW w:w="1417" w:type="dxa"/>
            <w:noWrap w:val="0"/>
            <w:vAlign w:val="center"/>
          </w:tcPr>
          <w:p w14:paraId="64C9698C">
            <w:pPr>
              <w:pStyle w:val="53"/>
              <w:spacing w:beforeLines="0" w:afterLines="0" w:line="240" w:lineRule="auto"/>
              <w:rPr>
                <w:rFonts w:ascii="Times New Roman"/>
                <w:snapToGrid w:val="0"/>
                <w:color w:val="auto"/>
                <w:kern w:val="21"/>
                <w:szCs w:val="21"/>
              </w:rPr>
            </w:pPr>
            <w:r>
              <w:rPr>
                <w:rFonts w:hint="eastAsia" w:ascii="Times New Roman"/>
                <w:snapToGrid w:val="0"/>
                <w:color w:val="auto"/>
                <w:kern w:val="21"/>
                <w:szCs w:val="21"/>
              </w:rPr>
              <w:t>医疗废物</w:t>
            </w:r>
          </w:p>
        </w:tc>
        <w:tc>
          <w:tcPr>
            <w:tcW w:w="1701" w:type="dxa"/>
            <w:noWrap w:val="0"/>
            <w:vAlign w:val="center"/>
          </w:tcPr>
          <w:p w14:paraId="2D7736D9">
            <w:pPr>
              <w:pStyle w:val="53"/>
              <w:spacing w:beforeLines="0" w:afterLines="0" w:line="240" w:lineRule="auto"/>
              <w:rPr>
                <w:rFonts w:ascii="Times New Roman"/>
                <w:snapToGrid w:val="0"/>
                <w:color w:val="auto"/>
                <w:kern w:val="21"/>
                <w:szCs w:val="21"/>
              </w:rPr>
            </w:pPr>
            <w:r>
              <w:rPr>
                <w:rFonts w:hint="eastAsia" w:ascii="Times New Roman"/>
                <w:snapToGrid w:val="0"/>
                <w:color w:val="auto"/>
                <w:kern w:val="21"/>
                <w:szCs w:val="21"/>
              </w:rPr>
              <w:t>/</w:t>
            </w:r>
          </w:p>
        </w:tc>
        <w:tc>
          <w:tcPr>
            <w:tcW w:w="1276" w:type="dxa"/>
            <w:noWrap w:val="0"/>
            <w:vAlign w:val="center"/>
          </w:tcPr>
          <w:p w14:paraId="6E74EFAE">
            <w:pPr>
              <w:pStyle w:val="53"/>
              <w:spacing w:beforeLines="0" w:afterLines="0" w:line="240" w:lineRule="auto"/>
              <w:rPr>
                <w:rFonts w:ascii="Times New Roman"/>
                <w:snapToGrid w:val="0"/>
                <w:color w:val="auto"/>
                <w:kern w:val="21"/>
                <w:szCs w:val="21"/>
              </w:rPr>
            </w:pPr>
            <w:r>
              <w:rPr>
                <w:rFonts w:hint="eastAsia" w:ascii="Times New Roman"/>
                <w:snapToGrid w:val="0"/>
                <w:color w:val="auto"/>
                <w:kern w:val="21"/>
                <w:szCs w:val="21"/>
              </w:rPr>
              <w:t>/</w:t>
            </w:r>
          </w:p>
        </w:tc>
        <w:tc>
          <w:tcPr>
            <w:tcW w:w="1701" w:type="dxa"/>
            <w:noWrap w:val="0"/>
            <w:vAlign w:val="center"/>
          </w:tcPr>
          <w:p w14:paraId="6E3274F5">
            <w:pPr>
              <w:pStyle w:val="53"/>
              <w:spacing w:beforeLines="0" w:afterLines="0" w:line="240" w:lineRule="auto"/>
              <w:rPr>
                <w:rFonts w:ascii="Times New Roman"/>
                <w:snapToGrid w:val="0"/>
                <w:color w:val="auto"/>
                <w:kern w:val="21"/>
                <w:szCs w:val="21"/>
              </w:rPr>
            </w:pPr>
            <w:r>
              <w:rPr>
                <w:rFonts w:hint="eastAsia" w:ascii="Times New Roman"/>
                <w:snapToGrid w:val="0"/>
                <w:color w:val="auto"/>
                <w:kern w:val="21"/>
                <w:szCs w:val="21"/>
              </w:rPr>
              <w:t>/</w:t>
            </w:r>
          </w:p>
        </w:tc>
        <w:tc>
          <w:tcPr>
            <w:tcW w:w="1559" w:type="dxa"/>
            <w:noWrap w:val="0"/>
            <w:vAlign w:val="center"/>
          </w:tcPr>
          <w:p w14:paraId="1A89D0CD">
            <w:pPr>
              <w:pStyle w:val="53"/>
              <w:spacing w:beforeLines="0" w:afterLines="0" w:line="240" w:lineRule="auto"/>
              <w:rPr>
                <w:rFonts w:hint="default" w:ascii="Times New Roman" w:eastAsia="宋体"/>
                <w:snapToGrid w:val="0"/>
                <w:color w:val="auto"/>
                <w:kern w:val="21"/>
                <w:szCs w:val="21"/>
                <w:lang w:val="en-US" w:eastAsia="zh-CN"/>
              </w:rPr>
            </w:pPr>
            <w:r>
              <w:rPr>
                <w:rFonts w:hint="eastAsia" w:ascii="Times New Roman"/>
                <w:snapToGrid w:val="0"/>
                <w:color w:val="auto"/>
                <w:kern w:val="21"/>
                <w:szCs w:val="21"/>
              </w:rPr>
              <w:t>0.0</w:t>
            </w:r>
            <w:r>
              <w:rPr>
                <w:rFonts w:hint="eastAsia" w:ascii="Times New Roman"/>
                <w:snapToGrid w:val="0"/>
                <w:color w:val="auto"/>
                <w:kern w:val="21"/>
                <w:szCs w:val="21"/>
                <w:lang w:val="en-US" w:eastAsia="zh-CN"/>
              </w:rPr>
              <w:t>153</w:t>
            </w:r>
          </w:p>
        </w:tc>
        <w:tc>
          <w:tcPr>
            <w:tcW w:w="1761" w:type="dxa"/>
            <w:noWrap w:val="0"/>
            <w:vAlign w:val="center"/>
          </w:tcPr>
          <w:p w14:paraId="1984F0EB">
            <w:pPr>
              <w:pStyle w:val="53"/>
              <w:spacing w:beforeLines="0" w:afterLines="0" w:line="240" w:lineRule="auto"/>
              <w:rPr>
                <w:rFonts w:ascii="Times New Roman"/>
                <w:snapToGrid w:val="0"/>
                <w:color w:val="auto"/>
                <w:kern w:val="21"/>
                <w:szCs w:val="21"/>
              </w:rPr>
            </w:pPr>
            <w:r>
              <w:rPr>
                <w:rFonts w:hint="eastAsia" w:ascii="Times New Roman"/>
                <w:snapToGrid w:val="0"/>
                <w:color w:val="auto"/>
                <w:kern w:val="21"/>
                <w:szCs w:val="21"/>
              </w:rPr>
              <w:t>/</w:t>
            </w:r>
          </w:p>
        </w:tc>
        <w:tc>
          <w:tcPr>
            <w:tcW w:w="1775" w:type="dxa"/>
            <w:noWrap w:val="0"/>
            <w:vAlign w:val="center"/>
          </w:tcPr>
          <w:p w14:paraId="590D46E1">
            <w:pPr>
              <w:pStyle w:val="53"/>
              <w:spacing w:beforeLines="0" w:afterLines="0" w:line="240" w:lineRule="auto"/>
              <w:rPr>
                <w:rFonts w:hint="default" w:ascii="Times New Roman" w:eastAsia="宋体"/>
                <w:snapToGrid w:val="0"/>
                <w:color w:val="auto"/>
                <w:kern w:val="21"/>
                <w:szCs w:val="21"/>
                <w:lang w:val="en-US" w:eastAsia="zh-CN"/>
              </w:rPr>
            </w:pPr>
            <w:r>
              <w:rPr>
                <w:rFonts w:hint="eastAsia" w:ascii="Times New Roman"/>
                <w:snapToGrid w:val="0"/>
                <w:color w:val="auto"/>
                <w:kern w:val="21"/>
                <w:szCs w:val="21"/>
                <w:lang w:val="en-US" w:eastAsia="zh-CN"/>
              </w:rPr>
              <w:t>0.0153</w:t>
            </w:r>
          </w:p>
        </w:tc>
        <w:tc>
          <w:tcPr>
            <w:tcW w:w="1258" w:type="dxa"/>
            <w:noWrap w:val="0"/>
            <w:vAlign w:val="center"/>
          </w:tcPr>
          <w:p w14:paraId="1C201914">
            <w:pPr>
              <w:pStyle w:val="53"/>
              <w:spacing w:beforeLines="0" w:afterLines="0" w:line="240" w:lineRule="auto"/>
              <w:rPr>
                <w:rFonts w:hint="default" w:ascii="Times New Roman" w:eastAsia="宋体"/>
                <w:snapToGrid w:val="0"/>
                <w:color w:val="auto"/>
                <w:kern w:val="21"/>
                <w:szCs w:val="21"/>
                <w:lang w:val="en-US" w:eastAsia="zh-CN"/>
              </w:rPr>
            </w:pPr>
            <w:r>
              <w:rPr>
                <w:rFonts w:hint="eastAsia" w:ascii="Times New Roman"/>
                <w:snapToGrid w:val="0"/>
                <w:color w:val="auto"/>
                <w:kern w:val="21"/>
                <w:szCs w:val="21"/>
              </w:rPr>
              <w:t>+0.</w:t>
            </w:r>
            <w:r>
              <w:rPr>
                <w:rFonts w:hint="eastAsia" w:ascii="Times New Roman"/>
                <w:snapToGrid w:val="0"/>
                <w:color w:val="auto"/>
                <w:kern w:val="21"/>
                <w:szCs w:val="21"/>
                <w:lang w:val="en-US" w:eastAsia="zh-CN"/>
              </w:rPr>
              <w:t>0153</w:t>
            </w:r>
          </w:p>
        </w:tc>
      </w:tr>
      <w:tr w14:paraId="27E874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4" w:hRule="atLeast"/>
        </w:trPr>
        <w:tc>
          <w:tcPr>
            <w:tcW w:w="1588" w:type="dxa"/>
            <w:vMerge w:val="continue"/>
            <w:noWrap w:val="0"/>
            <w:vAlign w:val="center"/>
          </w:tcPr>
          <w:p w14:paraId="5D052B03">
            <w:pPr>
              <w:pStyle w:val="53"/>
              <w:spacing w:beforeLines="0" w:afterLines="0" w:line="240" w:lineRule="auto"/>
              <w:rPr>
                <w:rFonts w:ascii="Times New Roman"/>
                <w:snapToGrid w:val="0"/>
                <w:color w:val="auto"/>
                <w:kern w:val="21"/>
                <w:szCs w:val="21"/>
              </w:rPr>
            </w:pPr>
          </w:p>
        </w:tc>
        <w:tc>
          <w:tcPr>
            <w:tcW w:w="1417" w:type="dxa"/>
            <w:noWrap w:val="0"/>
            <w:vAlign w:val="center"/>
          </w:tcPr>
          <w:p w14:paraId="1292A17B">
            <w:pPr>
              <w:pStyle w:val="53"/>
              <w:spacing w:beforeLines="0" w:afterLines="0" w:line="240" w:lineRule="auto"/>
              <w:rPr>
                <w:rFonts w:ascii="Times New Roman"/>
                <w:snapToGrid w:val="0"/>
                <w:color w:val="auto"/>
                <w:kern w:val="21"/>
                <w:szCs w:val="21"/>
              </w:rPr>
            </w:pPr>
            <w:r>
              <w:rPr>
                <w:rFonts w:hint="eastAsia" w:ascii="Times New Roman"/>
                <w:snapToGrid w:val="0"/>
                <w:color w:val="auto"/>
                <w:kern w:val="21"/>
                <w:szCs w:val="21"/>
              </w:rPr>
              <w:t>污水处理污泥</w:t>
            </w:r>
          </w:p>
        </w:tc>
        <w:tc>
          <w:tcPr>
            <w:tcW w:w="1701" w:type="dxa"/>
            <w:noWrap w:val="0"/>
            <w:vAlign w:val="center"/>
          </w:tcPr>
          <w:p w14:paraId="1DAC7E43">
            <w:pPr>
              <w:pStyle w:val="53"/>
              <w:spacing w:beforeLines="0" w:afterLines="0" w:line="240" w:lineRule="auto"/>
              <w:rPr>
                <w:rFonts w:hint="eastAsia" w:ascii="Times New Roman"/>
                <w:snapToGrid w:val="0"/>
                <w:color w:val="auto"/>
                <w:kern w:val="21"/>
                <w:szCs w:val="21"/>
              </w:rPr>
            </w:pPr>
            <w:r>
              <w:rPr>
                <w:rFonts w:hint="eastAsia" w:ascii="Times New Roman"/>
                <w:snapToGrid w:val="0"/>
                <w:color w:val="auto"/>
                <w:kern w:val="21"/>
                <w:szCs w:val="21"/>
              </w:rPr>
              <w:t>/</w:t>
            </w:r>
          </w:p>
        </w:tc>
        <w:tc>
          <w:tcPr>
            <w:tcW w:w="1276" w:type="dxa"/>
            <w:noWrap w:val="0"/>
            <w:vAlign w:val="center"/>
          </w:tcPr>
          <w:p w14:paraId="0678C656">
            <w:pPr>
              <w:pStyle w:val="53"/>
              <w:spacing w:beforeLines="0" w:afterLines="0" w:line="240" w:lineRule="auto"/>
              <w:rPr>
                <w:rFonts w:hint="eastAsia" w:ascii="Times New Roman"/>
                <w:snapToGrid w:val="0"/>
                <w:color w:val="auto"/>
                <w:kern w:val="21"/>
                <w:szCs w:val="21"/>
              </w:rPr>
            </w:pPr>
            <w:r>
              <w:rPr>
                <w:rFonts w:hint="eastAsia" w:ascii="Times New Roman"/>
                <w:snapToGrid w:val="0"/>
                <w:color w:val="auto"/>
                <w:kern w:val="21"/>
                <w:szCs w:val="21"/>
              </w:rPr>
              <w:t>/</w:t>
            </w:r>
          </w:p>
        </w:tc>
        <w:tc>
          <w:tcPr>
            <w:tcW w:w="1701" w:type="dxa"/>
            <w:noWrap w:val="0"/>
            <w:vAlign w:val="center"/>
          </w:tcPr>
          <w:p w14:paraId="2E57B5D2">
            <w:pPr>
              <w:pStyle w:val="53"/>
              <w:spacing w:beforeLines="0" w:afterLines="0" w:line="240" w:lineRule="auto"/>
              <w:rPr>
                <w:rFonts w:hint="eastAsia" w:ascii="Times New Roman"/>
                <w:snapToGrid w:val="0"/>
                <w:color w:val="auto"/>
                <w:kern w:val="21"/>
                <w:szCs w:val="21"/>
              </w:rPr>
            </w:pPr>
            <w:r>
              <w:rPr>
                <w:rFonts w:hint="eastAsia" w:ascii="Times New Roman"/>
                <w:snapToGrid w:val="0"/>
                <w:color w:val="auto"/>
                <w:kern w:val="21"/>
                <w:szCs w:val="21"/>
              </w:rPr>
              <w:t>/</w:t>
            </w:r>
          </w:p>
        </w:tc>
        <w:tc>
          <w:tcPr>
            <w:tcW w:w="1559" w:type="dxa"/>
            <w:noWrap w:val="0"/>
            <w:vAlign w:val="center"/>
          </w:tcPr>
          <w:p w14:paraId="10A0641F">
            <w:pPr>
              <w:pStyle w:val="53"/>
              <w:spacing w:beforeLines="0" w:afterLines="0" w:line="240" w:lineRule="auto"/>
              <w:rPr>
                <w:rFonts w:hint="eastAsia" w:ascii="Times New Roman" w:eastAsia="宋体"/>
                <w:snapToGrid w:val="0"/>
                <w:color w:val="auto"/>
                <w:kern w:val="21"/>
                <w:szCs w:val="21"/>
                <w:lang w:eastAsia="zh-CN"/>
              </w:rPr>
            </w:pPr>
            <w:r>
              <w:rPr>
                <w:rFonts w:hint="eastAsia" w:ascii="Times New Roman"/>
                <w:snapToGrid w:val="0"/>
                <w:color w:val="auto"/>
                <w:kern w:val="21"/>
                <w:szCs w:val="21"/>
              </w:rPr>
              <w:t>0.00</w:t>
            </w:r>
            <w:r>
              <w:rPr>
                <w:rFonts w:hint="eastAsia" w:ascii="Times New Roman"/>
                <w:snapToGrid w:val="0"/>
                <w:color w:val="auto"/>
                <w:kern w:val="21"/>
                <w:szCs w:val="21"/>
                <w:lang w:val="en-US" w:eastAsia="zh-CN"/>
              </w:rPr>
              <w:t>1</w:t>
            </w:r>
          </w:p>
        </w:tc>
        <w:tc>
          <w:tcPr>
            <w:tcW w:w="1761" w:type="dxa"/>
            <w:noWrap w:val="0"/>
            <w:vAlign w:val="center"/>
          </w:tcPr>
          <w:p w14:paraId="0CCF48AE">
            <w:pPr>
              <w:pStyle w:val="53"/>
              <w:spacing w:beforeLines="0" w:afterLines="0" w:line="240" w:lineRule="auto"/>
              <w:rPr>
                <w:rFonts w:hint="eastAsia" w:ascii="Times New Roman"/>
                <w:snapToGrid w:val="0"/>
                <w:color w:val="auto"/>
                <w:kern w:val="21"/>
                <w:szCs w:val="21"/>
              </w:rPr>
            </w:pPr>
            <w:r>
              <w:rPr>
                <w:rFonts w:hint="eastAsia" w:ascii="Times New Roman"/>
                <w:snapToGrid w:val="0"/>
                <w:color w:val="auto"/>
                <w:kern w:val="21"/>
                <w:szCs w:val="21"/>
              </w:rPr>
              <w:t>/</w:t>
            </w:r>
          </w:p>
        </w:tc>
        <w:tc>
          <w:tcPr>
            <w:tcW w:w="1775" w:type="dxa"/>
            <w:noWrap w:val="0"/>
            <w:vAlign w:val="center"/>
          </w:tcPr>
          <w:p w14:paraId="351A9336">
            <w:pPr>
              <w:pStyle w:val="53"/>
              <w:spacing w:beforeLines="0" w:afterLines="0" w:line="240" w:lineRule="auto"/>
              <w:rPr>
                <w:rFonts w:hint="eastAsia" w:ascii="Times New Roman" w:eastAsia="宋体"/>
                <w:snapToGrid w:val="0"/>
                <w:color w:val="auto"/>
                <w:kern w:val="21"/>
                <w:szCs w:val="21"/>
                <w:lang w:eastAsia="zh-CN"/>
              </w:rPr>
            </w:pPr>
            <w:r>
              <w:rPr>
                <w:rFonts w:hint="eastAsia" w:ascii="Times New Roman"/>
                <w:snapToGrid w:val="0"/>
                <w:color w:val="auto"/>
                <w:kern w:val="21"/>
                <w:szCs w:val="21"/>
              </w:rPr>
              <w:t>0.00</w:t>
            </w:r>
            <w:r>
              <w:rPr>
                <w:rFonts w:hint="eastAsia" w:ascii="Times New Roman"/>
                <w:snapToGrid w:val="0"/>
                <w:color w:val="auto"/>
                <w:kern w:val="21"/>
                <w:szCs w:val="21"/>
                <w:lang w:val="en-US" w:eastAsia="zh-CN"/>
              </w:rPr>
              <w:t>1</w:t>
            </w:r>
          </w:p>
        </w:tc>
        <w:tc>
          <w:tcPr>
            <w:tcW w:w="1258" w:type="dxa"/>
            <w:noWrap w:val="0"/>
            <w:vAlign w:val="center"/>
          </w:tcPr>
          <w:p w14:paraId="39AA96DB">
            <w:pPr>
              <w:pStyle w:val="53"/>
              <w:spacing w:beforeLines="0" w:afterLines="0" w:line="240" w:lineRule="auto"/>
              <w:rPr>
                <w:rFonts w:hint="eastAsia" w:ascii="Times New Roman" w:eastAsia="宋体"/>
                <w:snapToGrid w:val="0"/>
                <w:color w:val="auto"/>
                <w:kern w:val="21"/>
                <w:szCs w:val="21"/>
                <w:lang w:eastAsia="zh-CN"/>
              </w:rPr>
            </w:pPr>
            <w:r>
              <w:rPr>
                <w:rFonts w:hint="eastAsia" w:ascii="Times New Roman"/>
                <w:snapToGrid w:val="0"/>
                <w:color w:val="auto"/>
                <w:kern w:val="21"/>
                <w:szCs w:val="21"/>
              </w:rPr>
              <w:t>+0.00</w:t>
            </w:r>
            <w:r>
              <w:rPr>
                <w:rFonts w:hint="eastAsia" w:ascii="Times New Roman"/>
                <w:snapToGrid w:val="0"/>
                <w:color w:val="auto"/>
                <w:kern w:val="21"/>
                <w:szCs w:val="21"/>
                <w:lang w:val="en-US" w:eastAsia="zh-CN"/>
              </w:rPr>
              <w:t>1</w:t>
            </w:r>
          </w:p>
        </w:tc>
      </w:tr>
    </w:tbl>
    <w:p w14:paraId="60B8B4F3">
      <w:pPr>
        <w:pStyle w:val="53"/>
        <w:spacing w:before="192" w:beforeLines="80" w:after="24"/>
        <w:jc w:val="left"/>
        <w:rPr>
          <w:rFonts w:ascii="Times New Roman"/>
          <w:snapToGrid w:val="0"/>
          <w:spacing w:val="-6"/>
          <w:kern w:val="21"/>
          <w:szCs w:val="21"/>
        </w:rPr>
        <w:sectPr>
          <w:footerReference r:id="rId7" w:type="default"/>
          <w:pgSz w:w="16838" w:h="11906" w:orient="landscape"/>
          <w:pgMar w:top="1417" w:right="1417" w:bottom="1417" w:left="1417" w:header="851" w:footer="851" w:gutter="0"/>
          <w:cols w:space="720" w:num="1"/>
          <w:docGrid w:linePitch="312" w:charSpace="0"/>
        </w:sectPr>
      </w:pPr>
      <w:r>
        <w:rPr>
          <w:rFonts w:ascii="Times New Roman"/>
          <w:snapToGrid w:val="0"/>
          <w:kern w:val="21"/>
          <w:szCs w:val="21"/>
        </w:rPr>
        <w:t>注：</w:t>
      </w:r>
      <w:r>
        <w:rPr>
          <w:rFonts w:ascii="Times New Roman"/>
          <w:snapToGrid w:val="0"/>
          <w:spacing w:val="-16"/>
          <w:kern w:val="21"/>
          <w:szCs w:val="21"/>
        </w:rPr>
        <w:fldChar w:fldCharType="begin"/>
      </w:r>
      <w:r>
        <w:rPr>
          <w:rFonts w:ascii="Times New Roman"/>
          <w:snapToGrid w:val="0"/>
          <w:spacing w:val="-16"/>
          <w:kern w:val="21"/>
          <w:szCs w:val="21"/>
        </w:rPr>
        <w:instrText xml:space="preserve"> = 6 \* GB3 \* MERGEFORMAT </w:instrText>
      </w:r>
      <w:r>
        <w:rPr>
          <w:rFonts w:ascii="Times New Roman"/>
          <w:snapToGrid w:val="0"/>
          <w:spacing w:val="-16"/>
          <w:kern w:val="21"/>
          <w:szCs w:val="21"/>
        </w:rPr>
        <w:fldChar w:fldCharType="separate"/>
      </w:r>
      <w:r>
        <w:rPr>
          <w:rFonts w:ascii="Times New Roman"/>
          <w:szCs w:val="21"/>
        </w:rPr>
        <w:t>⑥</w:t>
      </w:r>
      <w:r>
        <w:rPr>
          <w:rFonts w:ascii="Times New Roman"/>
          <w:snapToGrid w:val="0"/>
          <w:spacing w:val="-16"/>
          <w:kern w:val="21"/>
          <w:szCs w:val="21"/>
        </w:rPr>
        <w:fldChar w:fldCharType="end"/>
      </w:r>
      <w:r>
        <w:rPr>
          <w:rFonts w:ascii="Times New Roman"/>
          <w:snapToGrid w:val="0"/>
          <w:spacing w:val="-16"/>
          <w:kern w:val="21"/>
          <w:szCs w:val="21"/>
        </w:rPr>
        <w:t>=</w:t>
      </w:r>
      <w:r>
        <w:rPr>
          <w:rFonts w:ascii="Times New Roman"/>
          <w:snapToGrid w:val="0"/>
          <w:spacing w:val="-6"/>
          <w:kern w:val="21"/>
          <w:szCs w:val="21"/>
        </w:rPr>
        <w:fldChar w:fldCharType="begin"/>
      </w:r>
      <w:r>
        <w:rPr>
          <w:rFonts w:ascii="Times New Roman"/>
          <w:snapToGrid w:val="0"/>
          <w:spacing w:val="-6"/>
          <w:kern w:val="21"/>
          <w:szCs w:val="21"/>
        </w:rPr>
        <w:instrText xml:space="preserve"> = 1 \* GB3 \* MERGEFORMAT </w:instrText>
      </w:r>
      <w:r>
        <w:rPr>
          <w:rFonts w:ascii="Times New Roman"/>
          <w:snapToGrid w:val="0"/>
          <w:spacing w:val="-6"/>
          <w:kern w:val="21"/>
          <w:szCs w:val="21"/>
        </w:rPr>
        <w:fldChar w:fldCharType="separate"/>
      </w:r>
      <w:r>
        <w:rPr>
          <w:rFonts w:ascii="Times New Roman"/>
          <w:szCs w:val="21"/>
        </w:rPr>
        <w:t>①</w:t>
      </w:r>
      <w:r>
        <w:rPr>
          <w:rFonts w:ascii="Times New Roman"/>
          <w:snapToGrid w:val="0"/>
          <w:spacing w:val="-6"/>
          <w:kern w:val="21"/>
          <w:szCs w:val="21"/>
        </w:rPr>
        <w:fldChar w:fldCharType="end"/>
      </w:r>
      <w:r>
        <w:rPr>
          <w:rFonts w:ascii="Times New Roman"/>
          <w:snapToGrid w:val="0"/>
          <w:spacing w:val="-6"/>
          <w:kern w:val="21"/>
          <w:szCs w:val="21"/>
        </w:rPr>
        <w:t>+</w:t>
      </w:r>
      <w:r>
        <w:rPr>
          <w:rFonts w:ascii="Times New Roman"/>
          <w:snapToGrid w:val="0"/>
          <w:spacing w:val="-6"/>
          <w:kern w:val="21"/>
          <w:szCs w:val="21"/>
        </w:rPr>
        <w:fldChar w:fldCharType="begin"/>
      </w:r>
      <w:r>
        <w:rPr>
          <w:rFonts w:ascii="Times New Roman"/>
          <w:snapToGrid w:val="0"/>
          <w:spacing w:val="-6"/>
          <w:kern w:val="21"/>
          <w:szCs w:val="21"/>
        </w:rPr>
        <w:instrText xml:space="preserve"> = 3 \* GB3 \* MERGEFORMAT </w:instrText>
      </w:r>
      <w:r>
        <w:rPr>
          <w:rFonts w:ascii="Times New Roman"/>
          <w:snapToGrid w:val="0"/>
          <w:spacing w:val="-6"/>
          <w:kern w:val="21"/>
          <w:szCs w:val="21"/>
        </w:rPr>
        <w:fldChar w:fldCharType="separate"/>
      </w:r>
      <w:r>
        <w:rPr>
          <w:rFonts w:ascii="Times New Roman"/>
          <w:szCs w:val="21"/>
        </w:rPr>
        <w:t>③</w:t>
      </w:r>
      <w:r>
        <w:rPr>
          <w:rFonts w:ascii="Times New Roman"/>
          <w:snapToGrid w:val="0"/>
          <w:spacing w:val="-6"/>
          <w:kern w:val="21"/>
          <w:szCs w:val="21"/>
        </w:rPr>
        <w:fldChar w:fldCharType="end"/>
      </w:r>
      <w:r>
        <w:rPr>
          <w:rFonts w:ascii="Times New Roman"/>
          <w:snapToGrid w:val="0"/>
          <w:spacing w:val="-6"/>
          <w:kern w:val="21"/>
          <w:szCs w:val="21"/>
        </w:rPr>
        <w:t>+</w:t>
      </w:r>
      <w:r>
        <w:rPr>
          <w:rFonts w:ascii="Times New Roman"/>
          <w:snapToGrid w:val="0"/>
          <w:spacing w:val="-6"/>
          <w:kern w:val="21"/>
          <w:szCs w:val="21"/>
        </w:rPr>
        <w:fldChar w:fldCharType="begin"/>
      </w:r>
      <w:r>
        <w:rPr>
          <w:rFonts w:ascii="Times New Roman"/>
          <w:snapToGrid w:val="0"/>
          <w:spacing w:val="-6"/>
          <w:kern w:val="21"/>
          <w:szCs w:val="21"/>
        </w:rPr>
        <w:instrText xml:space="preserve"> = 4 \* GB3 \* MERGEFORMAT </w:instrText>
      </w:r>
      <w:r>
        <w:rPr>
          <w:rFonts w:ascii="Times New Roman"/>
          <w:snapToGrid w:val="0"/>
          <w:spacing w:val="-6"/>
          <w:kern w:val="21"/>
          <w:szCs w:val="21"/>
        </w:rPr>
        <w:fldChar w:fldCharType="separate"/>
      </w:r>
      <w:r>
        <w:rPr>
          <w:rFonts w:ascii="Times New Roman"/>
          <w:szCs w:val="21"/>
        </w:rPr>
        <w:t>④</w:t>
      </w:r>
      <w:r>
        <w:rPr>
          <w:rFonts w:ascii="Times New Roman"/>
          <w:snapToGrid w:val="0"/>
          <w:spacing w:val="-6"/>
          <w:kern w:val="21"/>
          <w:szCs w:val="21"/>
        </w:rPr>
        <w:fldChar w:fldCharType="end"/>
      </w:r>
      <w:r>
        <w:rPr>
          <w:rFonts w:ascii="Times New Roman"/>
          <w:snapToGrid w:val="0"/>
          <w:spacing w:val="-6"/>
          <w:kern w:val="21"/>
          <w:szCs w:val="21"/>
        </w:rPr>
        <w:t>-</w:t>
      </w:r>
      <w:r>
        <w:rPr>
          <w:rFonts w:ascii="Times New Roman"/>
          <w:snapToGrid w:val="0"/>
          <w:spacing w:val="-16"/>
          <w:kern w:val="21"/>
          <w:szCs w:val="21"/>
        </w:rPr>
        <w:fldChar w:fldCharType="begin"/>
      </w:r>
      <w:r>
        <w:rPr>
          <w:rFonts w:ascii="Times New Roman"/>
          <w:snapToGrid w:val="0"/>
          <w:spacing w:val="-16"/>
          <w:kern w:val="21"/>
          <w:szCs w:val="21"/>
        </w:rPr>
        <w:instrText xml:space="preserve"> = 5 \* GB3 \* MERGEFORMAT </w:instrText>
      </w:r>
      <w:r>
        <w:rPr>
          <w:rFonts w:ascii="Times New Roman"/>
          <w:snapToGrid w:val="0"/>
          <w:spacing w:val="-16"/>
          <w:kern w:val="21"/>
          <w:szCs w:val="21"/>
        </w:rPr>
        <w:fldChar w:fldCharType="separate"/>
      </w:r>
      <w:r>
        <w:rPr>
          <w:rFonts w:ascii="Times New Roman"/>
          <w:szCs w:val="21"/>
        </w:rPr>
        <w:t>⑤</w:t>
      </w:r>
      <w:r>
        <w:rPr>
          <w:rFonts w:ascii="Times New Roman"/>
          <w:snapToGrid w:val="0"/>
          <w:spacing w:val="-16"/>
          <w:kern w:val="21"/>
          <w:szCs w:val="21"/>
        </w:rPr>
        <w:fldChar w:fldCharType="end"/>
      </w:r>
      <w:r>
        <w:rPr>
          <w:rFonts w:ascii="Times New Roman"/>
          <w:snapToGrid w:val="0"/>
          <w:spacing w:val="-16"/>
          <w:kern w:val="21"/>
          <w:szCs w:val="21"/>
        </w:rPr>
        <w:t>；</w:t>
      </w:r>
      <w:r>
        <w:rPr>
          <w:rFonts w:ascii="Times New Roman"/>
          <w:snapToGrid w:val="0"/>
          <w:spacing w:val="-6"/>
          <w:kern w:val="21"/>
          <w:szCs w:val="21"/>
        </w:rPr>
        <w:fldChar w:fldCharType="begin"/>
      </w:r>
      <w:r>
        <w:rPr>
          <w:rFonts w:ascii="Times New Roman"/>
          <w:snapToGrid w:val="0"/>
          <w:spacing w:val="-6"/>
          <w:kern w:val="21"/>
          <w:szCs w:val="21"/>
        </w:rPr>
        <w:instrText xml:space="preserve"> = 7 \* GB3 \* MERGEFORMAT </w:instrText>
      </w:r>
      <w:r>
        <w:rPr>
          <w:rFonts w:ascii="Times New Roman"/>
          <w:snapToGrid w:val="0"/>
          <w:spacing w:val="-6"/>
          <w:kern w:val="21"/>
          <w:szCs w:val="21"/>
        </w:rPr>
        <w:fldChar w:fldCharType="separate"/>
      </w:r>
      <w:r>
        <w:rPr>
          <w:rFonts w:ascii="Times New Roman"/>
          <w:szCs w:val="21"/>
        </w:rPr>
        <w:t>⑦</w:t>
      </w:r>
      <w:r>
        <w:rPr>
          <w:rFonts w:ascii="Times New Roman"/>
          <w:snapToGrid w:val="0"/>
          <w:spacing w:val="-6"/>
          <w:kern w:val="21"/>
          <w:szCs w:val="21"/>
        </w:rPr>
        <w:fldChar w:fldCharType="end"/>
      </w:r>
      <w:r>
        <w:rPr>
          <w:rFonts w:ascii="Times New Roman"/>
          <w:snapToGrid w:val="0"/>
          <w:spacing w:val="-6"/>
          <w:kern w:val="21"/>
          <w:szCs w:val="21"/>
        </w:rPr>
        <w:t>=</w:t>
      </w:r>
      <w:r>
        <w:rPr>
          <w:rFonts w:ascii="Times New Roman"/>
          <w:snapToGrid w:val="0"/>
          <w:spacing w:val="-16"/>
          <w:kern w:val="21"/>
          <w:szCs w:val="21"/>
        </w:rPr>
        <w:fldChar w:fldCharType="begin"/>
      </w:r>
      <w:r>
        <w:rPr>
          <w:rFonts w:ascii="Times New Roman"/>
          <w:snapToGrid w:val="0"/>
          <w:spacing w:val="-16"/>
          <w:kern w:val="21"/>
          <w:szCs w:val="21"/>
        </w:rPr>
        <w:instrText xml:space="preserve"> = 6 \* GB3 \* MERGEFORMAT </w:instrText>
      </w:r>
      <w:r>
        <w:rPr>
          <w:rFonts w:ascii="Times New Roman"/>
          <w:snapToGrid w:val="0"/>
          <w:spacing w:val="-16"/>
          <w:kern w:val="21"/>
          <w:szCs w:val="21"/>
        </w:rPr>
        <w:fldChar w:fldCharType="separate"/>
      </w:r>
      <w:r>
        <w:rPr>
          <w:rFonts w:ascii="Times New Roman"/>
          <w:szCs w:val="21"/>
        </w:rPr>
        <w:t>⑥</w:t>
      </w:r>
      <w:r>
        <w:rPr>
          <w:rFonts w:ascii="Times New Roman"/>
          <w:snapToGrid w:val="0"/>
          <w:spacing w:val="-16"/>
          <w:kern w:val="21"/>
          <w:szCs w:val="21"/>
        </w:rPr>
        <w:fldChar w:fldCharType="end"/>
      </w:r>
      <w:r>
        <w:rPr>
          <w:rFonts w:ascii="Times New Roman"/>
          <w:snapToGrid w:val="0"/>
          <w:spacing w:val="-16"/>
          <w:kern w:val="21"/>
          <w:szCs w:val="21"/>
        </w:rPr>
        <w:t>-</w:t>
      </w:r>
      <w:r>
        <w:rPr>
          <w:rFonts w:ascii="Times New Roman"/>
          <w:snapToGrid w:val="0"/>
          <w:spacing w:val="-6"/>
          <w:kern w:val="21"/>
          <w:szCs w:val="21"/>
        </w:rPr>
        <w:fldChar w:fldCharType="begin"/>
      </w:r>
      <w:r>
        <w:rPr>
          <w:rFonts w:ascii="Times New Roman"/>
          <w:snapToGrid w:val="0"/>
          <w:spacing w:val="-6"/>
          <w:kern w:val="21"/>
          <w:szCs w:val="21"/>
        </w:rPr>
        <w:instrText xml:space="preserve"> = 1 \* GB3 \* MERGEFORMAT </w:instrText>
      </w:r>
      <w:r>
        <w:rPr>
          <w:rFonts w:ascii="Times New Roman"/>
          <w:snapToGrid w:val="0"/>
          <w:spacing w:val="-6"/>
          <w:kern w:val="21"/>
          <w:szCs w:val="21"/>
        </w:rPr>
        <w:fldChar w:fldCharType="separate"/>
      </w:r>
      <w:r>
        <w:rPr>
          <w:rFonts w:ascii="Times New Roman"/>
          <w:szCs w:val="21"/>
        </w:rPr>
        <w:t>①</w:t>
      </w:r>
      <w:r>
        <w:rPr>
          <w:rFonts w:ascii="Times New Roman"/>
          <w:snapToGrid w:val="0"/>
          <w:spacing w:val="-6"/>
          <w:kern w:val="21"/>
          <w:szCs w:val="21"/>
        </w:rPr>
        <w:fldChar w:fldCharType="end"/>
      </w:r>
    </w:p>
    <w:p w14:paraId="418827A0">
      <w:pPr>
        <w:pStyle w:val="6"/>
        <w:numPr>
          <w:ilvl w:val="2"/>
          <w:numId w:val="0"/>
        </w:numPr>
        <w:tabs>
          <w:tab w:val="left" w:pos="0"/>
          <w:tab w:val="clear" w:pos="420"/>
        </w:tabs>
        <w:spacing w:line="240" w:lineRule="auto"/>
        <w:rPr>
          <w:rFonts w:hint="eastAsia"/>
          <w:sz w:val="24"/>
          <w:szCs w:val="28"/>
        </w:rPr>
      </w:pPr>
      <w:r>
        <w:rPr>
          <w:rFonts w:hint="eastAsia"/>
          <w:sz w:val="24"/>
          <w:szCs w:val="28"/>
        </w:rPr>
        <w:t>附表2：废水污染源源强核算结果及相关参数一览表</w:t>
      </w:r>
    </w:p>
    <w:p w14:paraId="2BF77ACC">
      <w:pPr>
        <w:pStyle w:val="76"/>
        <w:spacing w:line="240" w:lineRule="auto"/>
        <w:ind w:firstLine="0" w:firstLineChars="0"/>
        <w:jc w:val="center"/>
        <w:rPr>
          <w:rFonts w:hint="default"/>
          <w:b/>
          <w:bCs/>
        </w:rPr>
      </w:pPr>
      <w:r>
        <w:rPr>
          <w:b/>
          <w:bCs/>
        </w:rPr>
        <w:t>废水污染源源强核算结果及相关参数一览表</w:t>
      </w:r>
    </w:p>
    <w:p w14:paraId="7CA28BF4"/>
    <w:tbl>
      <w:tblPr>
        <w:tblStyle w:val="25"/>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36"/>
        <w:gridCol w:w="636"/>
        <w:gridCol w:w="1038"/>
        <w:gridCol w:w="1283"/>
        <w:gridCol w:w="1185"/>
        <w:gridCol w:w="748"/>
        <w:gridCol w:w="563"/>
        <w:gridCol w:w="689"/>
        <w:gridCol w:w="984"/>
        <w:gridCol w:w="748"/>
        <w:gridCol w:w="870"/>
        <w:gridCol w:w="1086"/>
        <w:gridCol w:w="934"/>
        <w:gridCol w:w="618"/>
        <w:gridCol w:w="721"/>
        <w:gridCol w:w="597"/>
        <w:gridCol w:w="836"/>
        <w:gridCol w:w="683"/>
        <w:gridCol w:w="786"/>
        <w:gridCol w:w="1593"/>
        <w:gridCol w:w="1406"/>
        <w:gridCol w:w="646"/>
        <w:gridCol w:w="815"/>
        <w:gridCol w:w="876"/>
      </w:tblGrid>
      <w:tr w14:paraId="360AA5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636" w:type="dxa"/>
            <w:vMerge w:val="restart"/>
            <w:noWrap w:val="0"/>
            <w:vAlign w:val="center"/>
          </w:tcPr>
          <w:p w14:paraId="4774925F">
            <w:pPr>
              <w:pStyle w:val="67"/>
              <w:rPr>
                <w:color w:val="auto"/>
              </w:rPr>
            </w:pPr>
            <w:r>
              <w:rPr>
                <w:rFonts w:hint="eastAsia"/>
                <w:color w:val="auto"/>
              </w:rPr>
              <w:t>产污环节</w:t>
            </w:r>
          </w:p>
        </w:tc>
        <w:tc>
          <w:tcPr>
            <w:tcW w:w="636" w:type="dxa"/>
            <w:vMerge w:val="restart"/>
            <w:noWrap w:val="0"/>
            <w:vAlign w:val="center"/>
          </w:tcPr>
          <w:p w14:paraId="0DBC3D25">
            <w:pPr>
              <w:pStyle w:val="67"/>
              <w:rPr>
                <w:color w:val="auto"/>
              </w:rPr>
            </w:pPr>
            <w:r>
              <w:rPr>
                <w:rFonts w:hint="eastAsia"/>
                <w:color w:val="auto"/>
              </w:rPr>
              <w:t>类别</w:t>
            </w:r>
          </w:p>
        </w:tc>
        <w:tc>
          <w:tcPr>
            <w:tcW w:w="1038" w:type="dxa"/>
            <w:vMerge w:val="restart"/>
            <w:noWrap w:val="0"/>
            <w:vAlign w:val="center"/>
          </w:tcPr>
          <w:p w14:paraId="7AF30EFC">
            <w:pPr>
              <w:pStyle w:val="67"/>
              <w:rPr>
                <w:color w:val="auto"/>
              </w:rPr>
            </w:pPr>
            <w:r>
              <w:rPr>
                <w:rFonts w:hint="eastAsia"/>
                <w:color w:val="auto"/>
              </w:rPr>
              <w:t>污染物种类</w:t>
            </w:r>
          </w:p>
        </w:tc>
        <w:tc>
          <w:tcPr>
            <w:tcW w:w="2468" w:type="dxa"/>
            <w:gridSpan w:val="2"/>
            <w:noWrap w:val="0"/>
            <w:vAlign w:val="center"/>
          </w:tcPr>
          <w:p w14:paraId="2099A708">
            <w:pPr>
              <w:pStyle w:val="67"/>
              <w:rPr>
                <w:color w:val="auto"/>
              </w:rPr>
            </w:pPr>
            <w:r>
              <w:rPr>
                <w:rFonts w:hint="eastAsia"/>
                <w:color w:val="auto"/>
              </w:rPr>
              <w:t>产生源强</w:t>
            </w:r>
          </w:p>
        </w:tc>
        <w:tc>
          <w:tcPr>
            <w:tcW w:w="748" w:type="dxa"/>
            <w:vMerge w:val="restart"/>
            <w:noWrap w:val="0"/>
            <w:vAlign w:val="center"/>
          </w:tcPr>
          <w:p w14:paraId="3D84358B">
            <w:pPr>
              <w:pStyle w:val="67"/>
              <w:rPr>
                <w:color w:val="auto"/>
              </w:rPr>
            </w:pPr>
            <w:r>
              <w:rPr>
                <w:rFonts w:hint="eastAsia"/>
                <w:color w:val="auto"/>
              </w:rPr>
              <w:t>处理能力</w:t>
            </w:r>
            <w:r>
              <w:rPr>
                <w:color w:val="auto"/>
              </w:rPr>
              <w:t>t/d</w:t>
            </w:r>
          </w:p>
        </w:tc>
        <w:tc>
          <w:tcPr>
            <w:tcW w:w="563" w:type="dxa"/>
            <w:vMerge w:val="restart"/>
            <w:noWrap w:val="0"/>
            <w:vAlign w:val="center"/>
          </w:tcPr>
          <w:p w14:paraId="3DE2253F">
            <w:pPr>
              <w:pStyle w:val="67"/>
              <w:rPr>
                <w:color w:val="auto"/>
              </w:rPr>
            </w:pPr>
            <w:r>
              <w:rPr>
                <w:rFonts w:hint="eastAsia"/>
                <w:color w:val="auto"/>
              </w:rPr>
              <w:t>治理工艺</w:t>
            </w:r>
          </w:p>
        </w:tc>
        <w:tc>
          <w:tcPr>
            <w:tcW w:w="689" w:type="dxa"/>
            <w:vMerge w:val="restart"/>
            <w:noWrap w:val="0"/>
            <w:vAlign w:val="center"/>
          </w:tcPr>
          <w:p w14:paraId="23EDED46">
            <w:pPr>
              <w:pStyle w:val="67"/>
              <w:rPr>
                <w:color w:val="auto"/>
              </w:rPr>
            </w:pPr>
            <w:r>
              <w:rPr>
                <w:rFonts w:hint="eastAsia"/>
                <w:color w:val="auto"/>
              </w:rPr>
              <w:t>治理效率</w:t>
            </w:r>
            <w:r>
              <w:rPr>
                <w:color w:val="auto"/>
              </w:rPr>
              <w:t>/%</w:t>
            </w:r>
          </w:p>
        </w:tc>
        <w:tc>
          <w:tcPr>
            <w:tcW w:w="984" w:type="dxa"/>
            <w:vMerge w:val="restart"/>
            <w:noWrap w:val="0"/>
            <w:vAlign w:val="center"/>
          </w:tcPr>
          <w:p w14:paraId="51AB39C8">
            <w:pPr>
              <w:pStyle w:val="67"/>
              <w:rPr>
                <w:color w:val="auto"/>
              </w:rPr>
            </w:pPr>
            <w:r>
              <w:rPr>
                <w:rFonts w:hint="eastAsia"/>
                <w:color w:val="auto"/>
              </w:rPr>
              <w:t>是否为可行技术</w:t>
            </w:r>
          </w:p>
        </w:tc>
        <w:tc>
          <w:tcPr>
            <w:tcW w:w="748" w:type="dxa"/>
            <w:vMerge w:val="restart"/>
            <w:noWrap w:val="0"/>
            <w:vAlign w:val="center"/>
          </w:tcPr>
          <w:p w14:paraId="7282EFAD">
            <w:pPr>
              <w:pStyle w:val="67"/>
              <w:rPr>
                <w:color w:val="auto"/>
              </w:rPr>
            </w:pPr>
            <w:r>
              <w:rPr>
                <w:rFonts w:hint="eastAsia"/>
                <w:color w:val="auto"/>
              </w:rPr>
              <w:t>废水排放量</w:t>
            </w:r>
            <w:r>
              <w:rPr>
                <w:color w:val="auto"/>
              </w:rPr>
              <w:t>t/a</w:t>
            </w:r>
          </w:p>
        </w:tc>
        <w:tc>
          <w:tcPr>
            <w:tcW w:w="870" w:type="dxa"/>
            <w:vMerge w:val="restart"/>
            <w:noWrap w:val="0"/>
            <w:vAlign w:val="center"/>
          </w:tcPr>
          <w:p w14:paraId="24CF48D1">
            <w:pPr>
              <w:pStyle w:val="67"/>
              <w:rPr>
                <w:color w:val="auto"/>
              </w:rPr>
            </w:pPr>
            <w:r>
              <w:rPr>
                <w:rFonts w:hint="eastAsia"/>
                <w:color w:val="auto"/>
              </w:rPr>
              <w:t>污染物种类</w:t>
            </w:r>
          </w:p>
        </w:tc>
        <w:tc>
          <w:tcPr>
            <w:tcW w:w="2020" w:type="dxa"/>
            <w:gridSpan w:val="2"/>
            <w:noWrap w:val="0"/>
            <w:vAlign w:val="center"/>
          </w:tcPr>
          <w:p w14:paraId="0DBBCC81">
            <w:pPr>
              <w:pStyle w:val="67"/>
              <w:rPr>
                <w:color w:val="auto"/>
              </w:rPr>
            </w:pPr>
            <w:r>
              <w:rPr>
                <w:rFonts w:hint="eastAsia"/>
                <w:color w:val="auto"/>
              </w:rPr>
              <w:t>排放源强</w:t>
            </w:r>
          </w:p>
        </w:tc>
        <w:tc>
          <w:tcPr>
            <w:tcW w:w="618" w:type="dxa"/>
            <w:vMerge w:val="restart"/>
            <w:noWrap w:val="0"/>
            <w:vAlign w:val="center"/>
          </w:tcPr>
          <w:p w14:paraId="7F1341A9">
            <w:pPr>
              <w:pStyle w:val="67"/>
              <w:rPr>
                <w:color w:val="auto"/>
              </w:rPr>
            </w:pPr>
            <w:r>
              <w:rPr>
                <w:rFonts w:hint="eastAsia"/>
                <w:color w:val="auto"/>
              </w:rPr>
              <w:t>排放方式</w:t>
            </w:r>
          </w:p>
        </w:tc>
        <w:tc>
          <w:tcPr>
            <w:tcW w:w="721" w:type="dxa"/>
            <w:vMerge w:val="restart"/>
            <w:noWrap w:val="0"/>
            <w:vAlign w:val="center"/>
          </w:tcPr>
          <w:p w14:paraId="7ED74883">
            <w:pPr>
              <w:pStyle w:val="67"/>
              <w:rPr>
                <w:color w:val="auto"/>
              </w:rPr>
            </w:pPr>
            <w:r>
              <w:rPr>
                <w:rFonts w:hint="eastAsia"/>
                <w:color w:val="auto"/>
              </w:rPr>
              <w:t>排放去向</w:t>
            </w:r>
          </w:p>
        </w:tc>
        <w:tc>
          <w:tcPr>
            <w:tcW w:w="597" w:type="dxa"/>
            <w:vMerge w:val="restart"/>
            <w:noWrap w:val="0"/>
            <w:vAlign w:val="center"/>
          </w:tcPr>
          <w:p w14:paraId="55376DF8">
            <w:pPr>
              <w:pStyle w:val="67"/>
              <w:rPr>
                <w:color w:val="auto"/>
              </w:rPr>
            </w:pPr>
            <w:r>
              <w:rPr>
                <w:rFonts w:hint="eastAsia"/>
                <w:color w:val="auto"/>
              </w:rPr>
              <w:t>排放规律</w:t>
            </w:r>
          </w:p>
        </w:tc>
        <w:tc>
          <w:tcPr>
            <w:tcW w:w="3898" w:type="dxa"/>
            <w:gridSpan w:val="4"/>
            <w:noWrap w:val="0"/>
            <w:vAlign w:val="center"/>
          </w:tcPr>
          <w:p w14:paraId="440D0987">
            <w:pPr>
              <w:pStyle w:val="67"/>
              <w:rPr>
                <w:color w:val="auto"/>
              </w:rPr>
            </w:pPr>
            <w:r>
              <w:rPr>
                <w:rFonts w:hint="eastAsia"/>
                <w:color w:val="auto"/>
              </w:rPr>
              <w:t>排放口基本情况</w:t>
            </w:r>
          </w:p>
        </w:tc>
        <w:tc>
          <w:tcPr>
            <w:tcW w:w="1406" w:type="dxa"/>
            <w:vMerge w:val="restart"/>
            <w:noWrap w:val="0"/>
            <w:vAlign w:val="center"/>
          </w:tcPr>
          <w:p w14:paraId="7F882648">
            <w:pPr>
              <w:pStyle w:val="67"/>
              <w:rPr>
                <w:color w:val="auto"/>
              </w:rPr>
            </w:pPr>
            <w:r>
              <w:rPr>
                <w:rFonts w:hint="eastAsia"/>
                <w:color w:val="auto"/>
              </w:rPr>
              <w:t>排放标准</w:t>
            </w:r>
          </w:p>
        </w:tc>
        <w:tc>
          <w:tcPr>
            <w:tcW w:w="2337" w:type="dxa"/>
            <w:gridSpan w:val="3"/>
            <w:noWrap w:val="0"/>
            <w:vAlign w:val="center"/>
          </w:tcPr>
          <w:p w14:paraId="39B966BB">
            <w:pPr>
              <w:pStyle w:val="67"/>
              <w:rPr>
                <w:color w:val="auto"/>
              </w:rPr>
            </w:pPr>
            <w:r>
              <w:rPr>
                <w:rFonts w:hint="eastAsia"/>
                <w:color w:val="auto"/>
              </w:rPr>
              <w:t>监测要求</w:t>
            </w:r>
          </w:p>
        </w:tc>
      </w:tr>
      <w:tr w14:paraId="396440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636" w:type="dxa"/>
            <w:vMerge w:val="continue"/>
            <w:noWrap w:val="0"/>
            <w:vAlign w:val="center"/>
          </w:tcPr>
          <w:p w14:paraId="624EAA84">
            <w:pPr>
              <w:pStyle w:val="67"/>
              <w:rPr>
                <w:color w:val="auto"/>
              </w:rPr>
            </w:pPr>
          </w:p>
        </w:tc>
        <w:tc>
          <w:tcPr>
            <w:tcW w:w="636" w:type="dxa"/>
            <w:vMerge w:val="continue"/>
            <w:noWrap w:val="0"/>
            <w:vAlign w:val="center"/>
          </w:tcPr>
          <w:p w14:paraId="306CCF6B">
            <w:pPr>
              <w:pStyle w:val="67"/>
              <w:rPr>
                <w:color w:val="auto"/>
              </w:rPr>
            </w:pPr>
          </w:p>
        </w:tc>
        <w:tc>
          <w:tcPr>
            <w:tcW w:w="1038" w:type="dxa"/>
            <w:vMerge w:val="continue"/>
            <w:noWrap w:val="0"/>
            <w:vAlign w:val="center"/>
          </w:tcPr>
          <w:p w14:paraId="3F1C92F1">
            <w:pPr>
              <w:pStyle w:val="67"/>
              <w:rPr>
                <w:color w:val="auto"/>
              </w:rPr>
            </w:pPr>
          </w:p>
        </w:tc>
        <w:tc>
          <w:tcPr>
            <w:tcW w:w="1283" w:type="dxa"/>
            <w:noWrap w:val="0"/>
            <w:vAlign w:val="center"/>
          </w:tcPr>
          <w:p w14:paraId="507F8494">
            <w:pPr>
              <w:pStyle w:val="67"/>
              <w:rPr>
                <w:color w:val="auto"/>
              </w:rPr>
            </w:pPr>
            <w:r>
              <w:rPr>
                <w:rFonts w:hint="eastAsia"/>
                <w:color w:val="auto"/>
              </w:rPr>
              <w:t>主要污染物产生量（</w:t>
            </w:r>
            <w:r>
              <w:rPr>
                <w:color w:val="auto"/>
              </w:rPr>
              <w:t>t/a)</w:t>
            </w:r>
          </w:p>
        </w:tc>
        <w:tc>
          <w:tcPr>
            <w:tcW w:w="1185" w:type="dxa"/>
            <w:noWrap w:val="0"/>
            <w:vAlign w:val="center"/>
          </w:tcPr>
          <w:p w14:paraId="0684D650">
            <w:pPr>
              <w:pStyle w:val="67"/>
              <w:rPr>
                <w:color w:val="auto"/>
              </w:rPr>
            </w:pPr>
            <w:r>
              <w:rPr>
                <w:rFonts w:hint="eastAsia"/>
                <w:color w:val="auto"/>
              </w:rPr>
              <w:t>污染物产生浓度（</w:t>
            </w:r>
            <w:r>
              <w:rPr>
                <w:color w:val="auto"/>
              </w:rPr>
              <w:t>mg/m</w:t>
            </w:r>
            <w:r>
              <w:rPr>
                <w:color w:val="auto"/>
                <w:vertAlign w:val="superscript"/>
              </w:rPr>
              <w:t>3</w:t>
            </w:r>
            <w:r>
              <w:rPr>
                <w:color w:val="auto"/>
              </w:rPr>
              <w:t>)</w:t>
            </w:r>
          </w:p>
        </w:tc>
        <w:tc>
          <w:tcPr>
            <w:tcW w:w="748" w:type="dxa"/>
            <w:vMerge w:val="continue"/>
            <w:noWrap w:val="0"/>
            <w:vAlign w:val="center"/>
          </w:tcPr>
          <w:p w14:paraId="667BE94C">
            <w:pPr>
              <w:pStyle w:val="67"/>
              <w:rPr>
                <w:color w:val="auto"/>
              </w:rPr>
            </w:pPr>
          </w:p>
        </w:tc>
        <w:tc>
          <w:tcPr>
            <w:tcW w:w="563" w:type="dxa"/>
            <w:vMerge w:val="continue"/>
            <w:noWrap w:val="0"/>
            <w:vAlign w:val="center"/>
          </w:tcPr>
          <w:p w14:paraId="578ECCF4">
            <w:pPr>
              <w:pStyle w:val="67"/>
              <w:rPr>
                <w:color w:val="auto"/>
              </w:rPr>
            </w:pPr>
          </w:p>
        </w:tc>
        <w:tc>
          <w:tcPr>
            <w:tcW w:w="689" w:type="dxa"/>
            <w:vMerge w:val="continue"/>
            <w:noWrap w:val="0"/>
            <w:vAlign w:val="center"/>
          </w:tcPr>
          <w:p w14:paraId="6D0CDDF3">
            <w:pPr>
              <w:pStyle w:val="67"/>
              <w:rPr>
                <w:color w:val="auto"/>
              </w:rPr>
            </w:pPr>
          </w:p>
        </w:tc>
        <w:tc>
          <w:tcPr>
            <w:tcW w:w="984" w:type="dxa"/>
            <w:vMerge w:val="continue"/>
            <w:noWrap w:val="0"/>
            <w:vAlign w:val="center"/>
          </w:tcPr>
          <w:p w14:paraId="3BECC6BB">
            <w:pPr>
              <w:pStyle w:val="67"/>
              <w:rPr>
                <w:color w:val="auto"/>
              </w:rPr>
            </w:pPr>
          </w:p>
        </w:tc>
        <w:tc>
          <w:tcPr>
            <w:tcW w:w="748" w:type="dxa"/>
            <w:vMerge w:val="continue"/>
            <w:noWrap w:val="0"/>
            <w:vAlign w:val="center"/>
          </w:tcPr>
          <w:p w14:paraId="62B46F2A">
            <w:pPr>
              <w:pStyle w:val="67"/>
              <w:rPr>
                <w:color w:val="auto"/>
              </w:rPr>
            </w:pPr>
          </w:p>
        </w:tc>
        <w:tc>
          <w:tcPr>
            <w:tcW w:w="870" w:type="dxa"/>
            <w:vMerge w:val="continue"/>
            <w:noWrap w:val="0"/>
            <w:vAlign w:val="center"/>
          </w:tcPr>
          <w:p w14:paraId="51B52609">
            <w:pPr>
              <w:pStyle w:val="67"/>
              <w:rPr>
                <w:color w:val="auto"/>
              </w:rPr>
            </w:pPr>
          </w:p>
        </w:tc>
        <w:tc>
          <w:tcPr>
            <w:tcW w:w="1086" w:type="dxa"/>
            <w:noWrap w:val="0"/>
            <w:vAlign w:val="center"/>
          </w:tcPr>
          <w:p w14:paraId="524B0C48">
            <w:pPr>
              <w:pStyle w:val="67"/>
              <w:rPr>
                <w:color w:val="auto"/>
              </w:rPr>
            </w:pPr>
            <w:r>
              <w:rPr>
                <w:rFonts w:hint="eastAsia"/>
                <w:color w:val="auto"/>
              </w:rPr>
              <w:t>主要污染物排放量（</w:t>
            </w:r>
            <w:r>
              <w:rPr>
                <w:color w:val="auto"/>
              </w:rPr>
              <w:t>t/a)</w:t>
            </w:r>
          </w:p>
        </w:tc>
        <w:tc>
          <w:tcPr>
            <w:tcW w:w="934" w:type="dxa"/>
            <w:noWrap w:val="0"/>
            <w:vAlign w:val="center"/>
          </w:tcPr>
          <w:p w14:paraId="509C4072">
            <w:pPr>
              <w:pStyle w:val="67"/>
              <w:rPr>
                <w:color w:val="auto"/>
              </w:rPr>
            </w:pPr>
            <w:r>
              <w:rPr>
                <w:rFonts w:hint="eastAsia"/>
                <w:color w:val="auto"/>
              </w:rPr>
              <w:t>污染物排放浓度（</w:t>
            </w:r>
            <w:r>
              <w:rPr>
                <w:color w:val="auto"/>
              </w:rPr>
              <w:t>mg/m</w:t>
            </w:r>
            <w:r>
              <w:rPr>
                <w:color w:val="auto"/>
                <w:vertAlign w:val="superscript"/>
              </w:rPr>
              <w:t>3</w:t>
            </w:r>
            <w:r>
              <w:rPr>
                <w:color w:val="auto"/>
              </w:rPr>
              <w:t>)</w:t>
            </w:r>
          </w:p>
        </w:tc>
        <w:tc>
          <w:tcPr>
            <w:tcW w:w="618" w:type="dxa"/>
            <w:vMerge w:val="continue"/>
            <w:noWrap w:val="0"/>
            <w:vAlign w:val="center"/>
          </w:tcPr>
          <w:p w14:paraId="64B75D68">
            <w:pPr>
              <w:pStyle w:val="67"/>
              <w:rPr>
                <w:color w:val="auto"/>
              </w:rPr>
            </w:pPr>
          </w:p>
        </w:tc>
        <w:tc>
          <w:tcPr>
            <w:tcW w:w="721" w:type="dxa"/>
            <w:vMerge w:val="continue"/>
            <w:noWrap w:val="0"/>
            <w:vAlign w:val="center"/>
          </w:tcPr>
          <w:p w14:paraId="45C2A41B">
            <w:pPr>
              <w:pStyle w:val="67"/>
              <w:rPr>
                <w:color w:val="auto"/>
              </w:rPr>
            </w:pPr>
          </w:p>
        </w:tc>
        <w:tc>
          <w:tcPr>
            <w:tcW w:w="597" w:type="dxa"/>
            <w:vMerge w:val="continue"/>
            <w:noWrap w:val="0"/>
            <w:vAlign w:val="center"/>
          </w:tcPr>
          <w:p w14:paraId="5C76F217">
            <w:pPr>
              <w:pStyle w:val="67"/>
              <w:rPr>
                <w:color w:val="auto"/>
              </w:rPr>
            </w:pPr>
          </w:p>
        </w:tc>
        <w:tc>
          <w:tcPr>
            <w:tcW w:w="836" w:type="dxa"/>
            <w:noWrap w:val="0"/>
            <w:vAlign w:val="center"/>
          </w:tcPr>
          <w:p w14:paraId="3DA0A073">
            <w:pPr>
              <w:pStyle w:val="67"/>
              <w:rPr>
                <w:color w:val="auto"/>
              </w:rPr>
            </w:pPr>
            <w:r>
              <w:rPr>
                <w:rFonts w:hint="eastAsia"/>
                <w:color w:val="auto"/>
              </w:rPr>
              <w:t>编号</w:t>
            </w:r>
          </w:p>
        </w:tc>
        <w:tc>
          <w:tcPr>
            <w:tcW w:w="683" w:type="dxa"/>
            <w:noWrap w:val="0"/>
            <w:vAlign w:val="center"/>
          </w:tcPr>
          <w:p w14:paraId="1D48FC98">
            <w:pPr>
              <w:pStyle w:val="67"/>
              <w:rPr>
                <w:color w:val="auto"/>
              </w:rPr>
            </w:pPr>
            <w:r>
              <w:rPr>
                <w:rFonts w:hint="eastAsia"/>
                <w:color w:val="auto"/>
              </w:rPr>
              <w:t>名称</w:t>
            </w:r>
          </w:p>
        </w:tc>
        <w:tc>
          <w:tcPr>
            <w:tcW w:w="786" w:type="dxa"/>
            <w:noWrap w:val="0"/>
            <w:vAlign w:val="center"/>
          </w:tcPr>
          <w:p w14:paraId="59D9EED9">
            <w:pPr>
              <w:pStyle w:val="67"/>
              <w:rPr>
                <w:color w:val="auto"/>
              </w:rPr>
            </w:pPr>
            <w:r>
              <w:rPr>
                <w:rFonts w:hint="eastAsia"/>
                <w:color w:val="auto"/>
              </w:rPr>
              <w:t>类型</w:t>
            </w:r>
          </w:p>
        </w:tc>
        <w:tc>
          <w:tcPr>
            <w:tcW w:w="1593" w:type="dxa"/>
            <w:noWrap w:val="0"/>
            <w:vAlign w:val="center"/>
          </w:tcPr>
          <w:p w14:paraId="243DF725">
            <w:pPr>
              <w:pStyle w:val="67"/>
              <w:rPr>
                <w:color w:val="auto"/>
              </w:rPr>
            </w:pPr>
            <w:r>
              <w:rPr>
                <w:rFonts w:hint="eastAsia"/>
                <w:color w:val="auto"/>
              </w:rPr>
              <w:t>地理坐标</w:t>
            </w:r>
          </w:p>
        </w:tc>
        <w:tc>
          <w:tcPr>
            <w:tcW w:w="1406" w:type="dxa"/>
            <w:vMerge w:val="continue"/>
            <w:noWrap w:val="0"/>
            <w:vAlign w:val="center"/>
          </w:tcPr>
          <w:p w14:paraId="1DA6DD51">
            <w:pPr>
              <w:pStyle w:val="67"/>
              <w:rPr>
                <w:color w:val="auto"/>
              </w:rPr>
            </w:pPr>
          </w:p>
        </w:tc>
        <w:tc>
          <w:tcPr>
            <w:tcW w:w="646" w:type="dxa"/>
            <w:noWrap w:val="0"/>
            <w:vAlign w:val="center"/>
          </w:tcPr>
          <w:p w14:paraId="11A57020">
            <w:pPr>
              <w:pStyle w:val="67"/>
              <w:rPr>
                <w:color w:val="auto"/>
              </w:rPr>
            </w:pPr>
            <w:r>
              <w:rPr>
                <w:rFonts w:hint="eastAsia"/>
                <w:color w:val="auto"/>
              </w:rPr>
              <w:t>监测点位</w:t>
            </w:r>
          </w:p>
        </w:tc>
        <w:tc>
          <w:tcPr>
            <w:tcW w:w="815" w:type="dxa"/>
            <w:noWrap w:val="0"/>
            <w:vAlign w:val="center"/>
          </w:tcPr>
          <w:p w14:paraId="50C7F58C">
            <w:pPr>
              <w:pStyle w:val="67"/>
              <w:rPr>
                <w:color w:val="auto"/>
              </w:rPr>
            </w:pPr>
            <w:r>
              <w:rPr>
                <w:rFonts w:hint="eastAsia"/>
                <w:color w:val="auto"/>
              </w:rPr>
              <w:t>监测因子</w:t>
            </w:r>
          </w:p>
        </w:tc>
        <w:tc>
          <w:tcPr>
            <w:tcW w:w="876" w:type="dxa"/>
            <w:noWrap w:val="0"/>
            <w:vAlign w:val="center"/>
          </w:tcPr>
          <w:p w14:paraId="4ECA84BA">
            <w:pPr>
              <w:pStyle w:val="67"/>
              <w:rPr>
                <w:color w:val="auto"/>
              </w:rPr>
            </w:pPr>
            <w:r>
              <w:rPr>
                <w:rFonts w:hint="eastAsia"/>
                <w:color w:val="auto"/>
              </w:rPr>
              <w:t>监测频次</w:t>
            </w:r>
          </w:p>
        </w:tc>
      </w:tr>
      <w:tr w14:paraId="3571009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636" w:type="dxa"/>
            <w:vMerge w:val="restart"/>
            <w:noWrap w:val="0"/>
            <w:vAlign w:val="center"/>
          </w:tcPr>
          <w:p w14:paraId="080D7BDA">
            <w:pPr>
              <w:pStyle w:val="67"/>
              <w:rPr>
                <w:color w:val="auto"/>
              </w:rPr>
            </w:pPr>
            <w:r>
              <w:rPr>
                <w:rFonts w:hint="eastAsia"/>
                <w:color w:val="auto"/>
              </w:rPr>
              <w:t>诊疗、化验、手术、宠物住院</w:t>
            </w:r>
          </w:p>
        </w:tc>
        <w:tc>
          <w:tcPr>
            <w:tcW w:w="636" w:type="dxa"/>
            <w:vMerge w:val="restart"/>
            <w:noWrap w:val="0"/>
            <w:vAlign w:val="center"/>
          </w:tcPr>
          <w:p w14:paraId="69BF76ED">
            <w:pPr>
              <w:pStyle w:val="67"/>
              <w:rPr>
                <w:color w:val="auto"/>
              </w:rPr>
            </w:pPr>
            <w:r>
              <w:rPr>
                <w:rFonts w:hint="eastAsia"/>
                <w:color w:val="auto"/>
              </w:rPr>
              <w:t>医疗废水</w:t>
            </w:r>
          </w:p>
        </w:tc>
        <w:tc>
          <w:tcPr>
            <w:tcW w:w="1038" w:type="dxa"/>
            <w:noWrap w:val="0"/>
            <w:vAlign w:val="center"/>
          </w:tcPr>
          <w:p w14:paraId="31347BC3">
            <w:pPr>
              <w:pStyle w:val="67"/>
              <w:rPr>
                <w:rFonts w:hint="default" w:eastAsia="宋体"/>
                <w:color w:val="auto"/>
                <w:vertAlign w:val="subscript"/>
                <w:lang w:val="en-US" w:eastAsia="zh-CN"/>
              </w:rPr>
            </w:pPr>
            <w:r>
              <w:rPr>
                <w:color w:val="auto"/>
              </w:rPr>
              <w:t>COD</w:t>
            </w:r>
            <w:r>
              <w:rPr>
                <w:rFonts w:hint="eastAsia"/>
                <w:color w:val="auto"/>
                <w:vertAlign w:val="subscript"/>
                <w:lang w:val="en-US" w:eastAsia="zh-CN"/>
              </w:rPr>
              <w:t>Cr</w:t>
            </w:r>
          </w:p>
        </w:tc>
        <w:tc>
          <w:tcPr>
            <w:tcW w:w="1283" w:type="dxa"/>
            <w:noWrap w:val="0"/>
            <w:vAlign w:val="center"/>
          </w:tcPr>
          <w:p w14:paraId="2E30FECC">
            <w:pPr>
              <w:widowControl/>
              <w:jc w:val="center"/>
              <w:textAlignment w:val="center"/>
              <w:rPr>
                <w:rFonts w:hint="eastAsia" w:eastAsia="宋体"/>
                <w:color w:val="auto"/>
                <w:lang w:eastAsia="zh-CN"/>
              </w:rPr>
            </w:pPr>
            <w:r>
              <w:rPr>
                <w:color w:val="auto"/>
                <w:kern w:val="0"/>
                <w:sz w:val="21"/>
                <w:szCs w:val="21"/>
                <w:lang w:bidi="ar"/>
              </w:rPr>
              <w:t>0.00</w:t>
            </w:r>
            <w:r>
              <w:rPr>
                <w:rFonts w:hint="eastAsia"/>
                <w:color w:val="auto"/>
                <w:kern w:val="0"/>
                <w:sz w:val="21"/>
                <w:szCs w:val="21"/>
                <w:lang w:val="en-US" w:eastAsia="zh-CN" w:bidi="ar"/>
              </w:rPr>
              <w:t>2</w:t>
            </w:r>
          </w:p>
        </w:tc>
        <w:tc>
          <w:tcPr>
            <w:tcW w:w="1185" w:type="dxa"/>
            <w:noWrap w:val="0"/>
            <w:vAlign w:val="center"/>
          </w:tcPr>
          <w:p w14:paraId="40E26CBE">
            <w:pPr>
              <w:pStyle w:val="67"/>
              <w:rPr>
                <w:color w:val="auto"/>
              </w:rPr>
            </w:pPr>
            <w:r>
              <w:rPr>
                <w:rFonts w:hint="eastAsia"/>
                <w:color w:val="auto"/>
              </w:rPr>
              <w:t>250</w:t>
            </w:r>
          </w:p>
        </w:tc>
        <w:tc>
          <w:tcPr>
            <w:tcW w:w="748" w:type="dxa"/>
            <w:vMerge w:val="restart"/>
            <w:noWrap w:val="0"/>
            <w:vAlign w:val="center"/>
          </w:tcPr>
          <w:p w14:paraId="43524A97">
            <w:pPr>
              <w:pStyle w:val="67"/>
              <w:rPr>
                <w:rFonts w:hint="default" w:eastAsia="宋体"/>
                <w:color w:val="auto"/>
                <w:lang w:val="en-US" w:eastAsia="zh-CN"/>
              </w:rPr>
            </w:pPr>
            <w:r>
              <w:rPr>
                <w:rFonts w:hint="eastAsia"/>
                <w:color w:val="auto"/>
                <w:lang w:val="en-US" w:eastAsia="zh-CN"/>
              </w:rPr>
              <w:t>0.5</w:t>
            </w:r>
          </w:p>
        </w:tc>
        <w:tc>
          <w:tcPr>
            <w:tcW w:w="563" w:type="dxa"/>
            <w:vMerge w:val="restart"/>
            <w:noWrap w:val="0"/>
            <w:vAlign w:val="center"/>
          </w:tcPr>
          <w:p w14:paraId="0502EAD0">
            <w:pPr>
              <w:pStyle w:val="67"/>
              <w:rPr>
                <w:color w:val="auto"/>
              </w:rPr>
            </w:pPr>
            <w:r>
              <w:rPr>
                <w:rFonts w:hint="eastAsia"/>
                <w:color w:val="auto"/>
              </w:rPr>
              <w:t>滤网+二氧化氯消毒</w:t>
            </w:r>
          </w:p>
        </w:tc>
        <w:tc>
          <w:tcPr>
            <w:tcW w:w="689" w:type="dxa"/>
            <w:noWrap w:val="0"/>
            <w:vAlign w:val="center"/>
          </w:tcPr>
          <w:p w14:paraId="7157D3D5">
            <w:pPr>
              <w:pStyle w:val="67"/>
              <w:rPr>
                <w:color w:val="auto"/>
              </w:rPr>
            </w:pPr>
            <w:r>
              <w:rPr>
                <w:rFonts w:hint="eastAsia"/>
                <w:color w:val="auto"/>
              </w:rPr>
              <w:t>/</w:t>
            </w:r>
          </w:p>
        </w:tc>
        <w:tc>
          <w:tcPr>
            <w:tcW w:w="984" w:type="dxa"/>
            <w:vMerge w:val="restart"/>
            <w:noWrap w:val="0"/>
            <w:vAlign w:val="center"/>
          </w:tcPr>
          <w:p w14:paraId="514AD73A">
            <w:pPr>
              <w:pStyle w:val="67"/>
              <w:rPr>
                <w:rFonts w:hint="eastAsia"/>
                <w:color w:val="auto"/>
              </w:rPr>
            </w:pPr>
            <w:r>
              <w:rPr>
                <w:rFonts w:hint="eastAsia"/>
                <w:color w:val="auto"/>
              </w:rPr>
              <w:t>是</w:t>
            </w:r>
          </w:p>
        </w:tc>
        <w:tc>
          <w:tcPr>
            <w:tcW w:w="748" w:type="dxa"/>
            <w:vMerge w:val="restart"/>
            <w:noWrap w:val="0"/>
            <w:vAlign w:val="center"/>
          </w:tcPr>
          <w:p w14:paraId="4D36592C">
            <w:pPr>
              <w:pStyle w:val="67"/>
              <w:rPr>
                <w:rFonts w:hint="default" w:eastAsia="宋体"/>
                <w:color w:val="auto"/>
                <w:lang w:val="en-US" w:eastAsia="zh-CN"/>
              </w:rPr>
            </w:pPr>
            <w:r>
              <w:rPr>
                <w:rFonts w:hint="eastAsia"/>
                <w:color w:val="auto"/>
                <w:lang w:val="en-US" w:eastAsia="zh-CN"/>
              </w:rPr>
              <w:t>9.18</w:t>
            </w:r>
          </w:p>
        </w:tc>
        <w:tc>
          <w:tcPr>
            <w:tcW w:w="870" w:type="dxa"/>
            <w:noWrap w:val="0"/>
            <w:vAlign w:val="center"/>
          </w:tcPr>
          <w:p w14:paraId="655DF5D1">
            <w:pPr>
              <w:pStyle w:val="67"/>
              <w:rPr>
                <w:color w:val="auto"/>
              </w:rPr>
            </w:pPr>
            <w:r>
              <w:rPr>
                <w:color w:val="auto"/>
              </w:rPr>
              <w:t>COD</w:t>
            </w:r>
            <w:r>
              <w:rPr>
                <w:rFonts w:hint="eastAsia"/>
                <w:color w:val="auto"/>
                <w:vertAlign w:val="subscript"/>
                <w:lang w:val="en-US" w:eastAsia="zh-CN"/>
              </w:rPr>
              <w:t>Cr</w:t>
            </w:r>
          </w:p>
        </w:tc>
        <w:tc>
          <w:tcPr>
            <w:tcW w:w="1086" w:type="dxa"/>
            <w:noWrap w:val="0"/>
            <w:vAlign w:val="center"/>
          </w:tcPr>
          <w:p w14:paraId="6B7714D6">
            <w:pPr>
              <w:widowControl/>
              <w:jc w:val="center"/>
              <w:textAlignment w:val="center"/>
              <w:rPr>
                <w:rFonts w:hint="eastAsia" w:eastAsia="宋体"/>
                <w:color w:val="auto"/>
                <w:lang w:eastAsia="zh-CN"/>
              </w:rPr>
            </w:pPr>
            <w:r>
              <w:rPr>
                <w:color w:val="auto"/>
                <w:kern w:val="0"/>
                <w:sz w:val="21"/>
                <w:szCs w:val="21"/>
                <w:lang w:bidi="ar"/>
              </w:rPr>
              <w:t>0.00</w:t>
            </w:r>
            <w:r>
              <w:rPr>
                <w:rFonts w:hint="eastAsia"/>
                <w:color w:val="auto"/>
                <w:kern w:val="0"/>
                <w:sz w:val="21"/>
                <w:szCs w:val="21"/>
                <w:lang w:val="en-US" w:eastAsia="zh-CN" w:bidi="ar"/>
              </w:rPr>
              <w:t>2</w:t>
            </w:r>
          </w:p>
        </w:tc>
        <w:tc>
          <w:tcPr>
            <w:tcW w:w="934" w:type="dxa"/>
            <w:noWrap w:val="0"/>
            <w:vAlign w:val="center"/>
          </w:tcPr>
          <w:p w14:paraId="5795E0CE">
            <w:pPr>
              <w:widowControl/>
              <w:jc w:val="center"/>
              <w:textAlignment w:val="center"/>
              <w:rPr>
                <w:color w:val="auto"/>
              </w:rPr>
            </w:pPr>
            <w:r>
              <w:rPr>
                <w:color w:val="auto"/>
                <w:kern w:val="0"/>
                <w:sz w:val="21"/>
                <w:szCs w:val="21"/>
                <w:lang w:bidi="ar"/>
              </w:rPr>
              <w:t>250</w:t>
            </w:r>
          </w:p>
        </w:tc>
        <w:tc>
          <w:tcPr>
            <w:tcW w:w="618" w:type="dxa"/>
            <w:vMerge w:val="restart"/>
            <w:noWrap w:val="0"/>
            <w:vAlign w:val="center"/>
          </w:tcPr>
          <w:p w14:paraId="53149F05">
            <w:pPr>
              <w:pStyle w:val="67"/>
              <w:rPr>
                <w:color w:val="auto"/>
              </w:rPr>
            </w:pPr>
            <w:r>
              <w:rPr>
                <w:rFonts w:hint="eastAsia"/>
                <w:color w:val="auto"/>
              </w:rPr>
              <w:t>间接排放</w:t>
            </w:r>
          </w:p>
        </w:tc>
        <w:tc>
          <w:tcPr>
            <w:tcW w:w="721" w:type="dxa"/>
            <w:vMerge w:val="restart"/>
            <w:noWrap w:val="0"/>
            <w:vAlign w:val="center"/>
          </w:tcPr>
          <w:p w14:paraId="6E7568CE">
            <w:pPr>
              <w:pStyle w:val="67"/>
              <w:rPr>
                <w:rFonts w:hint="eastAsia"/>
                <w:color w:val="auto"/>
              </w:rPr>
            </w:pPr>
            <w:r>
              <w:rPr>
                <w:rFonts w:hint="eastAsia"/>
                <w:color w:val="auto"/>
              </w:rPr>
              <w:t>化粪池</w:t>
            </w:r>
          </w:p>
        </w:tc>
        <w:tc>
          <w:tcPr>
            <w:tcW w:w="597" w:type="dxa"/>
            <w:vMerge w:val="restart"/>
            <w:noWrap w:val="0"/>
            <w:vAlign w:val="center"/>
          </w:tcPr>
          <w:p w14:paraId="7384A6AA">
            <w:pPr>
              <w:pStyle w:val="67"/>
              <w:rPr>
                <w:rFonts w:hint="eastAsia"/>
                <w:color w:val="auto"/>
              </w:rPr>
            </w:pPr>
            <w:r>
              <w:rPr>
                <w:rFonts w:hint="eastAsia"/>
                <w:color w:val="auto"/>
              </w:rPr>
              <w:t>间歇</w:t>
            </w:r>
          </w:p>
        </w:tc>
        <w:tc>
          <w:tcPr>
            <w:tcW w:w="836" w:type="dxa"/>
            <w:vMerge w:val="restart"/>
            <w:noWrap w:val="0"/>
            <w:vAlign w:val="center"/>
          </w:tcPr>
          <w:p w14:paraId="163CEEE6">
            <w:pPr>
              <w:pStyle w:val="67"/>
              <w:rPr>
                <w:rFonts w:hint="eastAsia"/>
                <w:color w:val="auto"/>
              </w:rPr>
            </w:pPr>
            <w:r>
              <w:rPr>
                <w:rFonts w:hint="eastAsia"/>
                <w:color w:val="auto"/>
              </w:rPr>
              <w:t>/</w:t>
            </w:r>
          </w:p>
        </w:tc>
        <w:tc>
          <w:tcPr>
            <w:tcW w:w="683" w:type="dxa"/>
            <w:vMerge w:val="restart"/>
            <w:noWrap w:val="0"/>
            <w:vAlign w:val="center"/>
          </w:tcPr>
          <w:p w14:paraId="5E8A6BDB">
            <w:pPr>
              <w:pStyle w:val="67"/>
              <w:rPr>
                <w:rFonts w:hint="eastAsia"/>
                <w:color w:val="auto"/>
              </w:rPr>
            </w:pPr>
            <w:r>
              <w:rPr>
                <w:rFonts w:hint="eastAsia"/>
                <w:color w:val="auto"/>
              </w:rPr>
              <w:t>/</w:t>
            </w:r>
          </w:p>
        </w:tc>
        <w:tc>
          <w:tcPr>
            <w:tcW w:w="786" w:type="dxa"/>
            <w:vMerge w:val="restart"/>
            <w:noWrap w:val="0"/>
            <w:vAlign w:val="center"/>
          </w:tcPr>
          <w:p w14:paraId="7B26D041">
            <w:pPr>
              <w:pStyle w:val="67"/>
              <w:rPr>
                <w:rFonts w:hint="eastAsia"/>
                <w:color w:val="auto"/>
              </w:rPr>
            </w:pPr>
            <w:r>
              <w:rPr>
                <w:rFonts w:hint="eastAsia"/>
                <w:color w:val="auto"/>
              </w:rPr>
              <w:t>/</w:t>
            </w:r>
          </w:p>
        </w:tc>
        <w:tc>
          <w:tcPr>
            <w:tcW w:w="1593" w:type="dxa"/>
            <w:vMerge w:val="restart"/>
            <w:noWrap w:val="0"/>
            <w:vAlign w:val="center"/>
          </w:tcPr>
          <w:p w14:paraId="26472894">
            <w:pPr>
              <w:pStyle w:val="67"/>
              <w:rPr>
                <w:rFonts w:hint="eastAsia"/>
                <w:color w:val="auto"/>
              </w:rPr>
            </w:pPr>
            <w:r>
              <w:rPr>
                <w:rFonts w:hint="eastAsia"/>
                <w:color w:val="auto"/>
              </w:rPr>
              <w:t>/</w:t>
            </w:r>
          </w:p>
        </w:tc>
        <w:tc>
          <w:tcPr>
            <w:tcW w:w="1406" w:type="dxa"/>
            <w:noWrap w:val="0"/>
            <w:vAlign w:val="center"/>
          </w:tcPr>
          <w:p w14:paraId="05BDBA14">
            <w:pPr>
              <w:pStyle w:val="67"/>
              <w:rPr>
                <w:color w:val="auto"/>
              </w:rPr>
            </w:pPr>
            <w:r>
              <w:rPr>
                <w:color w:val="auto"/>
              </w:rPr>
              <w:t>250</w:t>
            </w:r>
          </w:p>
        </w:tc>
        <w:tc>
          <w:tcPr>
            <w:tcW w:w="646" w:type="dxa"/>
            <w:vMerge w:val="restart"/>
            <w:noWrap w:val="0"/>
            <w:vAlign w:val="center"/>
          </w:tcPr>
          <w:p w14:paraId="53024B17">
            <w:pPr>
              <w:pStyle w:val="67"/>
              <w:rPr>
                <w:color w:val="auto"/>
              </w:rPr>
            </w:pPr>
            <w:r>
              <w:rPr>
                <w:rFonts w:hint="eastAsia"/>
                <w:color w:val="auto"/>
              </w:rPr>
              <w:t>小型一体化医疗废水处理设施出口</w:t>
            </w:r>
          </w:p>
        </w:tc>
        <w:tc>
          <w:tcPr>
            <w:tcW w:w="815" w:type="dxa"/>
            <w:noWrap w:val="0"/>
            <w:vAlign w:val="center"/>
          </w:tcPr>
          <w:p w14:paraId="5A0E82A8">
            <w:pPr>
              <w:pStyle w:val="67"/>
              <w:rPr>
                <w:color w:val="auto"/>
              </w:rPr>
            </w:pPr>
            <w:r>
              <w:rPr>
                <w:color w:val="auto"/>
              </w:rPr>
              <w:t>COD</w:t>
            </w:r>
          </w:p>
        </w:tc>
        <w:tc>
          <w:tcPr>
            <w:tcW w:w="876" w:type="dxa"/>
            <w:noWrap w:val="0"/>
            <w:vAlign w:val="center"/>
          </w:tcPr>
          <w:p w14:paraId="040FD7B1">
            <w:pPr>
              <w:pStyle w:val="67"/>
              <w:rPr>
                <w:color w:val="auto"/>
              </w:rPr>
            </w:pPr>
            <w:r>
              <w:rPr>
                <w:color w:val="auto"/>
              </w:rPr>
              <w:t>1</w:t>
            </w:r>
            <w:r>
              <w:rPr>
                <w:rFonts w:hint="eastAsia"/>
                <w:color w:val="auto"/>
              </w:rPr>
              <w:t>次/季度</w:t>
            </w:r>
          </w:p>
        </w:tc>
      </w:tr>
      <w:tr w14:paraId="2D63B9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636" w:type="dxa"/>
            <w:vMerge w:val="continue"/>
            <w:noWrap w:val="0"/>
            <w:vAlign w:val="center"/>
          </w:tcPr>
          <w:p w14:paraId="263A05AA">
            <w:pPr>
              <w:pStyle w:val="67"/>
              <w:rPr>
                <w:color w:val="auto"/>
              </w:rPr>
            </w:pPr>
          </w:p>
        </w:tc>
        <w:tc>
          <w:tcPr>
            <w:tcW w:w="636" w:type="dxa"/>
            <w:vMerge w:val="continue"/>
            <w:noWrap w:val="0"/>
            <w:vAlign w:val="center"/>
          </w:tcPr>
          <w:p w14:paraId="162E74A2">
            <w:pPr>
              <w:pStyle w:val="67"/>
              <w:rPr>
                <w:color w:val="auto"/>
              </w:rPr>
            </w:pPr>
          </w:p>
        </w:tc>
        <w:tc>
          <w:tcPr>
            <w:tcW w:w="1038" w:type="dxa"/>
            <w:noWrap w:val="0"/>
            <w:vAlign w:val="center"/>
          </w:tcPr>
          <w:p w14:paraId="5B6B3941">
            <w:pPr>
              <w:pStyle w:val="67"/>
              <w:rPr>
                <w:color w:val="auto"/>
              </w:rPr>
            </w:pPr>
            <w:r>
              <w:rPr>
                <w:rFonts w:hint="eastAsia"/>
                <w:color w:val="auto"/>
              </w:rPr>
              <w:t>BOD</w:t>
            </w:r>
            <w:r>
              <w:rPr>
                <w:rFonts w:hint="eastAsia"/>
                <w:color w:val="auto"/>
                <w:vertAlign w:val="subscript"/>
              </w:rPr>
              <w:t>5</w:t>
            </w:r>
          </w:p>
        </w:tc>
        <w:tc>
          <w:tcPr>
            <w:tcW w:w="1283" w:type="dxa"/>
            <w:noWrap w:val="0"/>
            <w:vAlign w:val="center"/>
          </w:tcPr>
          <w:p w14:paraId="030AF0FE">
            <w:pPr>
              <w:widowControl/>
              <w:jc w:val="center"/>
              <w:textAlignment w:val="center"/>
              <w:rPr>
                <w:rFonts w:hint="eastAsia" w:eastAsia="宋体"/>
                <w:color w:val="auto"/>
                <w:lang w:eastAsia="zh-CN"/>
              </w:rPr>
            </w:pPr>
            <w:r>
              <w:rPr>
                <w:color w:val="auto"/>
                <w:kern w:val="0"/>
                <w:sz w:val="21"/>
                <w:szCs w:val="21"/>
                <w:lang w:bidi="ar"/>
              </w:rPr>
              <w:t>0.00</w:t>
            </w:r>
            <w:r>
              <w:rPr>
                <w:rFonts w:hint="eastAsia"/>
                <w:color w:val="auto"/>
                <w:kern w:val="0"/>
                <w:sz w:val="21"/>
                <w:szCs w:val="21"/>
                <w:lang w:val="en-US" w:eastAsia="zh-CN" w:bidi="ar"/>
              </w:rPr>
              <w:t>1</w:t>
            </w:r>
          </w:p>
        </w:tc>
        <w:tc>
          <w:tcPr>
            <w:tcW w:w="1185" w:type="dxa"/>
            <w:noWrap w:val="0"/>
            <w:vAlign w:val="center"/>
          </w:tcPr>
          <w:p w14:paraId="56EAEA31">
            <w:pPr>
              <w:pStyle w:val="67"/>
              <w:rPr>
                <w:color w:val="auto"/>
              </w:rPr>
            </w:pPr>
            <w:r>
              <w:rPr>
                <w:rFonts w:hint="eastAsia"/>
                <w:color w:val="auto"/>
              </w:rPr>
              <w:t>100</w:t>
            </w:r>
          </w:p>
        </w:tc>
        <w:tc>
          <w:tcPr>
            <w:tcW w:w="748" w:type="dxa"/>
            <w:vMerge w:val="continue"/>
            <w:noWrap w:val="0"/>
            <w:vAlign w:val="center"/>
          </w:tcPr>
          <w:p w14:paraId="3A284AED">
            <w:pPr>
              <w:pStyle w:val="67"/>
              <w:rPr>
                <w:color w:val="auto"/>
              </w:rPr>
            </w:pPr>
          </w:p>
        </w:tc>
        <w:tc>
          <w:tcPr>
            <w:tcW w:w="563" w:type="dxa"/>
            <w:vMerge w:val="continue"/>
            <w:noWrap w:val="0"/>
            <w:vAlign w:val="center"/>
          </w:tcPr>
          <w:p w14:paraId="339FA023">
            <w:pPr>
              <w:pStyle w:val="67"/>
              <w:rPr>
                <w:color w:val="auto"/>
              </w:rPr>
            </w:pPr>
          </w:p>
        </w:tc>
        <w:tc>
          <w:tcPr>
            <w:tcW w:w="689" w:type="dxa"/>
            <w:noWrap w:val="0"/>
            <w:vAlign w:val="center"/>
          </w:tcPr>
          <w:p w14:paraId="220D263F">
            <w:pPr>
              <w:pStyle w:val="67"/>
              <w:rPr>
                <w:color w:val="auto"/>
              </w:rPr>
            </w:pPr>
            <w:r>
              <w:rPr>
                <w:rFonts w:hint="eastAsia"/>
                <w:color w:val="auto"/>
              </w:rPr>
              <w:t>/</w:t>
            </w:r>
          </w:p>
        </w:tc>
        <w:tc>
          <w:tcPr>
            <w:tcW w:w="984" w:type="dxa"/>
            <w:vMerge w:val="continue"/>
            <w:noWrap w:val="0"/>
            <w:vAlign w:val="center"/>
          </w:tcPr>
          <w:p w14:paraId="0749DB8A">
            <w:pPr>
              <w:pStyle w:val="67"/>
              <w:rPr>
                <w:color w:val="auto"/>
              </w:rPr>
            </w:pPr>
          </w:p>
        </w:tc>
        <w:tc>
          <w:tcPr>
            <w:tcW w:w="748" w:type="dxa"/>
            <w:vMerge w:val="continue"/>
            <w:noWrap w:val="0"/>
            <w:vAlign w:val="center"/>
          </w:tcPr>
          <w:p w14:paraId="31C599C8">
            <w:pPr>
              <w:pStyle w:val="67"/>
              <w:rPr>
                <w:color w:val="auto"/>
              </w:rPr>
            </w:pPr>
          </w:p>
        </w:tc>
        <w:tc>
          <w:tcPr>
            <w:tcW w:w="870" w:type="dxa"/>
            <w:noWrap w:val="0"/>
            <w:vAlign w:val="center"/>
          </w:tcPr>
          <w:p w14:paraId="01C7DBBF">
            <w:pPr>
              <w:pStyle w:val="67"/>
              <w:rPr>
                <w:color w:val="auto"/>
              </w:rPr>
            </w:pPr>
            <w:r>
              <w:rPr>
                <w:rFonts w:hint="eastAsia"/>
                <w:color w:val="auto"/>
              </w:rPr>
              <w:t>BOD</w:t>
            </w:r>
            <w:r>
              <w:rPr>
                <w:rFonts w:hint="eastAsia"/>
                <w:color w:val="auto"/>
                <w:vertAlign w:val="subscript"/>
              </w:rPr>
              <w:t>5</w:t>
            </w:r>
          </w:p>
        </w:tc>
        <w:tc>
          <w:tcPr>
            <w:tcW w:w="1086" w:type="dxa"/>
            <w:noWrap w:val="0"/>
            <w:vAlign w:val="center"/>
          </w:tcPr>
          <w:p w14:paraId="0F5F9EF8">
            <w:pPr>
              <w:widowControl/>
              <w:jc w:val="center"/>
              <w:textAlignment w:val="center"/>
              <w:rPr>
                <w:rFonts w:hint="eastAsia" w:eastAsia="宋体"/>
                <w:color w:val="auto"/>
                <w:lang w:eastAsia="zh-CN"/>
              </w:rPr>
            </w:pPr>
            <w:r>
              <w:rPr>
                <w:color w:val="auto"/>
                <w:kern w:val="0"/>
                <w:sz w:val="21"/>
                <w:szCs w:val="21"/>
                <w:lang w:bidi="ar"/>
              </w:rPr>
              <w:t>0.00</w:t>
            </w:r>
            <w:r>
              <w:rPr>
                <w:rFonts w:hint="eastAsia"/>
                <w:color w:val="auto"/>
                <w:kern w:val="0"/>
                <w:sz w:val="21"/>
                <w:szCs w:val="21"/>
                <w:lang w:val="en-US" w:eastAsia="zh-CN" w:bidi="ar"/>
              </w:rPr>
              <w:t>1</w:t>
            </w:r>
          </w:p>
        </w:tc>
        <w:tc>
          <w:tcPr>
            <w:tcW w:w="934" w:type="dxa"/>
            <w:noWrap w:val="0"/>
            <w:vAlign w:val="center"/>
          </w:tcPr>
          <w:p w14:paraId="45BE6933">
            <w:pPr>
              <w:widowControl/>
              <w:jc w:val="center"/>
              <w:textAlignment w:val="center"/>
              <w:rPr>
                <w:color w:val="auto"/>
              </w:rPr>
            </w:pPr>
            <w:r>
              <w:rPr>
                <w:color w:val="auto"/>
                <w:kern w:val="0"/>
                <w:sz w:val="21"/>
                <w:szCs w:val="21"/>
                <w:lang w:bidi="ar"/>
              </w:rPr>
              <w:t>100</w:t>
            </w:r>
          </w:p>
        </w:tc>
        <w:tc>
          <w:tcPr>
            <w:tcW w:w="618" w:type="dxa"/>
            <w:vMerge w:val="continue"/>
            <w:noWrap w:val="0"/>
            <w:vAlign w:val="center"/>
          </w:tcPr>
          <w:p w14:paraId="431E9F1F">
            <w:pPr>
              <w:pStyle w:val="67"/>
              <w:rPr>
                <w:color w:val="auto"/>
              </w:rPr>
            </w:pPr>
          </w:p>
        </w:tc>
        <w:tc>
          <w:tcPr>
            <w:tcW w:w="721" w:type="dxa"/>
            <w:vMerge w:val="continue"/>
            <w:noWrap w:val="0"/>
            <w:vAlign w:val="center"/>
          </w:tcPr>
          <w:p w14:paraId="586F24DC">
            <w:pPr>
              <w:pStyle w:val="67"/>
              <w:rPr>
                <w:color w:val="auto"/>
              </w:rPr>
            </w:pPr>
          </w:p>
        </w:tc>
        <w:tc>
          <w:tcPr>
            <w:tcW w:w="597" w:type="dxa"/>
            <w:vMerge w:val="continue"/>
            <w:noWrap w:val="0"/>
            <w:vAlign w:val="center"/>
          </w:tcPr>
          <w:p w14:paraId="78E0586E">
            <w:pPr>
              <w:pStyle w:val="67"/>
              <w:rPr>
                <w:color w:val="auto"/>
              </w:rPr>
            </w:pPr>
          </w:p>
        </w:tc>
        <w:tc>
          <w:tcPr>
            <w:tcW w:w="836" w:type="dxa"/>
            <w:vMerge w:val="continue"/>
            <w:noWrap w:val="0"/>
            <w:vAlign w:val="center"/>
          </w:tcPr>
          <w:p w14:paraId="774F0CF7">
            <w:pPr>
              <w:pStyle w:val="67"/>
              <w:rPr>
                <w:color w:val="auto"/>
              </w:rPr>
            </w:pPr>
          </w:p>
        </w:tc>
        <w:tc>
          <w:tcPr>
            <w:tcW w:w="683" w:type="dxa"/>
            <w:vMerge w:val="continue"/>
            <w:noWrap w:val="0"/>
            <w:vAlign w:val="center"/>
          </w:tcPr>
          <w:p w14:paraId="64988C0D">
            <w:pPr>
              <w:pStyle w:val="67"/>
              <w:rPr>
                <w:color w:val="auto"/>
              </w:rPr>
            </w:pPr>
          </w:p>
        </w:tc>
        <w:tc>
          <w:tcPr>
            <w:tcW w:w="786" w:type="dxa"/>
            <w:vMerge w:val="continue"/>
            <w:noWrap w:val="0"/>
            <w:vAlign w:val="center"/>
          </w:tcPr>
          <w:p w14:paraId="2D22A32A">
            <w:pPr>
              <w:pStyle w:val="67"/>
              <w:rPr>
                <w:color w:val="auto"/>
              </w:rPr>
            </w:pPr>
          </w:p>
        </w:tc>
        <w:tc>
          <w:tcPr>
            <w:tcW w:w="1593" w:type="dxa"/>
            <w:vMerge w:val="continue"/>
            <w:noWrap w:val="0"/>
            <w:vAlign w:val="center"/>
          </w:tcPr>
          <w:p w14:paraId="12C054C2">
            <w:pPr>
              <w:pStyle w:val="67"/>
              <w:rPr>
                <w:color w:val="auto"/>
              </w:rPr>
            </w:pPr>
          </w:p>
        </w:tc>
        <w:tc>
          <w:tcPr>
            <w:tcW w:w="1406" w:type="dxa"/>
            <w:noWrap w:val="0"/>
            <w:vAlign w:val="center"/>
          </w:tcPr>
          <w:p w14:paraId="4A6BE9E4">
            <w:pPr>
              <w:pStyle w:val="67"/>
              <w:rPr>
                <w:color w:val="auto"/>
              </w:rPr>
            </w:pPr>
            <w:r>
              <w:rPr>
                <w:color w:val="auto"/>
              </w:rPr>
              <w:t>100</w:t>
            </w:r>
          </w:p>
        </w:tc>
        <w:tc>
          <w:tcPr>
            <w:tcW w:w="646" w:type="dxa"/>
            <w:vMerge w:val="continue"/>
            <w:noWrap w:val="0"/>
            <w:vAlign w:val="center"/>
          </w:tcPr>
          <w:p w14:paraId="6D5082C8">
            <w:pPr>
              <w:pStyle w:val="67"/>
              <w:rPr>
                <w:color w:val="auto"/>
              </w:rPr>
            </w:pPr>
          </w:p>
        </w:tc>
        <w:tc>
          <w:tcPr>
            <w:tcW w:w="815" w:type="dxa"/>
            <w:noWrap w:val="0"/>
            <w:vAlign w:val="center"/>
          </w:tcPr>
          <w:p w14:paraId="5C72B6E0">
            <w:pPr>
              <w:pStyle w:val="67"/>
              <w:rPr>
                <w:color w:val="auto"/>
              </w:rPr>
            </w:pPr>
            <w:r>
              <w:rPr>
                <w:rFonts w:hint="eastAsia"/>
                <w:color w:val="auto"/>
              </w:rPr>
              <w:t>BOD</w:t>
            </w:r>
            <w:r>
              <w:rPr>
                <w:rFonts w:hint="eastAsia"/>
                <w:color w:val="auto"/>
                <w:vertAlign w:val="subscript"/>
              </w:rPr>
              <w:t>5</w:t>
            </w:r>
          </w:p>
        </w:tc>
        <w:tc>
          <w:tcPr>
            <w:tcW w:w="876" w:type="dxa"/>
            <w:noWrap w:val="0"/>
            <w:vAlign w:val="center"/>
          </w:tcPr>
          <w:p w14:paraId="5D135578">
            <w:pPr>
              <w:pStyle w:val="67"/>
              <w:rPr>
                <w:color w:val="auto"/>
              </w:rPr>
            </w:pPr>
            <w:r>
              <w:rPr>
                <w:color w:val="auto"/>
              </w:rPr>
              <w:t>1</w:t>
            </w:r>
            <w:r>
              <w:rPr>
                <w:rFonts w:hint="eastAsia"/>
                <w:color w:val="auto"/>
              </w:rPr>
              <w:t>次/季度</w:t>
            </w:r>
          </w:p>
        </w:tc>
      </w:tr>
      <w:tr w14:paraId="45467C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636" w:type="dxa"/>
            <w:vMerge w:val="continue"/>
            <w:noWrap w:val="0"/>
            <w:vAlign w:val="center"/>
          </w:tcPr>
          <w:p w14:paraId="32010D10">
            <w:pPr>
              <w:pStyle w:val="67"/>
              <w:rPr>
                <w:color w:val="auto"/>
              </w:rPr>
            </w:pPr>
          </w:p>
        </w:tc>
        <w:tc>
          <w:tcPr>
            <w:tcW w:w="636" w:type="dxa"/>
            <w:vMerge w:val="continue"/>
            <w:noWrap w:val="0"/>
            <w:vAlign w:val="center"/>
          </w:tcPr>
          <w:p w14:paraId="275BA5C0">
            <w:pPr>
              <w:pStyle w:val="67"/>
              <w:rPr>
                <w:color w:val="auto"/>
              </w:rPr>
            </w:pPr>
          </w:p>
        </w:tc>
        <w:tc>
          <w:tcPr>
            <w:tcW w:w="1038" w:type="dxa"/>
            <w:noWrap w:val="0"/>
            <w:vAlign w:val="center"/>
          </w:tcPr>
          <w:p w14:paraId="1E46EE70">
            <w:pPr>
              <w:pStyle w:val="67"/>
              <w:rPr>
                <w:color w:val="auto"/>
              </w:rPr>
            </w:pPr>
            <w:r>
              <w:rPr>
                <w:rFonts w:hint="eastAsia"/>
                <w:color w:val="auto"/>
              </w:rPr>
              <w:t>SS</w:t>
            </w:r>
          </w:p>
        </w:tc>
        <w:tc>
          <w:tcPr>
            <w:tcW w:w="1283" w:type="dxa"/>
            <w:noWrap w:val="0"/>
            <w:vAlign w:val="center"/>
          </w:tcPr>
          <w:p w14:paraId="6BFB8DEA">
            <w:pPr>
              <w:widowControl/>
              <w:jc w:val="center"/>
              <w:textAlignment w:val="center"/>
              <w:rPr>
                <w:color w:val="auto"/>
              </w:rPr>
            </w:pPr>
            <w:r>
              <w:rPr>
                <w:color w:val="auto"/>
                <w:kern w:val="0"/>
                <w:sz w:val="21"/>
                <w:szCs w:val="21"/>
                <w:lang w:bidi="ar"/>
              </w:rPr>
              <w:t>0.001</w:t>
            </w:r>
          </w:p>
        </w:tc>
        <w:tc>
          <w:tcPr>
            <w:tcW w:w="1185" w:type="dxa"/>
            <w:noWrap w:val="0"/>
            <w:vAlign w:val="center"/>
          </w:tcPr>
          <w:p w14:paraId="265396AE">
            <w:pPr>
              <w:pStyle w:val="67"/>
              <w:rPr>
                <w:color w:val="auto"/>
              </w:rPr>
            </w:pPr>
            <w:r>
              <w:rPr>
                <w:rFonts w:hint="eastAsia"/>
                <w:color w:val="auto"/>
              </w:rPr>
              <w:t>80</w:t>
            </w:r>
          </w:p>
        </w:tc>
        <w:tc>
          <w:tcPr>
            <w:tcW w:w="748" w:type="dxa"/>
            <w:vMerge w:val="continue"/>
            <w:noWrap w:val="0"/>
            <w:vAlign w:val="center"/>
          </w:tcPr>
          <w:p w14:paraId="15619AB4">
            <w:pPr>
              <w:pStyle w:val="67"/>
              <w:rPr>
                <w:color w:val="auto"/>
              </w:rPr>
            </w:pPr>
          </w:p>
        </w:tc>
        <w:tc>
          <w:tcPr>
            <w:tcW w:w="563" w:type="dxa"/>
            <w:vMerge w:val="continue"/>
            <w:noWrap w:val="0"/>
            <w:vAlign w:val="center"/>
          </w:tcPr>
          <w:p w14:paraId="35AC62E2">
            <w:pPr>
              <w:pStyle w:val="67"/>
              <w:rPr>
                <w:color w:val="auto"/>
              </w:rPr>
            </w:pPr>
          </w:p>
        </w:tc>
        <w:tc>
          <w:tcPr>
            <w:tcW w:w="689" w:type="dxa"/>
            <w:noWrap w:val="0"/>
            <w:vAlign w:val="center"/>
          </w:tcPr>
          <w:p w14:paraId="1AE353EB">
            <w:pPr>
              <w:pStyle w:val="67"/>
              <w:rPr>
                <w:color w:val="auto"/>
              </w:rPr>
            </w:pPr>
            <w:r>
              <w:rPr>
                <w:rFonts w:hint="eastAsia"/>
                <w:color w:val="auto"/>
              </w:rPr>
              <w:t>80</w:t>
            </w:r>
          </w:p>
        </w:tc>
        <w:tc>
          <w:tcPr>
            <w:tcW w:w="984" w:type="dxa"/>
            <w:vMerge w:val="continue"/>
            <w:noWrap w:val="0"/>
            <w:vAlign w:val="center"/>
          </w:tcPr>
          <w:p w14:paraId="0A783B80">
            <w:pPr>
              <w:pStyle w:val="67"/>
              <w:rPr>
                <w:color w:val="auto"/>
              </w:rPr>
            </w:pPr>
          </w:p>
        </w:tc>
        <w:tc>
          <w:tcPr>
            <w:tcW w:w="748" w:type="dxa"/>
            <w:vMerge w:val="continue"/>
            <w:noWrap w:val="0"/>
            <w:vAlign w:val="center"/>
          </w:tcPr>
          <w:p w14:paraId="18765C25">
            <w:pPr>
              <w:pStyle w:val="67"/>
              <w:rPr>
                <w:color w:val="auto"/>
              </w:rPr>
            </w:pPr>
          </w:p>
        </w:tc>
        <w:tc>
          <w:tcPr>
            <w:tcW w:w="870" w:type="dxa"/>
            <w:noWrap w:val="0"/>
            <w:vAlign w:val="center"/>
          </w:tcPr>
          <w:p w14:paraId="40914DC3">
            <w:pPr>
              <w:pStyle w:val="67"/>
              <w:rPr>
                <w:color w:val="auto"/>
              </w:rPr>
            </w:pPr>
            <w:r>
              <w:rPr>
                <w:rFonts w:hint="eastAsia"/>
                <w:color w:val="auto"/>
              </w:rPr>
              <w:t>SS</w:t>
            </w:r>
          </w:p>
        </w:tc>
        <w:tc>
          <w:tcPr>
            <w:tcW w:w="1086" w:type="dxa"/>
            <w:noWrap w:val="0"/>
            <w:vAlign w:val="center"/>
          </w:tcPr>
          <w:p w14:paraId="7637ADD1">
            <w:pPr>
              <w:widowControl/>
              <w:jc w:val="center"/>
              <w:textAlignment w:val="center"/>
              <w:rPr>
                <w:rFonts w:hint="eastAsia" w:eastAsia="宋体"/>
                <w:color w:val="auto"/>
                <w:lang w:eastAsia="zh-CN"/>
              </w:rPr>
            </w:pPr>
            <w:r>
              <w:rPr>
                <w:color w:val="auto"/>
                <w:kern w:val="0"/>
                <w:sz w:val="21"/>
                <w:szCs w:val="21"/>
                <w:lang w:bidi="ar"/>
              </w:rPr>
              <w:t>0.000</w:t>
            </w:r>
            <w:r>
              <w:rPr>
                <w:rFonts w:hint="eastAsia"/>
                <w:color w:val="auto"/>
                <w:kern w:val="0"/>
                <w:sz w:val="21"/>
                <w:szCs w:val="21"/>
                <w:lang w:val="en-US" w:eastAsia="zh-CN" w:bidi="ar"/>
              </w:rPr>
              <w:t>1</w:t>
            </w:r>
          </w:p>
        </w:tc>
        <w:tc>
          <w:tcPr>
            <w:tcW w:w="934" w:type="dxa"/>
            <w:noWrap w:val="0"/>
            <w:vAlign w:val="center"/>
          </w:tcPr>
          <w:p w14:paraId="1A570AE5">
            <w:pPr>
              <w:widowControl/>
              <w:jc w:val="center"/>
              <w:textAlignment w:val="center"/>
              <w:rPr>
                <w:color w:val="auto"/>
              </w:rPr>
            </w:pPr>
            <w:r>
              <w:rPr>
                <w:color w:val="auto"/>
                <w:kern w:val="0"/>
                <w:sz w:val="21"/>
                <w:szCs w:val="21"/>
                <w:lang w:bidi="ar"/>
              </w:rPr>
              <w:t>16</w:t>
            </w:r>
          </w:p>
        </w:tc>
        <w:tc>
          <w:tcPr>
            <w:tcW w:w="618" w:type="dxa"/>
            <w:vMerge w:val="continue"/>
            <w:noWrap w:val="0"/>
            <w:vAlign w:val="center"/>
          </w:tcPr>
          <w:p w14:paraId="4E979E07">
            <w:pPr>
              <w:pStyle w:val="67"/>
              <w:rPr>
                <w:color w:val="auto"/>
              </w:rPr>
            </w:pPr>
          </w:p>
        </w:tc>
        <w:tc>
          <w:tcPr>
            <w:tcW w:w="721" w:type="dxa"/>
            <w:vMerge w:val="continue"/>
            <w:noWrap w:val="0"/>
            <w:vAlign w:val="center"/>
          </w:tcPr>
          <w:p w14:paraId="2C505EAE">
            <w:pPr>
              <w:pStyle w:val="67"/>
              <w:rPr>
                <w:color w:val="auto"/>
              </w:rPr>
            </w:pPr>
          </w:p>
        </w:tc>
        <w:tc>
          <w:tcPr>
            <w:tcW w:w="597" w:type="dxa"/>
            <w:vMerge w:val="continue"/>
            <w:noWrap w:val="0"/>
            <w:vAlign w:val="center"/>
          </w:tcPr>
          <w:p w14:paraId="7A167490">
            <w:pPr>
              <w:pStyle w:val="67"/>
              <w:rPr>
                <w:color w:val="auto"/>
              </w:rPr>
            </w:pPr>
          </w:p>
        </w:tc>
        <w:tc>
          <w:tcPr>
            <w:tcW w:w="836" w:type="dxa"/>
            <w:vMerge w:val="continue"/>
            <w:noWrap w:val="0"/>
            <w:vAlign w:val="center"/>
          </w:tcPr>
          <w:p w14:paraId="61B4DD69">
            <w:pPr>
              <w:pStyle w:val="67"/>
              <w:rPr>
                <w:color w:val="auto"/>
              </w:rPr>
            </w:pPr>
          </w:p>
        </w:tc>
        <w:tc>
          <w:tcPr>
            <w:tcW w:w="683" w:type="dxa"/>
            <w:vMerge w:val="continue"/>
            <w:noWrap w:val="0"/>
            <w:vAlign w:val="center"/>
          </w:tcPr>
          <w:p w14:paraId="144F83BF">
            <w:pPr>
              <w:pStyle w:val="67"/>
              <w:rPr>
                <w:color w:val="auto"/>
              </w:rPr>
            </w:pPr>
          </w:p>
        </w:tc>
        <w:tc>
          <w:tcPr>
            <w:tcW w:w="786" w:type="dxa"/>
            <w:vMerge w:val="continue"/>
            <w:noWrap w:val="0"/>
            <w:vAlign w:val="center"/>
          </w:tcPr>
          <w:p w14:paraId="56BD8C6E">
            <w:pPr>
              <w:pStyle w:val="67"/>
              <w:rPr>
                <w:color w:val="auto"/>
              </w:rPr>
            </w:pPr>
          </w:p>
        </w:tc>
        <w:tc>
          <w:tcPr>
            <w:tcW w:w="1593" w:type="dxa"/>
            <w:vMerge w:val="continue"/>
            <w:noWrap w:val="0"/>
            <w:vAlign w:val="center"/>
          </w:tcPr>
          <w:p w14:paraId="55E4978E">
            <w:pPr>
              <w:pStyle w:val="67"/>
              <w:rPr>
                <w:color w:val="auto"/>
              </w:rPr>
            </w:pPr>
          </w:p>
        </w:tc>
        <w:tc>
          <w:tcPr>
            <w:tcW w:w="1406" w:type="dxa"/>
            <w:noWrap w:val="0"/>
            <w:vAlign w:val="center"/>
          </w:tcPr>
          <w:p w14:paraId="2BCA023A">
            <w:pPr>
              <w:pStyle w:val="67"/>
              <w:rPr>
                <w:color w:val="auto"/>
              </w:rPr>
            </w:pPr>
            <w:r>
              <w:rPr>
                <w:color w:val="auto"/>
              </w:rPr>
              <w:t>60</w:t>
            </w:r>
          </w:p>
        </w:tc>
        <w:tc>
          <w:tcPr>
            <w:tcW w:w="646" w:type="dxa"/>
            <w:vMerge w:val="continue"/>
            <w:noWrap w:val="0"/>
            <w:vAlign w:val="center"/>
          </w:tcPr>
          <w:p w14:paraId="592C8EFF">
            <w:pPr>
              <w:pStyle w:val="67"/>
              <w:rPr>
                <w:color w:val="auto"/>
              </w:rPr>
            </w:pPr>
          </w:p>
        </w:tc>
        <w:tc>
          <w:tcPr>
            <w:tcW w:w="815" w:type="dxa"/>
            <w:noWrap w:val="0"/>
            <w:vAlign w:val="center"/>
          </w:tcPr>
          <w:p w14:paraId="6D8054AC">
            <w:pPr>
              <w:pStyle w:val="67"/>
              <w:rPr>
                <w:color w:val="auto"/>
              </w:rPr>
            </w:pPr>
            <w:r>
              <w:rPr>
                <w:rFonts w:hint="eastAsia"/>
                <w:color w:val="auto"/>
              </w:rPr>
              <w:t>SS</w:t>
            </w:r>
          </w:p>
        </w:tc>
        <w:tc>
          <w:tcPr>
            <w:tcW w:w="876" w:type="dxa"/>
            <w:noWrap w:val="0"/>
            <w:vAlign w:val="center"/>
          </w:tcPr>
          <w:p w14:paraId="76653AF4">
            <w:pPr>
              <w:pStyle w:val="67"/>
              <w:rPr>
                <w:color w:val="auto"/>
              </w:rPr>
            </w:pPr>
            <w:r>
              <w:rPr>
                <w:color w:val="auto"/>
              </w:rPr>
              <w:t>1</w:t>
            </w:r>
            <w:r>
              <w:rPr>
                <w:rFonts w:hint="eastAsia"/>
                <w:color w:val="auto"/>
              </w:rPr>
              <w:t>次/季度</w:t>
            </w:r>
          </w:p>
        </w:tc>
      </w:tr>
      <w:tr w14:paraId="0C2E5E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636" w:type="dxa"/>
            <w:vMerge w:val="continue"/>
            <w:noWrap w:val="0"/>
            <w:vAlign w:val="center"/>
          </w:tcPr>
          <w:p w14:paraId="0FE96C87">
            <w:pPr>
              <w:pStyle w:val="67"/>
              <w:rPr>
                <w:color w:val="auto"/>
              </w:rPr>
            </w:pPr>
          </w:p>
        </w:tc>
        <w:tc>
          <w:tcPr>
            <w:tcW w:w="636" w:type="dxa"/>
            <w:vMerge w:val="continue"/>
            <w:noWrap w:val="0"/>
            <w:vAlign w:val="center"/>
          </w:tcPr>
          <w:p w14:paraId="351CA948">
            <w:pPr>
              <w:pStyle w:val="67"/>
              <w:rPr>
                <w:color w:val="auto"/>
              </w:rPr>
            </w:pPr>
          </w:p>
        </w:tc>
        <w:tc>
          <w:tcPr>
            <w:tcW w:w="1038" w:type="dxa"/>
            <w:noWrap w:val="0"/>
            <w:vAlign w:val="center"/>
          </w:tcPr>
          <w:p w14:paraId="64A3FF81">
            <w:pPr>
              <w:pStyle w:val="67"/>
              <w:rPr>
                <w:color w:val="auto"/>
              </w:rPr>
            </w:pPr>
            <w:r>
              <w:rPr>
                <w:rFonts w:hint="eastAsia"/>
                <w:color w:val="auto"/>
              </w:rPr>
              <w:t>氨氮</w:t>
            </w:r>
          </w:p>
        </w:tc>
        <w:tc>
          <w:tcPr>
            <w:tcW w:w="1283" w:type="dxa"/>
            <w:noWrap w:val="0"/>
            <w:vAlign w:val="center"/>
          </w:tcPr>
          <w:p w14:paraId="12A124E2">
            <w:pPr>
              <w:widowControl/>
              <w:jc w:val="center"/>
              <w:textAlignment w:val="center"/>
              <w:rPr>
                <w:rFonts w:hint="eastAsia" w:eastAsia="宋体"/>
                <w:color w:val="auto"/>
                <w:lang w:eastAsia="zh-CN"/>
              </w:rPr>
            </w:pPr>
            <w:r>
              <w:rPr>
                <w:color w:val="auto"/>
                <w:kern w:val="0"/>
                <w:sz w:val="21"/>
                <w:szCs w:val="21"/>
                <w:lang w:bidi="ar"/>
              </w:rPr>
              <w:t>0.000</w:t>
            </w:r>
            <w:r>
              <w:rPr>
                <w:rFonts w:hint="eastAsia"/>
                <w:color w:val="auto"/>
                <w:kern w:val="0"/>
                <w:sz w:val="21"/>
                <w:szCs w:val="21"/>
                <w:lang w:val="en-US" w:eastAsia="zh-CN" w:bidi="ar"/>
              </w:rPr>
              <w:t>3</w:t>
            </w:r>
          </w:p>
        </w:tc>
        <w:tc>
          <w:tcPr>
            <w:tcW w:w="1185" w:type="dxa"/>
            <w:noWrap w:val="0"/>
            <w:vAlign w:val="center"/>
          </w:tcPr>
          <w:p w14:paraId="1BF4DDF2">
            <w:pPr>
              <w:pStyle w:val="67"/>
              <w:rPr>
                <w:color w:val="auto"/>
              </w:rPr>
            </w:pPr>
            <w:r>
              <w:rPr>
                <w:rFonts w:hint="eastAsia"/>
                <w:color w:val="auto"/>
              </w:rPr>
              <w:t>30</w:t>
            </w:r>
          </w:p>
        </w:tc>
        <w:tc>
          <w:tcPr>
            <w:tcW w:w="748" w:type="dxa"/>
            <w:vMerge w:val="continue"/>
            <w:noWrap w:val="0"/>
            <w:vAlign w:val="center"/>
          </w:tcPr>
          <w:p w14:paraId="2155AA9E">
            <w:pPr>
              <w:pStyle w:val="67"/>
              <w:rPr>
                <w:color w:val="auto"/>
              </w:rPr>
            </w:pPr>
          </w:p>
        </w:tc>
        <w:tc>
          <w:tcPr>
            <w:tcW w:w="563" w:type="dxa"/>
            <w:vMerge w:val="continue"/>
            <w:noWrap w:val="0"/>
            <w:vAlign w:val="center"/>
          </w:tcPr>
          <w:p w14:paraId="5017B40E">
            <w:pPr>
              <w:pStyle w:val="67"/>
              <w:rPr>
                <w:color w:val="auto"/>
              </w:rPr>
            </w:pPr>
          </w:p>
        </w:tc>
        <w:tc>
          <w:tcPr>
            <w:tcW w:w="689" w:type="dxa"/>
            <w:noWrap w:val="0"/>
            <w:vAlign w:val="center"/>
          </w:tcPr>
          <w:p w14:paraId="701AA2DF">
            <w:pPr>
              <w:pStyle w:val="67"/>
              <w:rPr>
                <w:color w:val="auto"/>
              </w:rPr>
            </w:pPr>
            <w:r>
              <w:rPr>
                <w:rFonts w:hint="eastAsia"/>
                <w:color w:val="auto"/>
              </w:rPr>
              <w:t>/</w:t>
            </w:r>
          </w:p>
        </w:tc>
        <w:tc>
          <w:tcPr>
            <w:tcW w:w="984" w:type="dxa"/>
            <w:vMerge w:val="continue"/>
            <w:noWrap w:val="0"/>
            <w:vAlign w:val="center"/>
          </w:tcPr>
          <w:p w14:paraId="7743C9E5">
            <w:pPr>
              <w:pStyle w:val="67"/>
              <w:rPr>
                <w:color w:val="auto"/>
              </w:rPr>
            </w:pPr>
          </w:p>
        </w:tc>
        <w:tc>
          <w:tcPr>
            <w:tcW w:w="748" w:type="dxa"/>
            <w:vMerge w:val="continue"/>
            <w:noWrap w:val="0"/>
            <w:vAlign w:val="center"/>
          </w:tcPr>
          <w:p w14:paraId="52312F05">
            <w:pPr>
              <w:pStyle w:val="67"/>
              <w:rPr>
                <w:color w:val="auto"/>
              </w:rPr>
            </w:pPr>
          </w:p>
        </w:tc>
        <w:tc>
          <w:tcPr>
            <w:tcW w:w="870" w:type="dxa"/>
            <w:noWrap w:val="0"/>
            <w:vAlign w:val="center"/>
          </w:tcPr>
          <w:p w14:paraId="2156ABE4">
            <w:pPr>
              <w:pStyle w:val="67"/>
              <w:rPr>
                <w:color w:val="auto"/>
              </w:rPr>
            </w:pPr>
            <w:r>
              <w:rPr>
                <w:rFonts w:hint="eastAsia"/>
                <w:color w:val="auto"/>
              </w:rPr>
              <w:t>氨氮</w:t>
            </w:r>
          </w:p>
        </w:tc>
        <w:tc>
          <w:tcPr>
            <w:tcW w:w="1086" w:type="dxa"/>
            <w:noWrap w:val="0"/>
            <w:vAlign w:val="center"/>
          </w:tcPr>
          <w:p w14:paraId="3F306133">
            <w:pPr>
              <w:widowControl/>
              <w:jc w:val="center"/>
              <w:textAlignment w:val="center"/>
              <w:rPr>
                <w:rFonts w:hint="eastAsia" w:eastAsia="宋体"/>
                <w:color w:val="auto"/>
                <w:lang w:eastAsia="zh-CN"/>
              </w:rPr>
            </w:pPr>
            <w:r>
              <w:rPr>
                <w:color w:val="auto"/>
                <w:kern w:val="0"/>
                <w:sz w:val="21"/>
                <w:szCs w:val="21"/>
                <w:lang w:bidi="ar"/>
              </w:rPr>
              <w:t>0.000</w:t>
            </w:r>
            <w:r>
              <w:rPr>
                <w:rFonts w:hint="eastAsia"/>
                <w:color w:val="auto"/>
                <w:kern w:val="0"/>
                <w:sz w:val="21"/>
                <w:szCs w:val="21"/>
                <w:lang w:val="en-US" w:eastAsia="zh-CN" w:bidi="ar"/>
              </w:rPr>
              <w:t>3</w:t>
            </w:r>
          </w:p>
        </w:tc>
        <w:tc>
          <w:tcPr>
            <w:tcW w:w="934" w:type="dxa"/>
            <w:noWrap w:val="0"/>
            <w:vAlign w:val="center"/>
          </w:tcPr>
          <w:p w14:paraId="30290018">
            <w:pPr>
              <w:pStyle w:val="67"/>
              <w:rPr>
                <w:color w:val="auto"/>
              </w:rPr>
            </w:pPr>
            <w:r>
              <w:rPr>
                <w:rFonts w:hint="eastAsia"/>
                <w:color w:val="auto"/>
              </w:rPr>
              <w:t>30</w:t>
            </w:r>
          </w:p>
        </w:tc>
        <w:tc>
          <w:tcPr>
            <w:tcW w:w="618" w:type="dxa"/>
            <w:vMerge w:val="continue"/>
            <w:noWrap w:val="0"/>
            <w:vAlign w:val="center"/>
          </w:tcPr>
          <w:p w14:paraId="4BDCE061">
            <w:pPr>
              <w:pStyle w:val="67"/>
              <w:rPr>
                <w:color w:val="auto"/>
              </w:rPr>
            </w:pPr>
          </w:p>
        </w:tc>
        <w:tc>
          <w:tcPr>
            <w:tcW w:w="721" w:type="dxa"/>
            <w:vMerge w:val="continue"/>
            <w:noWrap w:val="0"/>
            <w:vAlign w:val="center"/>
          </w:tcPr>
          <w:p w14:paraId="0F986EB9">
            <w:pPr>
              <w:pStyle w:val="67"/>
              <w:rPr>
                <w:color w:val="auto"/>
              </w:rPr>
            </w:pPr>
          </w:p>
        </w:tc>
        <w:tc>
          <w:tcPr>
            <w:tcW w:w="597" w:type="dxa"/>
            <w:vMerge w:val="continue"/>
            <w:noWrap w:val="0"/>
            <w:vAlign w:val="center"/>
          </w:tcPr>
          <w:p w14:paraId="1D94EF24">
            <w:pPr>
              <w:pStyle w:val="67"/>
              <w:rPr>
                <w:color w:val="auto"/>
              </w:rPr>
            </w:pPr>
          </w:p>
        </w:tc>
        <w:tc>
          <w:tcPr>
            <w:tcW w:w="836" w:type="dxa"/>
            <w:vMerge w:val="continue"/>
            <w:noWrap w:val="0"/>
            <w:vAlign w:val="center"/>
          </w:tcPr>
          <w:p w14:paraId="1A18F8D8">
            <w:pPr>
              <w:pStyle w:val="67"/>
              <w:rPr>
                <w:color w:val="auto"/>
              </w:rPr>
            </w:pPr>
          </w:p>
        </w:tc>
        <w:tc>
          <w:tcPr>
            <w:tcW w:w="683" w:type="dxa"/>
            <w:vMerge w:val="continue"/>
            <w:noWrap w:val="0"/>
            <w:vAlign w:val="center"/>
          </w:tcPr>
          <w:p w14:paraId="55986C48">
            <w:pPr>
              <w:pStyle w:val="67"/>
              <w:rPr>
                <w:color w:val="auto"/>
              </w:rPr>
            </w:pPr>
          </w:p>
        </w:tc>
        <w:tc>
          <w:tcPr>
            <w:tcW w:w="786" w:type="dxa"/>
            <w:vMerge w:val="continue"/>
            <w:noWrap w:val="0"/>
            <w:vAlign w:val="center"/>
          </w:tcPr>
          <w:p w14:paraId="19992FB5">
            <w:pPr>
              <w:pStyle w:val="67"/>
              <w:rPr>
                <w:color w:val="auto"/>
              </w:rPr>
            </w:pPr>
          </w:p>
        </w:tc>
        <w:tc>
          <w:tcPr>
            <w:tcW w:w="1593" w:type="dxa"/>
            <w:vMerge w:val="continue"/>
            <w:noWrap w:val="0"/>
            <w:vAlign w:val="center"/>
          </w:tcPr>
          <w:p w14:paraId="03039277">
            <w:pPr>
              <w:pStyle w:val="67"/>
              <w:rPr>
                <w:color w:val="auto"/>
              </w:rPr>
            </w:pPr>
          </w:p>
        </w:tc>
        <w:tc>
          <w:tcPr>
            <w:tcW w:w="1406" w:type="dxa"/>
            <w:noWrap w:val="0"/>
            <w:vAlign w:val="center"/>
          </w:tcPr>
          <w:p w14:paraId="4243D4C4">
            <w:pPr>
              <w:pStyle w:val="67"/>
              <w:rPr>
                <w:color w:val="auto"/>
              </w:rPr>
            </w:pPr>
            <w:r>
              <w:rPr>
                <w:color w:val="auto"/>
              </w:rPr>
              <w:t>/</w:t>
            </w:r>
          </w:p>
        </w:tc>
        <w:tc>
          <w:tcPr>
            <w:tcW w:w="646" w:type="dxa"/>
            <w:vMerge w:val="continue"/>
            <w:noWrap w:val="0"/>
            <w:vAlign w:val="center"/>
          </w:tcPr>
          <w:p w14:paraId="3D301699">
            <w:pPr>
              <w:pStyle w:val="67"/>
              <w:rPr>
                <w:color w:val="auto"/>
              </w:rPr>
            </w:pPr>
          </w:p>
        </w:tc>
        <w:tc>
          <w:tcPr>
            <w:tcW w:w="815" w:type="dxa"/>
            <w:noWrap w:val="0"/>
            <w:vAlign w:val="center"/>
          </w:tcPr>
          <w:p w14:paraId="253C973E">
            <w:pPr>
              <w:pStyle w:val="67"/>
              <w:rPr>
                <w:color w:val="auto"/>
              </w:rPr>
            </w:pPr>
            <w:r>
              <w:rPr>
                <w:rFonts w:hint="eastAsia"/>
                <w:color w:val="auto"/>
              </w:rPr>
              <w:t>氨氮</w:t>
            </w:r>
          </w:p>
        </w:tc>
        <w:tc>
          <w:tcPr>
            <w:tcW w:w="876" w:type="dxa"/>
            <w:noWrap w:val="0"/>
            <w:vAlign w:val="center"/>
          </w:tcPr>
          <w:p w14:paraId="3E8EA8BF">
            <w:pPr>
              <w:pStyle w:val="67"/>
              <w:rPr>
                <w:color w:val="auto"/>
              </w:rPr>
            </w:pPr>
            <w:r>
              <w:rPr>
                <w:color w:val="auto"/>
              </w:rPr>
              <w:t>1</w:t>
            </w:r>
            <w:r>
              <w:rPr>
                <w:rFonts w:hint="eastAsia"/>
                <w:color w:val="auto"/>
              </w:rPr>
              <w:t>次/季度</w:t>
            </w:r>
          </w:p>
        </w:tc>
      </w:tr>
      <w:tr w14:paraId="532CE9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636" w:type="dxa"/>
            <w:vMerge w:val="continue"/>
            <w:noWrap w:val="0"/>
            <w:vAlign w:val="center"/>
          </w:tcPr>
          <w:p w14:paraId="3FE8152F">
            <w:pPr>
              <w:pStyle w:val="67"/>
              <w:rPr>
                <w:color w:val="auto"/>
              </w:rPr>
            </w:pPr>
          </w:p>
        </w:tc>
        <w:tc>
          <w:tcPr>
            <w:tcW w:w="636" w:type="dxa"/>
            <w:vMerge w:val="continue"/>
            <w:noWrap w:val="0"/>
            <w:vAlign w:val="center"/>
          </w:tcPr>
          <w:p w14:paraId="1D257AAD">
            <w:pPr>
              <w:pStyle w:val="67"/>
              <w:rPr>
                <w:color w:val="auto"/>
              </w:rPr>
            </w:pPr>
          </w:p>
        </w:tc>
        <w:tc>
          <w:tcPr>
            <w:tcW w:w="1038" w:type="dxa"/>
            <w:noWrap w:val="0"/>
            <w:vAlign w:val="center"/>
          </w:tcPr>
          <w:p w14:paraId="411E906D">
            <w:pPr>
              <w:pStyle w:val="67"/>
              <w:rPr>
                <w:color w:val="auto"/>
              </w:rPr>
            </w:pPr>
            <w:r>
              <w:rPr>
                <w:rFonts w:hint="eastAsia"/>
                <w:color w:val="auto"/>
              </w:rPr>
              <w:t>粪大肠菌群</w:t>
            </w:r>
          </w:p>
        </w:tc>
        <w:tc>
          <w:tcPr>
            <w:tcW w:w="1283" w:type="dxa"/>
            <w:noWrap w:val="0"/>
            <w:vAlign w:val="center"/>
          </w:tcPr>
          <w:p w14:paraId="3F5FF750">
            <w:pPr>
              <w:pStyle w:val="67"/>
              <w:rPr>
                <w:rFonts w:hint="eastAsia" w:eastAsia="宋体"/>
                <w:color w:val="auto"/>
                <w:lang w:eastAsia="zh-CN"/>
              </w:rPr>
            </w:pPr>
            <w:r>
              <w:rPr>
                <w:rFonts w:hint="eastAsia"/>
                <w:color w:val="auto"/>
                <w:lang w:val="en-US" w:eastAsia="zh-CN"/>
              </w:rPr>
              <w:t>/</w:t>
            </w:r>
          </w:p>
        </w:tc>
        <w:tc>
          <w:tcPr>
            <w:tcW w:w="1185" w:type="dxa"/>
            <w:noWrap w:val="0"/>
            <w:vAlign w:val="center"/>
          </w:tcPr>
          <w:p w14:paraId="0E7FE408">
            <w:pPr>
              <w:pStyle w:val="67"/>
              <w:rPr>
                <w:color w:val="auto"/>
              </w:rPr>
            </w:pPr>
            <w:r>
              <w:rPr>
                <w:rFonts w:hint="eastAsia"/>
                <w:color w:val="auto"/>
              </w:rPr>
              <w:t>1.0×10</w:t>
            </w:r>
            <w:r>
              <w:rPr>
                <w:color w:val="auto"/>
                <w:vertAlign w:val="superscript"/>
              </w:rPr>
              <w:t>7</w:t>
            </w:r>
            <w:r>
              <w:rPr>
                <w:rFonts w:hint="eastAsia"/>
                <w:color w:val="auto"/>
              </w:rPr>
              <w:t>个/L</w:t>
            </w:r>
          </w:p>
        </w:tc>
        <w:tc>
          <w:tcPr>
            <w:tcW w:w="748" w:type="dxa"/>
            <w:vMerge w:val="continue"/>
            <w:noWrap w:val="0"/>
            <w:vAlign w:val="center"/>
          </w:tcPr>
          <w:p w14:paraId="796AEA58">
            <w:pPr>
              <w:pStyle w:val="67"/>
              <w:rPr>
                <w:color w:val="auto"/>
              </w:rPr>
            </w:pPr>
          </w:p>
        </w:tc>
        <w:tc>
          <w:tcPr>
            <w:tcW w:w="563" w:type="dxa"/>
            <w:vMerge w:val="continue"/>
            <w:noWrap w:val="0"/>
            <w:vAlign w:val="center"/>
          </w:tcPr>
          <w:p w14:paraId="0319ABE1">
            <w:pPr>
              <w:pStyle w:val="67"/>
              <w:rPr>
                <w:color w:val="auto"/>
              </w:rPr>
            </w:pPr>
          </w:p>
        </w:tc>
        <w:tc>
          <w:tcPr>
            <w:tcW w:w="689" w:type="dxa"/>
            <w:noWrap w:val="0"/>
            <w:vAlign w:val="center"/>
          </w:tcPr>
          <w:p w14:paraId="56087DA2">
            <w:pPr>
              <w:pStyle w:val="67"/>
              <w:rPr>
                <w:rFonts w:hint="eastAsia"/>
                <w:color w:val="auto"/>
              </w:rPr>
            </w:pPr>
            <w:r>
              <w:rPr>
                <w:rFonts w:hint="eastAsia"/>
                <w:color w:val="auto"/>
              </w:rPr>
              <w:t>＞</w:t>
            </w:r>
            <w:r>
              <w:rPr>
                <w:color w:val="auto"/>
              </w:rPr>
              <w:t>99.9</w:t>
            </w:r>
            <w:r>
              <w:rPr>
                <w:rFonts w:hint="eastAsia"/>
                <w:color w:val="auto"/>
              </w:rPr>
              <w:t>9</w:t>
            </w:r>
          </w:p>
        </w:tc>
        <w:tc>
          <w:tcPr>
            <w:tcW w:w="984" w:type="dxa"/>
            <w:vMerge w:val="continue"/>
            <w:noWrap w:val="0"/>
            <w:vAlign w:val="center"/>
          </w:tcPr>
          <w:p w14:paraId="7782851B">
            <w:pPr>
              <w:pStyle w:val="67"/>
              <w:rPr>
                <w:color w:val="auto"/>
              </w:rPr>
            </w:pPr>
          </w:p>
        </w:tc>
        <w:tc>
          <w:tcPr>
            <w:tcW w:w="748" w:type="dxa"/>
            <w:vMerge w:val="continue"/>
            <w:noWrap w:val="0"/>
            <w:vAlign w:val="center"/>
          </w:tcPr>
          <w:p w14:paraId="37543FC3">
            <w:pPr>
              <w:pStyle w:val="67"/>
              <w:rPr>
                <w:color w:val="auto"/>
              </w:rPr>
            </w:pPr>
          </w:p>
        </w:tc>
        <w:tc>
          <w:tcPr>
            <w:tcW w:w="870" w:type="dxa"/>
            <w:noWrap w:val="0"/>
            <w:vAlign w:val="center"/>
          </w:tcPr>
          <w:p w14:paraId="1FB819A2">
            <w:pPr>
              <w:pStyle w:val="67"/>
              <w:rPr>
                <w:color w:val="auto"/>
              </w:rPr>
            </w:pPr>
            <w:r>
              <w:rPr>
                <w:rFonts w:hint="eastAsia"/>
                <w:color w:val="auto"/>
              </w:rPr>
              <w:t>粪大肠菌群</w:t>
            </w:r>
          </w:p>
        </w:tc>
        <w:tc>
          <w:tcPr>
            <w:tcW w:w="1086" w:type="dxa"/>
            <w:noWrap w:val="0"/>
            <w:vAlign w:val="center"/>
          </w:tcPr>
          <w:p w14:paraId="57C2F732">
            <w:pPr>
              <w:widowControl/>
              <w:jc w:val="center"/>
              <w:textAlignment w:val="center"/>
              <w:rPr>
                <w:rFonts w:hint="eastAsia" w:eastAsia="宋体"/>
                <w:color w:val="auto"/>
                <w:lang w:eastAsia="zh-CN"/>
              </w:rPr>
            </w:pPr>
            <w:r>
              <w:rPr>
                <w:rFonts w:hint="eastAsia"/>
                <w:color w:val="auto"/>
                <w:kern w:val="0"/>
                <w:sz w:val="21"/>
                <w:szCs w:val="21"/>
                <w:lang w:val="en-US" w:eastAsia="zh-CN" w:bidi="ar"/>
              </w:rPr>
              <w:t>/</w:t>
            </w:r>
          </w:p>
        </w:tc>
        <w:tc>
          <w:tcPr>
            <w:tcW w:w="934" w:type="dxa"/>
            <w:noWrap w:val="0"/>
            <w:vAlign w:val="center"/>
          </w:tcPr>
          <w:p w14:paraId="2924188A">
            <w:pPr>
              <w:widowControl/>
              <w:jc w:val="center"/>
              <w:textAlignment w:val="center"/>
              <w:rPr>
                <w:color w:val="auto"/>
              </w:rPr>
            </w:pPr>
            <w:r>
              <w:rPr>
                <w:color w:val="auto"/>
                <w:kern w:val="0"/>
                <w:sz w:val="21"/>
                <w:szCs w:val="21"/>
                <w:lang w:bidi="ar"/>
              </w:rPr>
              <w:t>1000</w:t>
            </w:r>
            <w:r>
              <w:rPr>
                <w:rFonts w:hint="eastAsia" w:ascii="宋体" w:hAnsi="宋体" w:cs="宋体"/>
                <w:color w:val="auto"/>
                <w:kern w:val="0"/>
                <w:sz w:val="21"/>
                <w:szCs w:val="21"/>
                <w:lang w:bidi="ar"/>
              </w:rPr>
              <w:t>个</w:t>
            </w:r>
            <w:r>
              <w:rPr>
                <w:color w:val="auto"/>
                <w:kern w:val="0"/>
                <w:sz w:val="21"/>
                <w:szCs w:val="21"/>
                <w:lang w:bidi="ar"/>
              </w:rPr>
              <w:t>/L</w:t>
            </w:r>
          </w:p>
        </w:tc>
        <w:tc>
          <w:tcPr>
            <w:tcW w:w="618" w:type="dxa"/>
            <w:vMerge w:val="continue"/>
            <w:noWrap w:val="0"/>
            <w:vAlign w:val="center"/>
          </w:tcPr>
          <w:p w14:paraId="443B786F">
            <w:pPr>
              <w:pStyle w:val="67"/>
              <w:rPr>
                <w:color w:val="auto"/>
              </w:rPr>
            </w:pPr>
          </w:p>
        </w:tc>
        <w:tc>
          <w:tcPr>
            <w:tcW w:w="721" w:type="dxa"/>
            <w:vMerge w:val="continue"/>
            <w:noWrap w:val="0"/>
            <w:vAlign w:val="center"/>
          </w:tcPr>
          <w:p w14:paraId="7125AFE8">
            <w:pPr>
              <w:pStyle w:val="67"/>
              <w:rPr>
                <w:color w:val="auto"/>
              </w:rPr>
            </w:pPr>
          </w:p>
        </w:tc>
        <w:tc>
          <w:tcPr>
            <w:tcW w:w="597" w:type="dxa"/>
            <w:vMerge w:val="continue"/>
            <w:noWrap w:val="0"/>
            <w:vAlign w:val="center"/>
          </w:tcPr>
          <w:p w14:paraId="746F92C4">
            <w:pPr>
              <w:pStyle w:val="67"/>
              <w:rPr>
                <w:color w:val="auto"/>
              </w:rPr>
            </w:pPr>
          </w:p>
        </w:tc>
        <w:tc>
          <w:tcPr>
            <w:tcW w:w="836" w:type="dxa"/>
            <w:vMerge w:val="continue"/>
            <w:noWrap w:val="0"/>
            <w:vAlign w:val="center"/>
          </w:tcPr>
          <w:p w14:paraId="68D287A7">
            <w:pPr>
              <w:pStyle w:val="67"/>
              <w:rPr>
                <w:color w:val="auto"/>
              </w:rPr>
            </w:pPr>
          </w:p>
        </w:tc>
        <w:tc>
          <w:tcPr>
            <w:tcW w:w="683" w:type="dxa"/>
            <w:vMerge w:val="continue"/>
            <w:noWrap w:val="0"/>
            <w:vAlign w:val="center"/>
          </w:tcPr>
          <w:p w14:paraId="5F37992D">
            <w:pPr>
              <w:pStyle w:val="67"/>
              <w:rPr>
                <w:color w:val="auto"/>
              </w:rPr>
            </w:pPr>
          </w:p>
        </w:tc>
        <w:tc>
          <w:tcPr>
            <w:tcW w:w="786" w:type="dxa"/>
            <w:vMerge w:val="continue"/>
            <w:noWrap w:val="0"/>
            <w:vAlign w:val="center"/>
          </w:tcPr>
          <w:p w14:paraId="30E696E0">
            <w:pPr>
              <w:pStyle w:val="67"/>
              <w:rPr>
                <w:color w:val="auto"/>
              </w:rPr>
            </w:pPr>
          </w:p>
        </w:tc>
        <w:tc>
          <w:tcPr>
            <w:tcW w:w="1593" w:type="dxa"/>
            <w:vMerge w:val="continue"/>
            <w:noWrap w:val="0"/>
            <w:vAlign w:val="center"/>
          </w:tcPr>
          <w:p w14:paraId="30F27981">
            <w:pPr>
              <w:pStyle w:val="67"/>
              <w:rPr>
                <w:color w:val="auto"/>
              </w:rPr>
            </w:pPr>
          </w:p>
        </w:tc>
        <w:tc>
          <w:tcPr>
            <w:tcW w:w="1406" w:type="dxa"/>
            <w:noWrap w:val="0"/>
            <w:vAlign w:val="center"/>
          </w:tcPr>
          <w:p w14:paraId="25142FF9">
            <w:pPr>
              <w:pStyle w:val="67"/>
              <w:rPr>
                <w:color w:val="auto"/>
              </w:rPr>
            </w:pPr>
            <w:r>
              <w:rPr>
                <w:color w:val="auto"/>
              </w:rPr>
              <w:t>≤5000MPN/L</w:t>
            </w:r>
          </w:p>
        </w:tc>
        <w:tc>
          <w:tcPr>
            <w:tcW w:w="646" w:type="dxa"/>
            <w:vMerge w:val="continue"/>
            <w:noWrap w:val="0"/>
            <w:vAlign w:val="center"/>
          </w:tcPr>
          <w:p w14:paraId="6B356CCC">
            <w:pPr>
              <w:pStyle w:val="67"/>
              <w:rPr>
                <w:color w:val="auto"/>
              </w:rPr>
            </w:pPr>
          </w:p>
        </w:tc>
        <w:tc>
          <w:tcPr>
            <w:tcW w:w="815" w:type="dxa"/>
            <w:noWrap w:val="0"/>
            <w:vAlign w:val="center"/>
          </w:tcPr>
          <w:p w14:paraId="1647F48A">
            <w:pPr>
              <w:pStyle w:val="67"/>
              <w:rPr>
                <w:color w:val="auto"/>
              </w:rPr>
            </w:pPr>
            <w:r>
              <w:rPr>
                <w:rFonts w:hint="eastAsia"/>
                <w:color w:val="auto"/>
              </w:rPr>
              <w:t>粪大肠菌群</w:t>
            </w:r>
          </w:p>
        </w:tc>
        <w:tc>
          <w:tcPr>
            <w:tcW w:w="876" w:type="dxa"/>
            <w:noWrap w:val="0"/>
            <w:vAlign w:val="center"/>
          </w:tcPr>
          <w:p w14:paraId="43B1B196">
            <w:pPr>
              <w:pStyle w:val="67"/>
              <w:rPr>
                <w:color w:val="auto"/>
              </w:rPr>
            </w:pPr>
            <w:r>
              <w:rPr>
                <w:color w:val="auto"/>
              </w:rPr>
              <w:t>1</w:t>
            </w:r>
            <w:r>
              <w:rPr>
                <w:rFonts w:hint="eastAsia"/>
                <w:color w:val="auto"/>
              </w:rPr>
              <w:t>次/季度</w:t>
            </w:r>
          </w:p>
        </w:tc>
      </w:tr>
      <w:tr w14:paraId="34665D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636" w:type="dxa"/>
            <w:vMerge w:val="restart"/>
            <w:noWrap w:val="0"/>
            <w:vAlign w:val="center"/>
          </w:tcPr>
          <w:p w14:paraId="0A74ED7C">
            <w:pPr>
              <w:pStyle w:val="67"/>
              <w:rPr>
                <w:color w:val="auto"/>
              </w:rPr>
            </w:pPr>
            <w:r>
              <w:rPr>
                <w:rFonts w:hint="eastAsia"/>
                <w:color w:val="auto"/>
              </w:rPr>
              <w:t>职员、宠物清洗、诊疗医疗、住院</w:t>
            </w:r>
          </w:p>
        </w:tc>
        <w:tc>
          <w:tcPr>
            <w:tcW w:w="636" w:type="dxa"/>
            <w:vMerge w:val="restart"/>
            <w:noWrap w:val="0"/>
            <w:vAlign w:val="center"/>
          </w:tcPr>
          <w:p w14:paraId="5466BD1F">
            <w:pPr>
              <w:pStyle w:val="67"/>
              <w:rPr>
                <w:color w:val="auto"/>
              </w:rPr>
            </w:pPr>
            <w:r>
              <w:rPr>
                <w:rFonts w:hint="eastAsia"/>
                <w:color w:val="auto"/>
              </w:rPr>
              <w:t>综合废水</w:t>
            </w:r>
          </w:p>
        </w:tc>
        <w:tc>
          <w:tcPr>
            <w:tcW w:w="1038" w:type="dxa"/>
            <w:noWrap w:val="0"/>
            <w:vAlign w:val="center"/>
          </w:tcPr>
          <w:p w14:paraId="1FD7380B">
            <w:pPr>
              <w:pStyle w:val="67"/>
              <w:rPr>
                <w:color w:val="auto"/>
              </w:rPr>
            </w:pPr>
            <w:r>
              <w:rPr>
                <w:color w:val="auto"/>
              </w:rPr>
              <w:t>COD</w:t>
            </w:r>
            <w:r>
              <w:rPr>
                <w:rFonts w:hint="eastAsia"/>
                <w:color w:val="auto"/>
                <w:vertAlign w:val="subscript"/>
                <w:lang w:val="en-US" w:eastAsia="zh-CN"/>
              </w:rPr>
              <w:t>Cr</w:t>
            </w:r>
          </w:p>
        </w:tc>
        <w:tc>
          <w:tcPr>
            <w:tcW w:w="1283" w:type="dxa"/>
            <w:noWrap w:val="0"/>
            <w:vAlign w:val="center"/>
          </w:tcPr>
          <w:p w14:paraId="418F6F2E">
            <w:pPr>
              <w:widowControl/>
              <w:jc w:val="center"/>
              <w:textAlignment w:val="center"/>
              <w:rPr>
                <w:rFonts w:hint="default" w:eastAsia="宋体"/>
                <w:color w:val="auto"/>
                <w:lang w:val="en-US" w:eastAsia="zh-CN"/>
              </w:rPr>
            </w:pPr>
            <w:r>
              <w:rPr>
                <w:rFonts w:hint="eastAsia"/>
                <w:color w:val="auto"/>
                <w:kern w:val="0"/>
                <w:sz w:val="21"/>
                <w:szCs w:val="21"/>
                <w:lang w:val="en-US" w:eastAsia="zh-CN" w:bidi="ar"/>
              </w:rPr>
              <w:t>0.115</w:t>
            </w:r>
          </w:p>
        </w:tc>
        <w:tc>
          <w:tcPr>
            <w:tcW w:w="1185" w:type="dxa"/>
            <w:noWrap w:val="0"/>
            <w:vAlign w:val="center"/>
          </w:tcPr>
          <w:p w14:paraId="11997ACC">
            <w:pPr>
              <w:widowControl/>
              <w:jc w:val="center"/>
              <w:textAlignment w:val="center"/>
              <w:rPr>
                <w:rFonts w:hint="default" w:eastAsia="宋体"/>
                <w:color w:val="auto"/>
                <w:lang w:val="en-US" w:eastAsia="zh-CN"/>
              </w:rPr>
            </w:pPr>
            <w:r>
              <w:rPr>
                <w:rFonts w:hint="eastAsia"/>
                <w:color w:val="auto"/>
                <w:kern w:val="0"/>
                <w:sz w:val="21"/>
                <w:szCs w:val="21"/>
                <w:lang w:val="en-US" w:eastAsia="zh-CN" w:bidi="ar"/>
              </w:rPr>
              <w:t>395.6</w:t>
            </w:r>
          </w:p>
        </w:tc>
        <w:tc>
          <w:tcPr>
            <w:tcW w:w="748" w:type="dxa"/>
            <w:vMerge w:val="restart"/>
            <w:noWrap w:val="0"/>
            <w:vAlign w:val="center"/>
          </w:tcPr>
          <w:p w14:paraId="72115BEB">
            <w:pPr>
              <w:pStyle w:val="67"/>
              <w:rPr>
                <w:rFonts w:hint="default" w:eastAsia="宋体"/>
                <w:color w:val="auto"/>
                <w:lang w:val="en-US" w:eastAsia="zh-CN"/>
              </w:rPr>
            </w:pPr>
            <w:r>
              <w:rPr>
                <w:rFonts w:hint="eastAsia"/>
                <w:color w:val="auto"/>
                <w:lang w:val="en-US" w:eastAsia="zh-CN"/>
              </w:rPr>
              <w:t>18</w:t>
            </w:r>
          </w:p>
        </w:tc>
        <w:tc>
          <w:tcPr>
            <w:tcW w:w="563" w:type="dxa"/>
            <w:vMerge w:val="restart"/>
            <w:noWrap w:val="0"/>
            <w:vAlign w:val="center"/>
          </w:tcPr>
          <w:p w14:paraId="35DFD109">
            <w:pPr>
              <w:pStyle w:val="67"/>
              <w:rPr>
                <w:color w:val="auto"/>
              </w:rPr>
            </w:pPr>
            <w:r>
              <w:rPr>
                <w:rFonts w:hint="eastAsia"/>
                <w:color w:val="auto"/>
              </w:rPr>
              <w:t>化粪池</w:t>
            </w:r>
          </w:p>
        </w:tc>
        <w:tc>
          <w:tcPr>
            <w:tcW w:w="689" w:type="dxa"/>
            <w:noWrap w:val="0"/>
            <w:vAlign w:val="center"/>
          </w:tcPr>
          <w:p w14:paraId="2FB25E59">
            <w:pPr>
              <w:widowControl/>
              <w:jc w:val="center"/>
              <w:textAlignment w:val="center"/>
              <w:rPr>
                <w:color w:val="auto"/>
                <w:kern w:val="0"/>
                <w:sz w:val="21"/>
              </w:rPr>
            </w:pPr>
            <w:r>
              <w:rPr>
                <w:rFonts w:hint="eastAsia"/>
                <w:color w:val="auto"/>
                <w:kern w:val="0"/>
                <w:sz w:val="21"/>
              </w:rPr>
              <w:t>15</w:t>
            </w:r>
          </w:p>
        </w:tc>
        <w:tc>
          <w:tcPr>
            <w:tcW w:w="984" w:type="dxa"/>
            <w:vMerge w:val="restart"/>
            <w:noWrap w:val="0"/>
            <w:vAlign w:val="center"/>
          </w:tcPr>
          <w:p w14:paraId="0A3F2DC5">
            <w:pPr>
              <w:pStyle w:val="67"/>
              <w:rPr>
                <w:color w:val="auto"/>
              </w:rPr>
            </w:pPr>
            <w:r>
              <w:rPr>
                <w:rFonts w:hint="eastAsia"/>
                <w:color w:val="auto"/>
              </w:rPr>
              <w:t>是</w:t>
            </w:r>
          </w:p>
        </w:tc>
        <w:tc>
          <w:tcPr>
            <w:tcW w:w="748" w:type="dxa"/>
            <w:vMerge w:val="restart"/>
            <w:noWrap w:val="0"/>
            <w:vAlign w:val="center"/>
          </w:tcPr>
          <w:p w14:paraId="47F737C9">
            <w:pPr>
              <w:pStyle w:val="67"/>
              <w:rPr>
                <w:rFonts w:hint="default" w:eastAsia="宋体"/>
                <w:color w:val="auto"/>
                <w:lang w:val="en-US" w:eastAsia="zh-CN"/>
              </w:rPr>
            </w:pPr>
            <w:r>
              <w:rPr>
                <w:rFonts w:hint="eastAsia"/>
                <w:color w:val="auto"/>
                <w:lang w:val="en-US" w:eastAsia="zh-CN"/>
              </w:rPr>
              <w:t>290.7</w:t>
            </w:r>
          </w:p>
        </w:tc>
        <w:tc>
          <w:tcPr>
            <w:tcW w:w="870" w:type="dxa"/>
            <w:noWrap w:val="0"/>
            <w:vAlign w:val="center"/>
          </w:tcPr>
          <w:p w14:paraId="436322AA">
            <w:pPr>
              <w:pStyle w:val="67"/>
              <w:rPr>
                <w:color w:val="auto"/>
              </w:rPr>
            </w:pPr>
            <w:r>
              <w:rPr>
                <w:color w:val="auto"/>
              </w:rPr>
              <w:t>COD</w:t>
            </w:r>
            <w:r>
              <w:rPr>
                <w:rFonts w:hint="eastAsia"/>
                <w:color w:val="auto"/>
                <w:vertAlign w:val="subscript"/>
                <w:lang w:val="en-US" w:eastAsia="zh-CN"/>
              </w:rPr>
              <w:t>Cr</w:t>
            </w:r>
          </w:p>
        </w:tc>
        <w:tc>
          <w:tcPr>
            <w:tcW w:w="1086" w:type="dxa"/>
            <w:noWrap w:val="0"/>
            <w:vAlign w:val="center"/>
          </w:tcPr>
          <w:p w14:paraId="659B502F">
            <w:pPr>
              <w:widowControl/>
              <w:jc w:val="center"/>
              <w:textAlignment w:val="center"/>
              <w:rPr>
                <w:rFonts w:hint="default" w:eastAsia="宋体"/>
                <w:color w:val="auto"/>
                <w:lang w:val="en-US" w:eastAsia="zh-CN"/>
              </w:rPr>
            </w:pPr>
            <w:r>
              <w:rPr>
                <w:color w:val="auto"/>
                <w:kern w:val="0"/>
                <w:sz w:val="21"/>
                <w:szCs w:val="21"/>
                <w:lang w:bidi="ar"/>
              </w:rPr>
              <w:t>0.</w:t>
            </w:r>
            <w:r>
              <w:rPr>
                <w:rFonts w:hint="eastAsia"/>
                <w:color w:val="auto"/>
                <w:kern w:val="0"/>
                <w:sz w:val="21"/>
                <w:szCs w:val="21"/>
                <w:lang w:val="en-US" w:eastAsia="zh-CN" w:bidi="ar"/>
              </w:rPr>
              <w:t>098</w:t>
            </w:r>
          </w:p>
        </w:tc>
        <w:tc>
          <w:tcPr>
            <w:tcW w:w="934" w:type="dxa"/>
            <w:noWrap w:val="0"/>
            <w:vAlign w:val="center"/>
          </w:tcPr>
          <w:p w14:paraId="569CD823">
            <w:pPr>
              <w:widowControl/>
              <w:jc w:val="center"/>
              <w:textAlignment w:val="center"/>
              <w:rPr>
                <w:rFonts w:hint="default" w:eastAsia="宋体"/>
                <w:color w:val="auto"/>
                <w:lang w:val="en-US" w:eastAsia="zh-CN"/>
              </w:rPr>
            </w:pPr>
            <w:r>
              <w:rPr>
                <w:rFonts w:hint="eastAsia"/>
                <w:color w:val="auto"/>
                <w:kern w:val="0"/>
                <w:sz w:val="21"/>
                <w:szCs w:val="21"/>
                <w:lang w:val="en-US" w:eastAsia="zh-CN" w:bidi="ar"/>
              </w:rPr>
              <w:t>337.1</w:t>
            </w:r>
          </w:p>
        </w:tc>
        <w:tc>
          <w:tcPr>
            <w:tcW w:w="618" w:type="dxa"/>
            <w:vMerge w:val="restart"/>
            <w:noWrap w:val="0"/>
            <w:vAlign w:val="center"/>
          </w:tcPr>
          <w:p w14:paraId="49CBCE98">
            <w:pPr>
              <w:pStyle w:val="67"/>
              <w:rPr>
                <w:color w:val="auto"/>
              </w:rPr>
            </w:pPr>
            <w:r>
              <w:rPr>
                <w:rFonts w:hint="eastAsia"/>
                <w:color w:val="auto"/>
              </w:rPr>
              <w:t>间接排放</w:t>
            </w:r>
          </w:p>
        </w:tc>
        <w:tc>
          <w:tcPr>
            <w:tcW w:w="721" w:type="dxa"/>
            <w:vMerge w:val="restart"/>
            <w:noWrap w:val="0"/>
            <w:vAlign w:val="center"/>
          </w:tcPr>
          <w:p w14:paraId="4C8E365A">
            <w:pPr>
              <w:pStyle w:val="67"/>
              <w:rPr>
                <w:color w:val="auto"/>
              </w:rPr>
            </w:pPr>
            <w:r>
              <w:rPr>
                <w:rFonts w:hint="eastAsia"/>
                <w:color w:val="auto"/>
              </w:rPr>
              <w:t>祥坂污水处理站</w:t>
            </w:r>
          </w:p>
        </w:tc>
        <w:tc>
          <w:tcPr>
            <w:tcW w:w="597" w:type="dxa"/>
            <w:vMerge w:val="restart"/>
            <w:noWrap w:val="0"/>
            <w:vAlign w:val="center"/>
          </w:tcPr>
          <w:p w14:paraId="6B971712">
            <w:pPr>
              <w:pStyle w:val="67"/>
              <w:rPr>
                <w:rFonts w:hint="eastAsia"/>
                <w:color w:val="auto"/>
              </w:rPr>
            </w:pPr>
            <w:r>
              <w:rPr>
                <w:rFonts w:hint="eastAsia"/>
                <w:color w:val="auto"/>
              </w:rPr>
              <w:t>间歇</w:t>
            </w:r>
          </w:p>
        </w:tc>
        <w:tc>
          <w:tcPr>
            <w:tcW w:w="836" w:type="dxa"/>
            <w:vMerge w:val="restart"/>
            <w:noWrap w:val="0"/>
            <w:vAlign w:val="center"/>
          </w:tcPr>
          <w:p w14:paraId="7FBC0FAE">
            <w:pPr>
              <w:pStyle w:val="67"/>
              <w:rPr>
                <w:color w:val="auto"/>
              </w:rPr>
            </w:pPr>
            <w:r>
              <w:rPr>
                <w:color w:val="auto"/>
              </w:rPr>
              <w:t>DW00</w:t>
            </w:r>
            <w:r>
              <w:rPr>
                <w:rFonts w:hint="eastAsia"/>
                <w:color w:val="auto"/>
              </w:rPr>
              <w:t>1</w:t>
            </w:r>
          </w:p>
        </w:tc>
        <w:tc>
          <w:tcPr>
            <w:tcW w:w="683" w:type="dxa"/>
            <w:vMerge w:val="restart"/>
            <w:noWrap w:val="0"/>
            <w:vAlign w:val="center"/>
          </w:tcPr>
          <w:p w14:paraId="640B395F">
            <w:pPr>
              <w:pStyle w:val="67"/>
              <w:rPr>
                <w:color w:val="auto"/>
              </w:rPr>
            </w:pPr>
            <w:r>
              <w:rPr>
                <w:rFonts w:hint="eastAsia"/>
                <w:color w:val="auto"/>
              </w:rPr>
              <w:t>化粪池出口</w:t>
            </w:r>
          </w:p>
        </w:tc>
        <w:tc>
          <w:tcPr>
            <w:tcW w:w="786" w:type="dxa"/>
            <w:vMerge w:val="restart"/>
            <w:noWrap w:val="0"/>
            <w:vAlign w:val="center"/>
          </w:tcPr>
          <w:p w14:paraId="2C778540">
            <w:pPr>
              <w:pStyle w:val="67"/>
              <w:rPr>
                <w:color w:val="auto"/>
              </w:rPr>
            </w:pPr>
            <w:r>
              <w:rPr>
                <w:rFonts w:hint="eastAsia"/>
                <w:color w:val="auto"/>
              </w:rPr>
              <w:t>生活污水排放口</w:t>
            </w:r>
          </w:p>
        </w:tc>
        <w:tc>
          <w:tcPr>
            <w:tcW w:w="1593" w:type="dxa"/>
            <w:vMerge w:val="restart"/>
            <w:noWrap w:val="0"/>
            <w:vAlign w:val="center"/>
          </w:tcPr>
          <w:p w14:paraId="4C07E625">
            <w:pPr>
              <w:pStyle w:val="67"/>
              <w:rPr>
                <w:color w:val="auto"/>
              </w:rPr>
            </w:pPr>
            <w:r>
              <w:rPr>
                <w:rFonts w:hint="eastAsia"/>
                <w:color w:val="auto"/>
              </w:rPr>
              <w:t>119°1</w:t>
            </w:r>
            <w:r>
              <w:rPr>
                <w:rFonts w:hint="eastAsia"/>
                <w:color w:val="auto"/>
                <w:lang w:val="en-US" w:eastAsia="zh-CN"/>
              </w:rPr>
              <w:t>7</w:t>
            </w:r>
            <w:r>
              <w:rPr>
                <w:rFonts w:hint="eastAsia"/>
                <w:color w:val="auto"/>
              </w:rPr>
              <w:t>′</w:t>
            </w:r>
            <w:r>
              <w:rPr>
                <w:rFonts w:hint="eastAsia"/>
                <w:color w:val="auto"/>
                <w:lang w:val="en-US" w:eastAsia="zh-CN"/>
              </w:rPr>
              <w:t>9.831</w:t>
            </w:r>
            <w:r>
              <w:rPr>
                <w:rFonts w:hint="eastAsia"/>
                <w:color w:val="auto"/>
              </w:rPr>
              <w:t>1″E，26°</w:t>
            </w:r>
            <w:r>
              <w:rPr>
                <w:rFonts w:hint="eastAsia"/>
                <w:color w:val="auto"/>
                <w:lang w:val="en-US" w:eastAsia="zh-CN"/>
              </w:rPr>
              <w:t>5</w:t>
            </w:r>
            <w:r>
              <w:rPr>
                <w:rFonts w:hint="eastAsia"/>
                <w:color w:val="auto"/>
              </w:rPr>
              <w:t>′</w:t>
            </w:r>
            <w:r>
              <w:rPr>
                <w:rFonts w:hint="eastAsia"/>
                <w:color w:val="auto"/>
                <w:lang w:val="en-US" w:eastAsia="zh-CN"/>
              </w:rPr>
              <w:t>16.992</w:t>
            </w:r>
            <w:r>
              <w:rPr>
                <w:rFonts w:hint="eastAsia"/>
                <w:color w:val="auto"/>
              </w:rPr>
              <w:t>″N</w:t>
            </w:r>
          </w:p>
        </w:tc>
        <w:tc>
          <w:tcPr>
            <w:tcW w:w="1406" w:type="dxa"/>
            <w:noWrap w:val="0"/>
            <w:vAlign w:val="center"/>
          </w:tcPr>
          <w:p w14:paraId="52D00C36">
            <w:pPr>
              <w:pStyle w:val="67"/>
              <w:rPr>
                <w:color w:val="auto"/>
              </w:rPr>
            </w:pPr>
            <w:r>
              <w:rPr>
                <w:color w:val="auto"/>
              </w:rPr>
              <w:t>500</w:t>
            </w:r>
          </w:p>
        </w:tc>
        <w:tc>
          <w:tcPr>
            <w:tcW w:w="646" w:type="dxa"/>
            <w:vMerge w:val="restart"/>
            <w:noWrap w:val="0"/>
            <w:vAlign w:val="center"/>
          </w:tcPr>
          <w:p w14:paraId="45BF3F02">
            <w:pPr>
              <w:pStyle w:val="67"/>
              <w:rPr>
                <w:rFonts w:hint="eastAsia"/>
                <w:color w:val="auto"/>
              </w:rPr>
            </w:pPr>
            <w:r>
              <w:rPr>
                <w:rFonts w:hint="eastAsia"/>
                <w:color w:val="auto"/>
              </w:rPr>
              <w:t>化粪池</w:t>
            </w:r>
          </w:p>
        </w:tc>
        <w:tc>
          <w:tcPr>
            <w:tcW w:w="815" w:type="dxa"/>
            <w:noWrap w:val="0"/>
            <w:vAlign w:val="center"/>
          </w:tcPr>
          <w:p w14:paraId="466E5AC3">
            <w:pPr>
              <w:pStyle w:val="67"/>
              <w:rPr>
                <w:color w:val="auto"/>
              </w:rPr>
            </w:pPr>
            <w:r>
              <w:rPr>
                <w:color w:val="auto"/>
              </w:rPr>
              <w:t>COD</w:t>
            </w:r>
          </w:p>
        </w:tc>
        <w:tc>
          <w:tcPr>
            <w:tcW w:w="876" w:type="dxa"/>
            <w:noWrap w:val="0"/>
            <w:vAlign w:val="center"/>
          </w:tcPr>
          <w:p w14:paraId="63B17007">
            <w:pPr>
              <w:pStyle w:val="67"/>
              <w:rPr>
                <w:rFonts w:hint="eastAsia"/>
                <w:color w:val="auto"/>
              </w:rPr>
            </w:pPr>
            <w:r>
              <w:rPr>
                <w:color w:val="auto"/>
              </w:rPr>
              <w:t>1</w:t>
            </w:r>
            <w:r>
              <w:rPr>
                <w:rFonts w:hint="eastAsia"/>
                <w:color w:val="auto"/>
              </w:rPr>
              <w:t>次/季度</w:t>
            </w:r>
          </w:p>
        </w:tc>
      </w:tr>
      <w:tr w14:paraId="6EEE63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636" w:type="dxa"/>
            <w:vMerge w:val="continue"/>
            <w:noWrap w:val="0"/>
            <w:vAlign w:val="center"/>
          </w:tcPr>
          <w:p w14:paraId="772570B6">
            <w:pPr>
              <w:pStyle w:val="67"/>
              <w:rPr>
                <w:color w:val="auto"/>
              </w:rPr>
            </w:pPr>
          </w:p>
        </w:tc>
        <w:tc>
          <w:tcPr>
            <w:tcW w:w="636" w:type="dxa"/>
            <w:vMerge w:val="continue"/>
            <w:noWrap w:val="0"/>
            <w:vAlign w:val="center"/>
          </w:tcPr>
          <w:p w14:paraId="08BFCCDC">
            <w:pPr>
              <w:pStyle w:val="67"/>
              <w:rPr>
                <w:color w:val="auto"/>
              </w:rPr>
            </w:pPr>
          </w:p>
        </w:tc>
        <w:tc>
          <w:tcPr>
            <w:tcW w:w="1038" w:type="dxa"/>
            <w:noWrap w:val="0"/>
            <w:vAlign w:val="center"/>
          </w:tcPr>
          <w:p w14:paraId="660FFAF1">
            <w:pPr>
              <w:pStyle w:val="67"/>
              <w:rPr>
                <w:color w:val="auto"/>
              </w:rPr>
            </w:pPr>
            <w:r>
              <w:rPr>
                <w:color w:val="auto"/>
              </w:rPr>
              <w:t>BOD</w:t>
            </w:r>
            <w:r>
              <w:rPr>
                <w:color w:val="auto"/>
                <w:vertAlign w:val="subscript"/>
              </w:rPr>
              <w:t>5</w:t>
            </w:r>
          </w:p>
        </w:tc>
        <w:tc>
          <w:tcPr>
            <w:tcW w:w="1283" w:type="dxa"/>
            <w:noWrap w:val="0"/>
            <w:vAlign w:val="center"/>
          </w:tcPr>
          <w:p w14:paraId="719D0CD7">
            <w:pPr>
              <w:widowControl/>
              <w:jc w:val="center"/>
              <w:textAlignment w:val="center"/>
              <w:rPr>
                <w:rFonts w:hint="default" w:eastAsia="宋体"/>
                <w:color w:val="auto"/>
                <w:lang w:val="en-US" w:eastAsia="zh-CN"/>
              </w:rPr>
            </w:pPr>
            <w:r>
              <w:rPr>
                <w:rFonts w:hint="eastAsia"/>
                <w:color w:val="auto"/>
                <w:lang w:val="en-US" w:eastAsia="zh-CN"/>
              </w:rPr>
              <w:t>0.057</w:t>
            </w:r>
          </w:p>
        </w:tc>
        <w:tc>
          <w:tcPr>
            <w:tcW w:w="1185" w:type="dxa"/>
            <w:noWrap w:val="0"/>
            <w:vAlign w:val="center"/>
          </w:tcPr>
          <w:p w14:paraId="23C9269F">
            <w:pPr>
              <w:widowControl/>
              <w:jc w:val="center"/>
              <w:textAlignment w:val="center"/>
              <w:rPr>
                <w:rFonts w:hint="eastAsia" w:eastAsia="宋体"/>
                <w:color w:val="auto"/>
                <w:lang w:eastAsia="zh-CN"/>
              </w:rPr>
            </w:pPr>
            <w:r>
              <w:rPr>
                <w:color w:val="auto"/>
                <w:kern w:val="0"/>
                <w:sz w:val="21"/>
                <w:szCs w:val="21"/>
                <w:lang w:bidi="ar"/>
              </w:rPr>
              <w:t>196.</w:t>
            </w:r>
            <w:r>
              <w:rPr>
                <w:rFonts w:hint="eastAsia"/>
                <w:color w:val="auto"/>
                <w:kern w:val="0"/>
                <w:sz w:val="21"/>
                <w:szCs w:val="21"/>
                <w:lang w:val="en-US" w:eastAsia="zh-CN" w:bidi="ar"/>
              </w:rPr>
              <w:t>1</w:t>
            </w:r>
          </w:p>
        </w:tc>
        <w:tc>
          <w:tcPr>
            <w:tcW w:w="748" w:type="dxa"/>
            <w:vMerge w:val="continue"/>
            <w:noWrap w:val="0"/>
            <w:vAlign w:val="center"/>
          </w:tcPr>
          <w:p w14:paraId="25C00152">
            <w:pPr>
              <w:pStyle w:val="67"/>
              <w:rPr>
                <w:color w:val="auto"/>
              </w:rPr>
            </w:pPr>
          </w:p>
        </w:tc>
        <w:tc>
          <w:tcPr>
            <w:tcW w:w="563" w:type="dxa"/>
            <w:vMerge w:val="continue"/>
            <w:noWrap w:val="0"/>
            <w:vAlign w:val="center"/>
          </w:tcPr>
          <w:p w14:paraId="4ED33C15">
            <w:pPr>
              <w:pStyle w:val="67"/>
              <w:rPr>
                <w:color w:val="auto"/>
              </w:rPr>
            </w:pPr>
          </w:p>
        </w:tc>
        <w:tc>
          <w:tcPr>
            <w:tcW w:w="689" w:type="dxa"/>
            <w:noWrap w:val="0"/>
            <w:vAlign w:val="center"/>
          </w:tcPr>
          <w:p w14:paraId="3066FE94">
            <w:pPr>
              <w:widowControl/>
              <w:jc w:val="center"/>
              <w:textAlignment w:val="center"/>
              <w:rPr>
                <w:color w:val="auto"/>
                <w:kern w:val="0"/>
                <w:sz w:val="21"/>
              </w:rPr>
            </w:pPr>
            <w:r>
              <w:rPr>
                <w:rFonts w:hint="eastAsia"/>
                <w:color w:val="auto"/>
                <w:kern w:val="0"/>
                <w:sz w:val="21"/>
              </w:rPr>
              <w:t>11</w:t>
            </w:r>
          </w:p>
        </w:tc>
        <w:tc>
          <w:tcPr>
            <w:tcW w:w="984" w:type="dxa"/>
            <w:vMerge w:val="continue"/>
            <w:noWrap w:val="0"/>
            <w:vAlign w:val="center"/>
          </w:tcPr>
          <w:p w14:paraId="0710F9B4">
            <w:pPr>
              <w:pStyle w:val="67"/>
              <w:rPr>
                <w:color w:val="auto"/>
              </w:rPr>
            </w:pPr>
          </w:p>
        </w:tc>
        <w:tc>
          <w:tcPr>
            <w:tcW w:w="748" w:type="dxa"/>
            <w:vMerge w:val="continue"/>
            <w:noWrap w:val="0"/>
            <w:vAlign w:val="center"/>
          </w:tcPr>
          <w:p w14:paraId="1416CB99">
            <w:pPr>
              <w:pStyle w:val="67"/>
              <w:rPr>
                <w:color w:val="auto"/>
              </w:rPr>
            </w:pPr>
          </w:p>
        </w:tc>
        <w:tc>
          <w:tcPr>
            <w:tcW w:w="870" w:type="dxa"/>
            <w:noWrap w:val="0"/>
            <w:vAlign w:val="center"/>
          </w:tcPr>
          <w:p w14:paraId="795DD021">
            <w:pPr>
              <w:pStyle w:val="67"/>
              <w:rPr>
                <w:color w:val="auto"/>
              </w:rPr>
            </w:pPr>
            <w:r>
              <w:rPr>
                <w:color w:val="auto"/>
              </w:rPr>
              <w:t>BOD</w:t>
            </w:r>
            <w:r>
              <w:rPr>
                <w:color w:val="auto"/>
                <w:vertAlign w:val="subscript"/>
              </w:rPr>
              <w:t>5</w:t>
            </w:r>
          </w:p>
        </w:tc>
        <w:tc>
          <w:tcPr>
            <w:tcW w:w="1086" w:type="dxa"/>
            <w:noWrap w:val="0"/>
            <w:vAlign w:val="center"/>
          </w:tcPr>
          <w:p w14:paraId="67172587">
            <w:pPr>
              <w:widowControl/>
              <w:jc w:val="center"/>
              <w:textAlignment w:val="center"/>
              <w:rPr>
                <w:rFonts w:hint="default" w:eastAsia="宋体"/>
                <w:color w:val="auto"/>
                <w:lang w:val="en-US" w:eastAsia="zh-CN"/>
              </w:rPr>
            </w:pPr>
            <w:r>
              <w:rPr>
                <w:color w:val="auto"/>
                <w:kern w:val="0"/>
                <w:sz w:val="21"/>
                <w:szCs w:val="21"/>
                <w:lang w:bidi="ar"/>
              </w:rPr>
              <w:t>0.</w:t>
            </w:r>
            <w:r>
              <w:rPr>
                <w:rFonts w:hint="eastAsia"/>
                <w:color w:val="auto"/>
                <w:kern w:val="0"/>
                <w:sz w:val="21"/>
                <w:szCs w:val="21"/>
                <w:lang w:val="en-US" w:eastAsia="zh-CN" w:bidi="ar"/>
              </w:rPr>
              <w:t>051</w:t>
            </w:r>
          </w:p>
        </w:tc>
        <w:tc>
          <w:tcPr>
            <w:tcW w:w="934" w:type="dxa"/>
            <w:noWrap w:val="0"/>
            <w:vAlign w:val="center"/>
          </w:tcPr>
          <w:p w14:paraId="4B21AA01">
            <w:pPr>
              <w:widowControl/>
              <w:jc w:val="center"/>
              <w:textAlignment w:val="center"/>
              <w:rPr>
                <w:rFonts w:hint="default" w:eastAsia="宋体"/>
                <w:color w:val="auto"/>
                <w:lang w:val="en-US" w:eastAsia="zh-CN"/>
              </w:rPr>
            </w:pPr>
            <w:r>
              <w:rPr>
                <w:color w:val="auto"/>
                <w:kern w:val="0"/>
                <w:sz w:val="21"/>
                <w:szCs w:val="21"/>
                <w:lang w:bidi="ar"/>
              </w:rPr>
              <w:t>17</w:t>
            </w:r>
            <w:r>
              <w:rPr>
                <w:rFonts w:hint="eastAsia"/>
                <w:color w:val="auto"/>
                <w:kern w:val="0"/>
                <w:sz w:val="21"/>
                <w:szCs w:val="21"/>
                <w:lang w:val="en-US" w:eastAsia="zh-CN" w:bidi="ar"/>
              </w:rPr>
              <w:t>5.4</w:t>
            </w:r>
          </w:p>
        </w:tc>
        <w:tc>
          <w:tcPr>
            <w:tcW w:w="618" w:type="dxa"/>
            <w:vMerge w:val="continue"/>
            <w:noWrap w:val="0"/>
            <w:vAlign w:val="center"/>
          </w:tcPr>
          <w:p w14:paraId="4C5E18BE">
            <w:pPr>
              <w:pStyle w:val="67"/>
              <w:rPr>
                <w:color w:val="auto"/>
              </w:rPr>
            </w:pPr>
          </w:p>
        </w:tc>
        <w:tc>
          <w:tcPr>
            <w:tcW w:w="721" w:type="dxa"/>
            <w:vMerge w:val="continue"/>
            <w:noWrap w:val="0"/>
            <w:vAlign w:val="center"/>
          </w:tcPr>
          <w:p w14:paraId="29CA56B4">
            <w:pPr>
              <w:pStyle w:val="67"/>
              <w:rPr>
                <w:color w:val="auto"/>
              </w:rPr>
            </w:pPr>
          </w:p>
        </w:tc>
        <w:tc>
          <w:tcPr>
            <w:tcW w:w="597" w:type="dxa"/>
            <w:vMerge w:val="continue"/>
            <w:noWrap w:val="0"/>
            <w:vAlign w:val="center"/>
          </w:tcPr>
          <w:p w14:paraId="35E0EC29">
            <w:pPr>
              <w:pStyle w:val="67"/>
              <w:rPr>
                <w:color w:val="auto"/>
              </w:rPr>
            </w:pPr>
          </w:p>
        </w:tc>
        <w:tc>
          <w:tcPr>
            <w:tcW w:w="836" w:type="dxa"/>
            <w:vMerge w:val="continue"/>
            <w:noWrap w:val="0"/>
            <w:vAlign w:val="center"/>
          </w:tcPr>
          <w:p w14:paraId="580ECE31">
            <w:pPr>
              <w:pStyle w:val="67"/>
              <w:rPr>
                <w:color w:val="auto"/>
              </w:rPr>
            </w:pPr>
          </w:p>
        </w:tc>
        <w:tc>
          <w:tcPr>
            <w:tcW w:w="683" w:type="dxa"/>
            <w:vMerge w:val="continue"/>
            <w:noWrap w:val="0"/>
            <w:vAlign w:val="center"/>
          </w:tcPr>
          <w:p w14:paraId="11CE078B">
            <w:pPr>
              <w:pStyle w:val="67"/>
              <w:rPr>
                <w:color w:val="auto"/>
              </w:rPr>
            </w:pPr>
          </w:p>
        </w:tc>
        <w:tc>
          <w:tcPr>
            <w:tcW w:w="786" w:type="dxa"/>
            <w:vMerge w:val="continue"/>
            <w:noWrap w:val="0"/>
            <w:vAlign w:val="center"/>
          </w:tcPr>
          <w:p w14:paraId="5A960C65">
            <w:pPr>
              <w:pStyle w:val="67"/>
              <w:rPr>
                <w:color w:val="auto"/>
              </w:rPr>
            </w:pPr>
          </w:p>
        </w:tc>
        <w:tc>
          <w:tcPr>
            <w:tcW w:w="1593" w:type="dxa"/>
            <w:vMerge w:val="continue"/>
            <w:noWrap w:val="0"/>
            <w:vAlign w:val="center"/>
          </w:tcPr>
          <w:p w14:paraId="1A587726">
            <w:pPr>
              <w:pStyle w:val="67"/>
              <w:rPr>
                <w:color w:val="auto"/>
              </w:rPr>
            </w:pPr>
          </w:p>
        </w:tc>
        <w:tc>
          <w:tcPr>
            <w:tcW w:w="1406" w:type="dxa"/>
            <w:noWrap w:val="0"/>
            <w:vAlign w:val="center"/>
          </w:tcPr>
          <w:p w14:paraId="7A585EBB">
            <w:pPr>
              <w:pStyle w:val="67"/>
              <w:rPr>
                <w:color w:val="auto"/>
              </w:rPr>
            </w:pPr>
            <w:r>
              <w:rPr>
                <w:color w:val="auto"/>
              </w:rPr>
              <w:t>300</w:t>
            </w:r>
          </w:p>
        </w:tc>
        <w:tc>
          <w:tcPr>
            <w:tcW w:w="646" w:type="dxa"/>
            <w:vMerge w:val="continue"/>
            <w:noWrap w:val="0"/>
            <w:vAlign w:val="center"/>
          </w:tcPr>
          <w:p w14:paraId="23AF62D0">
            <w:pPr>
              <w:pStyle w:val="67"/>
              <w:rPr>
                <w:color w:val="auto"/>
              </w:rPr>
            </w:pPr>
          </w:p>
        </w:tc>
        <w:tc>
          <w:tcPr>
            <w:tcW w:w="815" w:type="dxa"/>
            <w:noWrap w:val="0"/>
            <w:vAlign w:val="center"/>
          </w:tcPr>
          <w:p w14:paraId="6ADF2A3F">
            <w:pPr>
              <w:pStyle w:val="67"/>
              <w:rPr>
                <w:color w:val="auto"/>
              </w:rPr>
            </w:pPr>
            <w:r>
              <w:rPr>
                <w:color w:val="auto"/>
              </w:rPr>
              <w:t>BOD</w:t>
            </w:r>
            <w:r>
              <w:rPr>
                <w:color w:val="auto"/>
                <w:vertAlign w:val="subscript"/>
              </w:rPr>
              <w:t>5</w:t>
            </w:r>
          </w:p>
        </w:tc>
        <w:tc>
          <w:tcPr>
            <w:tcW w:w="876" w:type="dxa"/>
            <w:noWrap w:val="0"/>
            <w:vAlign w:val="center"/>
          </w:tcPr>
          <w:p w14:paraId="509E04BC">
            <w:pPr>
              <w:pStyle w:val="67"/>
              <w:rPr>
                <w:rFonts w:hint="eastAsia"/>
                <w:color w:val="auto"/>
              </w:rPr>
            </w:pPr>
            <w:r>
              <w:rPr>
                <w:color w:val="auto"/>
              </w:rPr>
              <w:t>1</w:t>
            </w:r>
            <w:r>
              <w:rPr>
                <w:rFonts w:hint="eastAsia"/>
                <w:color w:val="auto"/>
              </w:rPr>
              <w:t>次/季度</w:t>
            </w:r>
          </w:p>
        </w:tc>
      </w:tr>
      <w:tr w14:paraId="3A4AF85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636" w:type="dxa"/>
            <w:vMerge w:val="continue"/>
            <w:noWrap w:val="0"/>
            <w:vAlign w:val="center"/>
          </w:tcPr>
          <w:p w14:paraId="3B64B3E0">
            <w:pPr>
              <w:pStyle w:val="67"/>
              <w:rPr>
                <w:color w:val="auto"/>
              </w:rPr>
            </w:pPr>
          </w:p>
        </w:tc>
        <w:tc>
          <w:tcPr>
            <w:tcW w:w="636" w:type="dxa"/>
            <w:vMerge w:val="continue"/>
            <w:noWrap w:val="0"/>
            <w:vAlign w:val="center"/>
          </w:tcPr>
          <w:p w14:paraId="78EBD066">
            <w:pPr>
              <w:pStyle w:val="67"/>
              <w:rPr>
                <w:color w:val="auto"/>
              </w:rPr>
            </w:pPr>
          </w:p>
        </w:tc>
        <w:tc>
          <w:tcPr>
            <w:tcW w:w="1038" w:type="dxa"/>
            <w:noWrap w:val="0"/>
            <w:vAlign w:val="center"/>
          </w:tcPr>
          <w:p w14:paraId="1008C7BF">
            <w:pPr>
              <w:pStyle w:val="67"/>
              <w:rPr>
                <w:color w:val="auto"/>
              </w:rPr>
            </w:pPr>
            <w:r>
              <w:rPr>
                <w:color w:val="auto"/>
              </w:rPr>
              <w:t>SS</w:t>
            </w:r>
          </w:p>
        </w:tc>
        <w:tc>
          <w:tcPr>
            <w:tcW w:w="1283" w:type="dxa"/>
            <w:noWrap w:val="0"/>
            <w:vAlign w:val="center"/>
          </w:tcPr>
          <w:p w14:paraId="08862F7F">
            <w:pPr>
              <w:widowControl/>
              <w:jc w:val="center"/>
              <w:textAlignment w:val="center"/>
              <w:rPr>
                <w:rFonts w:hint="default" w:eastAsia="宋体"/>
                <w:color w:val="auto"/>
                <w:lang w:val="en-US" w:eastAsia="zh-CN"/>
              </w:rPr>
            </w:pPr>
            <w:r>
              <w:rPr>
                <w:rFonts w:hint="eastAsia"/>
                <w:color w:val="auto"/>
                <w:kern w:val="0"/>
                <w:sz w:val="21"/>
                <w:szCs w:val="21"/>
                <w:lang w:val="en-US" w:eastAsia="zh-CN" w:bidi="ar"/>
              </w:rPr>
              <w:t>0.056</w:t>
            </w:r>
          </w:p>
        </w:tc>
        <w:tc>
          <w:tcPr>
            <w:tcW w:w="1185" w:type="dxa"/>
            <w:noWrap w:val="0"/>
            <w:vAlign w:val="center"/>
          </w:tcPr>
          <w:p w14:paraId="5C8658B3">
            <w:pPr>
              <w:widowControl/>
              <w:jc w:val="center"/>
              <w:textAlignment w:val="center"/>
              <w:rPr>
                <w:color w:val="auto"/>
              </w:rPr>
            </w:pPr>
            <w:r>
              <w:rPr>
                <w:color w:val="auto"/>
                <w:kern w:val="0"/>
                <w:sz w:val="21"/>
                <w:szCs w:val="21"/>
                <w:lang w:bidi="ar"/>
              </w:rPr>
              <w:t>193</w:t>
            </w:r>
          </w:p>
        </w:tc>
        <w:tc>
          <w:tcPr>
            <w:tcW w:w="748" w:type="dxa"/>
            <w:vMerge w:val="continue"/>
            <w:noWrap w:val="0"/>
            <w:vAlign w:val="center"/>
          </w:tcPr>
          <w:p w14:paraId="164B41AA">
            <w:pPr>
              <w:pStyle w:val="67"/>
              <w:rPr>
                <w:color w:val="auto"/>
              </w:rPr>
            </w:pPr>
          </w:p>
        </w:tc>
        <w:tc>
          <w:tcPr>
            <w:tcW w:w="563" w:type="dxa"/>
            <w:vMerge w:val="continue"/>
            <w:noWrap w:val="0"/>
            <w:vAlign w:val="center"/>
          </w:tcPr>
          <w:p w14:paraId="32ED8D90">
            <w:pPr>
              <w:pStyle w:val="67"/>
              <w:rPr>
                <w:color w:val="auto"/>
              </w:rPr>
            </w:pPr>
          </w:p>
        </w:tc>
        <w:tc>
          <w:tcPr>
            <w:tcW w:w="689" w:type="dxa"/>
            <w:noWrap w:val="0"/>
            <w:vAlign w:val="center"/>
          </w:tcPr>
          <w:p w14:paraId="6F3054E8">
            <w:pPr>
              <w:widowControl/>
              <w:jc w:val="center"/>
              <w:textAlignment w:val="center"/>
              <w:rPr>
                <w:color w:val="auto"/>
                <w:kern w:val="0"/>
                <w:sz w:val="21"/>
              </w:rPr>
            </w:pPr>
            <w:r>
              <w:rPr>
                <w:rFonts w:hint="eastAsia"/>
                <w:color w:val="auto"/>
                <w:kern w:val="0"/>
                <w:sz w:val="21"/>
              </w:rPr>
              <w:t>47</w:t>
            </w:r>
          </w:p>
        </w:tc>
        <w:tc>
          <w:tcPr>
            <w:tcW w:w="984" w:type="dxa"/>
            <w:vMerge w:val="continue"/>
            <w:noWrap w:val="0"/>
            <w:vAlign w:val="center"/>
          </w:tcPr>
          <w:p w14:paraId="0897176E">
            <w:pPr>
              <w:pStyle w:val="67"/>
              <w:rPr>
                <w:color w:val="auto"/>
              </w:rPr>
            </w:pPr>
          </w:p>
        </w:tc>
        <w:tc>
          <w:tcPr>
            <w:tcW w:w="748" w:type="dxa"/>
            <w:vMerge w:val="continue"/>
            <w:noWrap w:val="0"/>
            <w:vAlign w:val="center"/>
          </w:tcPr>
          <w:p w14:paraId="262D3684">
            <w:pPr>
              <w:pStyle w:val="67"/>
              <w:rPr>
                <w:color w:val="auto"/>
              </w:rPr>
            </w:pPr>
          </w:p>
        </w:tc>
        <w:tc>
          <w:tcPr>
            <w:tcW w:w="870" w:type="dxa"/>
            <w:noWrap w:val="0"/>
            <w:vAlign w:val="center"/>
          </w:tcPr>
          <w:p w14:paraId="12683BCA">
            <w:pPr>
              <w:pStyle w:val="67"/>
              <w:rPr>
                <w:color w:val="auto"/>
              </w:rPr>
            </w:pPr>
            <w:r>
              <w:rPr>
                <w:rFonts w:hint="eastAsia"/>
                <w:color w:val="auto"/>
              </w:rPr>
              <w:t>SS</w:t>
            </w:r>
          </w:p>
        </w:tc>
        <w:tc>
          <w:tcPr>
            <w:tcW w:w="1086" w:type="dxa"/>
            <w:noWrap w:val="0"/>
            <w:vAlign w:val="center"/>
          </w:tcPr>
          <w:p w14:paraId="676C6AC6">
            <w:pPr>
              <w:widowControl/>
              <w:jc w:val="center"/>
              <w:textAlignment w:val="center"/>
              <w:rPr>
                <w:rFonts w:hint="eastAsia" w:eastAsia="宋体"/>
                <w:color w:val="auto"/>
                <w:lang w:eastAsia="zh-CN"/>
              </w:rPr>
            </w:pPr>
            <w:r>
              <w:rPr>
                <w:color w:val="auto"/>
                <w:kern w:val="0"/>
                <w:sz w:val="21"/>
                <w:szCs w:val="21"/>
                <w:lang w:bidi="ar"/>
              </w:rPr>
              <w:t>0.0</w:t>
            </w:r>
            <w:r>
              <w:rPr>
                <w:rFonts w:hint="eastAsia"/>
                <w:color w:val="auto"/>
                <w:kern w:val="0"/>
                <w:sz w:val="21"/>
                <w:szCs w:val="21"/>
                <w:lang w:val="en-US" w:eastAsia="zh-CN" w:bidi="ar"/>
              </w:rPr>
              <w:t>3</w:t>
            </w:r>
          </w:p>
        </w:tc>
        <w:tc>
          <w:tcPr>
            <w:tcW w:w="934" w:type="dxa"/>
            <w:noWrap w:val="0"/>
            <w:vAlign w:val="center"/>
          </w:tcPr>
          <w:p w14:paraId="1A656033">
            <w:pPr>
              <w:widowControl/>
              <w:jc w:val="center"/>
              <w:textAlignment w:val="center"/>
              <w:rPr>
                <w:rFonts w:hint="default" w:eastAsia="宋体"/>
                <w:color w:val="auto"/>
                <w:lang w:val="en-US" w:eastAsia="zh-CN"/>
              </w:rPr>
            </w:pPr>
            <w:r>
              <w:rPr>
                <w:color w:val="auto"/>
                <w:kern w:val="0"/>
                <w:sz w:val="21"/>
                <w:szCs w:val="21"/>
                <w:lang w:bidi="ar"/>
              </w:rPr>
              <w:t>10</w:t>
            </w:r>
            <w:r>
              <w:rPr>
                <w:rFonts w:hint="eastAsia"/>
                <w:color w:val="auto"/>
                <w:kern w:val="0"/>
                <w:sz w:val="21"/>
                <w:szCs w:val="21"/>
                <w:lang w:val="en-US" w:eastAsia="zh-CN" w:bidi="ar"/>
              </w:rPr>
              <w:t>3.2</w:t>
            </w:r>
          </w:p>
        </w:tc>
        <w:tc>
          <w:tcPr>
            <w:tcW w:w="618" w:type="dxa"/>
            <w:vMerge w:val="continue"/>
            <w:noWrap w:val="0"/>
            <w:vAlign w:val="center"/>
          </w:tcPr>
          <w:p w14:paraId="6F43A66B">
            <w:pPr>
              <w:pStyle w:val="67"/>
              <w:rPr>
                <w:color w:val="auto"/>
              </w:rPr>
            </w:pPr>
          </w:p>
        </w:tc>
        <w:tc>
          <w:tcPr>
            <w:tcW w:w="721" w:type="dxa"/>
            <w:vMerge w:val="continue"/>
            <w:noWrap w:val="0"/>
            <w:vAlign w:val="center"/>
          </w:tcPr>
          <w:p w14:paraId="5027CE18">
            <w:pPr>
              <w:pStyle w:val="67"/>
              <w:rPr>
                <w:color w:val="auto"/>
              </w:rPr>
            </w:pPr>
          </w:p>
        </w:tc>
        <w:tc>
          <w:tcPr>
            <w:tcW w:w="597" w:type="dxa"/>
            <w:vMerge w:val="continue"/>
            <w:noWrap w:val="0"/>
            <w:vAlign w:val="center"/>
          </w:tcPr>
          <w:p w14:paraId="7C559254">
            <w:pPr>
              <w:pStyle w:val="67"/>
              <w:rPr>
                <w:color w:val="auto"/>
              </w:rPr>
            </w:pPr>
          </w:p>
        </w:tc>
        <w:tc>
          <w:tcPr>
            <w:tcW w:w="836" w:type="dxa"/>
            <w:vMerge w:val="continue"/>
            <w:noWrap w:val="0"/>
            <w:vAlign w:val="center"/>
          </w:tcPr>
          <w:p w14:paraId="3553B2D3">
            <w:pPr>
              <w:pStyle w:val="67"/>
              <w:rPr>
                <w:color w:val="auto"/>
              </w:rPr>
            </w:pPr>
          </w:p>
        </w:tc>
        <w:tc>
          <w:tcPr>
            <w:tcW w:w="683" w:type="dxa"/>
            <w:vMerge w:val="continue"/>
            <w:noWrap w:val="0"/>
            <w:vAlign w:val="center"/>
          </w:tcPr>
          <w:p w14:paraId="6EA78C58">
            <w:pPr>
              <w:pStyle w:val="67"/>
              <w:rPr>
                <w:color w:val="auto"/>
              </w:rPr>
            </w:pPr>
          </w:p>
        </w:tc>
        <w:tc>
          <w:tcPr>
            <w:tcW w:w="786" w:type="dxa"/>
            <w:vMerge w:val="continue"/>
            <w:noWrap w:val="0"/>
            <w:vAlign w:val="center"/>
          </w:tcPr>
          <w:p w14:paraId="7771FB52">
            <w:pPr>
              <w:pStyle w:val="67"/>
              <w:rPr>
                <w:color w:val="auto"/>
              </w:rPr>
            </w:pPr>
          </w:p>
        </w:tc>
        <w:tc>
          <w:tcPr>
            <w:tcW w:w="1593" w:type="dxa"/>
            <w:vMerge w:val="continue"/>
            <w:noWrap w:val="0"/>
            <w:vAlign w:val="center"/>
          </w:tcPr>
          <w:p w14:paraId="5F546EE6">
            <w:pPr>
              <w:pStyle w:val="67"/>
              <w:rPr>
                <w:color w:val="auto"/>
              </w:rPr>
            </w:pPr>
          </w:p>
        </w:tc>
        <w:tc>
          <w:tcPr>
            <w:tcW w:w="1406" w:type="dxa"/>
            <w:noWrap w:val="0"/>
            <w:vAlign w:val="center"/>
          </w:tcPr>
          <w:p w14:paraId="5DFCA315">
            <w:pPr>
              <w:pStyle w:val="67"/>
              <w:rPr>
                <w:color w:val="auto"/>
              </w:rPr>
            </w:pPr>
            <w:r>
              <w:rPr>
                <w:rFonts w:hint="eastAsia"/>
                <w:color w:val="auto"/>
              </w:rPr>
              <w:t>400</w:t>
            </w:r>
          </w:p>
        </w:tc>
        <w:tc>
          <w:tcPr>
            <w:tcW w:w="646" w:type="dxa"/>
            <w:vMerge w:val="continue"/>
            <w:noWrap w:val="0"/>
            <w:vAlign w:val="center"/>
          </w:tcPr>
          <w:p w14:paraId="3F2569A4">
            <w:pPr>
              <w:pStyle w:val="67"/>
              <w:rPr>
                <w:color w:val="auto"/>
              </w:rPr>
            </w:pPr>
          </w:p>
        </w:tc>
        <w:tc>
          <w:tcPr>
            <w:tcW w:w="815" w:type="dxa"/>
            <w:noWrap w:val="0"/>
            <w:vAlign w:val="center"/>
          </w:tcPr>
          <w:p w14:paraId="7962BAA7">
            <w:pPr>
              <w:pStyle w:val="67"/>
              <w:rPr>
                <w:color w:val="auto"/>
              </w:rPr>
            </w:pPr>
            <w:r>
              <w:rPr>
                <w:rFonts w:hint="eastAsia"/>
                <w:color w:val="auto"/>
              </w:rPr>
              <w:t>SS</w:t>
            </w:r>
          </w:p>
        </w:tc>
        <w:tc>
          <w:tcPr>
            <w:tcW w:w="876" w:type="dxa"/>
            <w:noWrap w:val="0"/>
            <w:vAlign w:val="center"/>
          </w:tcPr>
          <w:p w14:paraId="1ACC7FDF">
            <w:pPr>
              <w:pStyle w:val="67"/>
              <w:rPr>
                <w:rFonts w:hint="eastAsia"/>
                <w:color w:val="auto"/>
              </w:rPr>
            </w:pPr>
            <w:r>
              <w:rPr>
                <w:color w:val="auto"/>
              </w:rPr>
              <w:t>1</w:t>
            </w:r>
            <w:r>
              <w:rPr>
                <w:rFonts w:hint="eastAsia"/>
                <w:color w:val="auto"/>
              </w:rPr>
              <w:t>次/季度</w:t>
            </w:r>
          </w:p>
        </w:tc>
      </w:tr>
      <w:tr w14:paraId="2325FA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636" w:type="dxa"/>
            <w:vMerge w:val="continue"/>
            <w:noWrap w:val="0"/>
            <w:vAlign w:val="center"/>
          </w:tcPr>
          <w:p w14:paraId="5ADD4CE8">
            <w:pPr>
              <w:pStyle w:val="67"/>
              <w:rPr>
                <w:color w:val="auto"/>
              </w:rPr>
            </w:pPr>
          </w:p>
        </w:tc>
        <w:tc>
          <w:tcPr>
            <w:tcW w:w="636" w:type="dxa"/>
            <w:vMerge w:val="continue"/>
            <w:noWrap w:val="0"/>
            <w:vAlign w:val="center"/>
          </w:tcPr>
          <w:p w14:paraId="5CACF96D">
            <w:pPr>
              <w:pStyle w:val="67"/>
              <w:rPr>
                <w:color w:val="auto"/>
              </w:rPr>
            </w:pPr>
          </w:p>
        </w:tc>
        <w:tc>
          <w:tcPr>
            <w:tcW w:w="1038" w:type="dxa"/>
            <w:noWrap w:val="0"/>
            <w:vAlign w:val="center"/>
          </w:tcPr>
          <w:p w14:paraId="69BB2487">
            <w:pPr>
              <w:pStyle w:val="67"/>
              <w:rPr>
                <w:color w:val="auto"/>
              </w:rPr>
            </w:pPr>
            <w:r>
              <w:rPr>
                <w:rFonts w:hint="eastAsia"/>
                <w:color w:val="auto"/>
              </w:rPr>
              <w:t>氨氮</w:t>
            </w:r>
          </w:p>
        </w:tc>
        <w:tc>
          <w:tcPr>
            <w:tcW w:w="1283" w:type="dxa"/>
            <w:noWrap w:val="0"/>
            <w:vAlign w:val="center"/>
          </w:tcPr>
          <w:p w14:paraId="4BAB11AC">
            <w:pPr>
              <w:widowControl/>
              <w:jc w:val="center"/>
              <w:textAlignment w:val="center"/>
              <w:rPr>
                <w:rFonts w:hint="default" w:eastAsia="宋体"/>
                <w:color w:val="auto"/>
                <w:lang w:val="en-US" w:eastAsia="zh-CN"/>
              </w:rPr>
            </w:pPr>
            <w:r>
              <w:rPr>
                <w:rFonts w:hint="eastAsia"/>
                <w:color w:val="auto"/>
                <w:kern w:val="0"/>
                <w:sz w:val="21"/>
                <w:szCs w:val="21"/>
                <w:lang w:val="en-US" w:eastAsia="zh-CN" w:bidi="ar"/>
              </w:rPr>
              <w:t>0.011</w:t>
            </w:r>
          </w:p>
        </w:tc>
        <w:tc>
          <w:tcPr>
            <w:tcW w:w="1185" w:type="dxa"/>
            <w:noWrap w:val="0"/>
            <w:vAlign w:val="center"/>
          </w:tcPr>
          <w:p w14:paraId="33519CA7">
            <w:pPr>
              <w:widowControl/>
              <w:jc w:val="center"/>
              <w:textAlignment w:val="center"/>
              <w:rPr>
                <w:rFonts w:hint="default" w:eastAsia="宋体"/>
                <w:color w:val="auto"/>
                <w:lang w:val="en-US" w:eastAsia="zh-CN"/>
              </w:rPr>
            </w:pPr>
            <w:r>
              <w:rPr>
                <w:rFonts w:hint="eastAsia"/>
                <w:color w:val="auto"/>
                <w:lang w:val="en-US" w:eastAsia="zh-CN"/>
              </w:rPr>
              <w:t>38.9</w:t>
            </w:r>
          </w:p>
        </w:tc>
        <w:tc>
          <w:tcPr>
            <w:tcW w:w="748" w:type="dxa"/>
            <w:vMerge w:val="continue"/>
            <w:noWrap w:val="0"/>
            <w:vAlign w:val="center"/>
          </w:tcPr>
          <w:p w14:paraId="1707A2C5">
            <w:pPr>
              <w:pStyle w:val="67"/>
              <w:rPr>
                <w:color w:val="auto"/>
              </w:rPr>
            </w:pPr>
          </w:p>
        </w:tc>
        <w:tc>
          <w:tcPr>
            <w:tcW w:w="563" w:type="dxa"/>
            <w:vMerge w:val="continue"/>
            <w:noWrap w:val="0"/>
            <w:vAlign w:val="center"/>
          </w:tcPr>
          <w:p w14:paraId="5965CC44">
            <w:pPr>
              <w:pStyle w:val="67"/>
              <w:rPr>
                <w:color w:val="auto"/>
              </w:rPr>
            </w:pPr>
          </w:p>
        </w:tc>
        <w:tc>
          <w:tcPr>
            <w:tcW w:w="689" w:type="dxa"/>
            <w:noWrap w:val="0"/>
            <w:vAlign w:val="center"/>
          </w:tcPr>
          <w:p w14:paraId="2F119871">
            <w:pPr>
              <w:widowControl/>
              <w:jc w:val="center"/>
              <w:textAlignment w:val="center"/>
              <w:rPr>
                <w:rFonts w:hint="eastAsia"/>
                <w:color w:val="auto"/>
                <w:kern w:val="0"/>
                <w:sz w:val="21"/>
              </w:rPr>
            </w:pPr>
            <w:r>
              <w:rPr>
                <w:rFonts w:hint="eastAsia"/>
                <w:color w:val="auto"/>
                <w:kern w:val="0"/>
                <w:sz w:val="21"/>
              </w:rPr>
              <w:t>3</w:t>
            </w:r>
          </w:p>
        </w:tc>
        <w:tc>
          <w:tcPr>
            <w:tcW w:w="984" w:type="dxa"/>
            <w:vMerge w:val="continue"/>
            <w:noWrap w:val="0"/>
            <w:vAlign w:val="center"/>
          </w:tcPr>
          <w:p w14:paraId="34FC7AF1">
            <w:pPr>
              <w:pStyle w:val="67"/>
              <w:rPr>
                <w:color w:val="auto"/>
              </w:rPr>
            </w:pPr>
          </w:p>
        </w:tc>
        <w:tc>
          <w:tcPr>
            <w:tcW w:w="748" w:type="dxa"/>
            <w:vMerge w:val="continue"/>
            <w:noWrap w:val="0"/>
            <w:vAlign w:val="center"/>
          </w:tcPr>
          <w:p w14:paraId="430074AD">
            <w:pPr>
              <w:pStyle w:val="67"/>
              <w:rPr>
                <w:color w:val="auto"/>
              </w:rPr>
            </w:pPr>
          </w:p>
        </w:tc>
        <w:tc>
          <w:tcPr>
            <w:tcW w:w="870" w:type="dxa"/>
            <w:noWrap w:val="0"/>
            <w:vAlign w:val="center"/>
          </w:tcPr>
          <w:p w14:paraId="3E70DF6A">
            <w:pPr>
              <w:pStyle w:val="67"/>
              <w:rPr>
                <w:color w:val="auto"/>
              </w:rPr>
            </w:pPr>
            <w:r>
              <w:rPr>
                <w:rFonts w:hint="eastAsia"/>
                <w:color w:val="auto"/>
              </w:rPr>
              <w:t>氨氮</w:t>
            </w:r>
          </w:p>
        </w:tc>
        <w:tc>
          <w:tcPr>
            <w:tcW w:w="1086" w:type="dxa"/>
            <w:noWrap w:val="0"/>
            <w:vAlign w:val="center"/>
          </w:tcPr>
          <w:p w14:paraId="146A993B">
            <w:pPr>
              <w:widowControl/>
              <w:jc w:val="center"/>
              <w:textAlignment w:val="center"/>
              <w:rPr>
                <w:rFonts w:hint="default" w:eastAsia="宋体"/>
                <w:color w:val="auto"/>
                <w:lang w:val="en-US" w:eastAsia="zh-CN"/>
              </w:rPr>
            </w:pPr>
            <w:r>
              <w:rPr>
                <w:color w:val="auto"/>
                <w:kern w:val="0"/>
                <w:sz w:val="21"/>
                <w:szCs w:val="21"/>
                <w:lang w:bidi="ar"/>
              </w:rPr>
              <w:t>0.0</w:t>
            </w:r>
            <w:r>
              <w:rPr>
                <w:rFonts w:hint="eastAsia"/>
                <w:color w:val="auto"/>
                <w:kern w:val="0"/>
                <w:sz w:val="21"/>
                <w:szCs w:val="21"/>
                <w:lang w:val="en-US" w:eastAsia="zh-CN" w:bidi="ar"/>
              </w:rPr>
              <w:t>11</w:t>
            </w:r>
          </w:p>
        </w:tc>
        <w:tc>
          <w:tcPr>
            <w:tcW w:w="934" w:type="dxa"/>
            <w:noWrap w:val="0"/>
            <w:vAlign w:val="center"/>
          </w:tcPr>
          <w:p w14:paraId="7C9631C2">
            <w:pPr>
              <w:widowControl/>
              <w:jc w:val="center"/>
              <w:textAlignment w:val="center"/>
              <w:rPr>
                <w:rFonts w:hint="default" w:eastAsia="宋体"/>
                <w:color w:val="auto"/>
                <w:lang w:val="en-US" w:eastAsia="zh-CN"/>
              </w:rPr>
            </w:pPr>
            <w:r>
              <w:rPr>
                <w:color w:val="auto"/>
                <w:kern w:val="0"/>
                <w:sz w:val="21"/>
                <w:szCs w:val="21"/>
                <w:lang w:bidi="ar"/>
              </w:rPr>
              <w:t>3</w:t>
            </w:r>
            <w:r>
              <w:rPr>
                <w:rFonts w:hint="eastAsia"/>
                <w:color w:val="auto"/>
                <w:kern w:val="0"/>
                <w:sz w:val="21"/>
                <w:szCs w:val="21"/>
                <w:lang w:val="en-US" w:eastAsia="zh-CN" w:bidi="ar"/>
              </w:rPr>
              <w:t>7.8</w:t>
            </w:r>
          </w:p>
        </w:tc>
        <w:tc>
          <w:tcPr>
            <w:tcW w:w="618" w:type="dxa"/>
            <w:vMerge w:val="continue"/>
            <w:noWrap w:val="0"/>
            <w:vAlign w:val="center"/>
          </w:tcPr>
          <w:p w14:paraId="00E1FD0C">
            <w:pPr>
              <w:pStyle w:val="67"/>
              <w:rPr>
                <w:color w:val="auto"/>
              </w:rPr>
            </w:pPr>
          </w:p>
        </w:tc>
        <w:tc>
          <w:tcPr>
            <w:tcW w:w="721" w:type="dxa"/>
            <w:vMerge w:val="continue"/>
            <w:noWrap w:val="0"/>
            <w:vAlign w:val="center"/>
          </w:tcPr>
          <w:p w14:paraId="59641CEA">
            <w:pPr>
              <w:pStyle w:val="67"/>
              <w:rPr>
                <w:color w:val="auto"/>
              </w:rPr>
            </w:pPr>
          </w:p>
        </w:tc>
        <w:tc>
          <w:tcPr>
            <w:tcW w:w="597" w:type="dxa"/>
            <w:vMerge w:val="continue"/>
            <w:noWrap w:val="0"/>
            <w:vAlign w:val="center"/>
          </w:tcPr>
          <w:p w14:paraId="2AA690B4">
            <w:pPr>
              <w:pStyle w:val="67"/>
              <w:rPr>
                <w:color w:val="auto"/>
              </w:rPr>
            </w:pPr>
          </w:p>
        </w:tc>
        <w:tc>
          <w:tcPr>
            <w:tcW w:w="836" w:type="dxa"/>
            <w:vMerge w:val="continue"/>
            <w:noWrap w:val="0"/>
            <w:vAlign w:val="center"/>
          </w:tcPr>
          <w:p w14:paraId="3B0CCC73">
            <w:pPr>
              <w:pStyle w:val="67"/>
              <w:rPr>
                <w:color w:val="auto"/>
              </w:rPr>
            </w:pPr>
          </w:p>
        </w:tc>
        <w:tc>
          <w:tcPr>
            <w:tcW w:w="683" w:type="dxa"/>
            <w:vMerge w:val="continue"/>
            <w:noWrap w:val="0"/>
            <w:vAlign w:val="center"/>
          </w:tcPr>
          <w:p w14:paraId="49204049">
            <w:pPr>
              <w:pStyle w:val="67"/>
              <w:rPr>
                <w:color w:val="auto"/>
              </w:rPr>
            </w:pPr>
          </w:p>
        </w:tc>
        <w:tc>
          <w:tcPr>
            <w:tcW w:w="786" w:type="dxa"/>
            <w:vMerge w:val="continue"/>
            <w:noWrap w:val="0"/>
            <w:vAlign w:val="center"/>
          </w:tcPr>
          <w:p w14:paraId="3DD9FCB1">
            <w:pPr>
              <w:pStyle w:val="67"/>
              <w:rPr>
                <w:color w:val="auto"/>
              </w:rPr>
            </w:pPr>
          </w:p>
        </w:tc>
        <w:tc>
          <w:tcPr>
            <w:tcW w:w="1593" w:type="dxa"/>
            <w:vMerge w:val="continue"/>
            <w:noWrap w:val="0"/>
            <w:vAlign w:val="center"/>
          </w:tcPr>
          <w:p w14:paraId="452188D3">
            <w:pPr>
              <w:pStyle w:val="67"/>
              <w:rPr>
                <w:color w:val="auto"/>
              </w:rPr>
            </w:pPr>
          </w:p>
        </w:tc>
        <w:tc>
          <w:tcPr>
            <w:tcW w:w="1406" w:type="dxa"/>
            <w:noWrap w:val="0"/>
            <w:vAlign w:val="center"/>
          </w:tcPr>
          <w:p w14:paraId="580EDE0E">
            <w:pPr>
              <w:pStyle w:val="67"/>
              <w:rPr>
                <w:color w:val="auto"/>
              </w:rPr>
            </w:pPr>
            <w:r>
              <w:rPr>
                <w:color w:val="auto"/>
              </w:rPr>
              <w:t>45</w:t>
            </w:r>
          </w:p>
        </w:tc>
        <w:tc>
          <w:tcPr>
            <w:tcW w:w="646" w:type="dxa"/>
            <w:vMerge w:val="continue"/>
            <w:noWrap w:val="0"/>
            <w:vAlign w:val="center"/>
          </w:tcPr>
          <w:p w14:paraId="1E199AC7">
            <w:pPr>
              <w:pStyle w:val="67"/>
              <w:rPr>
                <w:color w:val="auto"/>
              </w:rPr>
            </w:pPr>
          </w:p>
        </w:tc>
        <w:tc>
          <w:tcPr>
            <w:tcW w:w="815" w:type="dxa"/>
            <w:noWrap w:val="0"/>
            <w:vAlign w:val="center"/>
          </w:tcPr>
          <w:p w14:paraId="0C122EAB">
            <w:pPr>
              <w:pStyle w:val="67"/>
              <w:rPr>
                <w:color w:val="auto"/>
              </w:rPr>
            </w:pPr>
            <w:r>
              <w:rPr>
                <w:color w:val="auto"/>
              </w:rPr>
              <w:t>氨氮</w:t>
            </w:r>
          </w:p>
        </w:tc>
        <w:tc>
          <w:tcPr>
            <w:tcW w:w="876" w:type="dxa"/>
            <w:noWrap w:val="0"/>
            <w:vAlign w:val="center"/>
          </w:tcPr>
          <w:p w14:paraId="7F1AB84B">
            <w:pPr>
              <w:pStyle w:val="67"/>
              <w:rPr>
                <w:rFonts w:hint="eastAsia"/>
                <w:color w:val="auto"/>
              </w:rPr>
            </w:pPr>
            <w:r>
              <w:rPr>
                <w:color w:val="auto"/>
              </w:rPr>
              <w:t>1</w:t>
            </w:r>
            <w:r>
              <w:rPr>
                <w:rFonts w:hint="eastAsia"/>
                <w:color w:val="auto"/>
              </w:rPr>
              <w:t>次/季度</w:t>
            </w:r>
          </w:p>
        </w:tc>
      </w:tr>
      <w:tr w14:paraId="30F6EB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636" w:type="dxa"/>
            <w:vMerge w:val="continue"/>
            <w:noWrap w:val="0"/>
            <w:vAlign w:val="center"/>
          </w:tcPr>
          <w:p w14:paraId="6D4DC018">
            <w:pPr>
              <w:pStyle w:val="67"/>
              <w:rPr>
                <w:color w:val="auto"/>
              </w:rPr>
            </w:pPr>
          </w:p>
        </w:tc>
        <w:tc>
          <w:tcPr>
            <w:tcW w:w="636" w:type="dxa"/>
            <w:vMerge w:val="continue"/>
            <w:noWrap w:val="0"/>
            <w:vAlign w:val="center"/>
          </w:tcPr>
          <w:p w14:paraId="3CBE48D6">
            <w:pPr>
              <w:pStyle w:val="67"/>
              <w:rPr>
                <w:color w:val="auto"/>
              </w:rPr>
            </w:pPr>
          </w:p>
        </w:tc>
        <w:tc>
          <w:tcPr>
            <w:tcW w:w="1038" w:type="dxa"/>
            <w:noWrap w:val="0"/>
            <w:vAlign w:val="center"/>
          </w:tcPr>
          <w:p w14:paraId="11CD061E">
            <w:pPr>
              <w:pStyle w:val="67"/>
              <w:rPr>
                <w:color w:val="auto"/>
              </w:rPr>
            </w:pPr>
            <w:r>
              <w:rPr>
                <w:rFonts w:hint="eastAsia"/>
                <w:color w:val="auto"/>
              </w:rPr>
              <w:t>LAS</w:t>
            </w:r>
          </w:p>
        </w:tc>
        <w:tc>
          <w:tcPr>
            <w:tcW w:w="1283" w:type="dxa"/>
            <w:noWrap w:val="0"/>
            <w:vAlign w:val="center"/>
          </w:tcPr>
          <w:p w14:paraId="0656DFD6">
            <w:pPr>
              <w:widowControl/>
              <w:jc w:val="center"/>
              <w:textAlignment w:val="center"/>
              <w:rPr>
                <w:rFonts w:hint="eastAsia" w:eastAsia="宋体"/>
                <w:color w:val="auto"/>
                <w:lang w:eastAsia="zh-CN"/>
              </w:rPr>
            </w:pPr>
            <w:r>
              <w:rPr>
                <w:color w:val="auto"/>
                <w:kern w:val="0"/>
                <w:sz w:val="21"/>
                <w:szCs w:val="21"/>
                <w:lang w:bidi="ar"/>
              </w:rPr>
              <w:t>0.00</w:t>
            </w:r>
            <w:r>
              <w:rPr>
                <w:rFonts w:hint="eastAsia"/>
                <w:color w:val="auto"/>
                <w:kern w:val="0"/>
                <w:sz w:val="21"/>
                <w:szCs w:val="21"/>
                <w:lang w:val="en-US" w:eastAsia="zh-CN" w:bidi="ar"/>
              </w:rPr>
              <w:t>2</w:t>
            </w:r>
          </w:p>
        </w:tc>
        <w:tc>
          <w:tcPr>
            <w:tcW w:w="1185" w:type="dxa"/>
            <w:noWrap w:val="0"/>
            <w:vAlign w:val="center"/>
          </w:tcPr>
          <w:p w14:paraId="69CE3126">
            <w:pPr>
              <w:widowControl/>
              <w:jc w:val="center"/>
              <w:textAlignment w:val="center"/>
              <w:rPr>
                <w:rFonts w:hint="default" w:eastAsia="宋体"/>
                <w:color w:val="auto"/>
                <w:lang w:val="en-US" w:eastAsia="zh-CN"/>
              </w:rPr>
            </w:pPr>
            <w:r>
              <w:rPr>
                <w:rFonts w:hint="eastAsia"/>
                <w:color w:val="auto"/>
                <w:kern w:val="0"/>
                <w:sz w:val="21"/>
                <w:szCs w:val="21"/>
                <w:lang w:val="en-US" w:eastAsia="zh-CN" w:bidi="ar"/>
              </w:rPr>
              <w:t>6.9</w:t>
            </w:r>
          </w:p>
        </w:tc>
        <w:tc>
          <w:tcPr>
            <w:tcW w:w="748" w:type="dxa"/>
            <w:vMerge w:val="continue"/>
            <w:noWrap w:val="0"/>
            <w:vAlign w:val="center"/>
          </w:tcPr>
          <w:p w14:paraId="49027603">
            <w:pPr>
              <w:pStyle w:val="67"/>
              <w:rPr>
                <w:color w:val="auto"/>
              </w:rPr>
            </w:pPr>
          </w:p>
        </w:tc>
        <w:tc>
          <w:tcPr>
            <w:tcW w:w="563" w:type="dxa"/>
            <w:vMerge w:val="continue"/>
            <w:noWrap w:val="0"/>
            <w:vAlign w:val="center"/>
          </w:tcPr>
          <w:p w14:paraId="47FC902D">
            <w:pPr>
              <w:pStyle w:val="67"/>
              <w:rPr>
                <w:color w:val="auto"/>
              </w:rPr>
            </w:pPr>
          </w:p>
        </w:tc>
        <w:tc>
          <w:tcPr>
            <w:tcW w:w="689" w:type="dxa"/>
            <w:noWrap w:val="0"/>
            <w:vAlign w:val="center"/>
          </w:tcPr>
          <w:p w14:paraId="5B51E653">
            <w:pPr>
              <w:widowControl/>
              <w:jc w:val="center"/>
              <w:textAlignment w:val="center"/>
              <w:rPr>
                <w:rFonts w:hint="eastAsia"/>
                <w:color w:val="auto"/>
                <w:kern w:val="0"/>
                <w:sz w:val="21"/>
              </w:rPr>
            </w:pPr>
            <w:r>
              <w:rPr>
                <w:rFonts w:hint="eastAsia"/>
                <w:color w:val="auto"/>
                <w:kern w:val="0"/>
                <w:sz w:val="21"/>
              </w:rPr>
              <w:t>0</w:t>
            </w:r>
          </w:p>
        </w:tc>
        <w:tc>
          <w:tcPr>
            <w:tcW w:w="984" w:type="dxa"/>
            <w:vMerge w:val="continue"/>
            <w:noWrap w:val="0"/>
            <w:vAlign w:val="center"/>
          </w:tcPr>
          <w:p w14:paraId="4D472466">
            <w:pPr>
              <w:pStyle w:val="67"/>
              <w:rPr>
                <w:color w:val="auto"/>
              </w:rPr>
            </w:pPr>
          </w:p>
        </w:tc>
        <w:tc>
          <w:tcPr>
            <w:tcW w:w="748" w:type="dxa"/>
            <w:vMerge w:val="continue"/>
            <w:noWrap w:val="0"/>
            <w:vAlign w:val="center"/>
          </w:tcPr>
          <w:p w14:paraId="4D6E5329">
            <w:pPr>
              <w:pStyle w:val="67"/>
              <w:rPr>
                <w:color w:val="auto"/>
              </w:rPr>
            </w:pPr>
          </w:p>
        </w:tc>
        <w:tc>
          <w:tcPr>
            <w:tcW w:w="870" w:type="dxa"/>
            <w:noWrap w:val="0"/>
            <w:vAlign w:val="center"/>
          </w:tcPr>
          <w:p w14:paraId="59CE0720">
            <w:pPr>
              <w:pStyle w:val="67"/>
              <w:rPr>
                <w:rFonts w:hint="eastAsia"/>
                <w:color w:val="auto"/>
              </w:rPr>
            </w:pPr>
            <w:r>
              <w:rPr>
                <w:rFonts w:hint="eastAsia"/>
                <w:color w:val="auto"/>
              </w:rPr>
              <w:t>LAS</w:t>
            </w:r>
          </w:p>
        </w:tc>
        <w:tc>
          <w:tcPr>
            <w:tcW w:w="1086" w:type="dxa"/>
            <w:noWrap w:val="0"/>
            <w:vAlign w:val="center"/>
          </w:tcPr>
          <w:p w14:paraId="7E9013CF">
            <w:pPr>
              <w:widowControl/>
              <w:jc w:val="center"/>
              <w:textAlignment w:val="center"/>
              <w:rPr>
                <w:rFonts w:hint="eastAsia" w:eastAsia="宋体"/>
                <w:color w:val="auto"/>
                <w:kern w:val="0"/>
                <w:sz w:val="21"/>
                <w:lang w:eastAsia="zh-CN"/>
              </w:rPr>
            </w:pPr>
            <w:r>
              <w:rPr>
                <w:color w:val="auto"/>
                <w:kern w:val="0"/>
                <w:sz w:val="21"/>
                <w:szCs w:val="21"/>
                <w:lang w:bidi="ar"/>
              </w:rPr>
              <w:t>0.00</w:t>
            </w:r>
            <w:r>
              <w:rPr>
                <w:rFonts w:hint="eastAsia"/>
                <w:color w:val="auto"/>
                <w:kern w:val="0"/>
                <w:sz w:val="21"/>
                <w:szCs w:val="21"/>
                <w:lang w:val="en-US" w:eastAsia="zh-CN" w:bidi="ar"/>
              </w:rPr>
              <w:t>2</w:t>
            </w:r>
          </w:p>
        </w:tc>
        <w:tc>
          <w:tcPr>
            <w:tcW w:w="934" w:type="dxa"/>
            <w:noWrap w:val="0"/>
            <w:vAlign w:val="center"/>
          </w:tcPr>
          <w:p w14:paraId="2CEBC471">
            <w:pPr>
              <w:widowControl/>
              <w:jc w:val="center"/>
              <w:textAlignment w:val="center"/>
              <w:rPr>
                <w:rFonts w:hint="default" w:eastAsia="宋体"/>
                <w:color w:val="auto"/>
                <w:kern w:val="0"/>
                <w:sz w:val="21"/>
                <w:lang w:val="en-US" w:eastAsia="zh-CN"/>
              </w:rPr>
            </w:pPr>
            <w:r>
              <w:rPr>
                <w:rFonts w:hint="eastAsia"/>
                <w:color w:val="auto"/>
                <w:kern w:val="0"/>
                <w:sz w:val="21"/>
                <w:szCs w:val="21"/>
                <w:lang w:val="en-US" w:eastAsia="zh-CN" w:bidi="ar"/>
              </w:rPr>
              <w:t>6.9</w:t>
            </w:r>
          </w:p>
        </w:tc>
        <w:tc>
          <w:tcPr>
            <w:tcW w:w="618" w:type="dxa"/>
            <w:vMerge w:val="continue"/>
            <w:noWrap w:val="0"/>
            <w:vAlign w:val="center"/>
          </w:tcPr>
          <w:p w14:paraId="1073FEAD">
            <w:pPr>
              <w:pStyle w:val="67"/>
              <w:rPr>
                <w:color w:val="auto"/>
              </w:rPr>
            </w:pPr>
          </w:p>
        </w:tc>
        <w:tc>
          <w:tcPr>
            <w:tcW w:w="721" w:type="dxa"/>
            <w:vMerge w:val="continue"/>
            <w:noWrap w:val="0"/>
            <w:vAlign w:val="center"/>
          </w:tcPr>
          <w:p w14:paraId="6C0C60A8">
            <w:pPr>
              <w:pStyle w:val="67"/>
              <w:rPr>
                <w:color w:val="auto"/>
              </w:rPr>
            </w:pPr>
          </w:p>
        </w:tc>
        <w:tc>
          <w:tcPr>
            <w:tcW w:w="597" w:type="dxa"/>
            <w:vMerge w:val="continue"/>
            <w:noWrap w:val="0"/>
            <w:vAlign w:val="center"/>
          </w:tcPr>
          <w:p w14:paraId="17A941D5">
            <w:pPr>
              <w:pStyle w:val="67"/>
              <w:rPr>
                <w:color w:val="auto"/>
              </w:rPr>
            </w:pPr>
          </w:p>
        </w:tc>
        <w:tc>
          <w:tcPr>
            <w:tcW w:w="836" w:type="dxa"/>
            <w:vMerge w:val="continue"/>
            <w:noWrap w:val="0"/>
            <w:vAlign w:val="center"/>
          </w:tcPr>
          <w:p w14:paraId="1E6D1594">
            <w:pPr>
              <w:pStyle w:val="67"/>
              <w:rPr>
                <w:color w:val="auto"/>
              </w:rPr>
            </w:pPr>
          </w:p>
        </w:tc>
        <w:tc>
          <w:tcPr>
            <w:tcW w:w="683" w:type="dxa"/>
            <w:vMerge w:val="continue"/>
            <w:noWrap w:val="0"/>
            <w:vAlign w:val="center"/>
          </w:tcPr>
          <w:p w14:paraId="6297E1A3">
            <w:pPr>
              <w:pStyle w:val="67"/>
              <w:rPr>
                <w:color w:val="auto"/>
              </w:rPr>
            </w:pPr>
          </w:p>
        </w:tc>
        <w:tc>
          <w:tcPr>
            <w:tcW w:w="786" w:type="dxa"/>
            <w:vMerge w:val="continue"/>
            <w:noWrap w:val="0"/>
            <w:vAlign w:val="center"/>
          </w:tcPr>
          <w:p w14:paraId="7DE2A8D9">
            <w:pPr>
              <w:pStyle w:val="67"/>
              <w:rPr>
                <w:color w:val="auto"/>
              </w:rPr>
            </w:pPr>
          </w:p>
        </w:tc>
        <w:tc>
          <w:tcPr>
            <w:tcW w:w="1593" w:type="dxa"/>
            <w:vMerge w:val="continue"/>
            <w:noWrap w:val="0"/>
            <w:vAlign w:val="center"/>
          </w:tcPr>
          <w:p w14:paraId="4F34DF6E">
            <w:pPr>
              <w:pStyle w:val="67"/>
              <w:rPr>
                <w:color w:val="auto"/>
              </w:rPr>
            </w:pPr>
          </w:p>
        </w:tc>
        <w:tc>
          <w:tcPr>
            <w:tcW w:w="1406" w:type="dxa"/>
            <w:noWrap w:val="0"/>
            <w:vAlign w:val="center"/>
          </w:tcPr>
          <w:p w14:paraId="737432A0">
            <w:pPr>
              <w:pStyle w:val="67"/>
              <w:rPr>
                <w:color w:val="auto"/>
              </w:rPr>
            </w:pPr>
            <w:r>
              <w:rPr>
                <w:rFonts w:hint="eastAsia"/>
                <w:color w:val="auto"/>
              </w:rPr>
              <w:t>20</w:t>
            </w:r>
          </w:p>
        </w:tc>
        <w:tc>
          <w:tcPr>
            <w:tcW w:w="646" w:type="dxa"/>
            <w:vMerge w:val="continue"/>
            <w:noWrap w:val="0"/>
            <w:vAlign w:val="center"/>
          </w:tcPr>
          <w:p w14:paraId="1EE86C53">
            <w:pPr>
              <w:pStyle w:val="67"/>
              <w:rPr>
                <w:color w:val="auto"/>
              </w:rPr>
            </w:pPr>
          </w:p>
        </w:tc>
        <w:tc>
          <w:tcPr>
            <w:tcW w:w="815" w:type="dxa"/>
            <w:noWrap w:val="0"/>
            <w:vAlign w:val="center"/>
          </w:tcPr>
          <w:p w14:paraId="4B1C8ED8">
            <w:pPr>
              <w:pStyle w:val="67"/>
              <w:rPr>
                <w:color w:val="auto"/>
              </w:rPr>
            </w:pPr>
            <w:r>
              <w:rPr>
                <w:rFonts w:hint="eastAsia"/>
                <w:color w:val="auto"/>
              </w:rPr>
              <w:t>LAS</w:t>
            </w:r>
          </w:p>
        </w:tc>
        <w:tc>
          <w:tcPr>
            <w:tcW w:w="876" w:type="dxa"/>
            <w:noWrap w:val="0"/>
            <w:vAlign w:val="center"/>
          </w:tcPr>
          <w:p w14:paraId="3E57285D">
            <w:pPr>
              <w:pStyle w:val="67"/>
              <w:rPr>
                <w:color w:val="auto"/>
              </w:rPr>
            </w:pPr>
            <w:r>
              <w:rPr>
                <w:color w:val="auto"/>
              </w:rPr>
              <w:t>1</w:t>
            </w:r>
            <w:r>
              <w:rPr>
                <w:rFonts w:hint="eastAsia"/>
                <w:color w:val="auto"/>
              </w:rPr>
              <w:t>次/季度</w:t>
            </w:r>
          </w:p>
        </w:tc>
      </w:tr>
      <w:tr w14:paraId="08D751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636" w:type="dxa"/>
            <w:vMerge w:val="continue"/>
            <w:noWrap w:val="0"/>
            <w:vAlign w:val="center"/>
          </w:tcPr>
          <w:p w14:paraId="49EBE174">
            <w:pPr>
              <w:pStyle w:val="67"/>
              <w:rPr>
                <w:color w:val="auto"/>
              </w:rPr>
            </w:pPr>
          </w:p>
        </w:tc>
        <w:tc>
          <w:tcPr>
            <w:tcW w:w="636" w:type="dxa"/>
            <w:vMerge w:val="continue"/>
            <w:noWrap w:val="0"/>
            <w:vAlign w:val="center"/>
          </w:tcPr>
          <w:p w14:paraId="2AF4DA88">
            <w:pPr>
              <w:pStyle w:val="67"/>
              <w:rPr>
                <w:color w:val="auto"/>
              </w:rPr>
            </w:pPr>
          </w:p>
        </w:tc>
        <w:tc>
          <w:tcPr>
            <w:tcW w:w="1038" w:type="dxa"/>
            <w:noWrap w:val="0"/>
            <w:vAlign w:val="center"/>
          </w:tcPr>
          <w:p w14:paraId="1AC457D7">
            <w:pPr>
              <w:pStyle w:val="67"/>
              <w:rPr>
                <w:rFonts w:hint="eastAsia"/>
                <w:color w:val="auto"/>
              </w:rPr>
            </w:pPr>
            <w:r>
              <w:rPr>
                <w:rFonts w:hint="eastAsia"/>
                <w:color w:val="auto"/>
              </w:rPr>
              <w:t>粪大肠菌群</w:t>
            </w:r>
          </w:p>
        </w:tc>
        <w:tc>
          <w:tcPr>
            <w:tcW w:w="1283" w:type="dxa"/>
            <w:noWrap w:val="0"/>
            <w:vAlign w:val="center"/>
          </w:tcPr>
          <w:p w14:paraId="207E2A06">
            <w:pPr>
              <w:pStyle w:val="67"/>
              <w:rPr>
                <w:rFonts w:hint="eastAsia" w:eastAsia="宋体"/>
                <w:color w:val="auto"/>
                <w:lang w:eastAsia="zh-CN"/>
              </w:rPr>
            </w:pPr>
            <w:r>
              <w:rPr>
                <w:rFonts w:hint="eastAsia"/>
                <w:color w:val="auto"/>
                <w:lang w:val="en-US" w:eastAsia="zh-CN"/>
              </w:rPr>
              <w:t>/</w:t>
            </w:r>
          </w:p>
        </w:tc>
        <w:tc>
          <w:tcPr>
            <w:tcW w:w="1185" w:type="dxa"/>
            <w:noWrap w:val="0"/>
            <w:vAlign w:val="center"/>
          </w:tcPr>
          <w:p w14:paraId="5758270B">
            <w:pPr>
              <w:pStyle w:val="67"/>
              <w:rPr>
                <w:rFonts w:hint="eastAsia"/>
                <w:color w:val="auto"/>
              </w:rPr>
            </w:pPr>
            <w:r>
              <w:rPr>
                <w:rFonts w:hint="eastAsia"/>
                <w:color w:val="auto"/>
                <w:lang w:val="en-US" w:eastAsia="zh-CN"/>
              </w:rPr>
              <w:t>32</w:t>
            </w:r>
            <w:r>
              <w:rPr>
                <w:rFonts w:hint="eastAsia"/>
                <w:color w:val="auto"/>
              </w:rPr>
              <w:t>个/L</w:t>
            </w:r>
          </w:p>
        </w:tc>
        <w:tc>
          <w:tcPr>
            <w:tcW w:w="748" w:type="dxa"/>
            <w:vMerge w:val="continue"/>
            <w:noWrap w:val="0"/>
            <w:vAlign w:val="center"/>
          </w:tcPr>
          <w:p w14:paraId="72E571E2">
            <w:pPr>
              <w:pStyle w:val="67"/>
              <w:rPr>
                <w:color w:val="auto"/>
              </w:rPr>
            </w:pPr>
          </w:p>
        </w:tc>
        <w:tc>
          <w:tcPr>
            <w:tcW w:w="563" w:type="dxa"/>
            <w:vMerge w:val="continue"/>
            <w:noWrap w:val="0"/>
            <w:vAlign w:val="center"/>
          </w:tcPr>
          <w:p w14:paraId="3A8C4BA0">
            <w:pPr>
              <w:pStyle w:val="67"/>
              <w:rPr>
                <w:color w:val="auto"/>
              </w:rPr>
            </w:pPr>
          </w:p>
        </w:tc>
        <w:tc>
          <w:tcPr>
            <w:tcW w:w="689" w:type="dxa"/>
            <w:noWrap w:val="0"/>
            <w:vAlign w:val="center"/>
          </w:tcPr>
          <w:p w14:paraId="7E3E15CB">
            <w:pPr>
              <w:widowControl/>
              <w:jc w:val="center"/>
              <w:textAlignment w:val="center"/>
              <w:rPr>
                <w:color w:val="auto"/>
                <w:kern w:val="0"/>
                <w:sz w:val="21"/>
              </w:rPr>
            </w:pPr>
            <w:r>
              <w:rPr>
                <w:rFonts w:hint="eastAsia"/>
                <w:color w:val="auto"/>
                <w:kern w:val="0"/>
                <w:sz w:val="21"/>
              </w:rPr>
              <w:t>0</w:t>
            </w:r>
          </w:p>
        </w:tc>
        <w:tc>
          <w:tcPr>
            <w:tcW w:w="984" w:type="dxa"/>
            <w:vMerge w:val="continue"/>
            <w:noWrap w:val="0"/>
            <w:vAlign w:val="center"/>
          </w:tcPr>
          <w:p w14:paraId="1AE4C9DB">
            <w:pPr>
              <w:pStyle w:val="67"/>
              <w:rPr>
                <w:color w:val="auto"/>
              </w:rPr>
            </w:pPr>
          </w:p>
        </w:tc>
        <w:tc>
          <w:tcPr>
            <w:tcW w:w="748" w:type="dxa"/>
            <w:vMerge w:val="continue"/>
            <w:noWrap w:val="0"/>
            <w:vAlign w:val="center"/>
          </w:tcPr>
          <w:p w14:paraId="7E04E3D7">
            <w:pPr>
              <w:pStyle w:val="67"/>
              <w:rPr>
                <w:color w:val="auto"/>
              </w:rPr>
            </w:pPr>
          </w:p>
        </w:tc>
        <w:tc>
          <w:tcPr>
            <w:tcW w:w="870" w:type="dxa"/>
            <w:noWrap w:val="0"/>
            <w:vAlign w:val="center"/>
          </w:tcPr>
          <w:p w14:paraId="67D24D81">
            <w:pPr>
              <w:pStyle w:val="67"/>
              <w:rPr>
                <w:rFonts w:hint="eastAsia"/>
                <w:color w:val="auto"/>
              </w:rPr>
            </w:pPr>
            <w:r>
              <w:rPr>
                <w:rFonts w:hint="eastAsia"/>
                <w:color w:val="auto"/>
              </w:rPr>
              <w:t>粪大肠菌群</w:t>
            </w:r>
          </w:p>
        </w:tc>
        <w:tc>
          <w:tcPr>
            <w:tcW w:w="1086" w:type="dxa"/>
            <w:noWrap w:val="0"/>
            <w:vAlign w:val="center"/>
          </w:tcPr>
          <w:p w14:paraId="6E00909D">
            <w:pPr>
              <w:pStyle w:val="67"/>
              <w:rPr>
                <w:rFonts w:hint="eastAsia" w:eastAsia="宋体"/>
                <w:color w:val="auto"/>
                <w:lang w:eastAsia="zh-CN"/>
              </w:rPr>
            </w:pPr>
            <w:r>
              <w:rPr>
                <w:rFonts w:hint="eastAsia"/>
                <w:color w:val="auto"/>
                <w:lang w:val="en-US" w:eastAsia="zh-CN"/>
              </w:rPr>
              <w:t>/</w:t>
            </w:r>
          </w:p>
        </w:tc>
        <w:tc>
          <w:tcPr>
            <w:tcW w:w="934" w:type="dxa"/>
            <w:noWrap w:val="0"/>
            <w:vAlign w:val="center"/>
          </w:tcPr>
          <w:p w14:paraId="32EFB22B">
            <w:pPr>
              <w:pStyle w:val="67"/>
              <w:rPr>
                <w:rFonts w:hint="eastAsia"/>
                <w:color w:val="auto"/>
              </w:rPr>
            </w:pPr>
            <w:r>
              <w:rPr>
                <w:rFonts w:hint="eastAsia"/>
                <w:color w:val="auto"/>
                <w:lang w:val="en-US" w:eastAsia="zh-CN"/>
              </w:rPr>
              <w:t>32</w:t>
            </w:r>
            <w:r>
              <w:rPr>
                <w:rFonts w:hint="eastAsia"/>
                <w:color w:val="auto"/>
              </w:rPr>
              <w:t>个/L</w:t>
            </w:r>
          </w:p>
        </w:tc>
        <w:tc>
          <w:tcPr>
            <w:tcW w:w="618" w:type="dxa"/>
            <w:vMerge w:val="continue"/>
            <w:noWrap w:val="0"/>
            <w:vAlign w:val="center"/>
          </w:tcPr>
          <w:p w14:paraId="4147AAB9">
            <w:pPr>
              <w:pStyle w:val="67"/>
              <w:rPr>
                <w:color w:val="auto"/>
              </w:rPr>
            </w:pPr>
          </w:p>
        </w:tc>
        <w:tc>
          <w:tcPr>
            <w:tcW w:w="721" w:type="dxa"/>
            <w:vMerge w:val="continue"/>
            <w:noWrap w:val="0"/>
            <w:vAlign w:val="center"/>
          </w:tcPr>
          <w:p w14:paraId="7D49CFEA">
            <w:pPr>
              <w:pStyle w:val="67"/>
              <w:rPr>
                <w:color w:val="auto"/>
              </w:rPr>
            </w:pPr>
          </w:p>
        </w:tc>
        <w:tc>
          <w:tcPr>
            <w:tcW w:w="597" w:type="dxa"/>
            <w:vMerge w:val="continue"/>
            <w:noWrap w:val="0"/>
            <w:vAlign w:val="center"/>
          </w:tcPr>
          <w:p w14:paraId="1ADEACC5">
            <w:pPr>
              <w:pStyle w:val="67"/>
              <w:rPr>
                <w:color w:val="auto"/>
              </w:rPr>
            </w:pPr>
          </w:p>
        </w:tc>
        <w:tc>
          <w:tcPr>
            <w:tcW w:w="836" w:type="dxa"/>
            <w:vMerge w:val="continue"/>
            <w:noWrap w:val="0"/>
            <w:vAlign w:val="center"/>
          </w:tcPr>
          <w:p w14:paraId="7C12A91E">
            <w:pPr>
              <w:pStyle w:val="67"/>
              <w:rPr>
                <w:color w:val="auto"/>
              </w:rPr>
            </w:pPr>
          </w:p>
        </w:tc>
        <w:tc>
          <w:tcPr>
            <w:tcW w:w="683" w:type="dxa"/>
            <w:vMerge w:val="continue"/>
            <w:noWrap w:val="0"/>
            <w:vAlign w:val="center"/>
          </w:tcPr>
          <w:p w14:paraId="4A2FC16D">
            <w:pPr>
              <w:pStyle w:val="67"/>
              <w:rPr>
                <w:color w:val="auto"/>
              </w:rPr>
            </w:pPr>
          </w:p>
        </w:tc>
        <w:tc>
          <w:tcPr>
            <w:tcW w:w="786" w:type="dxa"/>
            <w:vMerge w:val="continue"/>
            <w:noWrap w:val="0"/>
            <w:vAlign w:val="center"/>
          </w:tcPr>
          <w:p w14:paraId="4606B65A">
            <w:pPr>
              <w:pStyle w:val="67"/>
              <w:rPr>
                <w:color w:val="auto"/>
              </w:rPr>
            </w:pPr>
          </w:p>
        </w:tc>
        <w:tc>
          <w:tcPr>
            <w:tcW w:w="1593" w:type="dxa"/>
            <w:vMerge w:val="continue"/>
            <w:noWrap w:val="0"/>
            <w:vAlign w:val="center"/>
          </w:tcPr>
          <w:p w14:paraId="2469C87A">
            <w:pPr>
              <w:pStyle w:val="67"/>
              <w:rPr>
                <w:color w:val="auto"/>
              </w:rPr>
            </w:pPr>
          </w:p>
        </w:tc>
        <w:tc>
          <w:tcPr>
            <w:tcW w:w="1406" w:type="dxa"/>
            <w:noWrap w:val="0"/>
            <w:vAlign w:val="center"/>
          </w:tcPr>
          <w:p w14:paraId="3B4A1D42">
            <w:pPr>
              <w:pStyle w:val="67"/>
              <w:rPr>
                <w:color w:val="auto"/>
              </w:rPr>
            </w:pPr>
            <w:r>
              <w:rPr>
                <w:rFonts w:hint="eastAsia"/>
                <w:color w:val="auto"/>
              </w:rPr>
              <w:t>5000个/L</w:t>
            </w:r>
          </w:p>
        </w:tc>
        <w:tc>
          <w:tcPr>
            <w:tcW w:w="646" w:type="dxa"/>
            <w:vMerge w:val="continue"/>
            <w:noWrap w:val="0"/>
            <w:vAlign w:val="center"/>
          </w:tcPr>
          <w:p w14:paraId="3CA54035">
            <w:pPr>
              <w:pStyle w:val="67"/>
              <w:rPr>
                <w:color w:val="auto"/>
              </w:rPr>
            </w:pPr>
          </w:p>
        </w:tc>
        <w:tc>
          <w:tcPr>
            <w:tcW w:w="815" w:type="dxa"/>
            <w:noWrap w:val="0"/>
            <w:vAlign w:val="center"/>
          </w:tcPr>
          <w:p w14:paraId="459CF3C1">
            <w:pPr>
              <w:pStyle w:val="67"/>
              <w:rPr>
                <w:rFonts w:hint="eastAsia"/>
                <w:color w:val="auto"/>
              </w:rPr>
            </w:pPr>
            <w:r>
              <w:rPr>
                <w:rFonts w:hint="eastAsia"/>
                <w:color w:val="auto"/>
              </w:rPr>
              <w:t>粪大肠菌群</w:t>
            </w:r>
          </w:p>
        </w:tc>
        <w:tc>
          <w:tcPr>
            <w:tcW w:w="876" w:type="dxa"/>
            <w:noWrap w:val="0"/>
            <w:vAlign w:val="center"/>
          </w:tcPr>
          <w:p w14:paraId="1210A905">
            <w:pPr>
              <w:pStyle w:val="67"/>
              <w:rPr>
                <w:color w:val="auto"/>
              </w:rPr>
            </w:pPr>
            <w:r>
              <w:rPr>
                <w:color w:val="auto"/>
              </w:rPr>
              <w:t>1</w:t>
            </w:r>
            <w:r>
              <w:rPr>
                <w:rFonts w:hint="eastAsia"/>
                <w:color w:val="auto"/>
              </w:rPr>
              <w:t>次/季度</w:t>
            </w:r>
          </w:p>
        </w:tc>
      </w:tr>
    </w:tbl>
    <w:p w14:paraId="21D4A854">
      <w:pPr>
        <w:sectPr>
          <w:pgSz w:w="23811" w:h="16838" w:orient="landscape"/>
          <w:pgMar w:top="1417" w:right="1417" w:bottom="1417" w:left="1417" w:header="851" w:footer="851" w:gutter="0"/>
          <w:cols w:space="720" w:num="1"/>
          <w:docGrid w:linePitch="312" w:charSpace="0"/>
        </w:sectPr>
      </w:pPr>
    </w:p>
    <w:p w14:paraId="3C68DF5C">
      <w:pPr>
        <w:pStyle w:val="6"/>
        <w:numPr>
          <w:ilvl w:val="0"/>
          <w:numId w:val="0"/>
        </w:numPr>
        <w:tabs>
          <w:tab w:val="left" w:pos="0"/>
          <w:tab w:val="clear" w:pos="420"/>
        </w:tabs>
        <w:spacing w:line="240" w:lineRule="auto"/>
        <w:rPr>
          <w:rFonts w:hint="eastAsia"/>
          <w:sz w:val="24"/>
          <w:szCs w:val="28"/>
        </w:rPr>
      </w:pPr>
      <w:bookmarkStart w:id="48" w:name="_Toc31030"/>
      <w:r>
        <w:rPr>
          <w:rFonts w:hint="eastAsia"/>
          <w:sz w:val="24"/>
          <w:szCs w:val="28"/>
        </w:rPr>
        <w:t>附图1：</w:t>
      </w:r>
      <w:r>
        <w:rPr>
          <w:sz w:val="24"/>
          <w:szCs w:val="28"/>
        </w:rPr>
        <w:t>项目地理位置图</w:t>
      </w:r>
      <w:bookmarkEnd w:id="48"/>
    </w:p>
    <w:p w14:paraId="7CC2332D">
      <w:pPr>
        <w:jc w:val="center"/>
        <w:rPr>
          <w:rFonts w:hint="eastAsia"/>
        </w:rPr>
        <w:sectPr>
          <w:footerReference r:id="rId8" w:type="default"/>
          <w:pgSz w:w="16838" w:h="11906" w:orient="landscape"/>
          <w:pgMar w:top="720" w:right="720" w:bottom="720" w:left="720" w:header="851" w:footer="851" w:gutter="0"/>
          <w:cols w:space="720" w:num="1"/>
          <w:docGrid w:linePitch="312" w:charSpace="0"/>
        </w:sectPr>
      </w:pPr>
      <w:r>
        <mc:AlternateContent>
          <mc:Choice Requires="wps">
            <w:drawing>
              <wp:anchor distT="0" distB="0" distL="114300" distR="114300" simplePos="0" relativeHeight="251660288" behindDoc="0" locked="0" layoutInCell="1" allowOverlap="1">
                <wp:simplePos x="0" y="0"/>
                <wp:positionH relativeFrom="column">
                  <wp:posOffset>4735830</wp:posOffset>
                </wp:positionH>
                <wp:positionV relativeFrom="paragraph">
                  <wp:posOffset>3446780</wp:posOffset>
                </wp:positionV>
                <wp:extent cx="1077595" cy="563880"/>
                <wp:effectExtent l="0" t="4445" r="8255" b="22225"/>
                <wp:wrapNone/>
                <wp:docPr id="2" name="直线 3"/>
                <wp:cNvGraphicFramePr/>
                <a:graphic xmlns:a="http://schemas.openxmlformats.org/drawingml/2006/main">
                  <a:graphicData uri="http://schemas.microsoft.com/office/word/2010/wordprocessingShape">
                    <wps:wsp>
                      <wps:cNvCnPr/>
                      <wps:spPr>
                        <a:xfrm flipH="1" flipV="1">
                          <a:off x="0" y="0"/>
                          <a:ext cx="1077595" cy="563880"/>
                        </a:xfrm>
                        <a:prstGeom prst="line">
                          <a:avLst/>
                        </a:prstGeom>
                        <a:ln w="9525" cap="flat" cmpd="sng">
                          <a:solidFill>
                            <a:srgbClr val="000000"/>
                          </a:solidFill>
                          <a:prstDash val="solid"/>
                          <a:headEnd type="none" w="med" len="med"/>
                          <a:tailEnd type="arrow" w="med" len="med"/>
                        </a:ln>
                      </wps:spPr>
                      <wps:bodyPr upright="1"/>
                    </wps:wsp>
                  </a:graphicData>
                </a:graphic>
              </wp:anchor>
            </w:drawing>
          </mc:Choice>
          <mc:Fallback>
            <w:pict>
              <v:line id="直线 3" o:spid="_x0000_s1026" o:spt="20" style="position:absolute;left:0pt;flip:x y;margin-left:372.9pt;margin-top:271.4pt;height:44.4pt;width:84.85pt;z-index:251660288;mso-width-relative:page;mso-height-relative:page;" filled="f" stroked="t" coordsize="21600,21600" o:gfxdata="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Vrz2StsAAAALAQAADwAAAAAAAAABACAAAAAiAAAAZHJz&#10;L2Rvd25yZXYueG1sUEsBAhQAFAAAAAgAh07iQEPFY+4BAgAA9QMAAA4AAAAAAAAAAQAgAAAAKgEA&#10;AGRycy9lMm9Eb2MueG1sUEsFBgAAAAAGAAYAWQEAAJ0FAAAAAA==&#10;">
                <v:fill on="f" focussize="0,0"/>
                <v:stroke color="#000000" joinstyle="round" endarrow="open"/>
                <v:imagedata o:title=""/>
                <o:lock v:ext="edit" aspectratio="f"/>
              </v:lin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5808345</wp:posOffset>
                </wp:positionH>
                <wp:positionV relativeFrom="paragraph">
                  <wp:posOffset>3999865</wp:posOffset>
                </wp:positionV>
                <wp:extent cx="956310" cy="317500"/>
                <wp:effectExtent l="4445" t="4445" r="10795" b="20955"/>
                <wp:wrapNone/>
                <wp:docPr id="1" name="文本框 2"/>
                <wp:cNvGraphicFramePr/>
                <a:graphic xmlns:a="http://schemas.openxmlformats.org/drawingml/2006/main">
                  <a:graphicData uri="http://schemas.microsoft.com/office/word/2010/wordprocessingShape">
                    <wps:wsp>
                      <wps:cNvSpPr txBox="1"/>
                      <wps:spPr>
                        <a:xfrm>
                          <a:off x="0" y="0"/>
                          <a:ext cx="956310" cy="3175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B560DDC">
                            <w:r>
                              <w:rPr>
                                <w:rFonts w:hint="eastAsia"/>
                              </w:rPr>
                              <w:t>项目所在地</w:t>
                            </w:r>
                          </w:p>
                        </w:txbxContent>
                      </wps:txbx>
                      <wps:bodyPr wrap="square" upright="1"/>
                    </wps:wsp>
                  </a:graphicData>
                </a:graphic>
              </wp:anchor>
            </w:drawing>
          </mc:Choice>
          <mc:Fallback>
            <w:pict>
              <v:shape id="文本框 2" o:spid="_x0000_s1026" o:spt="202" type="#_x0000_t202" style="position:absolute;left:0pt;margin-left:457.35pt;margin-top:314.95pt;height:25pt;width:75.3pt;z-index:251659264;mso-width-relative:page;mso-height-relative:page;" fillcolor="#FFFFFF" filled="t" stroked="t" coordsize="21600,21600" o:gfxdata="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a8LgB2gAAAAwBAAAPAAAA&#10;AAAAAAEAIAAAACIAAABkcnMvZG93bnJldi54bWxQSwECFAAUAAAACACHTuJA5DtNlxMCAABDBAAA&#10;DgAAAAAAAAABACAAAAApAQAAZHJzL2Uyb0RvYy54bWxQSwUGAAAAAAYABgBZAQAArgUAAAAA&#10;">
                <v:fill on="t" focussize="0,0"/>
                <v:stroke color="#000000" joinstyle="miter"/>
                <v:imagedata o:title=""/>
                <o:lock v:ext="edit" aspectratio="f"/>
                <v:textbox>
                  <w:txbxContent>
                    <w:p w14:paraId="7B560DDC">
                      <w:r>
                        <w:rPr>
                          <w:rFonts w:hint="eastAsia"/>
                        </w:rPr>
                        <w:t>项目所在地</w:t>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4572635</wp:posOffset>
                </wp:positionH>
                <wp:positionV relativeFrom="paragraph">
                  <wp:posOffset>3328670</wp:posOffset>
                </wp:positionV>
                <wp:extent cx="178435" cy="154305"/>
                <wp:effectExtent l="8255" t="9525" r="22860" b="7620"/>
                <wp:wrapNone/>
                <wp:docPr id="4" name="自选图形 33"/>
                <wp:cNvGraphicFramePr/>
                <a:graphic xmlns:a="http://schemas.openxmlformats.org/drawingml/2006/main">
                  <a:graphicData uri="http://schemas.microsoft.com/office/word/2010/wordprocessingShape">
                    <wps:wsp>
                      <wps:cNvSpPr/>
                      <wps:spPr>
                        <a:xfrm>
                          <a:off x="0" y="0"/>
                          <a:ext cx="178435" cy="154305"/>
                        </a:xfrm>
                        <a:prstGeom prst="triangle">
                          <a:avLst>
                            <a:gd name="adj" fmla="val 50000"/>
                          </a:avLst>
                        </a:prstGeom>
                        <a:solidFill>
                          <a:srgbClr val="FF0000"/>
                        </a:solidFill>
                        <a:ln w="9525" cap="flat" cmpd="sng">
                          <a:solidFill>
                            <a:srgbClr val="000000"/>
                          </a:solidFill>
                          <a:prstDash val="solid"/>
                          <a:miter/>
                          <a:headEnd type="none" w="med" len="med"/>
                          <a:tailEnd type="none" w="med" len="med"/>
                        </a:ln>
                      </wps:spPr>
                      <wps:txbx>
                        <w:txbxContent>
                          <w:p w14:paraId="76B0E5FE"/>
                        </w:txbxContent>
                      </wps:txbx>
                      <wps:bodyPr wrap="square" upright="1"/>
                    </wps:wsp>
                  </a:graphicData>
                </a:graphic>
              </wp:anchor>
            </w:drawing>
          </mc:Choice>
          <mc:Fallback>
            <w:pict>
              <v:shape id="自选图形 33" o:spid="_x0000_s1026" o:spt="5" type="#_x0000_t5" style="position:absolute;left:0pt;margin-left:360.05pt;margin-top:262.1pt;height:12.15pt;width:14.05pt;z-index:251662336;mso-width-relative:page;mso-height-relative:page;" fillcolor="#FF0000" filled="t" stroked="t" coordsize="21600,21600" o:gfxdata="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MWzi4vaAAAACwEAAA8AAAAAAAAAAQAgAAAAIgAAAGRycy9kb3ducmV2Lnht&#10;bFBLAQIUABQAAAAIAIdO4kD5lJOVMAIAAG0EAAAOAAAAAAAAAAEAIAAAACkBAABkcnMvZTJvRG9j&#10;LnhtbFBLBQYAAAAABgAGAFkBAADLBQAAAAA=&#10;" adj="10800">
                <v:fill on="t" focussize="0,0"/>
                <v:stroke color="#000000" joinstyle="miter"/>
                <v:imagedata o:title=""/>
                <o:lock v:ext="edit" aspectratio="f"/>
                <v:textbox>
                  <w:txbxContent>
                    <w:p w14:paraId="76B0E5FE"/>
                  </w:txbxContent>
                </v:textbox>
              </v:shape>
            </w:pict>
          </mc:Fallback>
        </mc:AlternateContent>
      </w:r>
      <w:r>
        <w:rPr>
          <w:rFonts w:hint="eastAsia"/>
          <w:szCs w:val="28"/>
        </w:rPr>
        <w:drawing>
          <wp:anchor distT="0" distB="0" distL="114300" distR="114300" simplePos="0" relativeHeight="251661312" behindDoc="0" locked="0" layoutInCell="1" allowOverlap="1">
            <wp:simplePos x="0" y="0"/>
            <wp:positionH relativeFrom="column">
              <wp:posOffset>6859270</wp:posOffset>
            </wp:positionH>
            <wp:positionV relativeFrom="paragraph">
              <wp:posOffset>302895</wp:posOffset>
            </wp:positionV>
            <wp:extent cx="771525" cy="904875"/>
            <wp:effectExtent l="0" t="0" r="9525" b="9525"/>
            <wp:wrapNone/>
            <wp:docPr id="3" name="图片 32" descr="仓山区风向玫瑰图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2" descr="仓山区风向玫瑰图2"/>
                    <pic:cNvPicPr>
                      <a:picLocks noChangeAspect="1"/>
                    </pic:cNvPicPr>
                  </pic:nvPicPr>
                  <pic:blipFill>
                    <a:blip r:embed="rId28"/>
                    <a:stretch>
                      <a:fillRect/>
                    </a:stretch>
                  </pic:blipFill>
                  <pic:spPr>
                    <a:xfrm>
                      <a:off x="0" y="0"/>
                      <a:ext cx="771525" cy="904875"/>
                    </a:xfrm>
                    <a:prstGeom prst="rect">
                      <a:avLst/>
                    </a:prstGeom>
                    <a:noFill/>
                    <a:ln>
                      <a:noFill/>
                    </a:ln>
                  </pic:spPr>
                </pic:pic>
              </a:graphicData>
            </a:graphic>
          </wp:anchor>
        </w:drawing>
      </w:r>
      <w:r>
        <w:rPr>
          <w:rFonts w:hint="eastAsia"/>
        </w:rPr>
        <w:drawing>
          <wp:inline distT="0" distB="0" distL="114300" distR="114300">
            <wp:extent cx="8974455" cy="6181725"/>
            <wp:effectExtent l="0" t="0" r="17145" b="9525"/>
            <wp:docPr id="29" name="图片 59" descr="鼓楼区政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59" descr="鼓楼区政区"/>
                    <pic:cNvPicPr>
                      <a:picLocks noChangeAspect="1"/>
                    </pic:cNvPicPr>
                  </pic:nvPicPr>
                  <pic:blipFill>
                    <a:blip r:embed="rId29"/>
                    <a:stretch>
                      <a:fillRect/>
                    </a:stretch>
                  </pic:blipFill>
                  <pic:spPr>
                    <a:xfrm>
                      <a:off x="0" y="0"/>
                      <a:ext cx="8974455" cy="6181725"/>
                    </a:xfrm>
                    <a:prstGeom prst="rect">
                      <a:avLst/>
                    </a:prstGeom>
                    <a:noFill/>
                    <a:ln>
                      <a:noFill/>
                    </a:ln>
                  </pic:spPr>
                </pic:pic>
              </a:graphicData>
            </a:graphic>
          </wp:inline>
        </w:drawing>
      </w:r>
    </w:p>
    <w:p w14:paraId="53DBA402">
      <w:pPr>
        <w:pStyle w:val="6"/>
        <w:numPr>
          <w:ilvl w:val="2"/>
          <w:numId w:val="0"/>
        </w:numPr>
        <w:tabs>
          <w:tab w:val="left" w:pos="0"/>
          <w:tab w:val="clear" w:pos="420"/>
        </w:tabs>
        <w:spacing w:line="240" w:lineRule="auto"/>
        <w:rPr>
          <w:rFonts w:hint="eastAsia"/>
          <w:sz w:val="24"/>
          <w:szCs w:val="28"/>
        </w:rPr>
      </w:pPr>
      <w:bookmarkStart w:id="49" w:name="_Toc18439"/>
      <w:r>
        <w:rPr>
          <w:rFonts w:hint="eastAsia"/>
          <w:sz w:val="24"/>
          <w:szCs w:val="28"/>
        </w:rPr>
        <w:t>附图2：项目与周边环境敏感目标关系图</w:t>
      </w:r>
      <w:bookmarkEnd w:id="49"/>
    </w:p>
    <w:p w14:paraId="37AA130E">
      <w:pPr>
        <w:rPr>
          <w:rFonts w:hint="eastAsia"/>
        </w:rPr>
      </w:pPr>
      <w:r>
        <w:drawing>
          <wp:anchor distT="0" distB="0" distL="114300" distR="114300" simplePos="0" relativeHeight="251668480" behindDoc="0" locked="0" layoutInCell="1" allowOverlap="1">
            <wp:simplePos x="0" y="0"/>
            <wp:positionH relativeFrom="column">
              <wp:posOffset>8123555</wp:posOffset>
            </wp:positionH>
            <wp:positionV relativeFrom="paragraph">
              <wp:posOffset>5283835</wp:posOffset>
            </wp:positionV>
            <wp:extent cx="1220470" cy="779780"/>
            <wp:effectExtent l="0" t="0" r="17780" b="1270"/>
            <wp:wrapNone/>
            <wp:docPr id="18"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59"/>
                    <pic:cNvPicPr>
                      <a:picLocks noChangeAspect="1"/>
                    </pic:cNvPicPr>
                  </pic:nvPicPr>
                  <pic:blipFill>
                    <a:blip r:embed="rId30"/>
                    <a:stretch>
                      <a:fillRect/>
                    </a:stretch>
                  </pic:blipFill>
                  <pic:spPr>
                    <a:xfrm>
                      <a:off x="0" y="0"/>
                      <a:ext cx="1220470" cy="779780"/>
                    </a:xfrm>
                    <a:prstGeom prst="rect">
                      <a:avLst/>
                    </a:prstGeom>
                    <a:noFill/>
                    <a:ln>
                      <a:noFill/>
                    </a:ln>
                  </pic:spPr>
                </pic:pic>
              </a:graphicData>
            </a:graphic>
          </wp:anchor>
        </w:drawing>
      </w:r>
      <w:r>
        <w:drawing>
          <wp:anchor distT="0" distB="0" distL="114300" distR="114300" simplePos="0" relativeHeight="251667456" behindDoc="0" locked="0" layoutInCell="1" allowOverlap="1">
            <wp:simplePos x="0" y="0"/>
            <wp:positionH relativeFrom="column">
              <wp:posOffset>428625</wp:posOffset>
            </wp:positionH>
            <wp:positionV relativeFrom="paragraph">
              <wp:posOffset>5815965</wp:posOffset>
            </wp:positionV>
            <wp:extent cx="2943225" cy="295275"/>
            <wp:effectExtent l="0" t="0" r="9525" b="9525"/>
            <wp:wrapNone/>
            <wp:docPr id="17"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58"/>
                    <pic:cNvPicPr>
                      <a:picLocks noChangeAspect="1"/>
                    </pic:cNvPicPr>
                  </pic:nvPicPr>
                  <pic:blipFill>
                    <a:blip r:embed="rId31"/>
                    <a:stretch>
                      <a:fillRect/>
                    </a:stretch>
                  </pic:blipFill>
                  <pic:spPr>
                    <a:xfrm>
                      <a:off x="0" y="0"/>
                      <a:ext cx="2943225" cy="295275"/>
                    </a:xfrm>
                    <a:prstGeom prst="rect">
                      <a:avLst/>
                    </a:prstGeom>
                    <a:noFill/>
                    <a:ln>
                      <a:noFill/>
                    </a:ln>
                  </pic:spPr>
                </pic:pic>
              </a:graphicData>
            </a:graphic>
          </wp:anchor>
        </w:drawing>
      </w:r>
      <w:r>
        <w:drawing>
          <wp:anchor distT="0" distB="0" distL="114300" distR="114300" simplePos="0" relativeHeight="251666432" behindDoc="0" locked="0" layoutInCell="1" allowOverlap="1">
            <wp:simplePos x="0" y="0"/>
            <wp:positionH relativeFrom="column">
              <wp:posOffset>411480</wp:posOffset>
            </wp:positionH>
            <wp:positionV relativeFrom="paragraph">
              <wp:posOffset>219075</wp:posOffset>
            </wp:positionV>
            <wp:extent cx="636270" cy="760095"/>
            <wp:effectExtent l="0" t="0" r="11430" b="1905"/>
            <wp:wrapNone/>
            <wp:docPr id="16"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57"/>
                    <pic:cNvPicPr>
                      <a:picLocks noChangeAspect="1"/>
                    </pic:cNvPicPr>
                  </pic:nvPicPr>
                  <pic:blipFill>
                    <a:blip r:embed="rId32"/>
                    <a:srcRect l="3572"/>
                    <a:stretch>
                      <a:fillRect/>
                    </a:stretch>
                  </pic:blipFill>
                  <pic:spPr>
                    <a:xfrm>
                      <a:off x="0" y="0"/>
                      <a:ext cx="636270" cy="760095"/>
                    </a:xfrm>
                    <a:prstGeom prst="rect">
                      <a:avLst/>
                    </a:prstGeom>
                    <a:noFill/>
                    <a:ln>
                      <a:noFill/>
                    </a:ln>
                  </pic:spPr>
                </pic:pic>
              </a:graphicData>
            </a:graphic>
          </wp:anchor>
        </w:drawing>
      </w:r>
      <w:r>
        <w:drawing>
          <wp:inline distT="0" distB="0" distL="114300" distR="114300">
            <wp:extent cx="9578975" cy="6232525"/>
            <wp:effectExtent l="0" t="0" r="3175" b="15875"/>
            <wp:docPr id="3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50"/>
                    <pic:cNvPicPr>
                      <a:picLocks noChangeAspect="1"/>
                    </pic:cNvPicPr>
                  </pic:nvPicPr>
                  <pic:blipFill>
                    <a:blip r:embed="rId33"/>
                    <a:srcRect l="4414"/>
                    <a:stretch>
                      <a:fillRect/>
                    </a:stretch>
                  </pic:blipFill>
                  <pic:spPr>
                    <a:xfrm>
                      <a:off x="0" y="0"/>
                      <a:ext cx="9578975" cy="6232525"/>
                    </a:xfrm>
                    <a:prstGeom prst="rect">
                      <a:avLst/>
                    </a:prstGeom>
                    <a:noFill/>
                    <a:ln>
                      <a:noFill/>
                    </a:ln>
                  </pic:spPr>
                </pic:pic>
              </a:graphicData>
            </a:graphic>
          </wp:inline>
        </w:drawing>
      </w:r>
    </w:p>
    <w:p w14:paraId="3F87A25D">
      <w:pPr>
        <w:jc w:val="center"/>
        <w:rPr>
          <w:rFonts w:hint="eastAsia"/>
        </w:rPr>
        <w:sectPr>
          <w:pgSz w:w="16838" w:h="11906" w:orient="landscape"/>
          <w:pgMar w:top="720" w:right="720" w:bottom="720" w:left="720" w:header="510" w:footer="510" w:gutter="0"/>
          <w:cols w:space="720" w:num="1"/>
          <w:docGrid w:linePitch="312" w:charSpace="0"/>
        </w:sectPr>
      </w:pPr>
      <w:r>
        <w:rPr>
          <w:sz w:val="24"/>
        </w:rPr>
        <mc:AlternateContent>
          <mc:Choice Requires="wps">
            <w:drawing>
              <wp:anchor distT="0" distB="0" distL="114300" distR="114300" simplePos="0" relativeHeight="251665408" behindDoc="0" locked="0" layoutInCell="1" allowOverlap="1">
                <wp:simplePos x="0" y="0"/>
                <wp:positionH relativeFrom="column">
                  <wp:posOffset>6061710</wp:posOffset>
                </wp:positionH>
                <wp:positionV relativeFrom="paragraph">
                  <wp:posOffset>2276475</wp:posOffset>
                </wp:positionV>
                <wp:extent cx="1025525" cy="1018540"/>
                <wp:effectExtent l="4445" t="4445" r="17780" b="5715"/>
                <wp:wrapNone/>
                <wp:docPr id="15" name="任意多边形 55"/>
                <wp:cNvGraphicFramePr/>
                <a:graphic xmlns:a="http://schemas.openxmlformats.org/drawingml/2006/main">
                  <a:graphicData uri="http://schemas.microsoft.com/office/word/2010/wordprocessingShape">
                    <wps:wsp>
                      <wps:cNvSpPr/>
                      <wps:spPr>
                        <a:xfrm>
                          <a:off x="0" y="0"/>
                          <a:ext cx="1025525" cy="1018540"/>
                        </a:xfrm>
                        <a:custGeom>
                          <a:avLst/>
                          <a:gdLst/>
                          <a:ahLst/>
                          <a:cxnLst/>
                          <a:pathLst>
                            <a:path w="1615" h="1604">
                              <a:moveTo>
                                <a:pt x="0" y="900"/>
                              </a:moveTo>
                              <a:lnTo>
                                <a:pt x="392" y="1604"/>
                              </a:lnTo>
                              <a:lnTo>
                                <a:pt x="1615" y="1097"/>
                              </a:lnTo>
                              <a:lnTo>
                                <a:pt x="1396" y="0"/>
                              </a:lnTo>
                              <a:lnTo>
                                <a:pt x="1234" y="219"/>
                              </a:lnTo>
                              <a:lnTo>
                                <a:pt x="0" y="900"/>
                              </a:lnTo>
                              <a:close/>
                            </a:path>
                          </a:pathLst>
                        </a:custGeom>
                        <a:solidFill>
                          <a:srgbClr val="FFFF00"/>
                        </a:solidFill>
                        <a:ln w="9525" cap="flat" cmpd="sng">
                          <a:solidFill>
                            <a:srgbClr val="000000"/>
                          </a:solidFill>
                          <a:prstDash val="solid"/>
                          <a:headEnd type="none" w="med" len="med"/>
                          <a:tailEnd type="none" w="med" len="med"/>
                        </a:ln>
                      </wps:spPr>
                      <wps:bodyPr vert="horz" wrap="square" anchor="t" anchorCtr="0" upright="1"/>
                    </wps:wsp>
                  </a:graphicData>
                </a:graphic>
              </wp:anchor>
            </w:drawing>
          </mc:Choice>
          <mc:Fallback>
            <w:pict>
              <v:shape id="任意多边形 55" o:spid="_x0000_s1026" o:spt="100" style="position:absolute;left:0pt;margin-left:477.3pt;margin-top:179.25pt;height:80.2pt;width:80.75pt;z-index:251665408;mso-width-relative:page;mso-height-relative:page;" fillcolor="#FFFF00" filled="t" stroked="t" coordsize="1615,1604" o:gfxdata="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268Yo9gAAAAM&#10;AQAADwAAAAAAAAABACAAAAAiAAAAZHJzL2Rvd25yZXYueG1sUEsBAhQAFAAAAAgAh07iQGfznruO&#10;AgAAnQUAAA4AAAAAAAAAAQAgAAAAJwEAAGRycy9lMm9Eb2MueG1sUEsFBgAAAAAGAAYAWQEAACcG&#10;AAAAAA==&#10;" path="m0,900l392,1604,1615,1097,1396,0,1234,219,0,900xe">
                <v:fill on="t" focussize="0,0"/>
                <v:stroke color="#000000" joinstyle="round"/>
                <v:imagedata o:title=""/>
                <o:lock v:ext="edit" aspectratio="f"/>
              </v:shape>
            </w:pict>
          </mc:Fallback>
        </mc:AlternateContent>
      </w:r>
    </w:p>
    <w:p w14:paraId="6576C421">
      <w:pPr>
        <w:pStyle w:val="6"/>
        <w:numPr>
          <w:ilvl w:val="2"/>
          <w:numId w:val="0"/>
        </w:numPr>
        <w:tabs>
          <w:tab w:val="left" w:pos="0"/>
          <w:tab w:val="clear" w:pos="420"/>
        </w:tabs>
        <w:spacing w:line="240" w:lineRule="auto"/>
        <w:rPr>
          <w:rFonts w:hint="eastAsia"/>
          <w:sz w:val="24"/>
          <w:szCs w:val="28"/>
        </w:rPr>
      </w:pPr>
      <w:bookmarkStart w:id="50" w:name="_Toc22978"/>
      <w:r>
        <w:rPr>
          <w:rFonts w:hint="eastAsia"/>
          <w:sz w:val="24"/>
          <w:szCs w:val="28"/>
        </w:rPr>
        <w:t>附图3：</w:t>
      </w:r>
      <w:bookmarkEnd w:id="50"/>
      <w:r>
        <w:rPr>
          <w:rFonts w:hint="eastAsia"/>
          <w:sz w:val="24"/>
          <w:szCs w:val="28"/>
        </w:rPr>
        <w:t>水系图</w:t>
      </w:r>
    </w:p>
    <w:p w14:paraId="57ED42AD">
      <w:pPr>
        <w:pStyle w:val="80"/>
        <w:ind w:firstLine="0" w:firstLineChars="0"/>
        <w:sectPr>
          <w:pgSz w:w="11906" w:h="16838"/>
          <w:pgMar w:top="720" w:right="720" w:bottom="720" w:left="720" w:header="851" w:footer="851" w:gutter="0"/>
          <w:cols w:space="720" w:num="1"/>
          <w:docGrid w:linePitch="312" w:charSpace="0"/>
        </w:sectPr>
      </w:pPr>
      <w:r>
        <mc:AlternateContent>
          <mc:Choice Requires="wpg">
            <w:drawing>
              <wp:anchor distT="0" distB="0" distL="114300" distR="114300" simplePos="0" relativeHeight="251663360" behindDoc="0" locked="0" layoutInCell="1" allowOverlap="1">
                <wp:simplePos x="0" y="0"/>
                <wp:positionH relativeFrom="column">
                  <wp:posOffset>2494280</wp:posOffset>
                </wp:positionH>
                <wp:positionV relativeFrom="paragraph">
                  <wp:posOffset>3395980</wp:posOffset>
                </wp:positionV>
                <wp:extent cx="2226310" cy="1029335"/>
                <wp:effectExtent l="8255" t="9525" r="13335" b="8890"/>
                <wp:wrapNone/>
                <wp:docPr id="9" name="组合 48"/>
                <wp:cNvGraphicFramePr/>
                <a:graphic xmlns:a="http://schemas.openxmlformats.org/drawingml/2006/main">
                  <a:graphicData uri="http://schemas.microsoft.com/office/word/2010/wordprocessingGroup">
                    <wpg:wgp>
                      <wpg:cNvGrpSpPr/>
                      <wpg:grpSpPr>
                        <a:xfrm>
                          <a:off x="0" y="0"/>
                          <a:ext cx="2226310" cy="1029335"/>
                          <a:chOff x="8338" y="694840"/>
                          <a:chExt cx="3506" cy="1621"/>
                        </a:xfrm>
                      </wpg:grpSpPr>
                      <wpg:grpSp>
                        <wpg:cNvPr id="7" name="组合 26"/>
                        <wpg:cNvGrpSpPr/>
                        <wpg:grpSpPr>
                          <a:xfrm>
                            <a:off x="8622" y="694979"/>
                            <a:ext cx="3223" cy="1483"/>
                            <a:chOff x="7305" y="838297"/>
                            <a:chExt cx="3223" cy="1483"/>
                          </a:xfrm>
                        </wpg:grpSpPr>
                        <wps:wsp>
                          <wps:cNvPr id="5" name="文本框 11"/>
                          <wps:cNvSpPr txBox="1"/>
                          <wps:spPr>
                            <a:xfrm>
                              <a:off x="9022" y="839280"/>
                              <a:ext cx="1506" cy="5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1CDDD18">
                                <w:r>
                                  <w:rPr>
                                    <w:rFonts w:hint="eastAsia"/>
                                  </w:rPr>
                                  <w:t>项目所在地</w:t>
                                </w:r>
                              </w:p>
                            </w:txbxContent>
                          </wps:txbx>
                          <wps:bodyPr vert="horz" wrap="square" anchor="t" anchorCtr="0" upright="1"/>
                        </wps:wsp>
                        <wps:wsp>
                          <wps:cNvPr id="6" name="直线 12"/>
                          <wps:cNvCnPr/>
                          <wps:spPr>
                            <a:xfrm flipH="1" flipV="1">
                              <a:off x="7305" y="838297"/>
                              <a:ext cx="1734" cy="1000"/>
                            </a:xfrm>
                            <a:prstGeom prst="line">
                              <a:avLst/>
                            </a:prstGeom>
                            <a:ln w="9525" cap="flat" cmpd="sng">
                              <a:solidFill>
                                <a:srgbClr val="000000"/>
                              </a:solidFill>
                              <a:prstDash val="solid"/>
                              <a:headEnd type="none" w="med" len="med"/>
                              <a:tailEnd type="arrow" w="med" len="med"/>
                            </a:ln>
                          </wps:spPr>
                          <wps:bodyPr upright="1"/>
                        </wps:wsp>
                      </wpg:grpSp>
                      <wps:wsp>
                        <wps:cNvPr id="8" name="自选图形 47"/>
                        <wps:cNvSpPr/>
                        <wps:spPr>
                          <a:xfrm>
                            <a:off x="8338" y="694840"/>
                            <a:ext cx="281" cy="243"/>
                          </a:xfrm>
                          <a:prstGeom prst="triangle">
                            <a:avLst>
                              <a:gd name="adj" fmla="val 50000"/>
                            </a:avLst>
                          </a:prstGeom>
                          <a:gradFill rotWithShape="0">
                            <a:gsLst>
                              <a:gs pos="0">
                                <a:srgbClr val="FF0000">
                                  <a:alpha val="34999"/>
                                </a:srgbClr>
                              </a:gs>
                              <a:gs pos="100000">
                                <a:srgbClr val="FF0000">
                                  <a:gamma/>
                                  <a:shade val="45882"/>
                                  <a:invGamma/>
                                  <a:alpha val="37000"/>
                                </a:srgbClr>
                              </a:gs>
                            </a:gsLst>
                            <a:lin ang="5400000" scaled="1"/>
                            <a:tileRect/>
                          </a:gradFill>
                          <a:ln w="9525" cap="flat" cmpd="sng">
                            <a:solidFill>
                              <a:srgbClr val="000000"/>
                            </a:solidFill>
                            <a:prstDash val="solid"/>
                            <a:miter/>
                            <a:headEnd type="none" w="med" len="med"/>
                            <a:tailEnd type="none" w="med" len="med"/>
                          </a:ln>
                        </wps:spPr>
                        <wps:txbx>
                          <w:txbxContent>
                            <w:p w14:paraId="10688103"/>
                          </w:txbxContent>
                        </wps:txbx>
                        <wps:bodyPr vert="horz" wrap="square" anchor="t" anchorCtr="0" upright="1"/>
                      </wps:wsp>
                    </wpg:wgp>
                  </a:graphicData>
                </a:graphic>
              </wp:anchor>
            </w:drawing>
          </mc:Choice>
          <mc:Fallback>
            <w:pict>
              <v:group id="组合 48" o:spid="_x0000_s1026" o:spt="203" style="position:absolute;left:0pt;margin-left:196.4pt;margin-top:267.4pt;height:81.05pt;width:175.3pt;z-index:251663360;mso-width-relative:page;mso-height-relative:page;" coordorigin="8338,694840" coordsize="3506,1621" o:gfxdata="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">
                <o:lock v:ext="edit" aspectratio="f"/>
                <v:group id="组合 26" o:spid="_x0000_s1026" o:spt="203" style="position:absolute;left:8622;top:694979;height:1483;width:3223;" coordorigin="7305,838297" coordsize="3223,1483" o:gfxdata="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Otscpe+AAAA2gAAAA8AAAAAAAAAAQAgAAAAIgAAAGRycy9kb3ducmV2Lnht&#10;bFBLAQIUABQAAAAIAIdO4kAzLwWeOwAAADkAAAAVAAAAAAAAAAEAIAAAAA0BAABkcnMvZ3JvdXBz&#10;aGFwZXhtbC54bWxQSwUGAAAAAAYABgBgAQAAygMAAAAA&#10;">
                  <o:lock v:ext="edit" aspectratio="f"/>
                  <v:shape id="文本框 11" o:spid="_x0000_s1026" o:spt="202" type="#_x0000_t202" style="position:absolute;left:9022;top:839280;height:500;width:1506;" fillcolor="#FFFFFF" filled="t" stroked="t" coordsize="21600,21600" o:gfxdata="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7HQ5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1CDDD18">
                          <w:r>
                            <w:rPr>
                              <w:rFonts w:hint="eastAsia"/>
                            </w:rPr>
                            <w:t>项目所在地</w:t>
                          </w:r>
                        </w:p>
                      </w:txbxContent>
                    </v:textbox>
                  </v:shape>
                  <v:line id="直线 12" o:spid="_x0000_s1026" o:spt="20" style="position:absolute;left:7305;top:838297;flip:x y;height:1000;width:1734;" filled="f" stroked="t" coordsize="21600,21600" o:gfxdata="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daPpq8AAAA&#10;2gAAAA8AAAAAAAAAAQAgAAAAIgAAAGRycy9kb3ducmV2LnhtbFBLAQIUABQAAAAIAIdO4kAzLwWe&#10;OwAAADkAAAAQAAAAAAAAAAEAIAAAAAsBAABkcnMvc2hhcGV4bWwueG1sUEsFBgAAAAAGAAYAWwEA&#10;ALUDAAAAAA==&#10;">
                    <v:fill on="f" focussize="0,0"/>
                    <v:stroke color="#000000" joinstyle="round" endarrow="open"/>
                    <v:imagedata o:title=""/>
                    <o:lock v:ext="edit" aspectratio="f"/>
                  </v:line>
                </v:group>
                <v:shape id="自选图形 47" o:spid="_x0000_s1026" o:spt="5" type="#_x0000_t5" style="position:absolute;left:8338;top:694840;height:243;width:281;" fillcolor="#FF0000" filled="t" stroked="t" coordsize="21600,21600" o:gfxdata="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0vO2vugAAANoA&#10;AAAPAAAAAAAAAAEAIAAAACIAAABkcnMvZG93bnJldi54bWxQSwECFAAUAAAACACHTuJAMy8FnjsA&#10;AAA5AAAAEAAAAAAAAAABACAAAAAJAQAAZHJzL3NoYXBleG1sLnhtbFBLBQYAAAAABgAGAFsBAACz&#10;AwAAAAA=&#10;" adj="10800">
                  <v:fill type="gradient" on="t" color2="#750000" opacity="22936f" o:opacity2="24248f" focus="100%" focussize="0,0"/>
                  <v:stroke color="#000000" joinstyle="miter"/>
                  <v:imagedata o:title=""/>
                  <o:lock v:ext="edit" aspectratio="f"/>
                  <v:textbox>
                    <w:txbxContent>
                      <w:p w14:paraId="10688103"/>
                    </w:txbxContent>
                  </v:textbox>
                </v:shape>
              </v:group>
            </w:pict>
          </mc:Fallback>
        </mc:AlternateContent>
      </w:r>
      <w:r>
        <w:drawing>
          <wp:inline distT="0" distB="0" distL="114300" distR="114300">
            <wp:extent cx="6636385" cy="8650605"/>
            <wp:effectExtent l="0" t="0" r="12065" b="17145"/>
            <wp:docPr id="31" name="图片 51" descr="福州市内河水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51" descr="福州市内河水系"/>
                    <pic:cNvPicPr>
                      <a:picLocks noChangeAspect="1"/>
                    </pic:cNvPicPr>
                  </pic:nvPicPr>
                  <pic:blipFill>
                    <a:blip r:embed="rId34"/>
                    <a:stretch>
                      <a:fillRect/>
                    </a:stretch>
                  </pic:blipFill>
                  <pic:spPr>
                    <a:xfrm>
                      <a:off x="0" y="0"/>
                      <a:ext cx="6636385" cy="8650605"/>
                    </a:xfrm>
                    <a:prstGeom prst="rect">
                      <a:avLst/>
                    </a:prstGeom>
                    <a:noFill/>
                    <a:ln>
                      <a:noFill/>
                    </a:ln>
                  </pic:spPr>
                </pic:pic>
              </a:graphicData>
            </a:graphic>
          </wp:inline>
        </w:drawing>
      </w:r>
    </w:p>
    <w:p w14:paraId="1E0D6CDA">
      <w:pPr>
        <w:pStyle w:val="6"/>
        <w:numPr>
          <w:ilvl w:val="2"/>
          <w:numId w:val="0"/>
        </w:numPr>
        <w:tabs>
          <w:tab w:val="left" w:pos="0"/>
          <w:tab w:val="clear" w:pos="420"/>
        </w:tabs>
        <w:spacing w:line="240" w:lineRule="auto"/>
        <w:rPr>
          <w:rFonts w:hint="eastAsia"/>
          <w:sz w:val="24"/>
          <w:szCs w:val="28"/>
        </w:rPr>
      </w:pPr>
      <w:bookmarkStart w:id="51" w:name="_Toc25695"/>
      <w:r>
        <w:rPr>
          <w:rFonts w:hint="eastAsia"/>
          <w:sz w:val="24"/>
          <w:szCs w:val="28"/>
        </w:rPr>
        <w:t>附图</w:t>
      </w:r>
      <w:bookmarkEnd w:id="51"/>
      <w:r>
        <w:rPr>
          <w:rFonts w:hint="eastAsia"/>
          <w:sz w:val="24"/>
          <w:szCs w:val="28"/>
        </w:rPr>
        <w:t>4：项目各楼层平面布置图</w:t>
      </w:r>
    </w:p>
    <w:p w14:paraId="4A49955A">
      <w:pPr>
        <w:jc w:val="center"/>
        <w:rPr>
          <w:rFonts w:hint="eastAsia" w:eastAsia="宋体"/>
          <w:lang w:eastAsia="zh-CN"/>
        </w:rPr>
      </w:pPr>
      <w:r>
        <w:rPr>
          <w:rFonts w:hint="eastAsia" w:eastAsia="宋体"/>
          <w:lang w:eastAsia="zh-CN"/>
        </w:rPr>
        <w:drawing>
          <wp:inline distT="0" distB="0" distL="114300" distR="114300">
            <wp:extent cx="6271260" cy="8872220"/>
            <wp:effectExtent l="0" t="0" r="15240" b="5080"/>
            <wp:docPr id="32" name="图片 75" descr="一层平面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75" descr="一层平面图"/>
                    <pic:cNvPicPr>
                      <a:picLocks noChangeAspect="1"/>
                    </pic:cNvPicPr>
                  </pic:nvPicPr>
                  <pic:blipFill>
                    <a:blip r:embed="rId35"/>
                    <a:stretch>
                      <a:fillRect/>
                    </a:stretch>
                  </pic:blipFill>
                  <pic:spPr>
                    <a:xfrm>
                      <a:off x="0" y="0"/>
                      <a:ext cx="6271260" cy="8872220"/>
                    </a:xfrm>
                    <a:prstGeom prst="rect">
                      <a:avLst/>
                    </a:prstGeom>
                    <a:noFill/>
                    <a:ln>
                      <a:noFill/>
                    </a:ln>
                  </pic:spPr>
                </pic:pic>
              </a:graphicData>
            </a:graphic>
          </wp:inline>
        </w:drawing>
      </w:r>
    </w:p>
    <w:p w14:paraId="76F10B47">
      <w:pPr>
        <w:pStyle w:val="42"/>
        <w:jc w:val="center"/>
        <w:rPr>
          <w:rFonts w:hint="default"/>
          <w:b/>
          <w:bCs/>
          <w:lang w:val="en-US" w:eastAsia="zh-CN"/>
        </w:rPr>
      </w:pPr>
      <w:r>
        <w:rPr>
          <w:rFonts w:hint="eastAsia"/>
          <w:b/>
          <w:bCs/>
          <w:lang w:val="en-US" w:eastAsia="zh-CN"/>
        </w:rPr>
        <w:t>一层平面布置图</w:t>
      </w:r>
    </w:p>
    <w:p w14:paraId="7C8816DD">
      <w:pPr>
        <w:pStyle w:val="9"/>
        <w:ind w:firstLine="0"/>
        <w:rPr>
          <w:rFonts w:hint="eastAsia" w:eastAsia="宋体"/>
          <w:lang w:eastAsia="zh-CN"/>
        </w:rPr>
      </w:pPr>
      <w:r>
        <w:rPr>
          <w:sz w:val="24"/>
        </w:rPr>
        <mc:AlternateContent>
          <mc:Choice Requires="wps">
            <w:drawing>
              <wp:anchor distT="0" distB="0" distL="114300" distR="114300" simplePos="0" relativeHeight="251670528" behindDoc="0" locked="0" layoutInCell="1" allowOverlap="1">
                <wp:simplePos x="0" y="0"/>
                <wp:positionH relativeFrom="column">
                  <wp:posOffset>3869055</wp:posOffset>
                </wp:positionH>
                <wp:positionV relativeFrom="paragraph">
                  <wp:posOffset>1116330</wp:posOffset>
                </wp:positionV>
                <wp:extent cx="1092200" cy="285750"/>
                <wp:effectExtent l="4445" t="4445" r="8255" b="14605"/>
                <wp:wrapNone/>
                <wp:docPr id="20" name="文本框 61"/>
                <wp:cNvGraphicFramePr/>
                <a:graphic xmlns:a="http://schemas.openxmlformats.org/drawingml/2006/main">
                  <a:graphicData uri="http://schemas.microsoft.com/office/word/2010/wordprocessingShape">
                    <wps:wsp>
                      <wps:cNvSpPr txBox="1"/>
                      <wps:spPr>
                        <a:xfrm>
                          <a:off x="0" y="0"/>
                          <a:ext cx="1092200" cy="2857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8A3C3D4">
                            <w:pPr>
                              <w:rPr>
                                <w:rFonts w:hint="default" w:eastAsia="宋体"/>
                                <w:lang w:val="en-US" w:eastAsia="zh-CN"/>
                              </w:rPr>
                            </w:pPr>
                            <w:r>
                              <w:rPr>
                                <w:rFonts w:hint="eastAsia"/>
                                <w:lang w:val="en-US" w:eastAsia="zh-CN"/>
                              </w:rPr>
                              <w:t>污水管网</w:t>
                            </w:r>
                          </w:p>
                        </w:txbxContent>
                      </wps:txbx>
                      <wps:bodyPr vert="horz" wrap="square" anchor="t" anchorCtr="0" upright="1"/>
                    </wps:wsp>
                  </a:graphicData>
                </a:graphic>
              </wp:anchor>
            </w:drawing>
          </mc:Choice>
          <mc:Fallback>
            <w:pict>
              <v:shape id="文本框 61" o:spid="_x0000_s1026" o:spt="202" type="#_x0000_t202" style="position:absolute;left:0pt;margin-left:304.65pt;margin-top:87.9pt;height:22.5pt;width:86pt;z-index:251670528;mso-width-relative:page;mso-height-relative:page;" fillcolor="#FFFFFF" filled="t" stroked="t" coordsize="21600,21600" o:gfxdata="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zOCel2QAAAAsBAAAPAAAAAAAAAAEAIAAAACIAAABkcnMvZG93bnJldi54bWxQSwEC&#10;FAAUAAAACACHTuJA7vQfUiwCAABrBAAADgAAAAAAAAABACAAAAAoAQAAZHJzL2Uyb0RvYy54bWxQ&#10;SwUGAAAAAAYABgBZAQAAxgUAAAAA&#10;">
                <v:fill on="t" focussize="0,0"/>
                <v:stroke color="#000000" joinstyle="miter"/>
                <v:imagedata o:title=""/>
                <o:lock v:ext="edit" aspectratio="f"/>
                <v:textbox>
                  <w:txbxContent>
                    <w:p w14:paraId="68A3C3D4">
                      <w:pPr>
                        <w:rPr>
                          <w:rFonts w:hint="default" w:eastAsia="宋体"/>
                          <w:lang w:val="en-US" w:eastAsia="zh-CN"/>
                        </w:rPr>
                      </w:pPr>
                      <w:r>
                        <w:rPr>
                          <w:rFonts w:hint="eastAsia"/>
                          <w:lang w:val="en-US" w:eastAsia="zh-CN"/>
                        </w:rPr>
                        <w:t>污水管网</w:t>
                      </w:r>
                    </w:p>
                  </w:txbxContent>
                </v:textbox>
              </v:shape>
            </w:pict>
          </mc:Fallback>
        </mc:AlternateContent>
      </w:r>
      <w:r>
        <w:rPr>
          <w:sz w:val="24"/>
        </w:rPr>
        <mc:AlternateContent>
          <mc:Choice Requires="wps">
            <w:drawing>
              <wp:anchor distT="0" distB="0" distL="114300" distR="114300" simplePos="0" relativeHeight="251669504" behindDoc="0" locked="0" layoutInCell="1" allowOverlap="1">
                <wp:simplePos x="0" y="0"/>
                <wp:positionH relativeFrom="column">
                  <wp:posOffset>3926205</wp:posOffset>
                </wp:positionH>
                <wp:positionV relativeFrom="paragraph">
                  <wp:posOffset>1383030</wp:posOffset>
                </wp:positionV>
                <wp:extent cx="1174750" cy="203200"/>
                <wp:effectExtent l="0" t="5080" r="6350" b="20320"/>
                <wp:wrapNone/>
                <wp:docPr id="19" name="任意多边形 60"/>
                <wp:cNvGraphicFramePr/>
                <a:graphic xmlns:a="http://schemas.openxmlformats.org/drawingml/2006/main">
                  <a:graphicData uri="http://schemas.microsoft.com/office/word/2010/wordprocessingShape">
                    <wps:wsp>
                      <wps:cNvSpPr/>
                      <wps:spPr>
                        <a:xfrm>
                          <a:off x="0" y="0"/>
                          <a:ext cx="1174750" cy="203200"/>
                        </a:xfrm>
                        <a:custGeom>
                          <a:avLst/>
                          <a:gdLst/>
                          <a:ahLst/>
                          <a:cxnLst/>
                          <a:pathLst>
                            <a:path w="1850" h="320">
                              <a:moveTo>
                                <a:pt x="1850" y="320"/>
                              </a:moveTo>
                              <a:lnTo>
                                <a:pt x="1360" y="0"/>
                              </a:lnTo>
                              <a:lnTo>
                                <a:pt x="0" y="0"/>
                              </a:lnTo>
                            </a:path>
                          </a:pathLst>
                        </a:custGeom>
                        <a:noFill/>
                        <a:ln w="9525" cap="flat" cmpd="sng">
                          <a:solidFill>
                            <a:srgbClr val="000000"/>
                          </a:solidFill>
                          <a:prstDash val="solid"/>
                          <a:headEnd type="none" w="med" len="med"/>
                          <a:tailEnd type="none" w="med" len="med"/>
                        </a:ln>
                      </wps:spPr>
                      <wps:bodyPr vert="horz" wrap="square" anchor="t" anchorCtr="0" upright="1"/>
                    </wps:wsp>
                  </a:graphicData>
                </a:graphic>
              </wp:anchor>
            </w:drawing>
          </mc:Choice>
          <mc:Fallback>
            <w:pict>
              <v:shape id="任意多边形 60" o:spid="_x0000_s1026" o:spt="100" style="position:absolute;left:0pt;margin-left:309.15pt;margin-top:108.9pt;height:16pt;width:92.5pt;z-index:251669504;mso-width-relative:page;mso-height-relative:page;" filled="f" stroked="t" coordsize="1850,320" o:gfxdata="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9Sc4l2AAAAAsBAAAPAAAAAAAAAAEAIAAAACIAAABkcnMvZG93bnJldi54bWxQSwECFAAUAAAA&#10;CACHTuJAKj55WWACAADtBAAADgAAAAAAAAABACAAAAAnAQAAZHJzL2Uyb0RvYy54bWxQSwUGAAAA&#10;AAYABgBZAQAA+QUAAAAA&#10;" path="m1850,320l1360,0,0,0e">
                <v:fill on="f" focussize="0,0"/>
                <v:stroke color="#000000" joinstyle="round"/>
                <v:imagedata o:title=""/>
                <o:lock v:ext="edit" aspectratio="f"/>
              </v:shape>
            </w:pict>
          </mc:Fallback>
        </mc:AlternateContent>
      </w:r>
      <w:r>
        <w:rPr>
          <w:rFonts w:hint="eastAsia" w:eastAsia="宋体"/>
          <w:lang w:eastAsia="zh-CN"/>
        </w:rPr>
        <w:drawing>
          <wp:inline distT="0" distB="0" distL="114300" distR="114300">
            <wp:extent cx="6419215" cy="9081135"/>
            <wp:effectExtent l="0" t="0" r="635" b="5715"/>
            <wp:docPr id="33" name="图片 78" descr="二层平面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78" descr="二层平面图"/>
                    <pic:cNvPicPr>
                      <a:picLocks noChangeAspect="1"/>
                    </pic:cNvPicPr>
                  </pic:nvPicPr>
                  <pic:blipFill>
                    <a:blip r:embed="rId36"/>
                    <a:stretch>
                      <a:fillRect/>
                    </a:stretch>
                  </pic:blipFill>
                  <pic:spPr>
                    <a:xfrm>
                      <a:off x="0" y="0"/>
                      <a:ext cx="6419215" cy="9081135"/>
                    </a:xfrm>
                    <a:prstGeom prst="rect">
                      <a:avLst/>
                    </a:prstGeom>
                    <a:noFill/>
                    <a:ln>
                      <a:noFill/>
                    </a:ln>
                  </pic:spPr>
                </pic:pic>
              </a:graphicData>
            </a:graphic>
          </wp:inline>
        </w:drawing>
      </w:r>
    </w:p>
    <w:p w14:paraId="75F1C54E">
      <w:pPr>
        <w:pStyle w:val="42"/>
        <w:jc w:val="center"/>
        <w:rPr>
          <w:rFonts w:hint="default"/>
          <w:b/>
          <w:bCs/>
          <w:lang w:val="en-US" w:eastAsia="zh-CN"/>
        </w:rPr>
      </w:pPr>
      <w:r>
        <w:rPr>
          <w:rFonts w:hint="eastAsia"/>
          <w:b/>
          <w:bCs/>
          <w:lang w:val="en-US" w:eastAsia="zh-CN"/>
        </w:rPr>
        <w:t>二层平面布置图</w:t>
      </w:r>
    </w:p>
    <w:p w14:paraId="6CBB8D7C">
      <w:pPr>
        <w:rPr>
          <w:rFonts w:hint="eastAsia"/>
          <w:lang w:eastAsia="zh-CN"/>
        </w:rPr>
      </w:pPr>
    </w:p>
    <w:p w14:paraId="565C19F9">
      <w:pPr>
        <w:rPr>
          <w:rFonts w:hint="eastAsia"/>
        </w:rPr>
        <w:sectPr>
          <w:pgSz w:w="11906" w:h="16838"/>
          <w:pgMar w:top="720" w:right="720" w:bottom="720" w:left="720" w:header="510" w:footer="567" w:gutter="0"/>
          <w:cols w:space="720" w:num="1"/>
          <w:docGrid w:linePitch="312" w:charSpace="0"/>
        </w:sectPr>
      </w:pPr>
    </w:p>
    <w:p w14:paraId="7E595FB0">
      <w:pPr>
        <w:pStyle w:val="6"/>
        <w:numPr>
          <w:ilvl w:val="2"/>
          <w:numId w:val="0"/>
        </w:numPr>
        <w:tabs>
          <w:tab w:val="left" w:pos="0"/>
          <w:tab w:val="clear" w:pos="420"/>
        </w:tabs>
        <w:spacing w:line="240" w:lineRule="auto"/>
        <w:rPr>
          <w:rFonts w:hint="eastAsia"/>
          <w:sz w:val="24"/>
          <w:szCs w:val="28"/>
        </w:rPr>
      </w:pPr>
      <w:r>
        <w:rPr>
          <w:rFonts w:hint="eastAsia"/>
          <w:sz w:val="24"/>
          <w:szCs w:val="28"/>
        </w:rPr>
        <w:t>附图5：福州市总体规划图</w:t>
      </w:r>
    </w:p>
    <w:p w14:paraId="6136F801">
      <w:pPr>
        <w:jc w:val="center"/>
        <w:sectPr>
          <w:pgSz w:w="16838" w:h="11906" w:orient="landscape"/>
          <w:pgMar w:top="720" w:right="720" w:bottom="720" w:left="720" w:header="510" w:footer="567" w:gutter="0"/>
          <w:cols w:space="720" w:num="1"/>
          <w:docGrid w:linePitch="312" w:charSpace="0"/>
        </w:sectPr>
      </w:pPr>
      <w:r>
        <mc:AlternateContent>
          <mc:Choice Requires="wpg">
            <w:drawing>
              <wp:anchor distT="0" distB="0" distL="114300" distR="114300" simplePos="0" relativeHeight="251664384" behindDoc="0" locked="0" layoutInCell="1" allowOverlap="1">
                <wp:simplePos x="0" y="0"/>
                <wp:positionH relativeFrom="column">
                  <wp:posOffset>3190875</wp:posOffset>
                </wp:positionH>
                <wp:positionV relativeFrom="paragraph">
                  <wp:posOffset>2483485</wp:posOffset>
                </wp:positionV>
                <wp:extent cx="2226310" cy="1029335"/>
                <wp:effectExtent l="8255" t="9525" r="13335" b="8890"/>
                <wp:wrapNone/>
                <wp:docPr id="14" name="组合 49"/>
                <wp:cNvGraphicFramePr/>
                <a:graphic xmlns:a="http://schemas.openxmlformats.org/drawingml/2006/main">
                  <a:graphicData uri="http://schemas.microsoft.com/office/word/2010/wordprocessingGroup">
                    <wpg:wgp>
                      <wpg:cNvGrpSpPr/>
                      <wpg:grpSpPr>
                        <a:xfrm>
                          <a:off x="0" y="0"/>
                          <a:ext cx="2226310" cy="1029335"/>
                          <a:chOff x="8338" y="694840"/>
                          <a:chExt cx="3506" cy="1621"/>
                        </a:xfrm>
                      </wpg:grpSpPr>
                      <wpg:grpSp>
                        <wpg:cNvPr id="12" name="组合 50"/>
                        <wpg:cNvGrpSpPr/>
                        <wpg:grpSpPr>
                          <a:xfrm>
                            <a:off x="8622" y="694979"/>
                            <a:ext cx="3223" cy="1483"/>
                            <a:chOff x="7305" y="838297"/>
                            <a:chExt cx="3223" cy="1483"/>
                          </a:xfrm>
                        </wpg:grpSpPr>
                        <wps:wsp>
                          <wps:cNvPr id="10" name="文本框 51"/>
                          <wps:cNvSpPr txBox="1"/>
                          <wps:spPr>
                            <a:xfrm>
                              <a:off x="9022" y="839280"/>
                              <a:ext cx="1506" cy="5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EDE251A">
                                <w:r>
                                  <w:rPr>
                                    <w:rFonts w:hint="eastAsia"/>
                                  </w:rPr>
                                  <w:t>项目所在地</w:t>
                                </w:r>
                              </w:p>
                            </w:txbxContent>
                          </wps:txbx>
                          <wps:bodyPr wrap="square" upright="1"/>
                        </wps:wsp>
                        <wps:wsp>
                          <wps:cNvPr id="11" name="直线 52"/>
                          <wps:cNvCnPr/>
                          <wps:spPr>
                            <a:xfrm flipH="1" flipV="1">
                              <a:off x="7305" y="838297"/>
                              <a:ext cx="1734" cy="1000"/>
                            </a:xfrm>
                            <a:prstGeom prst="line">
                              <a:avLst/>
                            </a:prstGeom>
                            <a:ln w="9525" cap="flat" cmpd="sng">
                              <a:solidFill>
                                <a:srgbClr val="000000"/>
                              </a:solidFill>
                              <a:prstDash val="solid"/>
                              <a:headEnd type="none" w="med" len="med"/>
                              <a:tailEnd type="arrow" w="med" len="med"/>
                            </a:ln>
                          </wps:spPr>
                          <wps:bodyPr upright="1"/>
                        </wps:wsp>
                      </wpg:grpSp>
                      <wps:wsp>
                        <wps:cNvPr id="13" name="自选图形 53"/>
                        <wps:cNvSpPr/>
                        <wps:spPr>
                          <a:xfrm>
                            <a:off x="8338" y="694840"/>
                            <a:ext cx="281" cy="243"/>
                          </a:xfrm>
                          <a:prstGeom prst="triangle">
                            <a:avLst>
                              <a:gd name="adj" fmla="val 50000"/>
                            </a:avLst>
                          </a:prstGeom>
                          <a:solidFill>
                            <a:srgbClr val="FF0000"/>
                          </a:solidFill>
                          <a:ln w="9525" cap="flat" cmpd="sng">
                            <a:solidFill>
                              <a:srgbClr val="000000"/>
                            </a:solidFill>
                            <a:prstDash val="solid"/>
                            <a:miter/>
                            <a:headEnd type="none" w="med" len="med"/>
                            <a:tailEnd type="none" w="med" len="med"/>
                          </a:ln>
                        </wps:spPr>
                        <wps:txbx>
                          <w:txbxContent>
                            <w:p w14:paraId="2EB1C9B6"/>
                          </w:txbxContent>
                        </wps:txbx>
                        <wps:bodyPr wrap="square" upright="1"/>
                      </wps:wsp>
                    </wpg:wgp>
                  </a:graphicData>
                </a:graphic>
              </wp:anchor>
            </w:drawing>
          </mc:Choice>
          <mc:Fallback>
            <w:pict>
              <v:group id="组合 49" o:spid="_x0000_s1026" o:spt="203" style="position:absolute;left:0pt;margin-left:251.25pt;margin-top:195.55pt;height:81.05pt;width:175.3pt;z-index:251664384;mso-width-relative:page;mso-height-relative:page;" coordorigin="8338,694840" coordsize="3506,1621" o:gfxdata="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">
                <o:lock v:ext="edit" aspectratio="f"/>
                <v:group id="组合 50" o:spid="_x0000_s1026" o:spt="203" style="position:absolute;left:8622;top:694979;height:1483;width:3223;" coordorigin="7305,838297" coordsize="3223,1483" o:gfxdata="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tkKr5vAAAANsAAAAPAAAAAAAAAAEAIAAAACIAAABkcnMvZG93bnJldi54bWxQ&#10;SwECFAAUAAAACACHTuJAMy8FnjsAAAA5AAAAFQAAAAAAAAABACAAAAALAQAAZHJzL2dyb3Vwc2hh&#10;cGV4bWwueG1sUEsFBgAAAAAGAAYAYAEAAMgDAAAAAA==&#10;">
                  <o:lock v:ext="edit" aspectratio="f"/>
                  <v:shape id="文本框 51" o:spid="_x0000_s1026" o:spt="202" type="#_x0000_t202" style="position:absolute;left:9022;top:839280;height:500;width:1506;" fillcolor="#FFFFFF" filled="t" stroked="t" coordsize="21600,21600" o:gfxdata="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UTf2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EDE251A">
                          <w:r>
                            <w:rPr>
                              <w:rFonts w:hint="eastAsia"/>
                            </w:rPr>
                            <w:t>项目所在地</w:t>
                          </w:r>
                        </w:p>
                      </w:txbxContent>
                    </v:textbox>
                  </v:shape>
                  <v:line id="直线 52" o:spid="_x0000_s1026" o:spt="20" style="position:absolute;left:7305;top:838297;flip:x y;height:1000;width:1734;" filled="f" stroked="t" coordsize="21600,21600" o:gfxdata="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Nu3dhugAAANsA&#10;AAAPAAAAAAAAAAEAIAAAACIAAABkcnMvZG93bnJldi54bWxQSwECFAAUAAAACACHTuJAMy8FnjsA&#10;AAA5AAAAEAAAAAAAAAABACAAAAAJAQAAZHJzL3NoYXBleG1sLnhtbFBLBQYAAAAABgAGAFsBAACz&#10;AwAAAAA=&#10;">
                    <v:fill on="f" focussize="0,0"/>
                    <v:stroke color="#000000" joinstyle="round" endarrow="open"/>
                    <v:imagedata o:title=""/>
                    <o:lock v:ext="edit" aspectratio="f"/>
                  </v:line>
                </v:group>
                <v:shape id="自选图形 53" o:spid="_x0000_s1026" o:spt="5" type="#_x0000_t5" style="position:absolute;left:8338;top:694840;height:243;width:281;" fillcolor="#FF0000" filled="t" stroked="t" coordsize="21600,21600" o:gfxdata="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cVrLsAAADb&#10;AAAADwAAAAAAAAABACAAAAAiAAAAZHJzL2Rvd25yZXYueG1sUEsBAhQAFAAAAAgAh07iQDMvBZ47&#10;AAAAOQAAABAAAAAAAAAAAQAgAAAACgEAAGRycy9zaGFwZXhtbC54bWxQSwUGAAAAAAYABgBbAQAA&#10;tAMAAAAA&#10;" adj="10800">
                  <v:fill on="t" focussize="0,0"/>
                  <v:stroke color="#000000" joinstyle="miter"/>
                  <v:imagedata o:title=""/>
                  <o:lock v:ext="edit" aspectratio="f"/>
                  <v:textbox>
                    <w:txbxContent>
                      <w:p w14:paraId="2EB1C9B6"/>
                    </w:txbxContent>
                  </v:textbox>
                </v:shape>
              </v:group>
            </w:pict>
          </mc:Fallback>
        </mc:AlternateContent>
      </w:r>
      <w:r>
        <w:drawing>
          <wp:inline distT="0" distB="0" distL="114300" distR="114300">
            <wp:extent cx="8997950" cy="6364605"/>
            <wp:effectExtent l="0" t="0" r="12700" b="17145"/>
            <wp:docPr id="34" name="图片 62" descr="中心地区用地现状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62" descr="中心地区用地现状图"/>
                    <pic:cNvPicPr>
                      <a:picLocks noChangeAspect="1"/>
                    </pic:cNvPicPr>
                  </pic:nvPicPr>
                  <pic:blipFill>
                    <a:blip r:embed="rId37"/>
                    <a:stretch>
                      <a:fillRect/>
                    </a:stretch>
                  </pic:blipFill>
                  <pic:spPr>
                    <a:xfrm>
                      <a:off x="0" y="0"/>
                      <a:ext cx="8997950" cy="6364605"/>
                    </a:xfrm>
                    <a:prstGeom prst="rect">
                      <a:avLst/>
                    </a:prstGeom>
                    <a:noFill/>
                    <a:ln>
                      <a:noFill/>
                    </a:ln>
                  </pic:spPr>
                </pic:pic>
              </a:graphicData>
            </a:graphic>
          </wp:inline>
        </w:drawing>
      </w:r>
    </w:p>
    <w:p w14:paraId="4BC3C76F">
      <w:pPr>
        <w:pStyle w:val="6"/>
        <w:numPr>
          <w:ilvl w:val="2"/>
          <w:numId w:val="0"/>
        </w:numPr>
        <w:tabs>
          <w:tab w:val="left" w:pos="0"/>
          <w:tab w:val="clear" w:pos="420"/>
        </w:tabs>
        <w:spacing w:line="240" w:lineRule="auto"/>
        <w:rPr>
          <w:rFonts w:hint="eastAsia"/>
          <w:sz w:val="24"/>
          <w:szCs w:val="28"/>
        </w:rPr>
      </w:pPr>
      <w:bookmarkStart w:id="52" w:name="_Toc32239"/>
      <w:r>
        <w:rPr>
          <w:rFonts w:hint="eastAsia"/>
          <w:sz w:val="24"/>
          <w:szCs w:val="28"/>
        </w:rPr>
        <w:t>附件1：委托书</w:t>
      </w:r>
      <w:bookmarkEnd w:id="52"/>
    </w:p>
    <w:p w14:paraId="7673041C"/>
    <w:p w14:paraId="49CE2890">
      <w:pPr>
        <w:pStyle w:val="6"/>
        <w:numPr>
          <w:ilvl w:val="2"/>
          <w:numId w:val="0"/>
        </w:numPr>
        <w:tabs>
          <w:tab w:val="left" w:pos="0"/>
          <w:tab w:val="clear" w:pos="420"/>
        </w:tabs>
        <w:spacing w:line="240" w:lineRule="auto"/>
        <w:rPr>
          <w:rFonts w:hint="eastAsia" w:eastAsia="宋体"/>
          <w:sz w:val="24"/>
          <w:szCs w:val="28"/>
          <w:lang w:eastAsia="zh-CN"/>
        </w:rPr>
      </w:pPr>
    </w:p>
    <w:p w14:paraId="0C602151">
      <w:pPr>
        <w:pStyle w:val="42"/>
        <w:ind w:left="0" w:leftChars="0" w:firstLine="0" w:firstLineChars="0"/>
        <w:sectPr>
          <w:pgSz w:w="11906" w:h="16838"/>
          <w:pgMar w:top="1417" w:right="1417" w:bottom="1417" w:left="1417" w:header="851" w:footer="851" w:gutter="0"/>
          <w:cols w:space="720" w:num="1"/>
          <w:docGrid w:linePitch="312" w:charSpace="0"/>
        </w:sectPr>
      </w:pPr>
    </w:p>
    <w:p w14:paraId="3CA3A322">
      <w:pPr>
        <w:pStyle w:val="6"/>
        <w:numPr>
          <w:ilvl w:val="2"/>
          <w:numId w:val="0"/>
        </w:numPr>
        <w:tabs>
          <w:tab w:val="left" w:pos="0"/>
          <w:tab w:val="clear" w:pos="420"/>
        </w:tabs>
        <w:spacing w:line="240" w:lineRule="auto"/>
        <w:rPr>
          <w:rFonts w:hint="eastAsia"/>
          <w:sz w:val="24"/>
          <w:szCs w:val="28"/>
        </w:rPr>
      </w:pPr>
      <w:bookmarkStart w:id="53" w:name="_Toc11836"/>
      <w:r>
        <w:rPr>
          <w:rFonts w:hint="eastAsia"/>
          <w:sz w:val="24"/>
          <w:szCs w:val="28"/>
        </w:rPr>
        <w:t>附件</w:t>
      </w:r>
      <w:r>
        <w:rPr>
          <w:rFonts w:hint="eastAsia"/>
          <w:sz w:val="24"/>
          <w:szCs w:val="28"/>
          <w:lang w:val="en-US" w:eastAsia="zh-CN"/>
        </w:rPr>
        <w:t>2</w:t>
      </w:r>
      <w:r>
        <w:rPr>
          <w:rFonts w:hint="eastAsia"/>
          <w:sz w:val="24"/>
          <w:szCs w:val="28"/>
        </w:rPr>
        <w:t>：营业执照</w:t>
      </w:r>
      <w:bookmarkEnd w:id="53"/>
    </w:p>
    <w:p w14:paraId="5A31B477">
      <w:pPr>
        <w:rPr>
          <w:rFonts w:hint="eastAsia"/>
          <w:lang w:eastAsia="zh-CN"/>
        </w:rPr>
      </w:pPr>
      <w:r>
        <w:rPr>
          <w:rFonts w:hint="eastAsia"/>
          <w:lang w:eastAsia="zh-CN"/>
        </w:rPr>
        <w:drawing>
          <wp:inline distT="0" distB="0" distL="114300" distR="114300">
            <wp:extent cx="5560695" cy="7943215"/>
            <wp:effectExtent l="0" t="0" r="635" b="1905"/>
            <wp:docPr id="35" name="图片 60" descr="营业执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60" descr="营业执照"/>
                    <pic:cNvPicPr>
                      <a:picLocks noChangeAspect="1"/>
                    </pic:cNvPicPr>
                  </pic:nvPicPr>
                  <pic:blipFill>
                    <a:blip r:embed="rId38"/>
                    <a:stretch>
                      <a:fillRect/>
                    </a:stretch>
                  </pic:blipFill>
                  <pic:spPr>
                    <a:xfrm rot="-5400000">
                      <a:off x="0" y="0"/>
                      <a:ext cx="5560695" cy="7943215"/>
                    </a:xfrm>
                    <a:prstGeom prst="rect">
                      <a:avLst/>
                    </a:prstGeom>
                    <a:noFill/>
                    <a:ln>
                      <a:noFill/>
                    </a:ln>
                  </pic:spPr>
                </pic:pic>
              </a:graphicData>
            </a:graphic>
          </wp:inline>
        </w:drawing>
      </w:r>
    </w:p>
    <w:p w14:paraId="6F8AA310">
      <w:pPr>
        <w:pStyle w:val="6"/>
        <w:numPr>
          <w:ilvl w:val="2"/>
          <w:numId w:val="0"/>
        </w:numPr>
        <w:tabs>
          <w:tab w:val="left" w:pos="0"/>
          <w:tab w:val="clear" w:pos="420"/>
        </w:tabs>
        <w:spacing w:line="240" w:lineRule="auto"/>
        <w:rPr>
          <w:rFonts w:hint="default" w:eastAsia="宋体"/>
          <w:sz w:val="24"/>
          <w:szCs w:val="28"/>
          <w:lang w:val="en-US" w:eastAsia="zh-CN"/>
        </w:rPr>
      </w:pPr>
      <w:r>
        <w:rPr>
          <w:rFonts w:hint="eastAsia"/>
          <w:sz w:val="24"/>
          <w:szCs w:val="28"/>
        </w:rPr>
        <w:t>附件</w:t>
      </w:r>
      <w:r>
        <w:rPr>
          <w:rFonts w:hint="eastAsia"/>
          <w:sz w:val="24"/>
          <w:szCs w:val="28"/>
          <w:lang w:val="en-US" w:eastAsia="zh-CN"/>
        </w:rPr>
        <w:t>3</w:t>
      </w:r>
      <w:r>
        <w:rPr>
          <w:rFonts w:hint="eastAsia"/>
          <w:sz w:val="24"/>
          <w:szCs w:val="28"/>
        </w:rPr>
        <w:t>：</w:t>
      </w:r>
      <w:r>
        <w:rPr>
          <w:rFonts w:hint="eastAsia"/>
          <w:sz w:val="24"/>
          <w:szCs w:val="28"/>
          <w:lang w:val="en-US" w:eastAsia="zh-CN"/>
        </w:rPr>
        <w:t>动物诊疗许可证</w:t>
      </w:r>
    </w:p>
    <w:p w14:paraId="10A1F5A8">
      <w:pPr>
        <w:rPr>
          <w:rFonts w:hint="eastAsia" w:eastAsia="宋体"/>
          <w:lang w:eastAsia="zh-CN"/>
        </w:rPr>
      </w:pPr>
      <w:r>
        <w:rPr>
          <w:rFonts w:hint="eastAsia" w:eastAsia="宋体"/>
          <w:lang w:eastAsia="zh-CN"/>
        </w:rPr>
        <w:drawing>
          <wp:inline distT="0" distB="0" distL="114300" distR="114300">
            <wp:extent cx="7787640" cy="5502275"/>
            <wp:effectExtent l="0" t="0" r="3810" b="3175"/>
            <wp:docPr id="36" name="图片 68" descr="扫描全能王 2024-06-04 23.39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68" descr="扫描全能王 2024-06-04 23.39_04"/>
                    <pic:cNvPicPr>
                      <a:picLocks noChangeAspect="1"/>
                    </pic:cNvPicPr>
                  </pic:nvPicPr>
                  <pic:blipFill>
                    <a:blip r:embed="rId39"/>
                    <a:stretch>
                      <a:fillRect/>
                    </a:stretch>
                  </pic:blipFill>
                  <pic:spPr>
                    <a:xfrm>
                      <a:off x="0" y="0"/>
                      <a:ext cx="7787640" cy="5502275"/>
                    </a:xfrm>
                    <a:prstGeom prst="rect">
                      <a:avLst/>
                    </a:prstGeom>
                    <a:noFill/>
                    <a:ln>
                      <a:noFill/>
                    </a:ln>
                  </pic:spPr>
                </pic:pic>
              </a:graphicData>
            </a:graphic>
          </wp:inline>
        </w:drawing>
      </w:r>
    </w:p>
    <w:p w14:paraId="55D48753">
      <w:pPr>
        <w:pStyle w:val="42"/>
        <w:rPr>
          <w:rFonts w:hint="eastAsia" w:eastAsia="宋体"/>
          <w:lang w:eastAsia="zh-CN"/>
        </w:rPr>
      </w:pPr>
      <w:r>
        <w:rPr>
          <w:rFonts w:hint="eastAsia" w:eastAsia="宋体"/>
          <w:lang w:eastAsia="zh-CN"/>
        </w:rPr>
        <w:drawing>
          <wp:inline distT="0" distB="0" distL="114300" distR="114300">
            <wp:extent cx="8885555" cy="6278245"/>
            <wp:effectExtent l="0" t="0" r="10795" b="8255"/>
            <wp:docPr id="37" name="图片 69" descr="扫描全能王 2024-06-04 23.39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69" descr="扫描全能王 2024-06-04 23.39_05"/>
                    <pic:cNvPicPr>
                      <a:picLocks noChangeAspect="1"/>
                    </pic:cNvPicPr>
                  </pic:nvPicPr>
                  <pic:blipFill>
                    <a:blip r:embed="rId40"/>
                    <a:stretch>
                      <a:fillRect/>
                    </a:stretch>
                  </pic:blipFill>
                  <pic:spPr>
                    <a:xfrm>
                      <a:off x="0" y="0"/>
                      <a:ext cx="8885555" cy="6278245"/>
                    </a:xfrm>
                    <a:prstGeom prst="rect">
                      <a:avLst/>
                    </a:prstGeom>
                    <a:noFill/>
                    <a:ln>
                      <a:noFill/>
                    </a:ln>
                  </pic:spPr>
                </pic:pic>
              </a:graphicData>
            </a:graphic>
          </wp:inline>
        </w:drawing>
      </w:r>
    </w:p>
    <w:p w14:paraId="0D7839AD">
      <w:pPr>
        <w:pStyle w:val="42"/>
        <w:rPr>
          <w:rFonts w:hint="eastAsia" w:eastAsia="宋体"/>
          <w:lang w:eastAsia="zh-CN"/>
        </w:rPr>
        <w:sectPr>
          <w:pgSz w:w="16838" w:h="11906" w:orient="landscape"/>
          <w:pgMar w:top="1417" w:right="1417" w:bottom="1417" w:left="1417" w:header="851" w:footer="851" w:gutter="0"/>
          <w:cols w:space="720" w:num="1"/>
          <w:docGrid w:linePitch="312" w:charSpace="0"/>
        </w:sectPr>
      </w:pPr>
    </w:p>
    <w:p w14:paraId="4C042EA2">
      <w:pPr>
        <w:pStyle w:val="6"/>
        <w:numPr>
          <w:ilvl w:val="2"/>
          <w:numId w:val="0"/>
        </w:numPr>
        <w:tabs>
          <w:tab w:val="left" w:pos="0"/>
          <w:tab w:val="clear" w:pos="420"/>
        </w:tabs>
        <w:spacing w:line="240" w:lineRule="auto"/>
        <w:ind w:firstLine="281" w:firstLineChars="100"/>
        <w:rPr>
          <w:rFonts w:hint="default" w:eastAsia="宋体"/>
          <w:lang w:val="en-US" w:eastAsia="zh-CN"/>
        </w:rPr>
      </w:pPr>
      <w:bookmarkStart w:id="54" w:name="_Toc20165"/>
      <w:r>
        <w:rPr>
          <w:rFonts w:hint="eastAsia"/>
        </w:rPr>
        <w:t>附件</w:t>
      </w:r>
      <w:r>
        <w:rPr>
          <w:rFonts w:hint="eastAsia"/>
          <w:lang w:val="en-US" w:eastAsia="zh-CN"/>
        </w:rPr>
        <w:t>4</w:t>
      </w:r>
      <w:r>
        <w:rPr>
          <w:rFonts w:hint="eastAsia"/>
        </w:rPr>
        <w:t>：</w:t>
      </w:r>
      <w:bookmarkEnd w:id="54"/>
      <w:r>
        <w:rPr>
          <w:rFonts w:hint="eastAsia"/>
        </w:rPr>
        <w:t>租赁合同</w:t>
      </w:r>
      <w:r>
        <w:rPr>
          <w:rFonts w:hint="eastAsia"/>
          <w:lang w:val="en-US" w:eastAsia="zh-CN"/>
        </w:rPr>
        <w:t>及房权证</w:t>
      </w:r>
    </w:p>
    <w:p w14:paraId="28766EFA">
      <w:pPr>
        <w:pStyle w:val="76"/>
        <w:ind w:firstLine="0" w:firstLineChars="0"/>
        <w:rPr>
          <w:rFonts w:hint="eastAsia" w:eastAsia="宋体"/>
          <w:lang w:eastAsia="zh-CN"/>
        </w:rPr>
      </w:pPr>
      <w:r>
        <w:rPr>
          <w:rFonts w:hint="eastAsia" w:eastAsia="宋体"/>
          <w:lang w:eastAsia="zh-CN"/>
        </w:rPr>
        <w:drawing>
          <wp:inline distT="0" distB="0" distL="114300" distR="114300">
            <wp:extent cx="5746750" cy="8127365"/>
            <wp:effectExtent l="0" t="0" r="6350" b="6985"/>
            <wp:docPr id="38" name="图片 66" descr="房屋租赁合同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66" descr="房屋租赁合同1"/>
                    <pic:cNvPicPr>
                      <a:picLocks noChangeAspect="1"/>
                    </pic:cNvPicPr>
                  </pic:nvPicPr>
                  <pic:blipFill>
                    <a:blip r:embed="rId41"/>
                    <a:stretch>
                      <a:fillRect/>
                    </a:stretch>
                  </pic:blipFill>
                  <pic:spPr>
                    <a:xfrm>
                      <a:off x="0" y="0"/>
                      <a:ext cx="5746750" cy="8127365"/>
                    </a:xfrm>
                    <a:prstGeom prst="rect">
                      <a:avLst/>
                    </a:prstGeom>
                    <a:noFill/>
                    <a:ln>
                      <a:noFill/>
                    </a:ln>
                  </pic:spPr>
                </pic:pic>
              </a:graphicData>
            </a:graphic>
          </wp:inline>
        </w:drawing>
      </w:r>
      <w:r>
        <w:rPr>
          <w:rFonts w:hint="eastAsia" w:eastAsia="宋体"/>
          <w:lang w:eastAsia="zh-CN"/>
        </w:rPr>
        <w:drawing>
          <wp:inline distT="0" distB="0" distL="114300" distR="114300">
            <wp:extent cx="5754370" cy="8061325"/>
            <wp:effectExtent l="0" t="0" r="17780" b="15875"/>
            <wp:docPr id="39" name="图片 67" descr="房屋租赁合同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67" descr="房屋租赁合同2"/>
                    <pic:cNvPicPr>
                      <a:picLocks noChangeAspect="1"/>
                    </pic:cNvPicPr>
                  </pic:nvPicPr>
                  <pic:blipFill>
                    <a:blip r:embed="rId42"/>
                    <a:stretch>
                      <a:fillRect/>
                    </a:stretch>
                  </pic:blipFill>
                  <pic:spPr>
                    <a:xfrm>
                      <a:off x="0" y="0"/>
                      <a:ext cx="5754370" cy="8061325"/>
                    </a:xfrm>
                    <a:prstGeom prst="rect">
                      <a:avLst/>
                    </a:prstGeom>
                    <a:noFill/>
                    <a:ln>
                      <a:noFill/>
                    </a:ln>
                  </pic:spPr>
                </pic:pic>
              </a:graphicData>
            </a:graphic>
          </wp:inline>
        </w:drawing>
      </w:r>
    </w:p>
    <w:p w14:paraId="178A5E8C">
      <w:pPr>
        <w:rPr>
          <w:rFonts w:hint="eastAsia" w:eastAsia="宋体"/>
          <w:lang w:eastAsia="zh-CN"/>
        </w:rPr>
        <w:sectPr>
          <w:pgSz w:w="11906" w:h="16838"/>
          <w:pgMar w:top="1417" w:right="1417" w:bottom="1417" w:left="1417" w:header="851" w:footer="851" w:gutter="0"/>
          <w:cols w:space="720" w:num="1"/>
          <w:docGrid w:linePitch="312" w:charSpace="0"/>
        </w:sectPr>
      </w:pPr>
      <w:r>
        <w:rPr>
          <w:rFonts w:hint="eastAsia" w:eastAsia="宋体"/>
          <w:lang w:eastAsia="zh-CN"/>
        </w:rPr>
        <w:drawing>
          <wp:inline distT="0" distB="0" distL="114300" distR="114300">
            <wp:extent cx="5756910" cy="8147685"/>
            <wp:effectExtent l="0" t="0" r="15240" b="5715"/>
            <wp:docPr id="40" name="图片 70" descr="扫描全能王 2024-06-04 23.39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70" descr="扫描全能王 2024-06-04 23.39_10"/>
                    <pic:cNvPicPr>
                      <a:picLocks noChangeAspect="1"/>
                    </pic:cNvPicPr>
                  </pic:nvPicPr>
                  <pic:blipFill>
                    <a:blip r:embed="rId43"/>
                    <a:stretch>
                      <a:fillRect/>
                    </a:stretch>
                  </pic:blipFill>
                  <pic:spPr>
                    <a:xfrm>
                      <a:off x="0" y="0"/>
                      <a:ext cx="5756910" cy="8147685"/>
                    </a:xfrm>
                    <a:prstGeom prst="rect">
                      <a:avLst/>
                    </a:prstGeom>
                    <a:noFill/>
                    <a:ln>
                      <a:noFill/>
                    </a:ln>
                  </pic:spPr>
                </pic:pic>
              </a:graphicData>
            </a:graphic>
          </wp:inline>
        </w:drawing>
      </w:r>
      <w:r>
        <w:rPr>
          <w:rFonts w:hint="eastAsia" w:eastAsia="宋体"/>
          <w:lang w:eastAsia="zh-CN"/>
        </w:rPr>
        <w:drawing>
          <wp:inline distT="0" distB="0" distL="114300" distR="114300">
            <wp:extent cx="5756910" cy="8147685"/>
            <wp:effectExtent l="0" t="0" r="15240" b="5715"/>
            <wp:docPr id="41" name="图片 71" descr="扫描全能王 2024-06-04 23.39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71" descr="扫描全能王 2024-06-04 23.39_11"/>
                    <pic:cNvPicPr>
                      <a:picLocks noChangeAspect="1"/>
                    </pic:cNvPicPr>
                  </pic:nvPicPr>
                  <pic:blipFill>
                    <a:blip r:embed="rId44"/>
                    <a:stretch>
                      <a:fillRect/>
                    </a:stretch>
                  </pic:blipFill>
                  <pic:spPr>
                    <a:xfrm>
                      <a:off x="0" y="0"/>
                      <a:ext cx="5756910" cy="8147685"/>
                    </a:xfrm>
                    <a:prstGeom prst="rect">
                      <a:avLst/>
                    </a:prstGeom>
                    <a:noFill/>
                    <a:ln>
                      <a:noFill/>
                    </a:ln>
                  </pic:spPr>
                </pic:pic>
              </a:graphicData>
            </a:graphic>
          </wp:inline>
        </w:drawing>
      </w:r>
      <w:r>
        <w:rPr>
          <w:rFonts w:hint="eastAsia" w:eastAsia="宋体"/>
          <w:lang w:eastAsia="zh-CN"/>
        </w:rPr>
        <w:drawing>
          <wp:inline distT="0" distB="0" distL="114300" distR="114300">
            <wp:extent cx="5756910" cy="8147685"/>
            <wp:effectExtent l="0" t="0" r="15240" b="5715"/>
            <wp:docPr id="42" name="图片 72" descr="扫描全能王 2024-06-04 23.39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72" descr="扫描全能王 2024-06-04 23.39_12"/>
                    <pic:cNvPicPr>
                      <a:picLocks noChangeAspect="1"/>
                    </pic:cNvPicPr>
                  </pic:nvPicPr>
                  <pic:blipFill>
                    <a:blip r:embed="rId45"/>
                    <a:stretch>
                      <a:fillRect/>
                    </a:stretch>
                  </pic:blipFill>
                  <pic:spPr>
                    <a:xfrm>
                      <a:off x="0" y="0"/>
                      <a:ext cx="5756910" cy="8147685"/>
                    </a:xfrm>
                    <a:prstGeom prst="rect">
                      <a:avLst/>
                    </a:prstGeom>
                    <a:noFill/>
                    <a:ln>
                      <a:noFill/>
                    </a:ln>
                  </pic:spPr>
                </pic:pic>
              </a:graphicData>
            </a:graphic>
          </wp:inline>
        </w:drawing>
      </w:r>
      <w:r>
        <w:rPr>
          <w:rFonts w:hint="eastAsia" w:eastAsia="宋体"/>
          <w:lang w:eastAsia="zh-CN"/>
        </w:rPr>
        <w:drawing>
          <wp:inline distT="0" distB="0" distL="114300" distR="114300">
            <wp:extent cx="5756910" cy="8147685"/>
            <wp:effectExtent l="0" t="0" r="15240" b="5715"/>
            <wp:docPr id="43" name="图片 73" descr="扫描全能王 2024-06-04 23.39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73" descr="扫描全能王 2024-06-04 23.39_13"/>
                    <pic:cNvPicPr>
                      <a:picLocks noChangeAspect="1"/>
                    </pic:cNvPicPr>
                  </pic:nvPicPr>
                  <pic:blipFill>
                    <a:blip r:embed="rId46"/>
                    <a:stretch>
                      <a:fillRect/>
                    </a:stretch>
                  </pic:blipFill>
                  <pic:spPr>
                    <a:xfrm>
                      <a:off x="0" y="0"/>
                      <a:ext cx="5756910" cy="8147685"/>
                    </a:xfrm>
                    <a:prstGeom prst="rect">
                      <a:avLst/>
                    </a:prstGeom>
                    <a:noFill/>
                    <a:ln>
                      <a:noFill/>
                    </a:ln>
                  </pic:spPr>
                </pic:pic>
              </a:graphicData>
            </a:graphic>
          </wp:inline>
        </w:drawing>
      </w:r>
    </w:p>
    <w:p w14:paraId="750D4346">
      <w:pPr>
        <w:pStyle w:val="6"/>
        <w:numPr>
          <w:ilvl w:val="2"/>
          <w:numId w:val="0"/>
        </w:numPr>
        <w:tabs>
          <w:tab w:val="left" w:pos="0"/>
          <w:tab w:val="clear" w:pos="420"/>
        </w:tabs>
        <w:spacing w:line="240" w:lineRule="auto"/>
        <w:rPr>
          <w:rFonts w:hint="default" w:eastAsia="宋体"/>
          <w:lang w:val="en-US" w:eastAsia="zh-CN"/>
        </w:rPr>
      </w:pPr>
      <w:r>
        <w:rPr>
          <w:rFonts w:hint="eastAsia"/>
          <w:sz w:val="24"/>
          <w:szCs w:val="28"/>
        </w:rPr>
        <w:t>附件</w:t>
      </w:r>
      <w:r>
        <w:rPr>
          <w:rFonts w:hint="eastAsia"/>
          <w:sz w:val="24"/>
          <w:szCs w:val="28"/>
          <w:lang w:val="en-US" w:eastAsia="zh-CN"/>
        </w:rPr>
        <w:t>5</w:t>
      </w:r>
      <w:r>
        <w:rPr>
          <w:rFonts w:hint="eastAsia"/>
          <w:sz w:val="24"/>
          <w:szCs w:val="28"/>
        </w:rPr>
        <w:t>：</w:t>
      </w:r>
      <w:r>
        <w:rPr>
          <w:rFonts w:hint="eastAsia"/>
          <w:sz w:val="24"/>
          <w:szCs w:val="28"/>
          <w:lang w:val="en-US" w:eastAsia="zh-CN"/>
        </w:rPr>
        <w:t>三线一单综合查询报告书</w:t>
      </w:r>
    </w:p>
    <w:p w14:paraId="302379AF">
      <w:pPr>
        <w:pStyle w:val="76"/>
        <w:keepNext w:val="0"/>
        <w:keepLines w:val="0"/>
        <w:pageBreakBefore w:val="0"/>
        <w:widowControl w:val="0"/>
        <w:kinsoku/>
        <w:wordWrap w:val="0"/>
        <w:overflowPunct/>
        <w:topLinePunct w:val="0"/>
        <w:autoSpaceDE w:val="0"/>
        <w:autoSpaceDN w:val="0"/>
        <w:bidi w:val="0"/>
        <w:adjustRightInd w:val="0"/>
        <w:snapToGrid w:val="0"/>
        <w:ind w:firstLine="0" w:firstLineChars="0"/>
        <w:textAlignment w:val="auto"/>
        <w:rPr>
          <w:rFonts w:hint="eastAsia" w:eastAsia="宋体"/>
          <w:lang w:eastAsia="zh-CN"/>
        </w:rPr>
      </w:pPr>
      <w:r>
        <w:rPr>
          <w:rFonts w:hint="eastAsia" w:eastAsia="宋体"/>
          <w:lang w:eastAsia="zh-CN"/>
        </w:rPr>
        <w:drawing>
          <wp:inline distT="0" distB="0" distL="114300" distR="114300">
            <wp:extent cx="5759450" cy="8147685"/>
            <wp:effectExtent l="0" t="0" r="12700" b="5715"/>
            <wp:docPr id="44" name="图片 64" descr="三线一单综合查询报告书SXYD1718010865014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64" descr="三线一单综合查询报告书SXYD1718010865014_01"/>
                    <pic:cNvPicPr>
                      <a:picLocks noChangeAspect="1"/>
                    </pic:cNvPicPr>
                  </pic:nvPicPr>
                  <pic:blipFill>
                    <a:blip r:embed="rId47"/>
                    <a:stretch>
                      <a:fillRect/>
                    </a:stretch>
                  </pic:blipFill>
                  <pic:spPr>
                    <a:xfrm>
                      <a:off x="0" y="0"/>
                      <a:ext cx="5759450" cy="8147685"/>
                    </a:xfrm>
                    <a:prstGeom prst="rect">
                      <a:avLst/>
                    </a:prstGeom>
                    <a:noFill/>
                    <a:ln>
                      <a:noFill/>
                    </a:ln>
                  </pic:spPr>
                </pic:pic>
              </a:graphicData>
            </a:graphic>
          </wp:inline>
        </w:drawing>
      </w:r>
    </w:p>
    <w:p w14:paraId="0BF275A5">
      <w:pPr>
        <w:pStyle w:val="76"/>
        <w:ind w:firstLine="480"/>
        <w:rPr>
          <w:rFonts w:hint="eastAsia" w:eastAsia="宋体"/>
          <w:lang w:eastAsia="zh-CN"/>
        </w:rPr>
      </w:pPr>
    </w:p>
    <w:p w14:paraId="47DEA323">
      <w:pPr>
        <w:pStyle w:val="6"/>
        <w:numPr>
          <w:ilvl w:val="2"/>
          <w:numId w:val="0"/>
        </w:numPr>
        <w:tabs>
          <w:tab w:val="left" w:pos="0"/>
          <w:tab w:val="clear" w:pos="420"/>
        </w:tabs>
        <w:spacing w:line="240" w:lineRule="auto"/>
      </w:pPr>
      <w:r>
        <w:rPr>
          <w:rFonts w:hint="eastAsia"/>
          <w:sz w:val="24"/>
          <w:szCs w:val="28"/>
        </w:rPr>
        <w:t>附件</w:t>
      </w:r>
      <w:r>
        <w:rPr>
          <w:rFonts w:hint="eastAsia"/>
          <w:sz w:val="24"/>
          <w:szCs w:val="28"/>
          <w:lang w:val="en-US" w:eastAsia="zh-CN"/>
        </w:rPr>
        <w:t>6</w:t>
      </w:r>
      <w:r>
        <w:rPr>
          <w:rFonts w:hint="eastAsia"/>
          <w:sz w:val="24"/>
          <w:szCs w:val="28"/>
        </w:rPr>
        <w:t>：监测报告</w:t>
      </w:r>
    </w:p>
    <w:p w14:paraId="72E1EFA8">
      <w:pPr>
        <w:pStyle w:val="76"/>
        <w:ind w:left="0" w:leftChars="0" w:firstLine="0" w:firstLineChars="0"/>
        <w:rPr>
          <w:rFonts w:hint="eastAsia" w:eastAsia="宋体"/>
          <w:lang w:eastAsia="zh-CN"/>
        </w:rPr>
      </w:pPr>
      <w:r>
        <w:rPr>
          <w:rFonts w:hint="eastAsia" w:eastAsia="宋体"/>
          <w:lang w:eastAsia="zh-CN"/>
        </w:rPr>
        <w:drawing>
          <wp:inline distT="0" distB="0" distL="114300" distR="114300">
            <wp:extent cx="5753735" cy="8141335"/>
            <wp:effectExtent l="0" t="0" r="18415" b="12065"/>
            <wp:docPr id="45" name="图片 93" descr="MYJC2406008(1)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93" descr="MYJC2406008(1)_00"/>
                    <pic:cNvPicPr>
                      <a:picLocks noChangeAspect="1"/>
                    </pic:cNvPicPr>
                  </pic:nvPicPr>
                  <pic:blipFill>
                    <a:blip r:embed="rId48"/>
                    <a:stretch>
                      <a:fillRect/>
                    </a:stretch>
                  </pic:blipFill>
                  <pic:spPr>
                    <a:xfrm>
                      <a:off x="0" y="0"/>
                      <a:ext cx="5753735" cy="8141335"/>
                    </a:xfrm>
                    <a:prstGeom prst="rect">
                      <a:avLst/>
                    </a:prstGeom>
                    <a:noFill/>
                    <a:ln>
                      <a:noFill/>
                    </a:ln>
                  </pic:spPr>
                </pic:pic>
              </a:graphicData>
            </a:graphic>
          </wp:inline>
        </w:drawing>
      </w:r>
      <w:r>
        <w:rPr>
          <w:rFonts w:hint="eastAsia" w:eastAsia="宋体"/>
          <w:lang w:eastAsia="zh-CN"/>
        </w:rPr>
        <w:drawing>
          <wp:inline distT="0" distB="0" distL="114300" distR="114300">
            <wp:extent cx="5753735" cy="8141335"/>
            <wp:effectExtent l="0" t="0" r="18415" b="12065"/>
            <wp:docPr id="46" name="图片 94" descr="MYJC2406008(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94" descr="MYJC2406008(1)_01"/>
                    <pic:cNvPicPr>
                      <a:picLocks noChangeAspect="1"/>
                    </pic:cNvPicPr>
                  </pic:nvPicPr>
                  <pic:blipFill>
                    <a:blip r:embed="rId49"/>
                    <a:stretch>
                      <a:fillRect/>
                    </a:stretch>
                  </pic:blipFill>
                  <pic:spPr>
                    <a:xfrm>
                      <a:off x="0" y="0"/>
                      <a:ext cx="5753735" cy="8141335"/>
                    </a:xfrm>
                    <a:prstGeom prst="rect">
                      <a:avLst/>
                    </a:prstGeom>
                    <a:noFill/>
                    <a:ln>
                      <a:noFill/>
                    </a:ln>
                  </pic:spPr>
                </pic:pic>
              </a:graphicData>
            </a:graphic>
          </wp:inline>
        </w:drawing>
      </w:r>
      <w:r>
        <w:rPr>
          <w:rFonts w:hint="eastAsia" w:eastAsia="宋体"/>
          <w:lang w:eastAsia="zh-CN"/>
        </w:rPr>
        <w:drawing>
          <wp:inline distT="0" distB="0" distL="114300" distR="114300">
            <wp:extent cx="5753735" cy="8141335"/>
            <wp:effectExtent l="0" t="0" r="18415" b="12065"/>
            <wp:docPr id="47" name="图片 95" descr="MYJC2406008(1)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95" descr="MYJC2406008(1)_02"/>
                    <pic:cNvPicPr>
                      <a:picLocks noChangeAspect="1"/>
                    </pic:cNvPicPr>
                  </pic:nvPicPr>
                  <pic:blipFill>
                    <a:blip r:embed="rId50"/>
                    <a:stretch>
                      <a:fillRect/>
                    </a:stretch>
                  </pic:blipFill>
                  <pic:spPr>
                    <a:xfrm>
                      <a:off x="0" y="0"/>
                      <a:ext cx="5753735" cy="8141335"/>
                    </a:xfrm>
                    <a:prstGeom prst="rect">
                      <a:avLst/>
                    </a:prstGeom>
                    <a:noFill/>
                    <a:ln>
                      <a:noFill/>
                    </a:ln>
                  </pic:spPr>
                </pic:pic>
              </a:graphicData>
            </a:graphic>
          </wp:inline>
        </w:drawing>
      </w:r>
    </w:p>
    <w:p w14:paraId="12817061">
      <w:pPr>
        <w:pStyle w:val="76"/>
        <w:ind w:left="0" w:leftChars="0" w:firstLine="0" w:firstLineChars="0"/>
        <w:rPr>
          <w:rFonts w:hint="eastAsia" w:eastAsia="宋体"/>
          <w:lang w:eastAsia="zh-CN"/>
        </w:rPr>
      </w:pPr>
    </w:p>
    <w:p w14:paraId="698D199D">
      <w:pPr>
        <w:pStyle w:val="76"/>
        <w:rPr>
          <w:rFonts w:hint="eastAsia" w:eastAsia="宋体"/>
          <w:lang w:eastAsia="zh-CN"/>
        </w:rPr>
      </w:pPr>
    </w:p>
    <w:p w14:paraId="1167BF46">
      <w:pPr>
        <w:pStyle w:val="6"/>
        <w:numPr>
          <w:ilvl w:val="2"/>
          <w:numId w:val="0"/>
        </w:numPr>
        <w:tabs>
          <w:tab w:val="left" w:pos="0"/>
          <w:tab w:val="clear" w:pos="420"/>
        </w:tabs>
        <w:spacing w:line="240" w:lineRule="auto"/>
      </w:pPr>
      <w:r>
        <w:rPr>
          <w:rFonts w:hint="eastAsia"/>
          <w:sz w:val="24"/>
          <w:szCs w:val="28"/>
        </w:rPr>
        <w:t>附件</w:t>
      </w:r>
      <w:r>
        <w:rPr>
          <w:rFonts w:hint="eastAsia"/>
          <w:sz w:val="24"/>
          <w:szCs w:val="28"/>
          <w:lang w:val="en-US" w:eastAsia="zh-CN"/>
        </w:rPr>
        <w:t>7</w:t>
      </w:r>
      <w:r>
        <w:rPr>
          <w:rFonts w:hint="eastAsia"/>
          <w:sz w:val="24"/>
          <w:szCs w:val="28"/>
        </w:rPr>
        <w:t>：</w:t>
      </w:r>
      <w:r>
        <w:rPr>
          <w:rFonts w:hint="eastAsia"/>
          <w:sz w:val="24"/>
          <w:szCs w:val="28"/>
          <w:lang w:val="en-US" w:eastAsia="zh-CN"/>
        </w:rPr>
        <w:t>补充</w:t>
      </w:r>
      <w:r>
        <w:rPr>
          <w:rFonts w:hint="eastAsia"/>
          <w:sz w:val="24"/>
          <w:szCs w:val="28"/>
        </w:rPr>
        <w:t>监测报告</w:t>
      </w:r>
    </w:p>
    <w:p w14:paraId="381A223E">
      <w:pPr>
        <w:pStyle w:val="76"/>
        <w:ind w:left="0" w:leftChars="0" w:firstLine="0" w:firstLineChars="0"/>
        <w:rPr>
          <w:rFonts w:hint="eastAsia" w:eastAsia="宋体"/>
          <w:lang w:eastAsia="zh-CN"/>
        </w:rPr>
      </w:pPr>
      <w:r>
        <w:rPr>
          <w:rFonts w:hint="eastAsia" w:eastAsia="宋体"/>
          <w:lang w:eastAsia="zh-CN"/>
        </w:rPr>
        <w:drawing>
          <wp:inline distT="0" distB="0" distL="114300" distR="114300">
            <wp:extent cx="5753735" cy="8133080"/>
            <wp:effectExtent l="0" t="0" r="18415" b="1270"/>
            <wp:docPr id="48" name="图片 96" descr="HYJC241107011福州市鼓楼区欣慷动物医院有限公司现状监测(1)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96" descr="HYJC241107011福州市鼓楼区欣慷动物医院有限公司现状监测(1)_00"/>
                    <pic:cNvPicPr>
                      <a:picLocks noChangeAspect="1"/>
                    </pic:cNvPicPr>
                  </pic:nvPicPr>
                  <pic:blipFill>
                    <a:blip r:embed="rId51"/>
                    <a:stretch>
                      <a:fillRect/>
                    </a:stretch>
                  </pic:blipFill>
                  <pic:spPr>
                    <a:xfrm>
                      <a:off x="0" y="0"/>
                      <a:ext cx="5753735" cy="8133080"/>
                    </a:xfrm>
                    <a:prstGeom prst="rect">
                      <a:avLst/>
                    </a:prstGeom>
                    <a:noFill/>
                    <a:ln>
                      <a:noFill/>
                    </a:ln>
                  </pic:spPr>
                </pic:pic>
              </a:graphicData>
            </a:graphic>
          </wp:inline>
        </w:drawing>
      </w:r>
    </w:p>
    <w:p w14:paraId="3939C60B">
      <w:pPr>
        <w:pStyle w:val="76"/>
        <w:ind w:left="0" w:leftChars="0" w:firstLine="0" w:firstLineChars="0"/>
        <w:rPr>
          <w:rFonts w:hint="eastAsia" w:eastAsia="宋体"/>
          <w:lang w:eastAsia="zh-CN"/>
        </w:rPr>
      </w:pPr>
      <w:r>
        <w:rPr>
          <w:rFonts w:hint="eastAsia" w:eastAsia="宋体"/>
          <w:lang w:eastAsia="zh-CN"/>
        </w:rPr>
        <w:drawing>
          <wp:inline distT="0" distB="0" distL="114300" distR="114300">
            <wp:extent cx="5753735" cy="8133080"/>
            <wp:effectExtent l="0" t="0" r="18415" b="1270"/>
            <wp:docPr id="49" name="图片 97" descr="HYJC241107011福州市鼓楼区欣慷动物医院有限公司现状监测(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97" descr="HYJC241107011福州市鼓楼区欣慷动物医院有限公司现状监测(1)_01"/>
                    <pic:cNvPicPr>
                      <a:picLocks noChangeAspect="1"/>
                    </pic:cNvPicPr>
                  </pic:nvPicPr>
                  <pic:blipFill>
                    <a:blip r:embed="rId52"/>
                    <a:stretch>
                      <a:fillRect/>
                    </a:stretch>
                  </pic:blipFill>
                  <pic:spPr>
                    <a:xfrm>
                      <a:off x="0" y="0"/>
                      <a:ext cx="5753735" cy="8133080"/>
                    </a:xfrm>
                    <a:prstGeom prst="rect">
                      <a:avLst/>
                    </a:prstGeom>
                    <a:noFill/>
                    <a:ln>
                      <a:noFill/>
                    </a:ln>
                  </pic:spPr>
                </pic:pic>
              </a:graphicData>
            </a:graphic>
          </wp:inline>
        </w:drawing>
      </w:r>
      <w:r>
        <w:rPr>
          <w:rFonts w:hint="eastAsia" w:eastAsia="宋体"/>
          <w:lang w:eastAsia="zh-CN"/>
        </w:rPr>
        <w:drawing>
          <wp:inline distT="0" distB="0" distL="114300" distR="114300">
            <wp:extent cx="5753735" cy="8133080"/>
            <wp:effectExtent l="0" t="0" r="18415" b="1270"/>
            <wp:docPr id="50" name="图片 98" descr="HYJC241107011福州市鼓楼区欣慷动物医院有限公司现状监测(1)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98" descr="HYJC241107011福州市鼓楼区欣慷动物医院有限公司现状监测(1)_02"/>
                    <pic:cNvPicPr>
                      <a:picLocks noChangeAspect="1"/>
                    </pic:cNvPicPr>
                  </pic:nvPicPr>
                  <pic:blipFill>
                    <a:blip r:embed="rId53"/>
                    <a:stretch>
                      <a:fillRect/>
                    </a:stretch>
                  </pic:blipFill>
                  <pic:spPr>
                    <a:xfrm>
                      <a:off x="0" y="0"/>
                      <a:ext cx="5753735" cy="8133080"/>
                    </a:xfrm>
                    <a:prstGeom prst="rect">
                      <a:avLst/>
                    </a:prstGeom>
                    <a:noFill/>
                    <a:ln>
                      <a:noFill/>
                    </a:ln>
                  </pic:spPr>
                </pic:pic>
              </a:graphicData>
            </a:graphic>
          </wp:inline>
        </w:drawing>
      </w:r>
      <w:r>
        <w:rPr>
          <w:rFonts w:hint="eastAsia" w:eastAsia="宋体"/>
          <w:lang w:eastAsia="zh-CN"/>
        </w:rPr>
        <w:drawing>
          <wp:inline distT="0" distB="0" distL="114300" distR="114300">
            <wp:extent cx="5753735" cy="8133080"/>
            <wp:effectExtent l="0" t="0" r="18415" b="1270"/>
            <wp:docPr id="51" name="图片 99" descr="HYJC241107011福州市鼓楼区欣慷动物医院有限公司现状监测(1)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99" descr="HYJC241107011福州市鼓楼区欣慷动物医院有限公司现状监测(1)_03"/>
                    <pic:cNvPicPr>
                      <a:picLocks noChangeAspect="1"/>
                    </pic:cNvPicPr>
                  </pic:nvPicPr>
                  <pic:blipFill>
                    <a:blip r:embed="rId54"/>
                    <a:stretch>
                      <a:fillRect/>
                    </a:stretch>
                  </pic:blipFill>
                  <pic:spPr>
                    <a:xfrm>
                      <a:off x="0" y="0"/>
                      <a:ext cx="5753735" cy="8133080"/>
                    </a:xfrm>
                    <a:prstGeom prst="rect">
                      <a:avLst/>
                    </a:prstGeom>
                    <a:noFill/>
                    <a:ln>
                      <a:noFill/>
                    </a:ln>
                  </pic:spPr>
                </pic:pic>
              </a:graphicData>
            </a:graphic>
          </wp:inline>
        </w:drawing>
      </w:r>
      <w:r>
        <w:rPr>
          <w:rFonts w:hint="eastAsia" w:eastAsia="宋体"/>
          <w:lang w:eastAsia="zh-CN"/>
        </w:rPr>
        <w:drawing>
          <wp:inline distT="0" distB="0" distL="114300" distR="114300">
            <wp:extent cx="5753735" cy="8133080"/>
            <wp:effectExtent l="0" t="0" r="18415" b="1270"/>
            <wp:docPr id="52" name="图片 100" descr="HYJC241107011福州市鼓楼区欣慷动物医院有限公司现状监测(1)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00" descr="HYJC241107011福州市鼓楼区欣慷动物医院有限公司现状监测(1)_04"/>
                    <pic:cNvPicPr>
                      <a:picLocks noChangeAspect="1"/>
                    </pic:cNvPicPr>
                  </pic:nvPicPr>
                  <pic:blipFill>
                    <a:blip r:embed="rId55"/>
                    <a:stretch>
                      <a:fillRect/>
                    </a:stretch>
                  </pic:blipFill>
                  <pic:spPr>
                    <a:xfrm>
                      <a:off x="0" y="0"/>
                      <a:ext cx="5753735" cy="8133080"/>
                    </a:xfrm>
                    <a:prstGeom prst="rect">
                      <a:avLst/>
                    </a:prstGeom>
                    <a:noFill/>
                    <a:ln>
                      <a:noFill/>
                    </a:ln>
                  </pic:spPr>
                </pic:pic>
              </a:graphicData>
            </a:graphic>
          </wp:inline>
        </w:drawing>
      </w:r>
      <w:r>
        <w:rPr>
          <w:rFonts w:hint="eastAsia" w:eastAsia="宋体"/>
          <w:lang w:eastAsia="zh-CN"/>
        </w:rPr>
        <w:drawing>
          <wp:inline distT="0" distB="0" distL="114300" distR="114300">
            <wp:extent cx="5753735" cy="8133080"/>
            <wp:effectExtent l="0" t="0" r="18415" b="1270"/>
            <wp:docPr id="53" name="图片 101" descr="HYJC241107011福州市鼓楼区欣慷动物医院有限公司现状监测(1)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01" descr="HYJC241107011福州市鼓楼区欣慷动物医院有限公司现状监测(1)_05"/>
                    <pic:cNvPicPr>
                      <a:picLocks noChangeAspect="1"/>
                    </pic:cNvPicPr>
                  </pic:nvPicPr>
                  <pic:blipFill>
                    <a:blip r:embed="rId56"/>
                    <a:stretch>
                      <a:fillRect/>
                    </a:stretch>
                  </pic:blipFill>
                  <pic:spPr>
                    <a:xfrm>
                      <a:off x="0" y="0"/>
                      <a:ext cx="5753735" cy="8133080"/>
                    </a:xfrm>
                    <a:prstGeom prst="rect">
                      <a:avLst/>
                    </a:prstGeom>
                    <a:noFill/>
                    <a:ln>
                      <a:noFill/>
                    </a:ln>
                  </pic:spPr>
                </pic:pic>
              </a:graphicData>
            </a:graphic>
          </wp:inline>
        </w:drawing>
      </w:r>
    </w:p>
    <w:p w14:paraId="3BE1E56B">
      <w:pPr>
        <w:pStyle w:val="76"/>
        <w:rPr>
          <w:rFonts w:hint="eastAsia" w:eastAsia="宋体"/>
          <w:lang w:eastAsia="zh-CN"/>
        </w:rPr>
      </w:pPr>
    </w:p>
    <w:p w14:paraId="0EB0A851">
      <w:pPr>
        <w:pStyle w:val="76"/>
        <w:rPr>
          <w:rFonts w:hint="eastAsia" w:eastAsia="宋体"/>
          <w:lang w:eastAsia="zh-CN"/>
        </w:rPr>
      </w:pPr>
    </w:p>
    <w:p w14:paraId="45503A1B">
      <w:pPr>
        <w:pStyle w:val="6"/>
        <w:numPr>
          <w:ilvl w:val="2"/>
          <w:numId w:val="0"/>
        </w:numPr>
        <w:tabs>
          <w:tab w:val="left" w:pos="0"/>
          <w:tab w:val="clear" w:pos="420"/>
        </w:tabs>
        <w:spacing w:line="240" w:lineRule="auto"/>
        <w:rPr>
          <w:rFonts w:hint="eastAsia"/>
          <w:sz w:val="24"/>
          <w:szCs w:val="28"/>
        </w:rPr>
      </w:pPr>
      <w:r>
        <w:rPr>
          <w:rFonts w:hint="eastAsia"/>
          <w:sz w:val="24"/>
          <w:szCs w:val="28"/>
        </w:rPr>
        <w:t>附件</w:t>
      </w:r>
      <w:r>
        <w:rPr>
          <w:rFonts w:hint="eastAsia"/>
          <w:sz w:val="24"/>
          <w:szCs w:val="28"/>
          <w:lang w:val="en-US" w:eastAsia="zh-CN"/>
        </w:rPr>
        <w:t>8</w:t>
      </w:r>
      <w:r>
        <w:rPr>
          <w:rFonts w:hint="eastAsia"/>
          <w:sz w:val="24"/>
          <w:szCs w:val="28"/>
        </w:rPr>
        <w:t>：关于环评文件公开文本删除的涉及国家秘密、商业秘密等内容的删除依据和理由说明</w:t>
      </w:r>
    </w:p>
    <w:p w14:paraId="265859E4">
      <w:pPr>
        <w:rPr>
          <w:rFonts w:hint="default" w:eastAsia="宋体"/>
          <w:lang w:val="en-US" w:eastAsia="zh-CN"/>
        </w:rPr>
      </w:pPr>
      <w:r>
        <w:rPr>
          <w:rFonts w:hint="eastAsia" w:eastAsia="宋体"/>
          <w:lang w:eastAsia="zh-CN"/>
        </w:rPr>
        <w:drawing>
          <wp:inline distT="0" distB="0" distL="114300" distR="114300">
            <wp:extent cx="5547360" cy="8448675"/>
            <wp:effectExtent l="0" t="0" r="15240" b="9525"/>
            <wp:docPr id="54" name="图片 87" descr="新文档 2024-08-13 16.57.50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87" descr="新文档 2024-08-13 16.57.50_05"/>
                    <pic:cNvPicPr>
                      <a:picLocks noChangeAspect="1"/>
                    </pic:cNvPicPr>
                  </pic:nvPicPr>
                  <pic:blipFill>
                    <a:blip r:embed="rId57"/>
                    <a:stretch>
                      <a:fillRect/>
                    </a:stretch>
                  </pic:blipFill>
                  <pic:spPr>
                    <a:xfrm>
                      <a:off x="0" y="0"/>
                      <a:ext cx="5547360" cy="8448675"/>
                    </a:xfrm>
                    <a:prstGeom prst="rect">
                      <a:avLst/>
                    </a:prstGeom>
                    <a:noFill/>
                    <a:ln>
                      <a:noFill/>
                    </a:ln>
                  </pic:spPr>
                </pic:pic>
              </a:graphicData>
            </a:graphic>
          </wp:inline>
        </w:drawing>
      </w:r>
      <w:r>
        <w:rPr>
          <w:rFonts w:hint="eastAsia" w:eastAsia="宋体"/>
          <w:lang w:val="en-US" w:eastAsia="zh-CN"/>
        </w:rPr>
        <w:t>56</w:t>
      </w:r>
    </w:p>
    <w:p w14:paraId="4FA4E675">
      <w:pPr>
        <w:pStyle w:val="76"/>
        <w:ind w:firstLine="0" w:firstLineChars="0"/>
        <w:rPr>
          <w:rFonts w:hint="eastAsia" w:eastAsia="宋体"/>
          <w:lang w:eastAsia="zh-CN"/>
        </w:rPr>
      </w:pPr>
      <w:r>
        <w:rPr>
          <w:rFonts w:hint="eastAsia" w:eastAsia="宋体"/>
          <w:lang w:eastAsia="zh-CN"/>
        </w:rPr>
        <w:drawing>
          <wp:inline distT="0" distB="0" distL="114300" distR="114300">
            <wp:extent cx="5757545" cy="8496300"/>
            <wp:effectExtent l="0" t="0" r="14605" b="0"/>
            <wp:docPr id="55" name="图片 90" descr="新文档 2024-08-13 16.57.50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90" descr="新文档 2024-08-13 16.57.50_04"/>
                    <pic:cNvPicPr>
                      <a:picLocks noChangeAspect="1"/>
                    </pic:cNvPicPr>
                  </pic:nvPicPr>
                  <pic:blipFill>
                    <a:blip r:embed="rId58"/>
                    <a:stretch>
                      <a:fillRect/>
                    </a:stretch>
                  </pic:blipFill>
                  <pic:spPr>
                    <a:xfrm>
                      <a:off x="0" y="0"/>
                      <a:ext cx="5757545" cy="8496300"/>
                    </a:xfrm>
                    <a:prstGeom prst="rect">
                      <a:avLst/>
                    </a:prstGeom>
                    <a:noFill/>
                    <a:ln>
                      <a:noFill/>
                    </a:ln>
                  </pic:spPr>
                </pic:pic>
              </a:graphicData>
            </a:graphic>
          </wp:inline>
        </w:drawing>
      </w:r>
    </w:p>
    <w:p w14:paraId="169E1186">
      <w:pPr>
        <w:pStyle w:val="76"/>
        <w:ind w:firstLine="480"/>
        <w:rPr>
          <w:rFonts w:hint="default"/>
        </w:rPr>
      </w:pPr>
    </w:p>
    <w:p w14:paraId="1AFEFB47">
      <w:pPr>
        <w:pStyle w:val="6"/>
        <w:numPr>
          <w:ilvl w:val="2"/>
          <w:numId w:val="0"/>
        </w:numPr>
        <w:tabs>
          <w:tab w:val="left" w:pos="0"/>
          <w:tab w:val="clear" w:pos="420"/>
        </w:tabs>
        <w:spacing w:line="240" w:lineRule="auto"/>
        <w:rPr>
          <w:sz w:val="24"/>
          <w:szCs w:val="28"/>
        </w:rPr>
      </w:pPr>
      <w:r>
        <w:rPr>
          <w:rFonts w:hint="eastAsia"/>
          <w:sz w:val="24"/>
          <w:szCs w:val="28"/>
        </w:rPr>
        <w:t>附件</w:t>
      </w:r>
      <w:r>
        <w:rPr>
          <w:rFonts w:hint="eastAsia"/>
          <w:sz w:val="24"/>
          <w:szCs w:val="28"/>
          <w:lang w:val="en-US" w:eastAsia="zh-CN"/>
        </w:rPr>
        <w:t>9：</w:t>
      </w:r>
      <w:r>
        <w:rPr>
          <w:rFonts w:hint="eastAsia"/>
          <w:sz w:val="24"/>
          <w:szCs w:val="28"/>
        </w:rPr>
        <w:t>关于公开建设项目环评文件等信息情况的说明</w:t>
      </w:r>
    </w:p>
    <w:p w14:paraId="31D511DB">
      <w:r>
        <w:rPr>
          <w:rFonts w:hint="eastAsia" w:eastAsia="宋体"/>
          <w:lang w:eastAsia="zh-CN"/>
        </w:rPr>
        <w:drawing>
          <wp:inline distT="0" distB="0" distL="114300" distR="114300">
            <wp:extent cx="5760720" cy="8462645"/>
            <wp:effectExtent l="0" t="0" r="11430" b="14605"/>
            <wp:docPr id="56" name="图片 89" descr="新文档 2024-08-13 16.57.50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89" descr="新文档 2024-08-13 16.57.50_03"/>
                    <pic:cNvPicPr>
                      <a:picLocks noChangeAspect="1"/>
                    </pic:cNvPicPr>
                  </pic:nvPicPr>
                  <pic:blipFill>
                    <a:blip r:embed="rId59"/>
                    <a:stretch>
                      <a:fillRect/>
                    </a:stretch>
                  </pic:blipFill>
                  <pic:spPr>
                    <a:xfrm>
                      <a:off x="0" y="0"/>
                      <a:ext cx="5760720" cy="8462645"/>
                    </a:xfrm>
                    <a:prstGeom prst="rect">
                      <a:avLst/>
                    </a:prstGeom>
                    <a:noFill/>
                    <a:ln>
                      <a:noFill/>
                    </a:ln>
                  </pic:spPr>
                </pic:pic>
              </a:graphicData>
            </a:graphic>
          </wp:inline>
        </w:drawing>
      </w:r>
    </w:p>
    <w:p w14:paraId="791F457E">
      <w:pPr>
        <w:pStyle w:val="42"/>
      </w:pPr>
    </w:p>
    <w:p w14:paraId="6E5EE173">
      <w:pPr>
        <w:pStyle w:val="6"/>
        <w:numPr>
          <w:ilvl w:val="2"/>
          <w:numId w:val="0"/>
        </w:numPr>
        <w:tabs>
          <w:tab w:val="left" w:pos="0"/>
          <w:tab w:val="clear" w:pos="420"/>
        </w:tabs>
        <w:spacing w:line="240" w:lineRule="auto"/>
        <w:rPr>
          <w:rFonts w:hint="eastAsia"/>
          <w:sz w:val="24"/>
          <w:szCs w:val="28"/>
        </w:rPr>
      </w:pPr>
      <w:r>
        <w:rPr>
          <w:rFonts w:hint="eastAsia"/>
          <w:sz w:val="24"/>
          <w:szCs w:val="28"/>
        </w:rPr>
        <w:t>附件</w:t>
      </w:r>
      <w:r>
        <w:rPr>
          <w:rFonts w:hint="eastAsia"/>
          <w:sz w:val="24"/>
          <w:szCs w:val="28"/>
          <w:lang w:val="en-US" w:eastAsia="zh-CN"/>
        </w:rPr>
        <w:t>10:</w:t>
      </w:r>
      <w:r>
        <w:rPr>
          <w:rFonts w:hint="eastAsia"/>
          <w:sz w:val="24"/>
          <w:szCs w:val="28"/>
        </w:rPr>
        <w:t>申请环评批复报告</w:t>
      </w:r>
    </w:p>
    <w:p w14:paraId="3761AE2F">
      <w:pPr>
        <w:pStyle w:val="42"/>
        <w:ind w:firstLine="0" w:firstLineChars="0"/>
        <w:rPr>
          <w:rFonts w:hint="eastAsia" w:eastAsia="宋体"/>
          <w:lang w:eastAsia="zh-CN"/>
        </w:rPr>
      </w:pPr>
      <w:r>
        <w:rPr>
          <w:rFonts w:hint="eastAsia" w:eastAsia="宋体"/>
          <w:lang w:eastAsia="zh-CN"/>
        </w:rPr>
        <w:drawing>
          <wp:inline distT="0" distB="0" distL="114300" distR="114300">
            <wp:extent cx="5594350" cy="8500745"/>
            <wp:effectExtent l="0" t="0" r="6350" b="14605"/>
            <wp:docPr id="57" name="图片 88" descr="新文档 2024-08-13 16.57.50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88" descr="新文档 2024-08-13 16.57.50_01"/>
                    <pic:cNvPicPr>
                      <a:picLocks noChangeAspect="1"/>
                    </pic:cNvPicPr>
                  </pic:nvPicPr>
                  <pic:blipFill>
                    <a:blip r:embed="rId60"/>
                    <a:stretch>
                      <a:fillRect/>
                    </a:stretch>
                  </pic:blipFill>
                  <pic:spPr>
                    <a:xfrm>
                      <a:off x="0" y="0"/>
                      <a:ext cx="5594350" cy="8500745"/>
                    </a:xfrm>
                    <a:prstGeom prst="rect">
                      <a:avLst/>
                    </a:prstGeom>
                    <a:noFill/>
                    <a:ln>
                      <a:noFill/>
                    </a:ln>
                  </pic:spPr>
                </pic:pic>
              </a:graphicData>
            </a:graphic>
          </wp:inline>
        </w:drawing>
      </w:r>
    </w:p>
    <w:sectPr>
      <w:pgSz w:w="11906" w:h="16838"/>
      <w:pgMar w:top="1417" w:right="1417" w:bottom="1417" w:left="1417" w:header="851" w:footer="851"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Cambria Math">
    <w:panose1 w:val="02040503050406030204"/>
    <w:charset w:val="00"/>
    <w:family w:val="auto"/>
    <w:pitch w:val="default"/>
    <w:sig w:usb0="E00002FF" w:usb1="42002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BF2A2E">
    <w:pPr>
      <w:pStyle w:val="18"/>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E239B7">
    <w:pPr>
      <w:pStyle w:val="18"/>
      <w:framePr w:wrap="around" w:vAnchor="text" w:hAnchor="margin" w:xAlign="center" w:y="1"/>
      <w:rPr>
        <w:rStyle w:val="29"/>
      </w:rPr>
    </w:pPr>
    <w:r>
      <w:fldChar w:fldCharType="begin"/>
    </w:r>
    <w:r>
      <w:rPr>
        <w:rStyle w:val="29"/>
      </w:rPr>
      <w:instrText xml:space="preserve">PAGE  </w:instrText>
    </w:r>
    <w:r>
      <w:fldChar w:fldCharType="end"/>
    </w:r>
  </w:p>
  <w:p w14:paraId="2FC18E86">
    <w:pPr>
      <w:pStyle w:val="18"/>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B4F6F7">
    <w:pPr>
      <w:pStyle w:val="18"/>
      <w:ind w:right="360"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A92FCA">
                          <w:pPr>
                            <w:pStyle w:val="18"/>
                          </w:pPr>
                          <w:r>
                            <w:fldChar w:fldCharType="begin"/>
                          </w:r>
                          <w:r>
                            <w:instrText xml:space="preserve"> PAGE  \* MERGEFORMAT </w:instrText>
                          </w:r>
                          <w:r>
                            <w:fldChar w:fldCharType="separate"/>
                          </w:r>
                          <w:r>
                            <w:t>45</w:t>
                          </w:r>
                          <w:r>
                            <w:fldChar w:fldCharType="end"/>
                          </w:r>
                        </w:p>
                      </w:txbxContent>
                    </wps:txbx>
                    <wps:bodyPr wrap="none" lIns="0" tIns="0" rIns="0" bIns="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4It8ByQEAAJoDAAAOAAAAAAAAAAEAIAAAAB4BAABkcnMvZTJvRG9j&#10;LnhtbFBLBQYAAAAABgAGAFkBAABZBQAAAAA=&#10;">
              <v:fill on="f" focussize="0,0"/>
              <v:stroke on="f"/>
              <v:imagedata o:title=""/>
              <o:lock v:ext="edit" aspectratio="f"/>
              <v:textbox inset="0mm,0mm,0mm,0mm" style="mso-fit-shape-to-text:t;">
                <w:txbxContent>
                  <w:p w14:paraId="5AA92FCA">
                    <w:pPr>
                      <w:pStyle w:val="18"/>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D7BBFD">
    <w:pPr>
      <w:pStyle w:val="18"/>
      <w:ind w:right="360"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EED0874">
                          <w:pPr>
                            <w:pStyle w:val="18"/>
                          </w:pPr>
                          <w:r>
                            <w:fldChar w:fldCharType="begin"/>
                          </w:r>
                          <w:r>
                            <w:instrText xml:space="preserve"> PAGE  \* MERGEFORMAT </w:instrText>
                          </w:r>
                          <w:r>
                            <w:fldChar w:fldCharType="separate"/>
                          </w:r>
                          <w:r>
                            <w:t>45</w:t>
                          </w:r>
                          <w:r>
                            <w:fldChar w:fldCharType="end"/>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s7OAMkBAACa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pt6Gucu+MWJ375/u3y49fl51ey&#10;zPr0AWpMewiYmIY7P+DWzH5AZ6Y9qGjzFwkRjKO656u6ckhE5Efr1XpdYUhgbL4gPnt8HiKkt9Jb&#10;ko2GRhxfUZWf3kMaU+eUXM35e21MGaFxfzkQM3tY7n3sMVtp2A8Tob1vz8inx8k31OGiU2LeORQ2&#10;L8lsxNnYz8YxRH3oyhblehBujwmbKL3lCiPsVBhHVthN65V34s97yXr8pb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Kzs4AyQEAAJoDAAAOAAAAAAAAAAEAIAAAAB4BAABkcnMvZTJvRG9j&#10;LnhtbFBLBQYAAAAABgAGAFkBAABZBQAAAAA=&#10;">
              <v:fill on="f" focussize="0,0"/>
              <v:stroke on="f"/>
              <v:imagedata o:title=""/>
              <o:lock v:ext="edit" aspectratio="f"/>
              <v:textbox inset="0mm,0mm,0mm,0mm" style="mso-fit-shape-to-text:t;">
                <w:txbxContent>
                  <w:p w14:paraId="1EED0874">
                    <w:pPr>
                      <w:pStyle w:val="18"/>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4BF5C">
    <w:pPr>
      <w:pStyle w:val="18"/>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12E0D">
    <w:pPr>
      <w:pStyle w:val="18"/>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D7C8B8"/>
    <w:multiLevelType w:val="multilevel"/>
    <w:tmpl w:val="49D7C8B8"/>
    <w:lvl w:ilvl="0" w:tentative="0">
      <w:start w:val="1"/>
      <w:numFmt w:val="chineseCounting"/>
      <w:suff w:val="space"/>
      <w:lvlText w:val="第%1章 "/>
      <w:lvlJc w:val="center"/>
      <w:pPr>
        <w:ind w:left="0" w:firstLine="0"/>
      </w:pPr>
      <w:rPr>
        <w:rFonts w:hint="eastAsia" w:ascii="宋体" w:hAnsi="宋体" w:eastAsia="宋体" w:cs="宋体"/>
        <w:b/>
        <w:i w:val="0"/>
        <w:sz w:val="32"/>
      </w:rPr>
    </w:lvl>
    <w:lvl w:ilvl="1" w:tentative="0">
      <w:start w:val="1"/>
      <w:numFmt w:val="decimal"/>
      <w:isLgl/>
      <w:suff w:val="space"/>
      <w:lvlText w:val="%1.%2 "/>
      <w:lvlJc w:val="left"/>
      <w:pPr>
        <w:tabs>
          <w:tab w:val="left" w:pos="0"/>
        </w:tabs>
        <w:ind w:left="0" w:firstLine="0"/>
      </w:pPr>
      <w:rPr>
        <w:rFonts w:hint="eastAsia" w:ascii="Times New Roman" w:hAnsi="Times New Roman" w:eastAsia="宋体" w:cs="宋体"/>
        <w:b/>
        <w:bCs w:val="0"/>
        <w:i w:val="0"/>
        <w:iCs w:val="0"/>
        <w:caps w:val="0"/>
        <w:strike w:val="0"/>
        <w:dstrike w:val="0"/>
        <w:vanish w:val="0"/>
        <w:spacing w:val="0"/>
        <w:position w:val="0"/>
        <w:u w:val="none"/>
        <w:vertAlign w:val="baseline"/>
      </w:rPr>
    </w:lvl>
    <w:lvl w:ilvl="2" w:tentative="0">
      <w:start w:val="1"/>
      <w:numFmt w:val="decimal"/>
      <w:pStyle w:val="72"/>
      <w:isLgl/>
      <w:suff w:val="space"/>
      <w:lvlText w:val="%1.%2.%3 "/>
      <w:lvlJc w:val="left"/>
      <w:pPr>
        <w:tabs>
          <w:tab w:val="left" w:pos="0"/>
        </w:tabs>
        <w:ind w:left="0" w:firstLine="0"/>
      </w:pPr>
      <w:rPr>
        <w:rFonts w:hint="eastAsia" w:ascii="Times New Roman" w:hAnsi="Times New Roman" w:eastAsia="宋体" w:cs="宋体"/>
        <w:b/>
        <w:bCs w:val="0"/>
        <w:i w:val="0"/>
        <w:iCs w:val="0"/>
        <w:caps w:val="0"/>
        <w:smallCaps w:val="0"/>
        <w:strike w:val="0"/>
        <w:dstrike w:val="0"/>
        <w:vanish w:val="0"/>
        <w:spacing w:val="0"/>
        <w:position w:val="0"/>
        <w:u w:val="none"/>
        <w:vertAlign w:val="baseline"/>
      </w:rPr>
    </w:lvl>
    <w:lvl w:ilvl="3" w:tentative="0">
      <w:start w:val="1"/>
      <w:numFmt w:val="decimal"/>
      <w:pStyle w:val="59"/>
      <w:isLgl/>
      <w:suff w:val="space"/>
      <w:lvlText w:val="%1.%2.%3.%4 "/>
      <w:lvlJc w:val="left"/>
      <w:pPr>
        <w:ind w:left="0" w:firstLine="0"/>
      </w:pPr>
      <w:rPr>
        <w:rFonts w:hint="eastAsia" w:ascii="Times New Roman" w:hAnsi="Times New Roman" w:eastAsia="宋体" w:cs="宋体"/>
        <w:color w:val="auto"/>
      </w:rPr>
    </w:lvl>
    <w:lvl w:ilvl="4" w:tentative="0">
      <w:start w:val="1"/>
      <w:numFmt w:val="decimal"/>
      <w:lvlRestart w:val="2"/>
      <w:isLgl/>
      <w:suff w:val="space"/>
      <w:lvlText w:val="表%1.%2-%5"/>
      <w:lvlJc w:val="center"/>
      <w:pPr>
        <w:tabs>
          <w:tab w:val="left" w:pos="0"/>
        </w:tabs>
        <w:ind w:left="0" w:firstLine="0"/>
      </w:pPr>
      <w:rPr>
        <w:rFonts w:hint="eastAsia" w:ascii="Times New Roman" w:hAnsi="Times New Roman" w:eastAsia="宋体" w:cs="宋体"/>
        <w:bCs w:val="0"/>
        <w:i w:val="0"/>
        <w:iCs w:val="0"/>
        <w:caps w:val="0"/>
        <w:smallCaps w:val="0"/>
        <w:strike w:val="0"/>
        <w:dstrike w:val="0"/>
        <w:vanish w:val="0"/>
        <w:spacing w:val="0"/>
        <w:position w:val="0"/>
        <w:u w:val="none"/>
        <w:vertAlign w:val="baseline"/>
        <w:lang w:val="en-US"/>
      </w:rPr>
    </w:lvl>
    <w:lvl w:ilvl="5" w:tentative="0">
      <w:start w:val="1"/>
      <w:numFmt w:val="decimal"/>
      <w:lvlRestart w:val="2"/>
      <w:isLgl/>
      <w:suff w:val="space"/>
      <w:lvlText w:val="图%1.%2-%6"/>
      <w:lvlJc w:val="center"/>
      <w:pPr>
        <w:tabs>
          <w:tab w:val="left" w:pos="0"/>
        </w:tabs>
        <w:ind w:left="0" w:firstLine="0"/>
      </w:pPr>
      <w:rPr>
        <w:rFonts w:hint="eastAsia" w:ascii="Times New Roman" w:hAnsi="Times New Roman" w:eastAsia="宋体" w:cs="宋体"/>
        <w:b/>
        <w:bCs w:val="0"/>
        <w:i w:val="0"/>
        <w:iCs w:val="0"/>
        <w:caps w:val="0"/>
        <w:smallCaps w:val="0"/>
        <w:strike w:val="0"/>
        <w:dstrike w:val="0"/>
        <w:vanish w:val="0"/>
        <w:color w:val="000000"/>
        <w:spacing w:val="0"/>
        <w:position w:val="0"/>
        <w:u w:val="none"/>
        <w:vertAlign w:val="baseline"/>
      </w:rPr>
    </w:lvl>
    <w:lvl w:ilvl="6" w:tentative="0">
      <w:start w:val="1"/>
      <w:numFmt w:val="decimal"/>
      <w:lvlText w:val="%1.%2.%3.%4.%5.%6.%7"/>
      <w:lvlJc w:val="left"/>
      <w:pPr>
        <w:tabs>
          <w:tab w:val="left" w:pos="1566"/>
        </w:tabs>
        <w:ind w:left="0" w:firstLine="0"/>
      </w:pPr>
      <w:rPr>
        <w:rFonts w:hint="eastAsia"/>
      </w:rPr>
    </w:lvl>
    <w:lvl w:ilvl="7" w:tentative="0">
      <w:start w:val="1"/>
      <w:numFmt w:val="decimal"/>
      <w:lvlText w:val="%1.%2.%3.%4.%5.%6.%7.%8"/>
      <w:lvlJc w:val="left"/>
      <w:pPr>
        <w:tabs>
          <w:tab w:val="left" w:pos="1566"/>
        </w:tabs>
        <w:ind w:left="0" w:firstLine="0"/>
      </w:pPr>
      <w:rPr>
        <w:rFonts w:hint="eastAsia"/>
      </w:rPr>
    </w:lvl>
    <w:lvl w:ilvl="8" w:tentative="0">
      <w:start w:val="1"/>
      <w:numFmt w:val="decimal"/>
      <w:lvlText w:val="%1.%2.%3.%4.%5.%6.%7.%8.%9"/>
      <w:lvlJc w:val="left"/>
      <w:pPr>
        <w:tabs>
          <w:tab w:val="left" w:pos="1566"/>
        </w:tabs>
        <w:ind w:left="0" w:firstLine="0"/>
      </w:pPr>
      <w:rPr>
        <w:rFonts w:hint="eastAsia"/>
      </w:rPr>
    </w:lvl>
  </w:abstractNum>
  <w:abstractNum w:abstractNumId="1">
    <w:nsid w:val="5EBC178B"/>
    <w:multiLevelType w:val="multilevel"/>
    <w:tmpl w:val="5EBC178B"/>
    <w:lvl w:ilvl="0" w:tentative="0">
      <w:start w:val="1"/>
      <w:numFmt w:val="chineseCountingThousand"/>
      <w:pStyle w:val="77"/>
      <w:suff w:val="nothing"/>
      <w:lvlText w:val="%1、"/>
      <w:lvlJc w:val="left"/>
      <w:pPr>
        <w:ind w:left="0" w:firstLine="0"/>
      </w:pPr>
      <w:rPr>
        <w:rFonts w:hint="eastAsia"/>
      </w:rPr>
    </w:lvl>
    <w:lvl w:ilvl="1" w:tentative="0">
      <w:start w:val="1"/>
      <w:numFmt w:val="decimal"/>
      <w:isLgl/>
      <w:suff w:val="space"/>
      <w:lvlText w:val="%1.%2"/>
      <w:lvlJc w:val="left"/>
      <w:pPr>
        <w:ind w:left="142" w:firstLine="0"/>
      </w:pPr>
      <w:rPr>
        <w:rFonts w:hint="eastAsia"/>
      </w:rPr>
    </w:lvl>
    <w:lvl w:ilvl="2" w:tentative="0">
      <w:start w:val="1"/>
      <w:numFmt w:val="decimal"/>
      <w:isLgl/>
      <w:suff w:val="space"/>
      <w:lvlText w:val="%1.%2.%3"/>
      <w:lvlJc w:val="left"/>
      <w:pPr>
        <w:ind w:left="710" w:firstLine="0"/>
      </w:pPr>
      <w:rPr>
        <w:rFonts w:hint="eastAsia"/>
      </w:rPr>
    </w:lvl>
    <w:lvl w:ilvl="3" w:tentative="0">
      <w:start w:val="1"/>
      <w:numFmt w:val="decimal"/>
      <w:isLgl/>
      <w:suff w:val="space"/>
      <w:lvlText w:val="%1.%2.%3.%4"/>
      <w:lvlJc w:val="left"/>
      <w:pPr>
        <w:ind w:left="0" w:firstLine="0"/>
      </w:pPr>
      <w:rPr>
        <w:rFonts w:hint="eastAsia"/>
        <w:sz w:val="24"/>
        <w:szCs w:val="24"/>
      </w:rPr>
    </w:lvl>
    <w:lvl w:ilvl="4" w:tentative="0">
      <w:start w:val="1"/>
      <w:numFmt w:val="decimal"/>
      <w:lvlRestart w:val="2"/>
      <w:isLgl/>
      <w:suff w:val="space"/>
      <w:lvlText w:val="表%1.%2-%5"/>
      <w:lvlJc w:val="left"/>
      <w:pPr>
        <w:ind w:left="3545" w:firstLine="0"/>
      </w:pPr>
    </w:lvl>
    <w:lvl w:ilvl="5" w:tentative="0">
      <w:start w:val="1"/>
      <w:numFmt w:val="decimal"/>
      <w:lvlRestart w:val="2"/>
      <w:isLgl/>
      <w:suff w:val="space"/>
      <w:lvlText w:val="图%1.%2-%6"/>
      <w:lvlJc w:val="left"/>
      <w:pPr>
        <w:ind w:left="0" w:firstLine="0"/>
      </w:pPr>
      <w:rPr>
        <w:rFonts w:hint="default" w:ascii="Times New Roman" w:hAnsi="Times New Roman" w:cs="Times New Roman"/>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2">
    <w:nsid w:val="5FE46ACD"/>
    <w:multiLevelType w:val="multilevel"/>
    <w:tmpl w:val="5FE46ACD"/>
    <w:lvl w:ilvl="0" w:tentative="0">
      <w:start w:val="1"/>
      <w:numFmt w:val="chineseCounting"/>
      <w:pStyle w:val="4"/>
      <w:suff w:val="space"/>
      <w:lvlText w:val="%1、"/>
      <w:lvlJc w:val="left"/>
      <w:pPr>
        <w:tabs>
          <w:tab w:val="left" w:pos="0"/>
        </w:tabs>
        <w:ind w:left="4320" w:firstLine="0"/>
      </w:pPr>
      <w:rPr>
        <w:rFonts w:hint="eastAsia" w:ascii="Times New Roman" w:hAnsi="Times New Roman" w:eastAsia="黑体" w:cs="宋体"/>
        <w:b/>
        <w:sz w:val="30"/>
      </w:rPr>
    </w:lvl>
    <w:lvl w:ilvl="1" w:tentative="0">
      <w:start w:val="1"/>
      <w:numFmt w:val="decimal"/>
      <w:pStyle w:val="5"/>
      <w:isLgl/>
      <w:suff w:val="space"/>
      <w:lvlText w:val="%1.%2"/>
      <w:lvlJc w:val="left"/>
      <w:pPr>
        <w:tabs>
          <w:tab w:val="left" w:pos="420"/>
        </w:tabs>
        <w:ind w:left="0" w:firstLine="0"/>
      </w:pPr>
      <w:rPr>
        <w:rFonts w:hint="eastAsia" w:ascii="Times New Roman" w:hAnsi="Times New Roman" w:eastAsia="宋体" w:cs="宋体"/>
        <w:b/>
        <w:sz w:val="30"/>
      </w:rPr>
    </w:lvl>
    <w:lvl w:ilvl="2" w:tentative="0">
      <w:start w:val="1"/>
      <w:numFmt w:val="decimal"/>
      <w:pStyle w:val="6"/>
      <w:isLgl/>
      <w:suff w:val="space"/>
      <w:lvlText w:val="%1.%2.%3"/>
      <w:lvlJc w:val="left"/>
      <w:pPr>
        <w:tabs>
          <w:tab w:val="left" w:pos="420"/>
        </w:tabs>
        <w:ind w:left="993" w:hanging="993"/>
      </w:pPr>
      <w:rPr>
        <w:rFonts w:hint="eastAsia" w:ascii="Times New Roman" w:hAnsi="Times New Roman" w:eastAsia="宋体" w:cs="宋体"/>
        <w:b/>
        <w:sz w:val="28"/>
      </w:rPr>
    </w:lvl>
    <w:lvl w:ilvl="3" w:tentative="0">
      <w:start w:val="1"/>
      <w:numFmt w:val="decimal"/>
      <w:lvlRestart w:val="2"/>
      <w:pStyle w:val="7"/>
      <w:isLgl/>
      <w:suff w:val="space"/>
      <w:lvlText w:val="%1.%2.%3.%4"/>
      <w:lvlJc w:val="left"/>
      <w:pPr>
        <w:tabs>
          <w:tab w:val="left" w:pos="420"/>
        </w:tabs>
        <w:ind w:left="3545" w:hanging="2504"/>
      </w:pPr>
      <w:rPr>
        <w:rFonts w:hint="eastAsia" w:ascii="Times New Roman" w:hAnsi="Times New Roman" w:eastAsia="宋体" w:cs="宋体"/>
        <w:b/>
        <w:sz w:val="24"/>
      </w:rPr>
    </w:lvl>
    <w:lvl w:ilvl="4" w:tentative="0">
      <w:start w:val="1"/>
      <w:numFmt w:val="decimal"/>
      <w:lvlRestart w:val="2"/>
      <w:pStyle w:val="63"/>
      <w:isLgl/>
      <w:suff w:val="space"/>
      <w:lvlText w:val="表%1.%2-%5"/>
      <w:lvlJc w:val="center"/>
      <w:pPr>
        <w:tabs>
          <w:tab w:val="left" w:pos="0"/>
        </w:tabs>
        <w:ind w:left="0" w:firstLine="0"/>
      </w:pPr>
      <w:rPr>
        <w:rFonts w:hint="eastAsia" w:ascii="Times New Roman" w:hAnsi="Times New Roman" w:eastAsia="宋体" w:cs="宋体"/>
        <w:b/>
        <w:sz w:val="24"/>
      </w:rPr>
    </w:lvl>
    <w:lvl w:ilvl="5" w:tentative="0">
      <w:start w:val="1"/>
      <w:numFmt w:val="decimal"/>
      <w:lvlRestart w:val="2"/>
      <w:pStyle w:val="78"/>
      <w:isLgl/>
      <w:suff w:val="space"/>
      <w:lvlText w:val="图%1.%2-%6"/>
      <w:lvlJc w:val="left"/>
      <w:pPr>
        <w:tabs>
          <w:tab w:val="left" w:pos="0"/>
        </w:tabs>
        <w:ind w:left="0" w:firstLine="0"/>
      </w:pPr>
      <w:rPr>
        <w:rFonts w:hint="eastAsia" w:ascii="Times New Roman" w:hAnsi="Times New Roman" w:eastAsia="宋体" w:cs="宋体"/>
        <w:b/>
        <w:sz w:val="24"/>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dit="trackedChanges" w:enforcement="0"/>
  <w:defaultTabStop w:val="420"/>
  <w:hyphenationZone w:val="36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1ZmM1ZTk0MDAxNWZiNWIzMjUyODViY2E3ZDRjZWYifQ=="/>
  </w:docVars>
  <w:rsids>
    <w:rsidRoot w:val="00A14947"/>
    <w:rsid w:val="000060B3"/>
    <w:rsid w:val="0004364B"/>
    <w:rsid w:val="00061B1F"/>
    <w:rsid w:val="000733C4"/>
    <w:rsid w:val="00074783"/>
    <w:rsid w:val="0008070B"/>
    <w:rsid w:val="000810AC"/>
    <w:rsid w:val="00081A02"/>
    <w:rsid w:val="00082231"/>
    <w:rsid w:val="000877F3"/>
    <w:rsid w:val="00092D38"/>
    <w:rsid w:val="0009377B"/>
    <w:rsid w:val="000A20C9"/>
    <w:rsid w:val="000B058F"/>
    <w:rsid w:val="000B4467"/>
    <w:rsid w:val="000B4DB9"/>
    <w:rsid w:val="000C09AC"/>
    <w:rsid w:val="000C767F"/>
    <w:rsid w:val="000D5A44"/>
    <w:rsid w:val="000D7767"/>
    <w:rsid w:val="000E1B50"/>
    <w:rsid w:val="000E3ED2"/>
    <w:rsid w:val="001167D9"/>
    <w:rsid w:val="00131F42"/>
    <w:rsid w:val="0013444D"/>
    <w:rsid w:val="001357F1"/>
    <w:rsid w:val="00140FA8"/>
    <w:rsid w:val="00142FEB"/>
    <w:rsid w:val="00143A2D"/>
    <w:rsid w:val="00145A41"/>
    <w:rsid w:val="00151675"/>
    <w:rsid w:val="00157435"/>
    <w:rsid w:val="0017504D"/>
    <w:rsid w:val="0017671A"/>
    <w:rsid w:val="00177422"/>
    <w:rsid w:val="00182696"/>
    <w:rsid w:val="00184590"/>
    <w:rsid w:val="001870D1"/>
    <w:rsid w:val="0018781E"/>
    <w:rsid w:val="0019262D"/>
    <w:rsid w:val="0019562E"/>
    <w:rsid w:val="001A1B35"/>
    <w:rsid w:val="001A48A2"/>
    <w:rsid w:val="001A6F61"/>
    <w:rsid w:val="001B72B8"/>
    <w:rsid w:val="001C69B3"/>
    <w:rsid w:val="001D5595"/>
    <w:rsid w:val="001D7874"/>
    <w:rsid w:val="001D7F22"/>
    <w:rsid w:val="001F0F17"/>
    <w:rsid w:val="001F3347"/>
    <w:rsid w:val="001F69E4"/>
    <w:rsid w:val="002125B4"/>
    <w:rsid w:val="002155B8"/>
    <w:rsid w:val="00224839"/>
    <w:rsid w:val="002249B2"/>
    <w:rsid w:val="00226574"/>
    <w:rsid w:val="002278EC"/>
    <w:rsid w:val="0023280E"/>
    <w:rsid w:val="002377D1"/>
    <w:rsid w:val="00237C1C"/>
    <w:rsid w:val="002506BC"/>
    <w:rsid w:val="00254345"/>
    <w:rsid w:val="00264557"/>
    <w:rsid w:val="002805AB"/>
    <w:rsid w:val="00284204"/>
    <w:rsid w:val="00291773"/>
    <w:rsid w:val="002A168C"/>
    <w:rsid w:val="002A3DC7"/>
    <w:rsid w:val="002B49E2"/>
    <w:rsid w:val="002B7B00"/>
    <w:rsid w:val="002B7C44"/>
    <w:rsid w:val="002C2B17"/>
    <w:rsid w:val="002D3DD0"/>
    <w:rsid w:val="002E1F3A"/>
    <w:rsid w:val="002E298A"/>
    <w:rsid w:val="00301978"/>
    <w:rsid w:val="0030332C"/>
    <w:rsid w:val="003051C2"/>
    <w:rsid w:val="00312296"/>
    <w:rsid w:val="00312C90"/>
    <w:rsid w:val="00314F0E"/>
    <w:rsid w:val="00321D8E"/>
    <w:rsid w:val="00325928"/>
    <w:rsid w:val="00330993"/>
    <w:rsid w:val="00332863"/>
    <w:rsid w:val="0033684D"/>
    <w:rsid w:val="00337B42"/>
    <w:rsid w:val="00341B42"/>
    <w:rsid w:val="0034348F"/>
    <w:rsid w:val="00356653"/>
    <w:rsid w:val="0035743F"/>
    <w:rsid w:val="00357BE2"/>
    <w:rsid w:val="0036170C"/>
    <w:rsid w:val="00366E0F"/>
    <w:rsid w:val="00381A72"/>
    <w:rsid w:val="00384676"/>
    <w:rsid w:val="00390857"/>
    <w:rsid w:val="003937A6"/>
    <w:rsid w:val="003A4BF3"/>
    <w:rsid w:val="003B420D"/>
    <w:rsid w:val="003C6C16"/>
    <w:rsid w:val="003D4142"/>
    <w:rsid w:val="003D794D"/>
    <w:rsid w:val="003E3058"/>
    <w:rsid w:val="003E76A9"/>
    <w:rsid w:val="003F0809"/>
    <w:rsid w:val="003F6A8C"/>
    <w:rsid w:val="003F755C"/>
    <w:rsid w:val="00406F01"/>
    <w:rsid w:val="0041418C"/>
    <w:rsid w:val="004147C2"/>
    <w:rsid w:val="00416D50"/>
    <w:rsid w:val="00416FD5"/>
    <w:rsid w:val="00417772"/>
    <w:rsid w:val="00420E6A"/>
    <w:rsid w:val="00425A9E"/>
    <w:rsid w:val="00426D6B"/>
    <w:rsid w:val="00431E6C"/>
    <w:rsid w:val="00433CE7"/>
    <w:rsid w:val="00451641"/>
    <w:rsid w:val="00452738"/>
    <w:rsid w:val="00455FA4"/>
    <w:rsid w:val="00456091"/>
    <w:rsid w:val="00460F05"/>
    <w:rsid w:val="00466321"/>
    <w:rsid w:val="00484B9B"/>
    <w:rsid w:val="004855F6"/>
    <w:rsid w:val="0048661E"/>
    <w:rsid w:val="00494670"/>
    <w:rsid w:val="004A3823"/>
    <w:rsid w:val="004E6946"/>
    <w:rsid w:val="004E6A61"/>
    <w:rsid w:val="004F1AD8"/>
    <w:rsid w:val="005039CB"/>
    <w:rsid w:val="0050558F"/>
    <w:rsid w:val="00506286"/>
    <w:rsid w:val="00510813"/>
    <w:rsid w:val="00511990"/>
    <w:rsid w:val="00511DE0"/>
    <w:rsid w:val="00514870"/>
    <w:rsid w:val="00514B9B"/>
    <w:rsid w:val="00517F02"/>
    <w:rsid w:val="00524303"/>
    <w:rsid w:val="005258A2"/>
    <w:rsid w:val="005401AE"/>
    <w:rsid w:val="00542E07"/>
    <w:rsid w:val="00545424"/>
    <w:rsid w:val="00554A7B"/>
    <w:rsid w:val="0055572C"/>
    <w:rsid w:val="0056106A"/>
    <w:rsid w:val="005720AE"/>
    <w:rsid w:val="00594D77"/>
    <w:rsid w:val="005969E4"/>
    <w:rsid w:val="005A06B7"/>
    <w:rsid w:val="005A1759"/>
    <w:rsid w:val="005A68A7"/>
    <w:rsid w:val="005B1379"/>
    <w:rsid w:val="005C3F51"/>
    <w:rsid w:val="005D1ADE"/>
    <w:rsid w:val="005D36AB"/>
    <w:rsid w:val="00604D6E"/>
    <w:rsid w:val="00617CC3"/>
    <w:rsid w:val="006377A6"/>
    <w:rsid w:val="00637A3D"/>
    <w:rsid w:val="006411EF"/>
    <w:rsid w:val="006517C9"/>
    <w:rsid w:val="006748B8"/>
    <w:rsid w:val="006775C3"/>
    <w:rsid w:val="006836D3"/>
    <w:rsid w:val="0069290A"/>
    <w:rsid w:val="0069775A"/>
    <w:rsid w:val="00697813"/>
    <w:rsid w:val="006A3EE8"/>
    <w:rsid w:val="006A72BF"/>
    <w:rsid w:val="006B03F2"/>
    <w:rsid w:val="006B37DC"/>
    <w:rsid w:val="006B4F68"/>
    <w:rsid w:val="006C0592"/>
    <w:rsid w:val="006C272E"/>
    <w:rsid w:val="006C5479"/>
    <w:rsid w:val="006D13B5"/>
    <w:rsid w:val="006D4C65"/>
    <w:rsid w:val="006E12FF"/>
    <w:rsid w:val="006E607E"/>
    <w:rsid w:val="00706C5D"/>
    <w:rsid w:val="0070737F"/>
    <w:rsid w:val="00717E6F"/>
    <w:rsid w:val="0073147E"/>
    <w:rsid w:val="00732922"/>
    <w:rsid w:val="0075162E"/>
    <w:rsid w:val="00754034"/>
    <w:rsid w:val="00756556"/>
    <w:rsid w:val="007618C4"/>
    <w:rsid w:val="00767980"/>
    <w:rsid w:val="00770B19"/>
    <w:rsid w:val="0077463F"/>
    <w:rsid w:val="007836EA"/>
    <w:rsid w:val="00784CDA"/>
    <w:rsid w:val="007906C4"/>
    <w:rsid w:val="007940EA"/>
    <w:rsid w:val="007967E8"/>
    <w:rsid w:val="007A2170"/>
    <w:rsid w:val="007A22BF"/>
    <w:rsid w:val="007A3323"/>
    <w:rsid w:val="007B72B8"/>
    <w:rsid w:val="007B7A58"/>
    <w:rsid w:val="007C21B5"/>
    <w:rsid w:val="007E4BD2"/>
    <w:rsid w:val="00801393"/>
    <w:rsid w:val="00802F88"/>
    <w:rsid w:val="0081293E"/>
    <w:rsid w:val="00815465"/>
    <w:rsid w:val="00817E9A"/>
    <w:rsid w:val="008306BD"/>
    <w:rsid w:val="00831A80"/>
    <w:rsid w:val="00833743"/>
    <w:rsid w:val="008340A4"/>
    <w:rsid w:val="00856F5F"/>
    <w:rsid w:val="008662A7"/>
    <w:rsid w:val="0087135F"/>
    <w:rsid w:val="00872D94"/>
    <w:rsid w:val="00880364"/>
    <w:rsid w:val="00891592"/>
    <w:rsid w:val="00891E9E"/>
    <w:rsid w:val="008A2F68"/>
    <w:rsid w:val="008B4FA6"/>
    <w:rsid w:val="008B5282"/>
    <w:rsid w:val="008B7C17"/>
    <w:rsid w:val="008C2D01"/>
    <w:rsid w:val="008C40E6"/>
    <w:rsid w:val="008D0F7A"/>
    <w:rsid w:val="008D68E4"/>
    <w:rsid w:val="008E0506"/>
    <w:rsid w:val="008E0CFF"/>
    <w:rsid w:val="008E5D6B"/>
    <w:rsid w:val="008E76F0"/>
    <w:rsid w:val="008F15FE"/>
    <w:rsid w:val="008F2D29"/>
    <w:rsid w:val="008F5187"/>
    <w:rsid w:val="008F60D8"/>
    <w:rsid w:val="00902727"/>
    <w:rsid w:val="0090312B"/>
    <w:rsid w:val="0091736D"/>
    <w:rsid w:val="0093037A"/>
    <w:rsid w:val="0094154D"/>
    <w:rsid w:val="0095155F"/>
    <w:rsid w:val="00954429"/>
    <w:rsid w:val="009563CE"/>
    <w:rsid w:val="00976328"/>
    <w:rsid w:val="0097680D"/>
    <w:rsid w:val="00982438"/>
    <w:rsid w:val="0098404C"/>
    <w:rsid w:val="00985283"/>
    <w:rsid w:val="00995992"/>
    <w:rsid w:val="009A03E5"/>
    <w:rsid w:val="009A0F3B"/>
    <w:rsid w:val="009A1BB4"/>
    <w:rsid w:val="009A2628"/>
    <w:rsid w:val="009A3200"/>
    <w:rsid w:val="009B0897"/>
    <w:rsid w:val="009B7BD9"/>
    <w:rsid w:val="009C7DD5"/>
    <w:rsid w:val="009D4D8A"/>
    <w:rsid w:val="009E227D"/>
    <w:rsid w:val="009E4D7E"/>
    <w:rsid w:val="009E5019"/>
    <w:rsid w:val="00A04F1B"/>
    <w:rsid w:val="00A0501B"/>
    <w:rsid w:val="00A14947"/>
    <w:rsid w:val="00A235CD"/>
    <w:rsid w:val="00A32A83"/>
    <w:rsid w:val="00A368DB"/>
    <w:rsid w:val="00A423AA"/>
    <w:rsid w:val="00A53EC6"/>
    <w:rsid w:val="00A55C0F"/>
    <w:rsid w:val="00A573A8"/>
    <w:rsid w:val="00A8713F"/>
    <w:rsid w:val="00A90BA1"/>
    <w:rsid w:val="00A97A9A"/>
    <w:rsid w:val="00AA0671"/>
    <w:rsid w:val="00AA2531"/>
    <w:rsid w:val="00AB1E09"/>
    <w:rsid w:val="00AB5330"/>
    <w:rsid w:val="00AB7747"/>
    <w:rsid w:val="00AC14CE"/>
    <w:rsid w:val="00AC2A56"/>
    <w:rsid w:val="00AD055E"/>
    <w:rsid w:val="00AD47A7"/>
    <w:rsid w:val="00AD7C99"/>
    <w:rsid w:val="00AF0CBF"/>
    <w:rsid w:val="00AF257F"/>
    <w:rsid w:val="00AF33CF"/>
    <w:rsid w:val="00AF4D50"/>
    <w:rsid w:val="00AF6179"/>
    <w:rsid w:val="00B1295A"/>
    <w:rsid w:val="00B20A45"/>
    <w:rsid w:val="00B22C5C"/>
    <w:rsid w:val="00B24F30"/>
    <w:rsid w:val="00B31ABF"/>
    <w:rsid w:val="00B33BE3"/>
    <w:rsid w:val="00B53B5D"/>
    <w:rsid w:val="00B600A1"/>
    <w:rsid w:val="00B6055E"/>
    <w:rsid w:val="00B6317D"/>
    <w:rsid w:val="00B7723F"/>
    <w:rsid w:val="00B80534"/>
    <w:rsid w:val="00B8433C"/>
    <w:rsid w:val="00B87491"/>
    <w:rsid w:val="00BA29E9"/>
    <w:rsid w:val="00BA7142"/>
    <w:rsid w:val="00BB237C"/>
    <w:rsid w:val="00BB41A3"/>
    <w:rsid w:val="00BC32DC"/>
    <w:rsid w:val="00BC35B6"/>
    <w:rsid w:val="00BD1B51"/>
    <w:rsid w:val="00BD4596"/>
    <w:rsid w:val="00BE1405"/>
    <w:rsid w:val="00BE312D"/>
    <w:rsid w:val="00BF1C20"/>
    <w:rsid w:val="00C10578"/>
    <w:rsid w:val="00C135BC"/>
    <w:rsid w:val="00C15C95"/>
    <w:rsid w:val="00C2596A"/>
    <w:rsid w:val="00C27537"/>
    <w:rsid w:val="00C328FE"/>
    <w:rsid w:val="00C33507"/>
    <w:rsid w:val="00C4409D"/>
    <w:rsid w:val="00C44E72"/>
    <w:rsid w:val="00C45A06"/>
    <w:rsid w:val="00C47E5B"/>
    <w:rsid w:val="00C61E4B"/>
    <w:rsid w:val="00C64BFF"/>
    <w:rsid w:val="00C704E9"/>
    <w:rsid w:val="00C763C9"/>
    <w:rsid w:val="00C763D9"/>
    <w:rsid w:val="00C80057"/>
    <w:rsid w:val="00C82232"/>
    <w:rsid w:val="00C82913"/>
    <w:rsid w:val="00C972B1"/>
    <w:rsid w:val="00CA2CCE"/>
    <w:rsid w:val="00CA43FD"/>
    <w:rsid w:val="00CA7EF8"/>
    <w:rsid w:val="00CB1826"/>
    <w:rsid w:val="00CB2B60"/>
    <w:rsid w:val="00CC489B"/>
    <w:rsid w:val="00CD2BCD"/>
    <w:rsid w:val="00CD3A4C"/>
    <w:rsid w:val="00CE10E9"/>
    <w:rsid w:val="00CE2910"/>
    <w:rsid w:val="00CE4F30"/>
    <w:rsid w:val="00CE5393"/>
    <w:rsid w:val="00CF19D3"/>
    <w:rsid w:val="00CF36BE"/>
    <w:rsid w:val="00CF6000"/>
    <w:rsid w:val="00D003F3"/>
    <w:rsid w:val="00D0364F"/>
    <w:rsid w:val="00D06834"/>
    <w:rsid w:val="00D308ED"/>
    <w:rsid w:val="00D36D86"/>
    <w:rsid w:val="00D428AA"/>
    <w:rsid w:val="00D50A34"/>
    <w:rsid w:val="00D53EFA"/>
    <w:rsid w:val="00D91C58"/>
    <w:rsid w:val="00D94A7C"/>
    <w:rsid w:val="00D95896"/>
    <w:rsid w:val="00DB2983"/>
    <w:rsid w:val="00DC1257"/>
    <w:rsid w:val="00DC3DC0"/>
    <w:rsid w:val="00DC5B2B"/>
    <w:rsid w:val="00DC6FCC"/>
    <w:rsid w:val="00DD318D"/>
    <w:rsid w:val="00DE3C00"/>
    <w:rsid w:val="00DF1010"/>
    <w:rsid w:val="00DF2E12"/>
    <w:rsid w:val="00DF514A"/>
    <w:rsid w:val="00DF6690"/>
    <w:rsid w:val="00DF6804"/>
    <w:rsid w:val="00E0358D"/>
    <w:rsid w:val="00E04323"/>
    <w:rsid w:val="00E070A2"/>
    <w:rsid w:val="00E2656A"/>
    <w:rsid w:val="00E412D0"/>
    <w:rsid w:val="00E56322"/>
    <w:rsid w:val="00E60982"/>
    <w:rsid w:val="00E62C62"/>
    <w:rsid w:val="00E654C1"/>
    <w:rsid w:val="00E65D97"/>
    <w:rsid w:val="00E72A5A"/>
    <w:rsid w:val="00E73354"/>
    <w:rsid w:val="00E9242D"/>
    <w:rsid w:val="00E93361"/>
    <w:rsid w:val="00EB5255"/>
    <w:rsid w:val="00EB5C47"/>
    <w:rsid w:val="00ED0639"/>
    <w:rsid w:val="00EF3CFA"/>
    <w:rsid w:val="00EF4755"/>
    <w:rsid w:val="00EF7135"/>
    <w:rsid w:val="00F027DB"/>
    <w:rsid w:val="00F038B5"/>
    <w:rsid w:val="00F14A7A"/>
    <w:rsid w:val="00F22985"/>
    <w:rsid w:val="00F3383E"/>
    <w:rsid w:val="00F465A7"/>
    <w:rsid w:val="00F50B7C"/>
    <w:rsid w:val="00F550E6"/>
    <w:rsid w:val="00F74345"/>
    <w:rsid w:val="00F80A0A"/>
    <w:rsid w:val="00F82B19"/>
    <w:rsid w:val="00F9212D"/>
    <w:rsid w:val="00F965DA"/>
    <w:rsid w:val="00FA2FDD"/>
    <w:rsid w:val="00FA406A"/>
    <w:rsid w:val="00FB503A"/>
    <w:rsid w:val="00FB516C"/>
    <w:rsid w:val="00FB5FDA"/>
    <w:rsid w:val="00FD0236"/>
    <w:rsid w:val="00FD18F4"/>
    <w:rsid w:val="00FD54DB"/>
    <w:rsid w:val="00FD619F"/>
    <w:rsid w:val="010C119B"/>
    <w:rsid w:val="0110626E"/>
    <w:rsid w:val="0119677B"/>
    <w:rsid w:val="01290F7E"/>
    <w:rsid w:val="012E2A11"/>
    <w:rsid w:val="012E7848"/>
    <w:rsid w:val="013525C4"/>
    <w:rsid w:val="01433A92"/>
    <w:rsid w:val="015D1E09"/>
    <w:rsid w:val="01622EC3"/>
    <w:rsid w:val="016A6A12"/>
    <w:rsid w:val="017E6B98"/>
    <w:rsid w:val="019145E3"/>
    <w:rsid w:val="01AC75F0"/>
    <w:rsid w:val="01AF4BA2"/>
    <w:rsid w:val="01AF61E5"/>
    <w:rsid w:val="01C57557"/>
    <w:rsid w:val="01E4322D"/>
    <w:rsid w:val="01E513B5"/>
    <w:rsid w:val="01EC3097"/>
    <w:rsid w:val="0213101D"/>
    <w:rsid w:val="02166173"/>
    <w:rsid w:val="022C6410"/>
    <w:rsid w:val="02355FAB"/>
    <w:rsid w:val="02452D8D"/>
    <w:rsid w:val="02544BD0"/>
    <w:rsid w:val="02697903"/>
    <w:rsid w:val="026A0117"/>
    <w:rsid w:val="026C6254"/>
    <w:rsid w:val="026D395C"/>
    <w:rsid w:val="026E185D"/>
    <w:rsid w:val="028A3325"/>
    <w:rsid w:val="028A358E"/>
    <w:rsid w:val="029C3B08"/>
    <w:rsid w:val="02A51F44"/>
    <w:rsid w:val="02B00EB8"/>
    <w:rsid w:val="02CC45A3"/>
    <w:rsid w:val="02D8032E"/>
    <w:rsid w:val="02D97884"/>
    <w:rsid w:val="02DE5ECF"/>
    <w:rsid w:val="02E654ED"/>
    <w:rsid w:val="02E91FC8"/>
    <w:rsid w:val="02EF34CC"/>
    <w:rsid w:val="02F831F6"/>
    <w:rsid w:val="02F96569"/>
    <w:rsid w:val="030E394F"/>
    <w:rsid w:val="032C2132"/>
    <w:rsid w:val="03451161"/>
    <w:rsid w:val="03640AD2"/>
    <w:rsid w:val="0367125E"/>
    <w:rsid w:val="03946EE4"/>
    <w:rsid w:val="039A3590"/>
    <w:rsid w:val="03A013D6"/>
    <w:rsid w:val="03A25BDA"/>
    <w:rsid w:val="03B92498"/>
    <w:rsid w:val="03BD02CF"/>
    <w:rsid w:val="03C436B5"/>
    <w:rsid w:val="03D03994"/>
    <w:rsid w:val="03D513F8"/>
    <w:rsid w:val="03EA7B21"/>
    <w:rsid w:val="03FC2BAC"/>
    <w:rsid w:val="040214A0"/>
    <w:rsid w:val="04030F36"/>
    <w:rsid w:val="041D532C"/>
    <w:rsid w:val="042545A2"/>
    <w:rsid w:val="0438160E"/>
    <w:rsid w:val="043F474B"/>
    <w:rsid w:val="044C03A8"/>
    <w:rsid w:val="046D6B16"/>
    <w:rsid w:val="047B171C"/>
    <w:rsid w:val="048A7CB8"/>
    <w:rsid w:val="04A40A52"/>
    <w:rsid w:val="04A57FC3"/>
    <w:rsid w:val="04B32967"/>
    <w:rsid w:val="04B3630E"/>
    <w:rsid w:val="04BA64C7"/>
    <w:rsid w:val="04C2410E"/>
    <w:rsid w:val="04E1216E"/>
    <w:rsid w:val="04E640F3"/>
    <w:rsid w:val="04ED2FF5"/>
    <w:rsid w:val="04F118FA"/>
    <w:rsid w:val="04FB4DC1"/>
    <w:rsid w:val="050240E8"/>
    <w:rsid w:val="05047743"/>
    <w:rsid w:val="050F08D9"/>
    <w:rsid w:val="052F5FCA"/>
    <w:rsid w:val="05492C0D"/>
    <w:rsid w:val="05512EFF"/>
    <w:rsid w:val="0560706F"/>
    <w:rsid w:val="056703FD"/>
    <w:rsid w:val="056A0D59"/>
    <w:rsid w:val="056A1A93"/>
    <w:rsid w:val="056B1B9D"/>
    <w:rsid w:val="056C5ABA"/>
    <w:rsid w:val="056E1312"/>
    <w:rsid w:val="057E42C8"/>
    <w:rsid w:val="057E5747"/>
    <w:rsid w:val="0583129E"/>
    <w:rsid w:val="058B2C77"/>
    <w:rsid w:val="05926E0F"/>
    <w:rsid w:val="059D6B5E"/>
    <w:rsid w:val="05A95BCA"/>
    <w:rsid w:val="05B15E1B"/>
    <w:rsid w:val="05B56255"/>
    <w:rsid w:val="05B82695"/>
    <w:rsid w:val="05C21E05"/>
    <w:rsid w:val="05D54D3E"/>
    <w:rsid w:val="05D652BF"/>
    <w:rsid w:val="05EA7C72"/>
    <w:rsid w:val="05EF3B69"/>
    <w:rsid w:val="05F83EAE"/>
    <w:rsid w:val="0612604E"/>
    <w:rsid w:val="06145943"/>
    <w:rsid w:val="06222D63"/>
    <w:rsid w:val="062245C7"/>
    <w:rsid w:val="062879CE"/>
    <w:rsid w:val="062F19B9"/>
    <w:rsid w:val="063620B1"/>
    <w:rsid w:val="063C65E5"/>
    <w:rsid w:val="063E7D85"/>
    <w:rsid w:val="06473986"/>
    <w:rsid w:val="06581AF4"/>
    <w:rsid w:val="06714B99"/>
    <w:rsid w:val="06737ED0"/>
    <w:rsid w:val="067F0A63"/>
    <w:rsid w:val="06806607"/>
    <w:rsid w:val="068648B3"/>
    <w:rsid w:val="06997F82"/>
    <w:rsid w:val="06A719C1"/>
    <w:rsid w:val="06A90F06"/>
    <w:rsid w:val="06B01930"/>
    <w:rsid w:val="06B93F08"/>
    <w:rsid w:val="06D55765"/>
    <w:rsid w:val="06F03C51"/>
    <w:rsid w:val="0707088A"/>
    <w:rsid w:val="070875B9"/>
    <w:rsid w:val="07092259"/>
    <w:rsid w:val="070C7478"/>
    <w:rsid w:val="07110BA2"/>
    <w:rsid w:val="07293586"/>
    <w:rsid w:val="07295285"/>
    <w:rsid w:val="073E6F3C"/>
    <w:rsid w:val="074A4085"/>
    <w:rsid w:val="074D28FE"/>
    <w:rsid w:val="074E51C9"/>
    <w:rsid w:val="07520C39"/>
    <w:rsid w:val="07636392"/>
    <w:rsid w:val="076B4264"/>
    <w:rsid w:val="076C1850"/>
    <w:rsid w:val="07770C56"/>
    <w:rsid w:val="078A2181"/>
    <w:rsid w:val="079C46CA"/>
    <w:rsid w:val="07B04872"/>
    <w:rsid w:val="07B23FB7"/>
    <w:rsid w:val="07D47EB4"/>
    <w:rsid w:val="07D52DBD"/>
    <w:rsid w:val="07D608AC"/>
    <w:rsid w:val="07FE2A6B"/>
    <w:rsid w:val="082F71EB"/>
    <w:rsid w:val="082F74EE"/>
    <w:rsid w:val="08320404"/>
    <w:rsid w:val="084B3241"/>
    <w:rsid w:val="085602B5"/>
    <w:rsid w:val="08646E76"/>
    <w:rsid w:val="08740015"/>
    <w:rsid w:val="087C3485"/>
    <w:rsid w:val="0881033B"/>
    <w:rsid w:val="089A6687"/>
    <w:rsid w:val="08B23E57"/>
    <w:rsid w:val="08BA6A96"/>
    <w:rsid w:val="08C763C3"/>
    <w:rsid w:val="08D548A5"/>
    <w:rsid w:val="08EB6C4F"/>
    <w:rsid w:val="08EF3D5E"/>
    <w:rsid w:val="08FA6E92"/>
    <w:rsid w:val="09047ACD"/>
    <w:rsid w:val="090E2B9B"/>
    <w:rsid w:val="091C32AD"/>
    <w:rsid w:val="092217DD"/>
    <w:rsid w:val="09246605"/>
    <w:rsid w:val="093A7294"/>
    <w:rsid w:val="09532A47"/>
    <w:rsid w:val="09534608"/>
    <w:rsid w:val="0955056D"/>
    <w:rsid w:val="095D65CD"/>
    <w:rsid w:val="09656ADE"/>
    <w:rsid w:val="09657FA5"/>
    <w:rsid w:val="09682CD0"/>
    <w:rsid w:val="09725063"/>
    <w:rsid w:val="09750C0F"/>
    <w:rsid w:val="098D7543"/>
    <w:rsid w:val="098F6F1D"/>
    <w:rsid w:val="09A83207"/>
    <w:rsid w:val="09AF7830"/>
    <w:rsid w:val="09B279E7"/>
    <w:rsid w:val="09B6460A"/>
    <w:rsid w:val="09B873D2"/>
    <w:rsid w:val="09E0077E"/>
    <w:rsid w:val="09EC7F85"/>
    <w:rsid w:val="09FC30DE"/>
    <w:rsid w:val="0A047FD7"/>
    <w:rsid w:val="0A0A75A9"/>
    <w:rsid w:val="0A0B50CF"/>
    <w:rsid w:val="0A1C7267"/>
    <w:rsid w:val="0A263993"/>
    <w:rsid w:val="0A2D3AC2"/>
    <w:rsid w:val="0A3665F0"/>
    <w:rsid w:val="0A3D21A7"/>
    <w:rsid w:val="0A4E5BF0"/>
    <w:rsid w:val="0A4F76B2"/>
    <w:rsid w:val="0A8B0AD3"/>
    <w:rsid w:val="0A936082"/>
    <w:rsid w:val="0A981727"/>
    <w:rsid w:val="0AA03161"/>
    <w:rsid w:val="0AA51080"/>
    <w:rsid w:val="0AA755DF"/>
    <w:rsid w:val="0AAB0D8C"/>
    <w:rsid w:val="0ABA2D7D"/>
    <w:rsid w:val="0ABB2275"/>
    <w:rsid w:val="0ABF53AA"/>
    <w:rsid w:val="0AC5154A"/>
    <w:rsid w:val="0AC67FE8"/>
    <w:rsid w:val="0AD0681F"/>
    <w:rsid w:val="0AD16D4C"/>
    <w:rsid w:val="0AE01506"/>
    <w:rsid w:val="0B0B743A"/>
    <w:rsid w:val="0B0D2FA4"/>
    <w:rsid w:val="0B0E142E"/>
    <w:rsid w:val="0B106461"/>
    <w:rsid w:val="0B120D44"/>
    <w:rsid w:val="0B195150"/>
    <w:rsid w:val="0B3348DE"/>
    <w:rsid w:val="0B47585E"/>
    <w:rsid w:val="0B4765DB"/>
    <w:rsid w:val="0B4B7C0B"/>
    <w:rsid w:val="0B595CDF"/>
    <w:rsid w:val="0B5A3FB5"/>
    <w:rsid w:val="0B5D195B"/>
    <w:rsid w:val="0B6A1AF2"/>
    <w:rsid w:val="0B720F52"/>
    <w:rsid w:val="0B8922C2"/>
    <w:rsid w:val="0B8B64C8"/>
    <w:rsid w:val="0B99729E"/>
    <w:rsid w:val="0BA2652E"/>
    <w:rsid w:val="0BA47589"/>
    <w:rsid w:val="0BC461AA"/>
    <w:rsid w:val="0BC74536"/>
    <w:rsid w:val="0BD27BF6"/>
    <w:rsid w:val="0BDA4452"/>
    <w:rsid w:val="0BF54169"/>
    <w:rsid w:val="0C394056"/>
    <w:rsid w:val="0C3B3C7D"/>
    <w:rsid w:val="0C5816BA"/>
    <w:rsid w:val="0C647210"/>
    <w:rsid w:val="0C7015F6"/>
    <w:rsid w:val="0C751537"/>
    <w:rsid w:val="0C7E427E"/>
    <w:rsid w:val="0C833E6B"/>
    <w:rsid w:val="0CA33CAD"/>
    <w:rsid w:val="0CAB2EAE"/>
    <w:rsid w:val="0CB422C4"/>
    <w:rsid w:val="0CBA2BC7"/>
    <w:rsid w:val="0CC579AD"/>
    <w:rsid w:val="0CEA099D"/>
    <w:rsid w:val="0CEC568C"/>
    <w:rsid w:val="0CFB7007"/>
    <w:rsid w:val="0D0621B5"/>
    <w:rsid w:val="0D1878DF"/>
    <w:rsid w:val="0D214C69"/>
    <w:rsid w:val="0D264362"/>
    <w:rsid w:val="0D324650"/>
    <w:rsid w:val="0D4960AB"/>
    <w:rsid w:val="0D4A6698"/>
    <w:rsid w:val="0D621C7D"/>
    <w:rsid w:val="0D8C552B"/>
    <w:rsid w:val="0D9378B6"/>
    <w:rsid w:val="0D97752C"/>
    <w:rsid w:val="0D9E73BE"/>
    <w:rsid w:val="0DA52C5E"/>
    <w:rsid w:val="0DA578F2"/>
    <w:rsid w:val="0DA91EF6"/>
    <w:rsid w:val="0DB03AF2"/>
    <w:rsid w:val="0DB711B7"/>
    <w:rsid w:val="0DC42165"/>
    <w:rsid w:val="0DC440B5"/>
    <w:rsid w:val="0DDB3E93"/>
    <w:rsid w:val="0DE14474"/>
    <w:rsid w:val="0DE8250B"/>
    <w:rsid w:val="0DE84DA4"/>
    <w:rsid w:val="0DF546A6"/>
    <w:rsid w:val="0E1522EB"/>
    <w:rsid w:val="0E1C6AA6"/>
    <w:rsid w:val="0E226592"/>
    <w:rsid w:val="0E2B422F"/>
    <w:rsid w:val="0E3D1EB3"/>
    <w:rsid w:val="0E5060BC"/>
    <w:rsid w:val="0E51092F"/>
    <w:rsid w:val="0E5232CD"/>
    <w:rsid w:val="0E73034D"/>
    <w:rsid w:val="0E737252"/>
    <w:rsid w:val="0E767EE2"/>
    <w:rsid w:val="0E847131"/>
    <w:rsid w:val="0E9354BF"/>
    <w:rsid w:val="0E9674AC"/>
    <w:rsid w:val="0EA06C4A"/>
    <w:rsid w:val="0EA110D2"/>
    <w:rsid w:val="0EA224A6"/>
    <w:rsid w:val="0EAC581A"/>
    <w:rsid w:val="0EBD415F"/>
    <w:rsid w:val="0ECA6809"/>
    <w:rsid w:val="0EF132C5"/>
    <w:rsid w:val="0F0B712D"/>
    <w:rsid w:val="0F13775A"/>
    <w:rsid w:val="0F1D2E59"/>
    <w:rsid w:val="0F226DAC"/>
    <w:rsid w:val="0F264E85"/>
    <w:rsid w:val="0F2C692E"/>
    <w:rsid w:val="0F5F45FE"/>
    <w:rsid w:val="0F786D63"/>
    <w:rsid w:val="0F822BE8"/>
    <w:rsid w:val="0F963A48"/>
    <w:rsid w:val="0F9A112B"/>
    <w:rsid w:val="0FA3553D"/>
    <w:rsid w:val="0FB5328E"/>
    <w:rsid w:val="0FB8763D"/>
    <w:rsid w:val="0FDF2F6F"/>
    <w:rsid w:val="0FEF3459"/>
    <w:rsid w:val="0FF368D8"/>
    <w:rsid w:val="0FF44257"/>
    <w:rsid w:val="10166221"/>
    <w:rsid w:val="101A25C2"/>
    <w:rsid w:val="10201B59"/>
    <w:rsid w:val="1025513D"/>
    <w:rsid w:val="10684AB4"/>
    <w:rsid w:val="106D2F64"/>
    <w:rsid w:val="10727C56"/>
    <w:rsid w:val="1078319E"/>
    <w:rsid w:val="10807D58"/>
    <w:rsid w:val="10861C68"/>
    <w:rsid w:val="10894856"/>
    <w:rsid w:val="10AE725F"/>
    <w:rsid w:val="10B131E0"/>
    <w:rsid w:val="10B574D8"/>
    <w:rsid w:val="10B63710"/>
    <w:rsid w:val="10D75D0B"/>
    <w:rsid w:val="10DB41CE"/>
    <w:rsid w:val="10DC1574"/>
    <w:rsid w:val="10E21987"/>
    <w:rsid w:val="10F10820"/>
    <w:rsid w:val="10FB587F"/>
    <w:rsid w:val="111C2F7A"/>
    <w:rsid w:val="1127351F"/>
    <w:rsid w:val="113546FF"/>
    <w:rsid w:val="1158043D"/>
    <w:rsid w:val="115B2587"/>
    <w:rsid w:val="11665CA1"/>
    <w:rsid w:val="116F4196"/>
    <w:rsid w:val="11773341"/>
    <w:rsid w:val="11913A22"/>
    <w:rsid w:val="11A55CF0"/>
    <w:rsid w:val="11AE00FA"/>
    <w:rsid w:val="11D44275"/>
    <w:rsid w:val="11D72467"/>
    <w:rsid w:val="11E071A5"/>
    <w:rsid w:val="11E66A46"/>
    <w:rsid w:val="11E82C73"/>
    <w:rsid w:val="120050C1"/>
    <w:rsid w:val="12025B77"/>
    <w:rsid w:val="12055142"/>
    <w:rsid w:val="12062478"/>
    <w:rsid w:val="1206458E"/>
    <w:rsid w:val="12132BAA"/>
    <w:rsid w:val="12135D6D"/>
    <w:rsid w:val="12187D0A"/>
    <w:rsid w:val="12267AD6"/>
    <w:rsid w:val="1252680D"/>
    <w:rsid w:val="128C2ACC"/>
    <w:rsid w:val="1299771C"/>
    <w:rsid w:val="12BB3B36"/>
    <w:rsid w:val="12D65BBC"/>
    <w:rsid w:val="12F441BA"/>
    <w:rsid w:val="130D1574"/>
    <w:rsid w:val="130F5D70"/>
    <w:rsid w:val="13122BDD"/>
    <w:rsid w:val="13307389"/>
    <w:rsid w:val="13644D78"/>
    <w:rsid w:val="136C6BDF"/>
    <w:rsid w:val="13786839"/>
    <w:rsid w:val="13951726"/>
    <w:rsid w:val="139E19ED"/>
    <w:rsid w:val="13A24E7E"/>
    <w:rsid w:val="13B66AF2"/>
    <w:rsid w:val="13B81780"/>
    <w:rsid w:val="13D1738A"/>
    <w:rsid w:val="13D92D98"/>
    <w:rsid w:val="13D96978"/>
    <w:rsid w:val="13F07810"/>
    <w:rsid w:val="14042535"/>
    <w:rsid w:val="140A1EFA"/>
    <w:rsid w:val="140E2BA2"/>
    <w:rsid w:val="141063FF"/>
    <w:rsid w:val="141D612B"/>
    <w:rsid w:val="142312B0"/>
    <w:rsid w:val="142A35E9"/>
    <w:rsid w:val="14331E76"/>
    <w:rsid w:val="14396509"/>
    <w:rsid w:val="143F2E71"/>
    <w:rsid w:val="1441502F"/>
    <w:rsid w:val="14424448"/>
    <w:rsid w:val="144A465D"/>
    <w:rsid w:val="144E4536"/>
    <w:rsid w:val="145674F8"/>
    <w:rsid w:val="145733F5"/>
    <w:rsid w:val="14600573"/>
    <w:rsid w:val="146938CB"/>
    <w:rsid w:val="146A4ED9"/>
    <w:rsid w:val="146C0224"/>
    <w:rsid w:val="1475188E"/>
    <w:rsid w:val="14943FAC"/>
    <w:rsid w:val="149E54BE"/>
    <w:rsid w:val="14AD5EF9"/>
    <w:rsid w:val="14C83619"/>
    <w:rsid w:val="14CB3DD9"/>
    <w:rsid w:val="14DD2C3C"/>
    <w:rsid w:val="14EB4D2F"/>
    <w:rsid w:val="15037054"/>
    <w:rsid w:val="15041CE2"/>
    <w:rsid w:val="15260B40"/>
    <w:rsid w:val="155B33AF"/>
    <w:rsid w:val="15604E91"/>
    <w:rsid w:val="156E6271"/>
    <w:rsid w:val="15750772"/>
    <w:rsid w:val="157B7392"/>
    <w:rsid w:val="15932B49"/>
    <w:rsid w:val="15940DC7"/>
    <w:rsid w:val="159A1E81"/>
    <w:rsid w:val="159C7A7A"/>
    <w:rsid w:val="15A154B1"/>
    <w:rsid w:val="15B86F82"/>
    <w:rsid w:val="15C50EF2"/>
    <w:rsid w:val="15E52D11"/>
    <w:rsid w:val="15E566D2"/>
    <w:rsid w:val="15EF3AF7"/>
    <w:rsid w:val="15F91E1F"/>
    <w:rsid w:val="16010E50"/>
    <w:rsid w:val="16087E1D"/>
    <w:rsid w:val="160A6A90"/>
    <w:rsid w:val="160C6167"/>
    <w:rsid w:val="160F5653"/>
    <w:rsid w:val="161C3F4E"/>
    <w:rsid w:val="161C5620"/>
    <w:rsid w:val="162A607A"/>
    <w:rsid w:val="163E2DAF"/>
    <w:rsid w:val="164352DE"/>
    <w:rsid w:val="164E6403"/>
    <w:rsid w:val="165D2399"/>
    <w:rsid w:val="16646CBF"/>
    <w:rsid w:val="166F1A1C"/>
    <w:rsid w:val="16747941"/>
    <w:rsid w:val="169A7F07"/>
    <w:rsid w:val="16D6197A"/>
    <w:rsid w:val="16D83AF9"/>
    <w:rsid w:val="16DB6903"/>
    <w:rsid w:val="16E9178B"/>
    <w:rsid w:val="16F2389F"/>
    <w:rsid w:val="16FC0ECA"/>
    <w:rsid w:val="1720665E"/>
    <w:rsid w:val="17304C92"/>
    <w:rsid w:val="17331358"/>
    <w:rsid w:val="173835BD"/>
    <w:rsid w:val="174E374F"/>
    <w:rsid w:val="17516470"/>
    <w:rsid w:val="176C0E10"/>
    <w:rsid w:val="17701D14"/>
    <w:rsid w:val="17735226"/>
    <w:rsid w:val="177D0439"/>
    <w:rsid w:val="17833069"/>
    <w:rsid w:val="17866FF6"/>
    <w:rsid w:val="17966920"/>
    <w:rsid w:val="17A10E21"/>
    <w:rsid w:val="17D44B46"/>
    <w:rsid w:val="17DF15DC"/>
    <w:rsid w:val="17EB5616"/>
    <w:rsid w:val="1807036B"/>
    <w:rsid w:val="180C273E"/>
    <w:rsid w:val="18192FD1"/>
    <w:rsid w:val="181A6E09"/>
    <w:rsid w:val="18402D58"/>
    <w:rsid w:val="185136BC"/>
    <w:rsid w:val="18564D60"/>
    <w:rsid w:val="18572A59"/>
    <w:rsid w:val="18611290"/>
    <w:rsid w:val="18673E19"/>
    <w:rsid w:val="18971779"/>
    <w:rsid w:val="189B078B"/>
    <w:rsid w:val="189F624C"/>
    <w:rsid w:val="18B206C7"/>
    <w:rsid w:val="18B427A7"/>
    <w:rsid w:val="18B81C45"/>
    <w:rsid w:val="18CA719D"/>
    <w:rsid w:val="18CF3DC3"/>
    <w:rsid w:val="18D5590A"/>
    <w:rsid w:val="18E424CF"/>
    <w:rsid w:val="18EA08B7"/>
    <w:rsid w:val="18EB505F"/>
    <w:rsid w:val="18F5280B"/>
    <w:rsid w:val="190A1374"/>
    <w:rsid w:val="190F75BD"/>
    <w:rsid w:val="191B073C"/>
    <w:rsid w:val="191C1FC7"/>
    <w:rsid w:val="19287A4C"/>
    <w:rsid w:val="193E726F"/>
    <w:rsid w:val="193F5EA4"/>
    <w:rsid w:val="1954439D"/>
    <w:rsid w:val="19593FEB"/>
    <w:rsid w:val="195C5947"/>
    <w:rsid w:val="19630A84"/>
    <w:rsid w:val="19674B93"/>
    <w:rsid w:val="196A001E"/>
    <w:rsid w:val="196F7429"/>
    <w:rsid w:val="19726471"/>
    <w:rsid w:val="1978076A"/>
    <w:rsid w:val="197875C9"/>
    <w:rsid w:val="197A314C"/>
    <w:rsid w:val="197B7411"/>
    <w:rsid w:val="198736E1"/>
    <w:rsid w:val="199578AF"/>
    <w:rsid w:val="199B2B00"/>
    <w:rsid w:val="19B17485"/>
    <w:rsid w:val="19BC4AAD"/>
    <w:rsid w:val="19C65BC3"/>
    <w:rsid w:val="19D9031C"/>
    <w:rsid w:val="19EA71F3"/>
    <w:rsid w:val="1A0E3D51"/>
    <w:rsid w:val="1A1C66C0"/>
    <w:rsid w:val="1A2D6C47"/>
    <w:rsid w:val="1A3A0707"/>
    <w:rsid w:val="1A405943"/>
    <w:rsid w:val="1A42393B"/>
    <w:rsid w:val="1A510F6D"/>
    <w:rsid w:val="1A542BD8"/>
    <w:rsid w:val="1A5959E3"/>
    <w:rsid w:val="1A665880"/>
    <w:rsid w:val="1A736965"/>
    <w:rsid w:val="1A7A30CC"/>
    <w:rsid w:val="1A820ED0"/>
    <w:rsid w:val="1A9032C0"/>
    <w:rsid w:val="1A9133CF"/>
    <w:rsid w:val="1AAD45DE"/>
    <w:rsid w:val="1AB95D12"/>
    <w:rsid w:val="1AC3546F"/>
    <w:rsid w:val="1ADA6AB0"/>
    <w:rsid w:val="1AEB0BFD"/>
    <w:rsid w:val="1AEB2CF4"/>
    <w:rsid w:val="1AEF7B1B"/>
    <w:rsid w:val="1B046F80"/>
    <w:rsid w:val="1B1C6B2E"/>
    <w:rsid w:val="1B1F6C2C"/>
    <w:rsid w:val="1B3267B5"/>
    <w:rsid w:val="1B361E84"/>
    <w:rsid w:val="1B40161D"/>
    <w:rsid w:val="1B441859"/>
    <w:rsid w:val="1B632D6D"/>
    <w:rsid w:val="1B6606B1"/>
    <w:rsid w:val="1B66485B"/>
    <w:rsid w:val="1B6B5D9F"/>
    <w:rsid w:val="1B701236"/>
    <w:rsid w:val="1B8457D0"/>
    <w:rsid w:val="1B880CBD"/>
    <w:rsid w:val="1B8C2514"/>
    <w:rsid w:val="1B916982"/>
    <w:rsid w:val="1B9E3FF5"/>
    <w:rsid w:val="1BA44D26"/>
    <w:rsid w:val="1BA95B7E"/>
    <w:rsid w:val="1BB67591"/>
    <w:rsid w:val="1BE12964"/>
    <w:rsid w:val="1BEB17C2"/>
    <w:rsid w:val="1BFB4A87"/>
    <w:rsid w:val="1C1116FE"/>
    <w:rsid w:val="1C171C7E"/>
    <w:rsid w:val="1C2620CE"/>
    <w:rsid w:val="1C316C17"/>
    <w:rsid w:val="1C4050AC"/>
    <w:rsid w:val="1C4A662F"/>
    <w:rsid w:val="1C5E7925"/>
    <w:rsid w:val="1C625023"/>
    <w:rsid w:val="1C664643"/>
    <w:rsid w:val="1C694603"/>
    <w:rsid w:val="1C6E11BF"/>
    <w:rsid w:val="1C784966"/>
    <w:rsid w:val="1C7C1A98"/>
    <w:rsid w:val="1C841BD4"/>
    <w:rsid w:val="1C981DA6"/>
    <w:rsid w:val="1CA707BF"/>
    <w:rsid w:val="1CAE7202"/>
    <w:rsid w:val="1CB00C23"/>
    <w:rsid w:val="1CB03FE0"/>
    <w:rsid w:val="1CEA5F90"/>
    <w:rsid w:val="1CFD070F"/>
    <w:rsid w:val="1D067536"/>
    <w:rsid w:val="1D0E1CF4"/>
    <w:rsid w:val="1D104987"/>
    <w:rsid w:val="1D1C3424"/>
    <w:rsid w:val="1D2759D6"/>
    <w:rsid w:val="1D364F15"/>
    <w:rsid w:val="1D464C1A"/>
    <w:rsid w:val="1D4802C0"/>
    <w:rsid w:val="1D5F6196"/>
    <w:rsid w:val="1D6132A5"/>
    <w:rsid w:val="1D8E56D5"/>
    <w:rsid w:val="1D9751A0"/>
    <w:rsid w:val="1DA532D0"/>
    <w:rsid w:val="1DB679D4"/>
    <w:rsid w:val="1DC6292F"/>
    <w:rsid w:val="1DF75C3F"/>
    <w:rsid w:val="1E005860"/>
    <w:rsid w:val="1E0968DC"/>
    <w:rsid w:val="1E0B6623"/>
    <w:rsid w:val="1E24221B"/>
    <w:rsid w:val="1E257969"/>
    <w:rsid w:val="1E2D2C13"/>
    <w:rsid w:val="1E2E304D"/>
    <w:rsid w:val="1E2F7B36"/>
    <w:rsid w:val="1E39306D"/>
    <w:rsid w:val="1E3E43A0"/>
    <w:rsid w:val="1E5108BF"/>
    <w:rsid w:val="1E641526"/>
    <w:rsid w:val="1E74779A"/>
    <w:rsid w:val="1E795C5B"/>
    <w:rsid w:val="1E7A43DA"/>
    <w:rsid w:val="1E8E3F6B"/>
    <w:rsid w:val="1E8F09D7"/>
    <w:rsid w:val="1EAA168D"/>
    <w:rsid w:val="1EB42CCA"/>
    <w:rsid w:val="1EBA2EF4"/>
    <w:rsid w:val="1EBF2ED8"/>
    <w:rsid w:val="1ED67532"/>
    <w:rsid w:val="1EDE6ADB"/>
    <w:rsid w:val="1EFA4321"/>
    <w:rsid w:val="1F105781"/>
    <w:rsid w:val="1F1211F9"/>
    <w:rsid w:val="1F335EF3"/>
    <w:rsid w:val="1F3C5FFF"/>
    <w:rsid w:val="1F4C10B2"/>
    <w:rsid w:val="1F526CE4"/>
    <w:rsid w:val="1F5C36D1"/>
    <w:rsid w:val="1F8F4B13"/>
    <w:rsid w:val="1F9C3F83"/>
    <w:rsid w:val="1FB02549"/>
    <w:rsid w:val="1FB51F9F"/>
    <w:rsid w:val="1FC17B8E"/>
    <w:rsid w:val="1FC62821"/>
    <w:rsid w:val="1FD224BF"/>
    <w:rsid w:val="1FD824ED"/>
    <w:rsid w:val="1FD9209E"/>
    <w:rsid w:val="1FDC6E9A"/>
    <w:rsid w:val="1FE7539E"/>
    <w:rsid w:val="1FF17563"/>
    <w:rsid w:val="1FF46124"/>
    <w:rsid w:val="1FFB7C68"/>
    <w:rsid w:val="1FFE3AFC"/>
    <w:rsid w:val="20043A7C"/>
    <w:rsid w:val="200D447D"/>
    <w:rsid w:val="2018566E"/>
    <w:rsid w:val="201A1A93"/>
    <w:rsid w:val="201F4A19"/>
    <w:rsid w:val="202932D1"/>
    <w:rsid w:val="205A3A16"/>
    <w:rsid w:val="20600496"/>
    <w:rsid w:val="20671BE0"/>
    <w:rsid w:val="2090680E"/>
    <w:rsid w:val="20910DC6"/>
    <w:rsid w:val="2096330E"/>
    <w:rsid w:val="20963CB8"/>
    <w:rsid w:val="209A522F"/>
    <w:rsid w:val="20A4004F"/>
    <w:rsid w:val="20A81A1B"/>
    <w:rsid w:val="20B07FB6"/>
    <w:rsid w:val="20B646FB"/>
    <w:rsid w:val="20B6593D"/>
    <w:rsid w:val="20BE2A44"/>
    <w:rsid w:val="20CC3D1F"/>
    <w:rsid w:val="20CF5EEB"/>
    <w:rsid w:val="20DB53A4"/>
    <w:rsid w:val="20DF33CB"/>
    <w:rsid w:val="20EA73B3"/>
    <w:rsid w:val="20F26F18"/>
    <w:rsid w:val="210745BD"/>
    <w:rsid w:val="2115049D"/>
    <w:rsid w:val="21190222"/>
    <w:rsid w:val="212D0749"/>
    <w:rsid w:val="213B3486"/>
    <w:rsid w:val="213B74B1"/>
    <w:rsid w:val="2144559A"/>
    <w:rsid w:val="2148258B"/>
    <w:rsid w:val="215A2310"/>
    <w:rsid w:val="217D46AD"/>
    <w:rsid w:val="218A553C"/>
    <w:rsid w:val="219D6A30"/>
    <w:rsid w:val="21A206FC"/>
    <w:rsid w:val="21B15522"/>
    <w:rsid w:val="21BC3427"/>
    <w:rsid w:val="21BE719F"/>
    <w:rsid w:val="21C57ADF"/>
    <w:rsid w:val="21CD139E"/>
    <w:rsid w:val="21D4251F"/>
    <w:rsid w:val="21DE318A"/>
    <w:rsid w:val="21E07110"/>
    <w:rsid w:val="21E51274"/>
    <w:rsid w:val="21EA6DCA"/>
    <w:rsid w:val="21EF5B80"/>
    <w:rsid w:val="21F07EE5"/>
    <w:rsid w:val="21FA45D5"/>
    <w:rsid w:val="221246E4"/>
    <w:rsid w:val="222E066B"/>
    <w:rsid w:val="222E6BCA"/>
    <w:rsid w:val="22327245"/>
    <w:rsid w:val="22356AC4"/>
    <w:rsid w:val="223E7B1A"/>
    <w:rsid w:val="2253069C"/>
    <w:rsid w:val="22576990"/>
    <w:rsid w:val="226F5101"/>
    <w:rsid w:val="22723AE6"/>
    <w:rsid w:val="22727E95"/>
    <w:rsid w:val="227310AD"/>
    <w:rsid w:val="22831E0A"/>
    <w:rsid w:val="2286654D"/>
    <w:rsid w:val="22893E83"/>
    <w:rsid w:val="229B48BB"/>
    <w:rsid w:val="229D5007"/>
    <w:rsid w:val="22A31018"/>
    <w:rsid w:val="22AB145E"/>
    <w:rsid w:val="22AD2A07"/>
    <w:rsid w:val="22B1730B"/>
    <w:rsid w:val="22B80C7B"/>
    <w:rsid w:val="22B91884"/>
    <w:rsid w:val="22CC62E4"/>
    <w:rsid w:val="22CD06BB"/>
    <w:rsid w:val="22D1725F"/>
    <w:rsid w:val="22D622C7"/>
    <w:rsid w:val="22E24FFA"/>
    <w:rsid w:val="22F132D1"/>
    <w:rsid w:val="22F47480"/>
    <w:rsid w:val="22F84D1D"/>
    <w:rsid w:val="22F91B6D"/>
    <w:rsid w:val="23006217"/>
    <w:rsid w:val="23241284"/>
    <w:rsid w:val="23244DE0"/>
    <w:rsid w:val="232754DC"/>
    <w:rsid w:val="232D469B"/>
    <w:rsid w:val="23384D2F"/>
    <w:rsid w:val="23586A43"/>
    <w:rsid w:val="23733FB9"/>
    <w:rsid w:val="23751ADF"/>
    <w:rsid w:val="23761EFE"/>
    <w:rsid w:val="237A70F6"/>
    <w:rsid w:val="238C2198"/>
    <w:rsid w:val="23957680"/>
    <w:rsid w:val="239C52BE"/>
    <w:rsid w:val="23C120FD"/>
    <w:rsid w:val="23C142AF"/>
    <w:rsid w:val="23DE1C48"/>
    <w:rsid w:val="23E05ADF"/>
    <w:rsid w:val="23E1776D"/>
    <w:rsid w:val="23EB1DA2"/>
    <w:rsid w:val="23FD052A"/>
    <w:rsid w:val="23FD09EB"/>
    <w:rsid w:val="240210CD"/>
    <w:rsid w:val="240E63DA"/>
    <w:rsid w:val="2420450D"/>
    <w:rsid w:val="24311EAA"/>
    <w:rsid w:val="243472A5"/>
    <w:rsid w:val="2437261A"/>
    <w:rsid w:val="24386823"/>
    <w:rsid w:val="244C4A55"/>
    <w:rsid w:val="2473547F"/>
    <w:rsid w:val="249A22F7"/>
    <w:rsid w:val="24A44759"/>
    <w:rsid w:val="24B425BF"/>
    <w:rsid w:val="24BF09F7"/>
    <w:rsid w:val="24C34ACD"/>
    <w:rsid w:val="24C76862"/>
    <w:rsid w:val="24CE594B"/>
    <w:rsid w:val="24CF7D28"/>
    <w:rsid w:val="24E74595"/>
    <w:rsid w:val="24FE2616"/>
    <w:rsid w:val="25172148"/>
    <w:rsid w:val="25274289"/>
    <w:rsid w:val="252A3304"/>
    <w:rsid w:val="252D53FE"/>
    <w:rsid w:val="25367D05"/>
    <w:rsid w:val="253C555F"/>
    <w:rsid w:val="253F12C4"/>
    <w:rsid w:val="25477EDF"/>
    <w:rsid w:val="254B70B5"/>
    <w:rsid w:val="254B78DB"/>
    <w:rsid w:val="25551BC9"/>
    <w:rsid w:val="255A57BE"/>
    <w:rsid w:val="25951FC5"/>
    <w:rsid w:val="25B84E12"/>
    <w:rsid w:val="25CD7AAF"/>
    <w:rsid w:val="25EC2D81"/>
    <w:rsid w:val="26230FA0"/>
    <w:rsid w:val="263C680C"/>
    <w:rsid w:val="26571970"/>
    <w:rsid w:val="265E4AAD"/>
    <w:rsid w:val="266A1AC6"/>
    <w:rsid w:val="26973157"/>
    <w:rsid w:val="269955A3"/>
    <w:rsid w:val="269E30FB"/>
    <w:rsid w:val="26B34821"/>
    <w:rsid w:val="26B9343F"/>
    <w:rsid w:val="26CD381E"/>
    <w:rsid w:val="26D66D39"/>
    <w:rsid w:val="26E1123A"/>
    <w:rsid w:val="26F03C7F"/>
    <w:rsid w:val="26F72DEE"/>
    <w:rsid w:val="271650D1"/>
    <w:rsid w:val="27260CC1"/>
    <w:rsid w:val="27276D8E"/>
    <w:rsid w:val="272C055E"/>
    <w:rsid w:val="274E6FFC"/>
    <w:rsid w:val="275F3B4D"/>
    <w:rsid w:val="276721DC"/>
    <w:rsid w:val="2767283C"/>
    <w:rsid w:val="277057A2"/>
    <w:rsid w:val="27807F4C"/>
    <w:rsid w:val="279B1C12"/>
    <w:rsid w:val="27A2539B"/>
    <w:rsid w:val="27B9595B"/>
    <w:rsid w:val="27C2106B"/>
    <w:rsid w:val="27C93975"/>
    <w:rsid w:val="27F00E0F"/>
    <w:rsid w:val="28006667"/>
    <w:rsid w:val="28123A6A"/>
    <w:rsid w:val="282E4275"/>
    <w:rsid w:val="28310F7C"/>
    <w:rsid w:val="283D69F1"/>
    <w:rsid w:val="28616AD6"/>
    <w:rsid w:val="286546D6"/>
    <w:rsid w:val="28677514"/>
    <w:rsid w:val="28754330"/>
    <w:rsid w:val="28836F50"/>
    <w:rsid w:val="28984FC9"/>
    <w:rsid w:val="28B906C0"/>
    <w:rsid w:val="28BE0BC6"/>
    <w:rsid w:val="28E21A96"/>
    <w:rsid w:val="28E62050"/>
    <w:rsid w:val="28FB692D"/>
    <w:rsid w:val="290C07F0"/>
    <w:rsid w:val="290E2C3F"/>
    <w:rsid w:val="290E77C8"/>
    <w:rsid w:val="29206EB8"/>
    <w:rsid w:val="292875F4"/>
    <w:rsid w:val="29422464"/>
    <w:rsid w:val="29453D02"/>
    <w:rsid w:val="294E705B"/>
    <w:rsid w:val="295340FC"/>
    <w:rsid w:val="29595666"/>
    <w:rsid w:val="296C2E8C"/>
    <w:rsid w:val="29874881"/>
    <w:rsid w:val="29C508F1"/>
    <w:rsid w:val="29E325E0"/>
    <w:rsid w:val="29E50E06"/>
    <w:rsid w:val="29F562A9"/>
    <w:rsid w:val="2A0140CD"/>
    <w:rsid w:val="2A0844D2"/>
    <w:rsid w:val="2A0D1C19"/>
    <w:rsid w:val="2A0E3239"/>
    <w:rsid w:val="2A2466DE"/>
    <w:rsid w:val="2A2B114A"/>
    <w:rsid w:val="2A452503"/>
    <w:rsid w:val="2A4E1F42"/>
    <w:rsid w:val="2A574438"/>
    <w:rsid w:val="2A5F3A6E"/>
    <w:rsid w:val="2A61691A"/>
    <w:rsid w:val="2A64465C"/>
    <w:rsid w:val="2A683FED"/>
    <w:rsid w:val="2A6E4F0C"/>
    <w:rsid w:val="2A701253"/>
    <w:rsid w:val="2A8146B4"/>
    <w:rsid w:val="2AA333D6"/>
    <w:rsid w:val="2AA41682"/>
    <w:rsid w:val="2AB30CF0"/>
    <w:rsid w:val="2AD64A79"/>
    <w:rsid w:val="2AE551D9"/>
    <w:rsid w:val="2AEF3F25"/>
    <w:rsid w:val="2AF25B01"/>
    <w:rsid w:val="2AF43C32"/>
    <w:rsid w:val="2AFB4FC0"/>
    <w:rsid w:val="2B08148B"/>
    <w:rsid w:val="2B0C2D73"/>
    <w:rsid w:val="2B1242AB"/>
    <w:rsid w:val="2B147E30"/>
    <w:rsid w:val="2B1A50F7"/>
    <w:rsid w:val="2B2C4F62"/>
    <w:rsid w:val="2B362C4B"/>
    <w:rsid w:val="2B3E7332"/>
    <w:rsid w:val="2B3F6788"/>
    <w:rsid w:val="2B543DA6"/>
    <w:rsid w:val="2B591AB7"/>
    <w:rsid w:val="2B6C37C8"/>
    <w:rsid w:val="2B6F5066"/>
    <w:rsid w:val="2B7B14DA"/>
    <w:rsid w:val="2B807273"/>
    <w:rsid w:val="2B866F05"/>
    <w:rsid w:val="2B8C595A"/>
    <w:rsid w:val="2B942BE5"/>
    <w:rsid w:val="2B981D42"/>
    <w:rsid w:val="2B982962"/>
    <w:rsid w:val="2B9926BC"/>
    <w:rsid w:val="2B9A48FC"/>
    <w:rsid w:val="2BA10CAE"/>
    <w:rsid w:val="2BA358E0"/>
    <w:rsid w:val="2BA936A8"/>
    <w:rsid w:val="2BA949A5"/>
    <w:rsid w:val="2BAA2542"/>
    <w:rsid w:val="2BAD79E8"/>
    <w:rsid w:val="2BBB7D77"/>
    <w:rsid w:val="2BC16C21"/>
    <w:rsid w:val="2C043A01"/>
    <w:rsid w:val="2C0650BE"/>
    <w:rsid w:val="2C0925A6"/>
    <w:rsid w:val="2C0E47C8"/>
    <w:rsid w:val="2C13432B"/>
    <w:rsid w:val="2C3050FC"/>
    <w:rsid w:val="2C315A5A"/>
    <w:rsid w:val="2C3A79BB"/>
    <w:rsid w:val="2C3C57C4"/>
    <w:rsid w:val="2C40010F"/>
    <w:rsid w:val="2C401FA8"/>
    <w:rsid w:val="2C4B1C25"/>
    <w:rsid w:val="2C4C013D"/>
    <w:rsid w:val="2C5B36F0"/>
    <w:rsid w:val="2C691785"/>
    <w:rsid w:val="2C6F2083"/>
    <w:rsid w:val="2C85080A"/>
    <w:rsid w:val="2C934382"/>
    <w:rsid w:val="2CBD0F9D"/>
    <w:rsid w:val="2CC55405"/>
    <w:rsid w:val="2CDE4E09"/>
    <w:rsid w:val="2CEF2903"/>
    <w:rsid w:val="2CEF5F76"/>
    <w:rsid w:val="2CFE139F"/>
    <w:rsid w:val="2D182FFA"/>
    <w:rsid w:val="2D2823D8"/>
    <w:rsid w:val="2D342A15"/>
    <w:rsid w:val="2D4C5C10"/>
    <w:rsid w:val="2D4F7774"/>
    <w:rsid w:val="2D823554"/>
    <w:rsid w:val="2D9E56F5"/>
    <w:rsid w:val="2DB104F0"/>
    <w:rsid w:val="2DBE6700"/>
    <w:rsid w:val="2DC45881"/>
    <w:rsid w:val="2DC77C2F"/>
    <w:rsid w:val="2DD52E33"/>
    <w:rsid w:val="2DD74937"/>
    <w:rsid w:val="2DD94D7A"/>
    <w:rsid w:val="2DDE0446"/>
    <w:rsid w:val="2DE23EA9"/>
    <w:rsid w:val="2DF31F7F"/>
    <w:rsid w:val="2DFC3D52"/>
    <w:rsid w:val="2E073C7C"/>
    <w:rsid w:val="2E0F2B31"/>
    <w:rsid w:val="2E0F7491"/>
    <w:rsid w:val="2E176F24"/>
    <w:rsid w:val="2E220AB6"/>
    <w:rsid w:val="2E286D5E"/>
    <w:rsid w:val="2E293BF2"/>
    <w:rsid w:val="2E656C65"/>
    <w:rsid w:val="2E667F96"/>
    <w:rsid w:val="2E7F4FD3"/>
    <w:rsid w:val="2E8226AB"/>
    <w:rsid w:val="2EB621D8"/>
    <w:rsid w:val="2EB74023"/>
    <w:rsid w:val="2ED07CF1"/>
    <w:rsid w:val="2EF064BE"/>
    <w:rsid w:val="2EF7784D"/>
    <w:rsid w:val="2EFE112F"/>
    <w:rsid w:val="2F044E5F"/>
    <w:rsid w:val="2F203569"/>
    <w:rsid w:val="2F242423"/>
    <w:rsid w:val="2F264066"/>
    <w:rsid w:val="2F2A7C22"/>
    <w:rsid w:val="2F3F0ED9"/>
    <w:rsid w:val="2F4278F8"/>
    <w:rsid w:val="2F44693A"/>
    <w:rsid w:val="2F5649B4"/>
    <w:rsid w:val="2F576443"/>
    <w:rsid w:val="2F5F38F0"/>
    <w:rsid w:val="2F7C687E"/>
    <w:rsid w:val="2F831EFA"/>
    <w:rsid w:val="2FA122B6"/>
    <w:rsid w:val="2FC55B9D"/>
    <w:rsid w:val="2FD065E6"/>
    <w:rsid w:val="2FD44CE7"/>
    <w:rsid w:val="2FD5161D"/>
    <w:rsid w:val="2FD6068B"/>
    <w:rsid w:val="2FD96870"/>
    <w:rsid w:val="2FE16BE0"/>
    <w:rsid w:val="2FE91AFB"/>
    <w:rsid w:val="2FF700B2"/>
    <w:rsid w:val="2FFE2E5D"/>
    <w:rsid w:val="30012C9D"/>
    <w:rsid w:val="30120C82"/>
    <w:rsid w:val="30193E2B"/>
    <w:rsid w:val="301D31FA"/>
    <w:rsid w:val="301F057F"/>
    <w:rsid w:val="303D04D4"/>
    <w:rsid w:val="30433495"/>
    <w:rsid w:val="30580BC9"/>
    <w:rsid w:val="30587B48"/>
    <w:rsid w:val="305A62E5"/>
    <w:rsid w:val="309F7E1F"/>
    <w:rsid w:val="30A368B7"/>
    <w:rsid w:val="30A64828"/>
    <w:rsid w:val="30BA0EDC"/>
    <w:rsid w:val="30F076FF"/>
    <w:rsid w:val="30FC114A"/>
    <w:rsid w:val="30FF2EAD"/>
    <w:rsid w:val="310A6261"/>
    <w:rsid w:val="310C3CE5"/>
    <w:rsid w:val="310F6EED"/>
    <w:rsid w:val="3115045E"/>
    <w:rsid w:val="311E2ED7"/>
    <w:rsid w:val="313C3C3D"/>
    <w:rsid w:val="31503CFC"/>
    <w:rsid w:val="31540F86"/>
    <w:rsid w:val="315619EE"/>
    <w:rsid w:val="315C2D99"/>
    <w:rsid w:val="315C449C"/>
    <w:rsid w:val="31692558"/>
    <w:rsid w:val="31954C2A"/>
    <w:rsid w:val="319B669A"/>
    <w:rsid w:val="31AD6854"/>
    <w:rsid w:val="31B82709"/>
    <w:rsid w:val="31C05444"/>
    <w:rsid w:val="31C6085B"/>
    <w:rsid w:val="31D05482"/>
    <w:rsid w:val="31D64091"/>
    <w:rsid w:val="31D71CC2"/>
    <w:rsid w:val="31E061A0"/>
    <w:rsid w:val="31FD6038"/>
    <w:rsid w:val="32085AE3"/>
    <w:rsid w:val="32172601"/>
    <w:rsid w:val="3234700A"/>
    <w:rsid w:val="323C249E"/>
    <w:rsid w:val="323C423F"/>
    <w:rsid w:val="32400B34"/>
    <w:rsid w:val="324059AE"/>
    <w:rsid w:val="324A461C"/>
    <w:rsid w:val="324E333F"/>
    <w:rsid w:val="3264199E"/>
    <w:rsid w:val="326633E6"/>
    <w:rsid w:val="326D048D"/>
    <w:rsid w:val="326D4474"/>
    <w:rsid w:val="32734F44"/>
    <w:rsid w:val="32755BEE"/>
    <w:rsid w:val="32757CBE"/>
    <w:rsid w:val="328E2789"/>
    <w:rsid w:val="329E6876"/>
    <w:rsid w:val="32AB72CC"/>
    <w:rsid w:val="32B11C3C"/>
    <w:rsid w:val="32B54E7F"/>
    <w:rsid w:val="32C20171"/>
    <w:rsid w:val="32C4213C"/>
    <w:rsid w:val="32CA6419"/>
    <w:rsid w:val="32D77EB3"/>
    <w:rsid w:val="32E672DE"/>
    <w:rsid w:val="32E73859"/>
    <w:rsid w:val="32EC2BBD"/>
    <w:rsid w:val="32F80CB5"/>
    <w:rsid w:val="330B1C53"/>
    <w:rsid w:val="330C5891"/>
    <w:rsid w:val="331F7129"/>
    <w:rsid w:val="332C7BAA"/>
    <w:rsid w:val="333015F2"/>
    <w:rsid w:val="33451645"/>
    <w:rsid w:val="334B6320"/>
    <w:rsid w:val="335116CF"/>
    <w:rsid w:val="33515208"/>
    <w:rsid w:val="33607A35"/>
    <w:rsid w:val="33693C50"/>
    <w:rsid w:val="337B432E"/>
    <w:rsid w:val="339F409E"/>
    <w:rsid w:val="33AD7074"/>
    <w:rsid w:val="33AF19BD"/>
    <w:rsid w:val="33B6491D"/>
    <w:rsid w:val="33BE6B8B"/>
    <w:rsid w:val="33C67C4B"/>
    <w:rsid w:val="33C930D3"/>
    <w:rsid w:val="33D26F33"/>
    <w:rsid w:val="33D934D4"/>
    <w:rsid w:val="33DA26F8"/>
    <w:rsid w:val="33E1138A"/>
    <w:rsid w:val="33E46123"/>
    <w:rsid w:val="33E505BB"/>
    <w:rsid w:val="33E91AA6"/>
    <w:rsid w:val="33FE2F6A"/>
    <w:rsid w:val="34036C94"/>
    <w:rsid w:val="340E07E5"/>
    <w:rsid w:val="341107A5"/>
    <w:rsid w:val="3411756B"/>
    <w:rsid w:val="34235BF7"/>
    <w:rsid w:val="342635C9"/>
    <w:rsid w:val="34460C86"/>
    <w:rsid w:val="3453636E"/>
    <w:rsid w:val="3458496D"/>
    <w:rsid w:val="34687E1F"/>
    <w:rsid w:val="346E2270"/>
    <w:rsid w:val="34743D2C"/>
    <w:rsid w:val="347572C9"/>
    <w:rsid w:val="349166F7"/>
    <w:rsid w:val="349A13A6"/>
    <w:rsid w:val="34A301BF"/>
    <w:rsid w:val="34B306BA"/>
    <w:rsid w:val="34B518B2"/>
    <w:rsid w:val="34B964B9"/>
    <w:rsid w:val="34C1188E"/>
    <w:rsid w:val="34C71F0F"/>
    <w:rsid w:val="34C7781F"/>
    <w:rsid w:val="34CC7004"/>
    <w:rsid w:val="34E61EE5"/>
    <w:rsid w:val="34F407C3"/>
    <w:rsid w:val="34FC5CF2"/>
    <w:rsid w:val="35126C31"/>
    <w:rsid w:val="351B67D3"/>
    <w:rsid w:val="35236EAC"/>
    <w:rsid w:val="352C5D76"/>
    <w:rsid w:val="3542238E"/>
    <w:rsid w:val="35474A3E"/>
    <w:rsid w:val="354E0016"/>
    <w:rsid w:val="3550795E"/>
    <w:rsid w:val="355E246B"/>
    <w:rsid w:val="356D46C3"/>
    <w:rsid w:val="357065AB"/>
    <w:rsid w:val="358373BD"/>
    <w:rsid w:val="358C5FA8"/>
    <w:rsid w:val="35980CFE"/>
    <w:rsid w:val="359E4543"/>
    <w:rsid w:val="35B439A1"/>
    <w:rsid w:val="35C15DF1"/>
    <w:rsid w:val="35D12CED"/>
    <w:rsid w:val="35DE1766"/>
    <w:rsid w:val="35EE2F59"/>
    <w:rsid w:val="36074A7F"/>
    <w:rsid w:val="361566C9"/>
    <w:rsid w:val="3619010D"/>
    <w:rsid w:val="36252EF1"/>
    <w:rsid w:val="36343134"/>
    <w:rsid w:val="36370AB2"/>
    <w:rsid w:val="3638060A"/>
    <w:rsid w:val="3646517F"/>
    <w:rsid w:val="3647730B"/>
    <w:rsid w:val="366067BD"/>
    <w:rsid w:val="366850C4"/>
    <w:rsid w:val="36923549"/>
    <w:rsid w:val="36A4650C"/>
    <w:rsid w:val="36AA33F6"/>
    <w:rsid w:val="36B75FBF"/>
    <w:rsid w:val="36BD0C45"/>
    <w:rsid w:val="36C257D4"/>
    <w:rsid w:val="36D76825"/>
    <w:rsid w:val="36DF789E"/>
    <w:rsid w:val="36E0783A"/>
    <w:rsid w:val="36E122F1"/>
    <w:rsid w:val="37174009"/>
    <w:rsid w:val="37192687"/>
    <w:rsid w:val="372304C4"/>
    <w:rsid w:val="37477D21"/>
    <w:rsid w:val="374A5EAA"/>
    <w:rsid w:val="3752323C"/>
    <w:rsid w:val="37590B61"/>
    <w:rsid w:val="376718FC"/>
    <w:rsid w:val="376B4243"/>
    <w:rsid w:val="37A14871"/>
    <w:rsid w:val="37CA11F5"/>
    <w:rsid w:val="37DC5F59"/>
    <w:rsid w:val="37E00298"/>
    <w:rsid w:val="37E64902"/>
    <w:rsid w:val="38221221"/>
    <w:rsid w:val="382A1474"/>
    <w:rsid w:val="382A2230"/>
    <w:rsid w:val="38303C72"/>
    <w:rsid w:val="38341B11"/>
    <w:rsid w:val="3843615B"/>
    <w:rsid w:val="384F7294"/>
    <w:rsid w:val="38504C09"/>
    <w:rsid w:val="38521F98"/>
    <w:rsid w:val="38523D46"/>
    <w:rsid w:val="385C1D62"/>
    <w:rsid w:val="385C3F53"/>
    <w:rsid w:val="386F289B"/>
    <w:rsid w:val="387F6F51"/>
    <w:rsid w:val="388020DF"/>
    <w:rsid w:val="38A92E45"/>
    <w:rsid w:val="38AB7857"/>
    <w:rsid w:val="38B302F9"/>
    <w:rsid w:val="38B608FC"/>
    <w:rsid w:val="38CA6556"/>
    <w:rsid w:val="38D32E72"/>
    <w:rsid w:val="38E1087F"/>
    <w:rsid w:val="38E52BFB"/>
    <w:rsid w:val="38EF1B03"/>
    <w:rsid w:val="38F12CD3"/>
    <w:rsid w:val="38F75DE3"/>
    <w:rsid w:val="38F94775"/>
    <w:rsid w:val="390A7F0D"/>
    <w:rsid w:val="390E06D3"/>
    <w:rsid w:val="392451D4"/>
    <w:rsid w:val="392971ED"/>
    <w:rsid w:val="392D4A3A"/>
    <w:rsid w:val="392E2F5B"/>
    <w:rsid w:val="39325651"/>
    <w:rsid w:val="3944674A"/>
    <w:rsid w:val="394D4B62"/>
    <w:rsid w:val="394F4949"/>
    <w:rsid w:val="395F671A"/>
    <w:rsid w:val="39635C68"/>
    <w:rsid w:val="39675637"/>
    <w:rsid w:val="39746B71"/>
    <w:rsid w:val="39A046C7"/>
    <w:rsid w:val="39C76956"/>
    <w:rsid w:val="39EA182A"/>
    <w:rsid w:val="39FB3022"/>
    <w:rsid w:val="3A183AA0"/>
    <w:rsid w:val="3A2D4A6A"/>
    <w:rsid w:val="3A2D777E"/>
    <w:rsid w:val="3A316C6E"/>
    <w:rsid w:val="3A3C2F0E"/>
    <w:rsid w:val="3A3F78B6"/>
    <w:rsid w:val="3A5169AB"/>
    <w:rsid w:val="3A591E3F"/>
    <w:rsid w:val="3A5F1212"/>
    <w:rsid w:val="3A61126F"/>
    <w:rsid w:val="3A6453AE"/>
    <w:rsid w:val="3A872856"/>
    <w:rsid w:val="3A972F8C"/>
    <w:rsid w:val="3A9E28BC"/>
    <w:rsid w:val="3AAE15B7"/>
    <w:rsid w:val="3AB35482"/>
    <w:rsid w:val="3ABB0D17"/>
    <w:rsid w:val="3ABF1D3C"/>
    <w:rsid w:val="3AD230DD"/>
    <w:rsid w:val="3AE001C0"/>
    <w:rsid w:val="3AE071C4"/>
    <w:rsid w:val="3B026020"/>
    <w:rsid w:val="3B095E32"/>
    <w:rsid w:val="3B0E7E59"/>
    <w:rsid w:val="3B1F5754"/>
    <w:rsid w:val="3B2D4CD1"/>
    <w:rsid w:val="3B2E7C7A"/>
    <w:rsid w:val="3B304812"/>
    <w:rsid w:val="3B30542C"/>
    <w:rsid w:val="3B3763D1"/>
    <w:rsid w:val="3B3A2D5B"/>
    <w:rsid w:val="3B3D1928"/>
    <w:rsid w:val="3B411EAA"/>
    <w:rsid w:val="3B4C7172"/>
    <w:rsid w:val="3B5148D3"/>
    <w:rsid w:val="3B650C45"/>
    <w:rsid w:val="3B6643B5"/>
    <w:rsid w:val="3B69543D"/>
    <w:rsid w:val="3B7A3CDF"/>
    <w:rsid w:val="3B7D637F"/>
    <w:rsid w:val="3B8065D2"/>
    <w:rsid w:val="3B811D97"/>
    <w:rsid w:val="3B8308D2"/>
    <w:rsid w:val="3B872126"/>
    <w:rsid w:val="3BA42D92"/>
    <w:rsid w:val="3BA64BA2"/>
    <w:rsid w:val="3BB93B35"/>
    <w:rsid w:val="3BD86275"/>
    <w:rsid w:val="3BDE1192"/>
    <w:rsid w:val="3BE70020"/>
    <w:rsid w:val="3BEE647B"/>
    <w:rsid w:val="3C1E6B78"/>
    <w:rsid w:val="3C1F7FD4"/>
    <w:rsid w:val="3C2E569F"/>
    <w:rsid w:val="3C2F6E1E"/>
    <w:rsid w:val="3C303181"/>
    <w:rsid w:val="3C392887"/>
    <w:rsid w:val="3C4F64BA"/>
    <w:rsid w:val="3C500753"/>
    <w:rsid w:val="3C6A0DDD"/>
    <w:rsid w:val="3C77021F"/>
    <w:rsid w:val="3C8E5B9D"/>
    <w:rsid w:val="3C90308E"/>
    <w:rsid w:val="3C9127F8"/>
    <w:rsid w:val="3C9337FB"/>
    <w:rsid w:val="3CB054DF"/>
    <w:rsid w:val="3CB5711D"/>
    <w:rsid w:val="3CB7443F"/>
    <w:rsid w:val="3CBA2F4B"/>
    <w:rsid w:val="3CCE7A8F"/>
    <w:rsid w:val="3CD411CD"/>
    <w:rsid w:val="3CDA245A"/>
    <w:rsid w:val="3CE967E7"/>
    <w:rsid w:val="3CF16761"/>
    <w:rsid w:val="3CF86917"/>
    <w:rsid w:val="3D053A73"/>
    <w:rsid w:val="3D0616F2"/>
    <w:rsid w:val="3D0D1BD0"/>
    <w:rsid w:val="3D0E5556"/>
    <w:rsid w:val="3D153E5D"/>
    <w:rsid w:val="3D1E06B7"/>
    <w:rsid w:val="3D2A6B53"/>
    <w:rsid w:val="3D4C3271"/>
    <w:rsid w:val="3D5D7877"/>
    <w:rsid w:val="3D64203D"/>
    <w:rsid w:val="3D6F1009"/>
    <w:rsid w:val="3D9A6512"/>
    <w:rsid w:val="3D9D38E0"/>
    <w:rsid w:val="3DA44504"/>
    <w:rsid w:val="3DA63908"/>
    <w:rsid w:val="3DAA0201"/>
    <w:rsid w:val="3DAC2770"/>
    <w:rsid w:val="3DAD746C"/>
    <w:rsid w:val="3DB13780"/>
    <w:rsid w:val="3DB41C97"/>
    <w:rsid w:val="3DB45715"/>
    <w:rsid w:val="3DBA03C3"/>
    <w:rsid w:val="3DBD6105"/>
    <w:rsid w:val="3DBE3EBC"/>
    <w:rsid w:val="3DDC0F8F"/>
    <w:rsid w:val="3DE4271E"/>
    <w:rsid w:val="3E1B7DEF"/>
    <w:rsid w:val="3E2972F7"/>
    <w:rsid w:val="3E366434"/>
    <w:rsid w:val="3E3954CE"/>
    <w:rsid w:val="3E3C1E3A"/>
    <w:rsid w:val="3E49177E"/>
    <w:rsid w:val="3E4C0C00"/>
    <w:rsid w:val="3E546A69"/>
    <w:rsid w:val="3E5D77F0"/>
    <w:rsid w:val="3E9623DC"/>
    <w:rsid w:val="3EA37E7A"/>
    <w:rsid w:val="3EB31163"/>
    <w:rsid w:val="3EBF2CE7"/>
    <w:rsid w:val="3EC94742"/>
    <w:rsid w:val="3ED82DBD"/>
    <w:rsid w:val="3EDA0523"/>
    <w:rsid w:val="3EE46C72"/>
    <w:rsid w:val="3EE921A8"/>
    <w:rsid w:val="3EFA2A5A"/>
    <w:rsid w:val="3EFE4C27"/>
    <w:rsid w:val="3F144AD7"/>
    <w:rsid w:val="3F152FAD"/>
    <w:rsid w:val="3F172EE9"/>
    <w:rsid w:val="3F204B9E"/>
    <w:rsid w:val="3F232F9F"/>
    <w:rsid w:val="3F2521B4"/>
    <w:rsid w:val="3F360709"/>
    <w:rsid w:val="3F553757"/>
    <w:rsid w:val="3F6902F3"/>
    <w:rsid w:val="3F6941CF"/>
    <w:rsid w:val="3F7270DA"/>
    <w:rsid w:val="3F7613F9"/>
    <w:rsid w:val="3F836EDA"/>
    <w:rsid w:val="3F891574"/>
    <w:rsid w:val="3F8A2017"/>
    <w:rsid w:val="3F9A21C7"/>
    <w:rsid w:val="3FA33BE5"/>
    <w:rsid w:val="3FAA5EE2"/>
    <w:rsid w:val="3FC520C0"/>
    <w:rsid w:val="3FDA3536"/>
    <w:rsid w:val="3FDE7753"/>
    <w:rsid w:val="3FF35E0E"/>
    <w:rsid w:val="3FF76B87"/>
    <w:rsid w:val="3FFF2A05"/>
    <w:rsid w:val="40062F51"/>
    <w:rsid w:val="40151FE5"/>
    <w:rsid w:val="40284185"/>
    <w:rsid w:val="40340453"/>
    <w:rsid w:val="403C53CA"/>
    <w:rsid w:val="403D520F"/>
    <w:rsid w:val="404B6425"/>
    <w:rsid w:val="40615515"/>
    <w:rsid w:val="406166E5"/>
    <w:rsid w:val="40777AC2"/>
    <w:rsid w:val="407878BA"/>
    <w:rsid w:val="407A6407"/>
    <w:rsid w:val="40864180"/>
    <w:rsid w:val="40873786"/>
    <w:rsid w:val="4090365D"/>
    <w:rsid w:val="409749EB"/>
    <w:rsid w:val="409E4727"/>
    <w:rsid w:val="40AC3037"/>
    <w:rsid w:val="40B17A02"/>
    <w:rsid w:val="40B530C4"/>
    <w:rsid w:val="40C7639E"/>
    <w:rsid w:val="40D735C1"/>
    <w:rsid w:val="40E01030"/>
    <w:rsid w:val="40E90FBF"/>
    <w:rsid w:val="40F167F2"/>
    <w:rsid w:val="40F66CCF"/>
    <w:rsid w:val="41031D06"/>
    <w:rsid w:val="410F7001"/>
    <w:rsid w:val="41121CF6"/>
    <w:rsid w:val="41191554"/>
    <w:rsid w:val="412A5678"/>
    <w:rsid w:val="412E3842"/>
    <w:rsid w:val="41351258"/>
    <w:rsid w:val="41355139"/>
    <w:rsid w:val="41377F7D"/>
    <w:rsid w:val="41402837"/>
    <w:rsid w:val="4142704D"/>
    <w:rsid w:val="414A6BBC"/>
    <w:rsid w:val="417E3DFD"/>
    <w:rsid w:val="418031B0"/>
    <w:rsid w:val="418C3A63"/>
    <w:rsid w:val="41920B5E"/>
    <w:rsid w:val="419D4283"/>
    <w:rsid w:val="41A1492E"/>
    <w:rsid w:val="41A66434"/>
    <w:rsid w:val="41B45A71"/>
    <w:rsid w:val="41BA040A"/>
    <w:rsid w:val="41C01EA9"/>
    <w:rsid w:val="41C2403E"/>
    <w:rsid w:val="41CC6218"/>
    <w:rsid w:val="41D0669D"/>
    <w:rsid w:val="41E2322A"/>
    <w:rsid w:val="41E86C8E"/>
    <w:rsid w:val="41ED17A8"/>
    <w:rsid w:val="4200449D"/>
    <w:rsid w:val="420D4E54"/>
    <w:rsid w:val="42107032"/>
    <w:rsid w:val="421554F2"/>
    <w:rsid w:val="4217035F"/>
    <w:rsid w:val="421D7172"/>
    <w:rsid w:val="422C2A7B"/>
    <w:rsid w:val="423A3BCC"/>
    <w:rsid w:val="42472441"/>
    <w:rsid w:val="424E57D2"/>
    <w:rsid w:val="42535317"/>
    <w:rsid w:val="425430DD"/>
    <w:rsid w:val="425A0117"/>
    <w:rsid w:val="426B2AE3"/>
    <w:rsid w:val="426E0F10"/>
    <w:rsid w:val="427A07FC"/>
    <w:rsid w:val="42B21FB1"/>
    <w:rsid w:val="42B26C49"/>
    <w:rsid w:val="42C077B1"/>
    <w:rsid w:val="42C92ADC"/>
    <w:rsid w:val="42D47033"/>
    <w:rsid w:val="42D66736"/>
    <w:rsid w:val="42D77C69"/>
    <w:rsid w:val="42DF7E70"/>
    <w:rsid w:val="42E76151"/>
    <w:rsid w:val="42FE2D71"/>
    <w:rsid w:val="43014CE6"/>
    <w:rsid w:val="431D105C"/>
    <w:rsid w:val="431F4063"/>
    <w:rsid w:val="43317C6E"/>
    <w:rsid w:val="43346858"/>
    <w:rsid w:val="433A6FE6"/>
    <w:rsid w:val="433C11B8"/>
    <w:rsid w:val="43480868"/>
    <w:rsid w:val="4350713C"/>
    <w:rsid w:val="436653E0"/>
    <w:rsid w:val="437320B0"/>
    <w:rsid w:val="437C5BA4"/>
    <w:rsid w:val="43827B12"/>
    <w:rsid w:val="43924B77"/>
    <w:rsid w:val="439A2F52"/>
    <w:rsid w:val="43A127C9"/>
    <w:rsid w:val="43C4431A"/>
    <w:rsid w:val="43CE2297"/>
    <w:rsid w:val="43E02090"/>
    <w:rsid w:val="43E2492B"/>
    <w:rsid w:val="43F13E2B"/>
    <w:rsid w:val="443C06E0"/>
    <w:rsid w:val="443E074E"/>
    <w:rsid w:val="4441303C"/>
    <w:rsid w:val="44696733"/>
    <w:rsid w:val="44707985"/>
    <w:rsid w:val="448E0268"/>
    <w:rsid w:val="44904CF7"/>
    <w:rsid w:val="449B0F64"/>
    <w:rsid w:val="44B951CC"/>
    <w:rsid w:val="44B972C0"/>
    <w:rsid w:val="44BC709C"/>
    <w:rsid w:val="44CD14E0"/>
    <w:rsid w:val="44D34333"/>
    <w:rsid w:val="44E24A29"/>
    <w:rsid w:val="44F20B0B"/>
    <w:rsid w:val="45060392"/>
    <w:rsid w:val="45280308"/>
    <w:rsid w:val="452B1220"/>
    <w:rsid w:val="452C0D9A"/>
    <w:rsid w:val="452E5F4C"/>
    <w:rsid w:val="453C3B56"/>
    <w:rsid w:val="454017B9"/>
    <w:rsid w:val="454669E0"/>
    <w:rsid w:val="45576E3F"/>
    <w:rsid w:val="455D5211"/>
    <w:rsid w:val="455F29E8"/>
    <w:rsid w:val="45605CF4"/>
    <w:rsid w:val="45612018"/>
    <w:rsid w:val="45693EBC"/>
    <w:rsid w:val="456F6E87"/>
    <w:rsid w:val="45723C79"/>
    <w:rsid w:val="457C5804"/>
    <w:rsid w:val="458078B3"/>
    <w:rsid w:val="458946E9"/>
    <w:rsid w:val="45A47C0E"/>
    <w:rsid w:val="45B85B30"/>
    <w:rsid w:val="45C058EC"/>
    <w:rsid w:val="45CC15DB"/>
    <w:rsid w:val="45CF2E79"/>
    <w:rsid w:val="45D8077F"/>
    <w:rsid w:val="45DD2548"/>
    <w:rsid w:val="45EC0CF9"/>
    <w:rsid w:val="45EF323D"/>
    <w:rsid w:val="45F40831"/>
    <w:rsid w:val="45F40F62"/>
    <w:rsid w:val="460D74FE"/>
    <w:rsid w:val="46195EAF"/>
    <w:rsid w:val="4626547C"/>
    <w:rsid w:val="46265998"/>
    <w:rsid w:val="46396545"/>
    <w:rsid w:val="464078D3"/>
    <w:rsid w:val="46417D4A"/>
    <w:rsid w:val="464B655A"/>
    <w:rsid w:val="46577FD6"/>
    <w:rsid w:val="46663F20"/>
    <w:rsid w:val="46667BC4"/>
    <w:rsid w:val="466B7B7D"/>
    <w:rsid w:val="466C36A8"/>
    <w:rsid w:val="467269D2"/>
    <w:rsid w:val="468E4F4E"/>
    <w:rsid w:val="46915A3B"/>
    <w:rsid w:val="46A63BDA"/>
    <w:rsid w:val="46A870E2"/>
    <w:rsid w:val="46D955A7"/>
    <w:rsid w:val="46E2577B"/>
    <w:rsid w:val="46EE0C1C"/>
    <w:rsid w:val="46FB50E2"/>
    <w:rsid w:val="47097593"/>
    <w:rsid w:val="470C7887"/>
    <w:rsid w:val="470E352E"/>
    <w:rsid w:val="470F054E"/>
    <w:rsid w:val="47133957"/>
    <w:rsid w:val="472B40E0"/>
    <w:rsid w:val="47472F10"/>
    <w:rsid w:val="47490A0A"/>
    <w:rsid w:val="475C1B00"/>
    <w:rsid w:val="475F022D"/>
    <w:rsid w:val="476340EC"/>
    <w:rsid w:val="477D766F"/>
    <w:rsid w:val="47822925"/>
    <w:rsid w:val="4788577E"/>
    <w:rsid w:val="479A4CFC"/>
    <w:rsid w:val="47A07E0C"/>
    <w:rsid w:val="47AD2A83"/>
    <w:rsid w:val="47B93841"/>
    <w:rsid w:val="47C008C4"/>
    <w:rsid w:val="47C026E7"/>
    <w:rsid w:val="47C046E5"/>
    <w:rsid w:val="47F43172"/>
    <w:rsid w:val="47F65806"/>
    <w:rsid w:val="4804565E"/>
    <w:rsid w:val="48185E4C"/>
    <w:rsid w:val="481903DC"/>
    <w:rsid w:val="4870272E"/>
    <w:rsid w:val="48837E55"/>
    <w:rsid w:val="489D6FC3"/>
    <w:rsid w:val="48A17D68"/>
    <w:rsid w:val="48AC74A2"/>
    <w:rsid w:val="48AF12FC"/>
    <w:rsid w:val="48D94274"/>
    <w:rsid w:val="48E00EFA"/>
    <w:rsid w:val="48E10071"/>
    <w:rsid w:val="48F7347D"/>
    <w:rsid w:val="49025F37"/>
    <w:rsid w:val="49180694"/>
    <w:rsid w:val="491E2FB8"/>
    <w:rsid w:val="49387298"/>
    <w:rsid w:val="49415E3C"/>
    <w:rsid w:val="494D5613"/>
    <w:rsid w:val="49627FC0"/>
    <w:rsid w:val="49667651"/>
    <w:rsid w:val="49682E09"/>
    <w:rsid w:val="49966903"/>
    <w:rsid w:val="499C7151"/>
    <w:rsid w:val="49A87C69"/>
    <w:rsid w:val="49AC5911"/>
    <w:rsid w:val="49C16E00"/>
    <w:rsid w:val="49C23924"/>
    <w:rsid w:val="49C3375D"/>
    <w:rsid w:val="49C76D47"/>
    <w:rsid w:val="49C866F7"/>
    <w:rsid w:val="49C92417"/>
    <w:rsid w:val="49DC7715"/>
    <w:rsid w:val="49E35129"/>
    <w:rsid w:val="49EC224C"/>
    <w:rsid w:val="49F64E79"/>
    <w:rsid w:val="49FB423D"/>
    <w:rsid w:val="4A023139"/>
    <w:rsid w:val="4A031344"/>
    <w:rsid w:val="4A097FDE"/>
    <w:rsid w:val="4A1140DF"/>
    <w:rsid w:val="4A490CB9"/>
    <w:rsid w:val="4A5C6982"/>
    <w:rsid w:val="4A6C3368"/>
    <w:rsid w:val="4A7B576F"/>
    <w:rsid w:val="4A88122B"/>
    <w:rsid w:val="4A9E7C35"/>
    <w:rsid w:val="4A9F4FAB"/>
    <w:rsid w:val="4AA92A46"/>
    <w:rsid w:val="4AAF6DD6"/>
    <w:rsid w:val="4AB5397F"/>
    <w:rsid w:val="4ABD14F2"/>
    <w:rsid w:val="4AC129BF"/>
    <w:rsid w:val="4ACB74F7"/>
    <w:rsid w:val="4ACF3D13"/>
    <w:rsid w:val="4ADA6548"/>
    <w:rsid w:val="4AE05F6E"/>
    <w:rsid w:val="4AF561A9"/>
    <w:rsid w:val="4AFA7AD6"/>
    <w:rsid w:val="4B003837"/>
    <w:rsid w:val="4B04003D"/>
    <w:rsid w:val="4B080732"/>
    <w:rsid w:val="4B0F49E7"/>
    <w:rsid w:val="4B166E55"/>
    <w:rsid w:val="4B1D01E3"/>
    <w:rsid w:val="4B2A594B"/>
    <w:rsid w:val="4B2B10E7"/>
    <w:rsid w:val="4B396C40"/>
    <w:rsid w:val="4B4E65EF"/>
    <w:rsid w:val="4B54772F"/>
    <w:rsid w:val="4B577B99"/>
    <w:rsid w:val="4B6463CA"/>
    <w:rsid w:val="4B8A37CC"/>
    <w:rsid w:val="4BAD5A0B"/>
    <w:rsid w:val="4BBF6D54"/>
    <w:rsid w:val="4BC0573E"/>
    <w:rsid w:val="4BC5347D"/>
    <w:rsid w:val="4BDC30DA"/>
    <w:rsid w:val="4BEB014A"/>
    <w:rsid w:val="4BEB02E1"/>
    <w:rsid w:val="4BF2747E"/>
    <w:rsid w:val="4C041E60"/>
    <w:rsid w:val="4C070888"/>
    <w:rsid w:val="4C0B44E0"/>
    <w:rsid w:val="4C4A0649"/>
    <w:rsid w:val="4C57043D"/>
    <w:rsid w:val="4C5948B1"/>
    <w:rsid w:val="4C7E5ECA"/>
    <w:rsid w:val="4C876AA5"/>
    <w:rsid w:val="4C912CBE"/>
    <w:rsid w:val="4C960D01"/>
    <w:rsid w:val="4C9D5A7F"/>
    <w:rsid w:val="4CA61E09"/>
    <w:rsid w:val="4CCF5B5E"/>
    <w:rsid w:val="4CDD5E7C"/>
    <w:rsid w:val="4D027691"/>
    <w:rsid w:val="4D0C009D"/>
    <w:rsid w:val="4D0E00FB"/>
    <w:rsid w:val="4D0F74D8"/>
    <w:rsid w:val="4D122B50"/>
    <w:rsid w:val="4D165926"/>
    <w:rsid w:val="4D176606"/>
    <w:rsid w:val="4D193703"/>
    <w:rsid w:val="4D1962B2"/>
    <w:rsid w:val="4D2E5769"/>
    <w:rsid w:val="4D3001EE"/>
    <w:rsid w:val="4D3B2BA3"/>
    <w:rsid w:val="4D4A063B"/>
    <w:rsid w:val="4D5D520F"/>
    <w:rsid w:val="4D5E2863"/>
    <w:rsid w:val="4D6828C7"/>
    <w:rsid w:val="4D7B6B7B"/>
    <w:rsid w:val="4D834C75"/>
    <w:rsid w:val="4D8B31E6"/>
    <w:rsid w:val="4D9A5765"/>
    <w:rsid w:val="4DA01331"/>
    <w:rsid w:val="4DAD2E8A"/>
    <w:rsid w:val="4DB37244"/>
    <w:rsid w:val="4DBB75D5"/>
    <w:rsid w:val="4DC0351C"/>
    <w:rsid w:val="4DC4703C"/>
    <w:rsid w:val="4DCE7162"/>
    <w:rsid w:val="4DEA6552"/>
    <w:rsid w:val="4DEC4FB0"/>
    <w:rsid w:val="4DF416CF"/>
    <w:rsid w:val="4DFC6FAF"/>
    <w:rsid w:val="4E000C89"/>
    <w:rsid w:val="4E075D8A"/>
    <w:rsid w:val="4E086F29"/>
    <w:rsid w:val="4E285487"/>
    <w:rsid w:val="4E2D35AB"/>
    <w:rsid w:val="4E3044C5"/>
    <w:rsid w:val="4E4E16AF"/>
    <w:rsid w:val="4E552E35"/>
    <w:rsid w:val="4E5B34FC"/>
    <w:rsid w:val="4E5C1022"/>
    <w:rsid w:val="4E632F54"/>
    <w:rsid w:val="4E703C4D"/>
    <w:rsid w:val="4E726795"/>
    <w:rsid w:val="4E773CCE"/>
    <w:rsid w:val="4E791334"/>
    <w:rsid w:val="4E821518"/>
    <w:rsid w:val="4E8E77FB"/>
    <w:rsid w:val="4EA2737D"/>
    <w:rsid w:val="4EAD3592"/>
    <w:rsid w:val="4EB255E9"/>
    <w:rsid w:val="4EB77A6A"/>
    <w:rsid w:val="4EB9612F"/>
    <w:rsid w:val="4EC00FAD"/>
    <w:rsid w:val="4EC1723F"/>
    <w:rsid w:val="4EC34323"/>
    <w:rsid w:val="4EC357AB"/>
    <w:rsid w:val="4ED43DCF"/>
    <w:rsid w:val="4ED91CC8"/>
    <w:rsid w:val="4EDC77A5"/>
    <w:rsid w:val="4EEF1E97"/>
    <w:rsid w:val="4EF430F1"/>
    <w:rsid w:val="4EF53638"/>
    <w:rsid w:val="4F040209"/>
    <w:rsid w:val="4F0B6236"/>
    <w:rsid w:val="4F117108"/>
    <w:rsid w:val="4F145549"/>
    <w:rsid w:val="4F1A208D"/>
    <w:rsid w:val="4F283CB4"/>
    <w:rsid w:val="4F4D50CB"/>
    <w:rsid w:val="4F4E597F"/>
    <w:rsid w:val="4F5953AB"/>
    <w:rsid w:val="4F5A37B4"/>
    <w:rsid w:val="4F5B0B3A"/>
    <w:rsid w:val="4F7673B9"/>
    <w:rsid w:val="4F781E8C"/>
    <w:rsid w:val="4F7A5C04"/>
    <w:rsid w:val="4F8568D8"/>
    <w:rsid w:val="4F8D230B"/>
    <w:rsid w:val="4F8F7D8E"/>
    <w:rsid w:val="4F9843DC"/>
    <w:rsid w:val="4FAD21A0"/>
    <w:rsid w:val="4FAD6D1C"/>
    <w:rsid w:val="4FB56E39"/>
    <w:rsid w:val="4FBA5DF2"/>
    <w:rsid w:val="4FC075DD"/>
    <w:rsid w:val="4FC62A8C"/>
    <w:rsid w:val="4FD45B34"/>
    <w:rsid w:val="4FD64330"/>
    <w:rsid w:val="4FD73056"/>
    <w:rsid w:val="4FDB79C1"/>
    <w:rsid w:val="4FE20F0D"/>
    <w:rsid w:val="4FE51552"/>
    <w:rsid w:val="4FEB769E"/>
    <w:rsid w:val="4FEB7FB7"/>
    <w:rsid w:val="4FF2236E"/>
    <w:rsid w:val="5023629C"/>
    <w:rsid w:val="502C6CA3"/>
    <w:rsid w:val="502D3360"/>
    <w:rsid w:val="50355FCF"/>
    <w:rsid w:val="50455B10"/>
    <w:rsid w:val="504D22AD"/>
    <w:rsid w:val="50504C4B"/>
    <w:rsid w:val="505E694C"/>
    <w:rsid w:val="506105AA"/>
    <w:rsid w:val="506C26A3"/>
    <w:rsid w:val="508E3344"/>
    <w:rsid w:val="509C6E7C"/>
    <w:rsid w:val="50A47C29"/>
    <w:rsid w:val="50AF6E14"/>
    <w:rsid w:val="50B52F99"/>
    <w:rsid w:val="50C43929"/>
    <w:rsid w:val="50C75131"/>
    <w:rsid w:val="50DC2FF2"/>
    <w:rsid w:val="50DF1BF5"/>
    <w:rsid w:val="50E86840"/>
    <w:rsid w:val="50E96C32"/>
    <w:rsid w:val="50FC6397"/>
    <w:rsid w:val="51007349"/>
    <w:rsid w:val="510C12C5"/>
    <w:rsid w:val="510D0C3A"/>
    <w:rsid w:val="51304723"/>
    <w:rsid w:val="51394EE0"/>
    <w:rsid w:val="513D14F5"/>
    <w:rsid w:val="514154D8"/>
    <w:rsid w:val="5143132B"/>
    <w:rsid w:val="51547A40"/>
    <w:rsid w:val="515C1D98"/>
    <w:rsid w:val="5162104E"/>
    <w:rsid w:val="5175059D"/>
    <w:rsid w:val="51774CD6"/>
    <w:rsid w:val="517B5DA4"/>
    <w:rsid w:val="51976A8A"/>
    <w:rsid w:val="51A74EF3"/>
    <w:rsid w:val="51BB75F6"/>
    <w:rsid w:val="51C32FCC"/>
    <w:rsid w:val="51C63EEA"/>
    <w:rsid w:val="51FB565D"/>
    <w:rsid w:val="520D0546"/>
    <w:rsid w:val="522620D6"/>
    <w:rsid w:val="522B1438"/>
    <w:rsid w:val="523D1AF5"/>
    <w:rsid w:val="52482E2C"/>
    <w:rsid w:val="52484CBE"/>
    <w:rsid w:val="524856E3"/>
    <w:rsid w:val="52486BB6"/>
    <w:rsid w:val="52582910"/>
    <w:rsid w:val="52595FA5"/>
    <w:rsid w:val="525F64EC"/>
    <w:rsid w:val="52734033"/>
    <w:rsid w:val="52766988"/>
    <w:rsid w:val="52875347"/>
    <w:rsid w:val="528A1215"/>
    <w:rsid w:val="528B6487"/>
    <w:rsid w:val="52A54BF6"/>
    <w:rsid w:val="52B64958"/>
    <w:rsid w:val="52BC37CC"/>
    <w:rsid w:val="52CE604A"/>
    <w:rsid w:val="52E32D35"/>
    <w:rsid w:val="52E42707"/>
    <w:rsid w:val="52E55658"/>
    <w:rsid w:val="530A3743"/>
    <w:rsid w:val="53107AD3"/>
    <w:rsid w:val="532B1B09"/>
    <w:rsid w:val="533B746E"/>
    <w:rsid w:val="533E31D8"/>
    <w:rsid w:val="534174EA"/>
    <w:rsid w:val="536606F7"/>
    <w:rsid w:val="537B6D85"/>
    <w:rsid w:val="539F7ADA"/>
    <w:rsid w:val="53A039CC"/>
    <w:rsid w:val="53A1505A"/>
    <w:rsid w:val="53B00BA1"/>
    <w:rsid w:val="53B66A38"/>
    <w:rsid w:val="53BB2F97"/>
    <w:rsid w:val="53C30222"/>
    <w:rsid w:val="53D14261"/>
    <w:rsid w:val="54063E08"/>
    <w:rsid w:val="540F10A9"/>
    <w:rsid w:val="54186793"/>
    <w:rsid w:val="542B051B"/>
    <w:rsid w:val="542D6408"/>
    <w:rsid w:val="543437E8"/>
    <w:rsid w:val="544762D1"/>
    <w:rsid w:val="54703F13"/>
    <w:rsid w:val="54841680"/>
    <w:rsid w:val="54876E07"/>
    <w:rsid w:val="54891DC4"/>
    <w:rsid w:val="54901362"/>
    <w:rsid w:val="54A13C33"/>
    <w:rsid w:val="54BC4B4D"/>
    <w:rsid w:val="54BE4EE9"/>
    <w:rsid w:val="54CF788A"/>
    <w:rsid w:val="54E03336"/>
    <w:rsid w:val="54E35FFA"/>
    <w:rsid w:val="54EA1C7E"/>
    <w:rsid w:val="54ED3248"/>
    <w:rsid w:val="54EF7934"/>
    <w:rsid w:val="54F57160"/>
    <w:rsid w:val="54F73313"/>
    <w:rsid w:val="54F80955"/>
    <w:rsid w:val="54FB5235"/>
    <w:rsid w:val="54FD5854"/>
    <w:rsid w:val="550D3076"/>
    <w:rsid w:val="55126E92"/>
    <w:rsid w:val="551F4872"/>
    <w:rsid w:val="552155CA"/>
    <w:rsid w:val="552C5181"/>
    <w:rsid w:val="55437403"/>
    <w:rsid w:val="55466588"/>
    <w:rsid w:val="55511844"/>
    <w:rsid w:val="555170A7"/>
    <w:rsid w:val="55551C7E"/>
    <w:rsid w:val="555D76FE"/>
    <w:rsid w:val="557C270A"/>
    <w:rsid w:val="5587536D"/>
    <w:rsid w:val="55973D8F"/>
    <w:rsid w:val="559B174B"/>
    <w:rsid w:val="55A25EB5"/>
    <w:rsid w:val="55A6510D"/>
    <w:rsid w:val="55B177EA"/>
    <w:rsid w:val="55C41ED0"/>
    <w:rsid w:val="55CE0CF4"/>
    <w:rsid w:val="55D30991"/>
    <w:rsid w:val="55FA184D"/>
    <w:rsid w:val="56077B1C"/>
    <w:rsid w:val="56085295"/>
    <w:rsid w:val="56102D3E"/>
    <w:rsid w:val="561641AD"/>
    <w:rsid w:val="562D4028"/>
    <w:rsid w:val="56351B73"/>
    <w:rsid w:val="56440D1A"/>
    <w:rsid w:val="565A4743"/>
    <w:rsid w:val="5661279B"/>
    <w:rsid w:val="566C201F"/>
    <w:rsid w:val="566D0271"/>
    <w:rsid w:val="567248AA"/>
    <w:rsid w:val="567641EA"/>
    <w:rsid w:val="56772611"/>
    <w:rsid w:val="568D6BF3"/>
    <w:rsid w:val="569C32B0"/>
    <w:rsid w:val="56A03551"/>
    <w:rsid w:val="56B22A9C"/>
    <w:rsid w:val="56B91457"/>
    <w:rsid w:val="56C14444"/>
    <w:rsid w:val="56C25847"/>
    <w:rsid w:val="56C56129"/>
    <w:rsid w:val="56D9546D"/>
    <w:rsid w:val="56DF6C95"/>
    <w:rsid w:val="56E52CB2"/>
    <w:rsid w:val="56FD04F1"/>
    <w:rsid w:val="56FE711B"/>
    <w:rsid w:val="570A79C8"/>
    <w:rsid w:val="57111B97"/>
    <w:rsid w:val="572B501F"/>
    <w:rsid w:val="5733382B"/>
    <w:rsid w:val="574B7E86"/>
    <w:rsid w:val="575A5778"/>
    <w:rsid w:val="575D0F98"/>
    <w:rsid w:val="576671AA"/>
    <w:rsid w:val="576A2530"/>
    <w:rsid w:val="576C4DF8"/>
    <w:rsid w:val="576E0312"/>
    <w:rsid w:val="578A4E52"/>
    <w:rsid w:val="57AF2EE7"/>
    <w:rsid w:val="57B72A76"/>
    <w:rsid w:val="57B91DA5"/>
    <w:rsid w:val="57BD6010"/>
    <w:rsid w:val="57C3426C"/>
    <w:rsid w:val="57CE1F93"/>
    <w:rsid w:val="57D7754D"/>
    <w:rsid w:val="57DD4F82"/>
    <w:rsid w:val="57E47C99"/>
    <w:rsid w:val="57E71760"/>
    <w:rsid w:val="57F361D7"/>
    <w:rsid w:val="57F56770"/>
    <w:rsid w:val="57F741C1"/>
    <w:rsid w:val="580F065E"/>
    <w:rsid w:val="58135162"/>
    <w:rsid w:val="582D2E7E"/>
    <w:rsid w:val="583B7EFB"/>
    <w:rsid w:val="58572D01"/>
    <w:rsid w:val="58607D42"/>
    <w:rsid w:val="586A79B6"/>
    <w:rsid w:val="58703F7B"/>
    <w:rsid w:val="58726DBE"/>
    <w:rsid w:val="58793156"/>
    <w:rsid w:val="58822277"/>
    <w:rsid w:val="58847158"/>
    <w:rsid w:val="58850708"/>
    <w:rsid w:val="588743D1"/>
    <w:rsid w:val="5887701A"/>
    <w:rsid w:val="588D6E6F"/>
    <w:rsid w:val="5892537F"/>
    <w:rsid w:val="5897626A"/>
    <w:rsid w:val="58C93758"/>
    <w:rsid w:val="58CE229F"/>
    <w:rsid w:val="58DA0AB7"/>
    <w:rsid w:val="58E014BA"/>
    <w:rsid w:val="58F20052"/>
    <w:rsid w:val="58FA1631"/>
    <w:rsid w:val="5927227F"/>
    <w:rsid w:val="593439E9"/>
    <w:rsid w:val="59383857"/>
    <w:rsid w:val="593A6203"/>
    <w:rsid w:val="593D338C"/>
    <w:rsid w:val="59430BC9"/>
    <w:rsid w:val="59472EDA"/>
    <w:rsid w:val="594E342F"/>
    <w:rsid w:val="5950410D"/>
    <w:rsid w:val="595474C6"/>
    <w:rsid w:val="59750976"/>
    <w:rsid w:val="59835887"/>
    <w:rsid w:val="598558D1"/>
    <w:rsid w:val="59911509"/>
    <w:rsid w:val="59AA7372"/>
    <w:rsid w:val="59C0439F"/>
    <w:rsid w:val="59D94E61"/>
    <w:rsid w:val="59EB4737"/>
    <w:rsid w:val="59F6057D"/>
    <w:rsid w:val="5A2B0D24"/>
    <w:rsid w:val="5A3C091F"/>
    <w:rsid w:val="5A533C21"/>
    <w:rsid w:val="5A5B4884"/>
    <w:rsid w:val="5A6269F6"/>
    <w:rsid w:val="5A6F22CF"/>
    <w:rsid w:val="5A78650C"/>
    <w:rsid w:val="5A8F7A3A"/>
    <w:rsid w:val="5AB7293D"/>
    <w:rsid w:val="5ABE2233"/>
    <w:rsid w:val="5AC5673D"/>
    <w:rsid w:val="5ADD3A13"/>
    <w:rsid w:val="5B111649"/>
    <w:rsid w:val="5B165A07"/>
    <w:rsid w:val="5B1E0A6E"/>
    <w:rsid w:val="5B1E7806"/>
    <w:rsid w:val="5B2149D3"/>
    <w:rsid w:val="5B2A2AA8"/>
    <w:rsid w:val="5B2A79A6"/>
    <w:rsid w:val="5B3F5F54"/>
    <w:rsid w:val="5B425A94"/>
    <w:rsid w:val="5B473D72"/>
    <w:rsid w:val="5B667E03"/>
    <w:rsid w:val="5B790800"/>
    <w:rsid w:val="5B93080E"/>
    <w:rsid w:val="5B93684F"/>
    <w:rsid w:val="5B951E38"/>
    <w:rsid w:val="5B977B3E"/>
    <w:rsid w:val="5B9978B7"/>
    <w:rsid w:val="5BA124D7"/>
    <w:rsid w:val="5BA263F4"/>
    <w:rsid w:val="5BBB3BA8"/>
    <w:rsid w:val="5BBC0880"/>
    <w:rsid w:val="5BC610BE"/>
    <w:rsid w:val="5BC66BAE"/>
    <w:rsid w:val="5BDF5D95"/>
    <w:rsid w:val="5BFE7528"/>
    <w:rsid w:val="5C0929C1"/>
    <w:rsid w:val="5C120EB2"/>
    <w:rsid w:val="5C291388"/>
    <w:rsid w:val="5C362035"/>
    <w:rsid w:val="5C4952DC"/>
    <w:rsid w:val="5C4E432B"/>
    <w:rsid w:val="5C5E6EE3"/>
    <w:rsid w:val="5C6A5252"/>
    <w:rsid w:val="5C783A09"/>
    <w:rsid w:val="5C9B1068"/>
    <w:rsid w:val="5C9C3906"/>
    <w:rsid w:val="5CA77FEA"/>
    <w:rsid w:val="5CB91E6E"/>
    <w:rsid w:val="5CBF559E"/>
    <w:rsid w:val="5CE77D3C"/>
    <w:rsid w:val="5CE81F14"/>
    <w:rsid w:val="5CF34A6F"/>
    <w:rsid w:val="5D223E72"/>
    <w:rsid w:val="5D555CF6"/>
    <w:rsid w:val="5D557D2B"/>
    <w:rsid w:val="5D654108"/>
    <w:rsid w:val="5D725086"/>
    <w:rsid w:val="5D77316D"/>
    <w:rsid w:val="5D7C2B5D"/>
    <w:rsid w:val="5D806A1C"/>
    <w:rsid w:val="5D874995"/>
    <w:rsid w:val="5D9407D9"/>
    <w:rsid w:val="5DA62F8D"/>
    <w:rsid w:val="5DAE121A"/>
    <w:rsid w:val="5DB644CF"/>
    <w:rsid w:val="5DD40BD5"/>
    <w:rsid w:val="5DE66365"/>
    <w:rsid w:val="5DEA5D99"/>
    <w:rsid w:val="5DFF5CC4"/>
    <w:rsid w:val="5E0261A4"/>
    <w:rsid w:val="5E057014"/>
    <w:rsid w:val="5E096E73"/>
    <w:rsid w:val="5E2467F1"/>
    <w:rsid w:val="5E34194C"/>
    <w:rsid w:val="5E3C09B0"/>
    <w:rsid w:val="5E3F57A0"/>
    <w:rsid w:val="5E4F0178"/>
    <w:rsid w:val="5E597785"/>
    <w:rsid w:val="5E600ED1"/>
    <w:rsid w:val="5E9335C7"/>
    <w:rsid w:val="5E952D17"/>
    <w:rsid w:val="5E99305E"/>
    <w:rsid w:val="5E995E62"/>
    <w:rsid w:val="5E9A346C"/>
    <w:rsid w:val="5E9D35C4"/>
    <w:rsid w:val="5EA06D09"/>
    <w:rsid w:val="5EB03BEE"/>
    <w:rsid w:val="5EB45226"/>
    <w:rsid w:val="5EB8703A"/>
    <w:rsid w:val="5EBE53E1"/>
    <w:rsid w:val="5ED879CC"/>
    <w:rsid w:val="5EDD637E"/>
    <w:rsid w:val="5EE07753"/>
    <w:rsid w:val="5EFC09CD"/>
    <w:rsid w:val="5F0674B4"/>
    <w:rsid w:val="5F1A2B43"/>
    <w:rsid w:val="5F1E2082"/>
    <w:rsid w:val="5F241EBA"/>
    <w:rsid w:val="5F2C5137"/>
    <w:rsid w:val="5F427B8B"/>
    <w:rsid w:val="5F463941"/>
    <w:rsid w:val="5F49114F"/>
    <w:rsid w:val="5F51025D"/>
    <w:rsid w:val="5F590E34"/>
    <w:rsid w:val="5F620E44"/>
    <w:rsid w:val="5F735FCE"/>
    <w:rsid w:val="5F7471E8"/>
    <w:rsid w:val="5F9D1B1E"/>
    <w:rsid w:val="5FAF1DF7"/>
    <w:rsid w:val="5FB34AB6"/>
    <w:rsid w:val="5FB539A9"/>
    <w:rsid w:val="5FB837BB"/>
    <w:rsid w:val="5FCC2C12"/>
    <w:rsid w:val="5FDF0F6F"/>
    <w:rsid w:val="5FE5531C"/>
    <w:rsid w:val="5FE61094"/>
    <w:rsid w:val="5FEB66AA"/>
    <w:rsid w:val="5FEC0C3B"/>
    <w:rsid w:val="5FED07F9"/>
    <w:rsid w:val="5FF95428"/>
    <w:rsid w:val="60065292"/>
    <w:rsid w:val="600A363A"/>
    <w:rsid w:val="601E19C5"/>
    <w:rsid w:val="60255718"/>
    <w:rsid w:val="604364E6"/>
    <w:rsid w:val="60521D18"/>
    <w:rsid w:val="60595B34"/>
    <w:rsid w:val="60636C43"/>
    <w:rsid w:val="606A3A73"/>
    <w:rsid w:val="6070187A"/>
    <w:rsid w:val="607117D4"/>
    <w:rsid w:val="607C7302"/>
    <w:rsid w:val="607F3671"/>
    <w:rsid w:val="60895A0A"/>
    <w:rsid w:val="60951028"/>
    <w:rsid w:val="60A33025"/>
    <w:rsid w:val="60B11831"/>
    <w:rsid w:val="60CC405A"/>
    <w:rsid w:val="60CC64DC"/>
    <w:rsid w:val="60D263F8"/>
    <w:rsid w:val="60D94755"/>
    <w:rsid w:val="60DD3C0F"/>
    <w:rsid w:val="60FC2713"/>
    <w:rsid w:val="61096460"/>
    <w:rsid w:val="610F1630"/>
    <w:rsid w:val="61254D36"/>
    <w:rsid w:val="61396C52"/>
    <w:rsid w:val="614C1849"/>
    <w:rsid w:val="61562860"/>
    <w:rsid w:val="61615041"/>
    <w:rsid w:val="616D0856"/>
    <w:rsid w:val="618260C3"/>
    <w:rsid w:val="61A47252"/>
    <w:rsid w:val="61AF4C4D"/>
    <w:rsid w:val="61B50D3C"/>
    <w:rsid w:val="61B9080E"/>
    <w:rsid w:val="61BC54E3"/>
    <w:rsid w:val="61C03014"/>
    <w:rsid w:val="61CF0031"/>
    <w:rsid w:val="61D1508C"/>
    <w:rsid w:val="61E215D8"/>
    <w:rsid w:val="61F25ACE"/>
    <w:rsid w:val="61F44EE2"/>
    <w:rsid w:val="61F77588"/>
    <w:rsid w:val="61FF1268"/>
    <w:rsid w:val="62005796"/>
    <w:rsid w:val="6200602F"/>
    <w:rsid w:val="62013F63"/>
    <w:rsid w:val="621B3775"/>
    <w:rsid w:val="62212C09"/>
    <w:rsid w:val="62364782"/>
    <w:rsid w:val="623951D0"/>
    <w:rsid w:val="6245003F"/>
    <w:rsid w:val="625A522D"/>
    <w:rsid w:val="627250E2"/>
    <w:rsid w:val="627F3E04"/>
    <w:rsid w:val="6282268F"/>
    <w:rsid w:val="62830D97"/>
    <w:rsid w:val="62922E0D"/>
    <w:rsid w:val="629775DB"/>
    <w:rsid w:val="62B17576"/>
    <w:rsid w:val="62BC6C75"/>
    <w:rsid w:val="62D66F4D"/>
    <w:rsid w:val="62F11645"/>
    <w:rsid w:val="62FE04A2"/>
    <w:rsid w:val="630679F5"/>
    <w:rsid w:val="631E507B"/>
    <w:rsid w:val="63471E49"/>
    <w:rsid w:val="637D71CF"/>
    <w:rsid w:val="6391581E"/>
    <w:rsid w:val="6394356A"/>
    <w:rsid w:val="639A4F16"/>
    <w:rsid w:val="639B5119"/>
    <w:rsid w:val="63A948B2"/>
    <w:rsid w:val="63AB38BC"/>
    <w:rsid w:val="63AC037D"/>
    <w:rsid w:val="63AF17BF"/>
    <w:rsid w:val="63B06104"/>
    <w:rsid w:val="63C61B2C"/>
    <w:rsid w:val="63D40BE9"/>
    <w:rsid w:val="63FC0E86"/>
    <w:rsid w:val="640130D1"/>
    <w:rsid w:val="640D5797"/>
    <w:rsid w:val="64102431"/>
    <w:rsid w:val="641A55BA"/>
    <w:rsid w:val="641D0EC4"/>
    <w:rsid w:val="64422FCB"/>
    <w:rsid w:val="645460B2"/>
    <w:rsid w:val="64590086"/>
    <w:rsid w:val="64755141"/>
    <w:rsid w:val="64855DC5"/>
    <w:rsid w:val="648800ED"/>
    <w:rsid w:val="64917820"/>
    <w:rsid w:val="649E7723"/>
    <w:rsid w:val="64A5243A"/>
    <w:rsid w:val="64B90B25"/>
    <w:rsid w:val="64BB6D87"/>
    <w:rsid w:val="64BD6DA8"/>
    <w:rsid w:val="64E75692"/>
    <w:rsid w:val="64EA1BB3"/>
    <w:rsid w:val="64EF4365"/>
    <w:rsid w:val="64F51FC8"/>
    <w:rsid w:val="64F531DE"/>
    <w:rsid w:val="6505565C"/>
    <w:rsid w:val="65136B22"/>
    <w:rsid w:val="65262EA9"/>
    <w:rsid w:val="652B61FF"/>
    <w:rsid w:val="652C579B"/>
    <w:rsid w:val="65357C58"/>
    <w:rsid w:val="65373578"/>
    <w:rsid w:val="654E67DC"/>
    <w:rsid w:val="655A5E64"/>
    <w:rsid w:val="65670581"/>
    <w:rsid w:val="658904F7"/>
    <w:rsid w:val="658D6A8F"/>
    <w:rsid w:val="659439A3"/>
    <w:rsid w:val="65A150DF"/>
    <w:rsid w:val="65A362B0"/>
    <w:rsid w:val="65A80470"/>
    <w:rsid w:val="65AF47AC"/>
    <w:rsid w:val="65C63E9B"/>
    <w:rsid w:val="65C67F8E"/>
    <w:rsid w:val="65CB136B"/>
    <w:rsid w:val="65DA55E8"/>
    <w:rsid w:val="65ED1C16"/>
    <w:rsid w:val="65EE200B"/>
    <w:rsid w:val="65F210DF"/>
    <w:rsid w:val="65F21CA1"/>
    <w:rsid w:val="65F42CCC"/>
    <w:rsid w:val="65FA7C54"/>
    <w:rsid w:val="65FE7137"/>
    <w:rsid w:val="66113256"/>
    <w:rsid w:val="661453B0"/>
    <w:rsid w:val="66252916"/>
    <w:rsid w:val="664663E8"/>
    <w:rsid w:val="664B08D4"/>
    <w:rsid w:val="66561E0B"/>
    <w:rsid w:val="666232CF"/>
    <w:rsid w:val="6664086E"/>
    <w:rsid w:val="66683799"/>
    <w:rsid w:val="666A055E"/>
    <w:rsid w:val="66722071"/>
    <w:rsid w:val="6684044D"/>
    <w:rsid w:val="669B0928"/>
    <w:rsid w:val="66B55838"/>
    <w:rsid w:val="66B6201B"/>
    <w:rsid w:val="66DB65E1"/>
    <w:rsid w:val="66DC5793"/>
    <w:rsid w:val="66DF3F7C"/>
    <w:rsid w:val="66E634B6"/>
    <w:rsid w:val="66E74D55"/>
    <w:rsid w:val="66E867D7"/>
    <w:rsid w:val="66EA3218"/>
    <w:rsid w:val="66F07F18"/>
    <w:rsid w:val="66F55596"/>
    <w:rsid w:val="66FA0E20"/>
    <w:rsid w:val="67041200"/>
    <w:rsid w:val="671F124A"/>
    <w:rsid w:val="67225282"/>
    <w:rsid w:val="67306429"/>
    <w:rsid w:val="67364DA6"/>
    <w:rsid w:val="673D2DF6"/>
    <w:rsid w:val="675033D8"/>
    <w:rsid w:val="67641861"/>
    <w:rsid w:val="677A33C6"/>
    <w:rsid w:val="678F471D"/>
    <w:rsid w:val="678F547F"/>
    <w:rsid w:val="6791646C"/>
    <w:rsid w:val="67BB0391"/>
    <w:rsid w:val="67D0240D"/>
    <w:rsid w:val="67DF6AF4"/>
    <w:rsid w:val="67E97064"/>
    <w:rsid w:val="6809591F"/>
    <w:rsid w:val="680F19A3"/>
    <w:rsid w:val="68162C37"/>
    <w:rsid w:val="681D631D"/>
    <w:rsid w:val="681F6961"/>
    <w:rsid w:val="68277D17"/>
    <w:rsid w:val="682C6727"/>
    <w:rsid w:val="68562FBD"/>
    <w:rsid w:val="685B0FE8"/>
    <w:rsid w:val="68610A2F"/>
    <w:rsid w:val="686E6C9C"/>
    <w:rsid w:val="68755FD5"/>
    <w:rsid w:val="688003E9"/>
    <w:rsid w:val="68805514"/>
    <w:rsid w:val="6885001C"/>
    <w:rsid w:val="688C777F"/>
    <w:rsid w:val="689B5EC2"/>
    <w:rsid w:val="68A46CAC"/>
    <w:rsid w:val="68A71743"/>
    <w:rsid w:val="68A733EE"/>
    <w:rsid w:val="68AB0C7A"/>
    <w:rsid w:val="68B03FED"/>
    <w:rsid w:val="68B63CF9"/>
    <w:rsid w:val="68C60188"/>
    <w:rsid w:val="68D423D1"/>
    <w:rsid w:val="68E746F8"/>
    <w:rsid w:val="68F9250B"/>
    <w:rsid w:val="690507DD"/>
    <w:rsid w:val="69316E2F"/>
    <w:rsid w:val="693B7832"/>
    <w:rsid w:val="693E0A3C"/>
    <w:rsid w:val="693E784B"/>
    <w:rsid w:val="694E2071"/>
    <w:rsid w:val="69515735"/>
    <w:rsid w:val="69766163"/>
    <w:rsid w:val="697A3B33"/>
    <w:rsid w:val="697D7EB5"/>
    <w:rsid w:val="69914D87"/>
    <w:rsid w:val="69921963"/>
    <w:rsid w:val="69B87258"/>
    <w:rsid w:val="69BB2CE0"/>
    <w:rsid w:val="69BB70ED"/>
    <w:rsid w:val="69D44760"/>
    <w:rsid w:val="69DC39EF"/>
    <w:rsid w:val="69E131CB"/>
    <w:rsid w:val="69F9796F"/>
    <w:rsid w:val="69FE7558"/>
    <w:rsid w:val="6A001D3C"/>
    <w:rsid w:val="6A1A6B21"/>
    <w:rsid w:val="6A2D03F0"/>
    <w:rsid w:val="6A367ED6"/>
    <w:rsid w:val="6A5114B6"/>
    <w:rsid w:val="6A520EC7"/>
    <w:rsid w:val="6A591A2A"/>
    <w:rsid w:val="6A6C0245"/>
    <w:rsid w:val="6A7C035C"/>
    <w:rsid w:val="6A9D6C1D"/>
    <w:rsid w:val="6A9F1001"/>
    <w:rsid w:val="6AA059A4"/>
    <w:rsid w:val="6AA43E62"/>
    <w:rsid w:val="6AB14993"/>
    <w:rsid w:val="6AC041BA"/>
    <w:rsid w:val="6ACD1535"/>
    <w:rsid w:val="6AD8264C"/>
    <w:rsid w:val="6ADC564C"/>
    <w:rsid w:val="6ADD5AC0"/>
    <w:rsid w:val="6AF30168"/>
    <w:rsid w:val="6AF82BC5"/>
    <w:rsid w:val="6AF87E20"/>
    <w:rsid w:val="6B0D066F"/>
    <w:rsid w:val="6B102C91"/>
    <w:rsid w:val="6B22516C"/>
    <w:rsid w:val="6B264A3A"/>
    <w:rsid w:val="6B2D5880"/>
    <w:rsid w:val="6B322639"/>
    <w:rsid w:val="6B3F17BF"/>
    <w:rsid w:val="6B7076CF"/>
    <w:rsid w:val="6B7A4F81"/>
    <w:rsid w:val="6B8134C7"/>
    <w:rsid w:val="6BAD4E72"/>
    <w:rsid w:val="6BCB670E"/>
    <w:rsid w:val="6BD257E7"/>
    <w:rsid w:val="6BDD77EF"/>
    <w:rsid w:val="6BE24D2B"/>
    <w:rsid w:val="6BE37F83"/>
    <w:rsid w:val="6C175A74"/>
    <w:rsid w:val="6C1F2005"/>
    <w:rsid w:val="6C232EA3"/>
    <w:rsid w:val="6C313D84"/>
    <w:rsid w:val="6C414AB2"/>
    <w:rsid w:val="6C4857CD"/>
    <w:rsid w:val="6C570A57"/>
    <w:rsid w:val="6C591A7A"/>
    <w:rsid w:val="6C636C38"/>
    <w:rsid w:val="6C6778F7"/>
    <w:rsid w:val="6C8D2FC3"/>
    <w:rsid w:val="6C904861"/>
    <w:rsid w:val="6C9534F3"/>
    <w:rsid w:val="6CB06CB1"/>
    <w:rsid w:val="6CB467A2"/>
    <w:rsid w:val="6CBD41A8"/>
    <w:rsid w:val="6CC12FFC"/>
    <w:rsid w:val="6CDF1CC9"/>
    <w:rsid w:val="6CDF30F3"/>
    <w:rsid w:val="6CE93F71"/>
    <w:rsid w:val="6CFB2CEE"/>
    <w:rsid w:val="6CFD7CAA"/>
    <w:rsid w:val="6CFE50B2"/>
    <w:rsid w:val="6D0609E6"/>
    <w:rsid w:val="6D093CB7"/>
    <w:rsid w:val="6D2C27DC"/>
    <w:rsid w:val="6D360257"/>
    <w:rsid w:val="6D3A479B"/>
    <w:rsid w:val="6D602485"/>
    <w:rsid w:val="6D785A21"/>
    <w:rsid w:val="6D7C0979"/>
    <w:rsid w:val="6D8F7723"/>
    <w:rsid w:val="6D9263B7"/>
    <w:rsid w:val="6DA704E0"/>
    <w:rsid w:val="6DB34098"/>
    <w:rsid w:val="6DB545B6"/>
    <w:rsid w:val="6DC85547"/>
    <w:rsid w:val="6DDF784E"/>
    <w:rsid w:val="6DE02FB4"/>
    <w:rsid w:val="6DE04E94"/>
    <w:rsid w:val="6E023A35"/>
    <w:rsid w:val="6E27407B"/>
    <w:rsid w:val="6E2F0BDE"/>
    <w:rsid w:val="6E331DEA"/>
    <w:rsid w:val="6E514CED"/>
    <w:rsid w:val="6E5D0773"/>
    <w:rsid w:val="6E6164B5"/>
    <w:rsid w:val="6E755ABD"/>
    <w:rsid w:val="6E7E1B48"/>
    <w:rsid w:val="6E82467D"/>
    <w:rsid w:val="6E8626DC"/>
    <w:rsid w:val="6E9407EA"/>
    <w:rsid w:val="6E9739CF"/>
    <w:rsid w:val="6E9A19C7"/>
    <w:rsid w:val="6EAD79CD"/>
    <w:rsid w:val="6EAF0A3A"/>
    <w:rsid w:val="6EAF251E"/>
    <w:rsid w:val="6EB011EB"/>
    <w:rsid w:val="6EB563D5"/>
    <w:rsid w:val="6EC10D02"/>
    <w:rsid w:val="6ECD0CE8"/>
    <w:rsid w:val="6ECD4675"/>
    <w:rsid w:val="6ED07928"/>
    <w:rsid w:val="6ED27996"/>
    <w:rsid w:val="6ED92677"/>
    <w:rsid w:val="6EDA6400"/>
    <w:rsid w:val="6EE81FF1"/>
    <w:rsid w:val="6EE97C7B"/>
    <w:rsid w:val="6EF12A03"/>
    <w:rsid w:val="6EF360C9"/>
    <w:rsid w:val="6EFE7602"/>
    <w:rsid w:val="6F1210EC"/>
    <w:rsid w:val="6F225983"/>
    <w:rsid w:val="6F2A4AF9"/>
    <w:rsid w:val="6F34118D"/>
    <w:rsid w:val="6F5C2FE1"/>
    <w:rsid w:val="6F7D36ED"/>
    <w:rsid w:val="6F7E6BF3"/>
    <w:rsid w:val="6F865AA7"/>
    <w:rsid w:val="6F8F6EA7"/>
    <w:rsid w:val="6F923418"/>
    <w:rsid w:val="6FB42615"/>
    <w:rsid w:val="6FBE794A"/>
    <w:rsid w:val="6FCD3F22"/>
    <w:rsid w:val="6FD45781"/>
    <w:rsid w:val="6FD607DD"/>
    <w:rsid w:val="6FFA14DF"/>
    <w:rsid w:val="6FFC5590"/>
    <w:rsid w:val="70083708"/>
    <w:rsid w:val="700F5A14"/>
    <w:rsid w:val="701726E0"/>
    <w:rsid w:val="701C5E9A"/>
    <w:rsid w:val="70297DB0"/>
    <w:rsid w:val="70330545"/>
    <w:rsid w:val="704C59BF"/>
    <w:rsid w:val="706D1DD0"/>
    <w:rsid w:val="70721588"/>
    <w:rsid w:val="707637D7"/>
    <w:rsid w:val="707E49A4"/>
    <w:rsid w:val="708159DE"/>
    <w:rsid w:val="7083146C"/>
    <w:rsid w:val="70856B87"/>
    <w:rsid w:val="70891CF3"/>
    <w:rsid w:val="708F2B0E"/>
    <w:rsid w:val="70A33D3F"/>
    <w:rsid w:val="70A87FDA"/>
    <w:rsid w:val="70CD7A78"/>
    <w:rsid w:val="70D527EE"/>
    <w:rsid w:val="70DD412F"/>
    <w:rsid w:val="70DF018D"/>
    <w:rsid w:val="70F92FF0"/>
    <w:rsid w:val="71114361"/>
    <w:rsid w:val="711A6178"/>
    <w:rsid w:val="71416483"/>
    <w:rsid w:val="714D63CB"/>
    <w:rsid w:val="714E37F7"/>
    <w:rsid w:val="71553D25"/>
    <w:rsid w:val="715B5300"/>
    <w:rsid w:val="71624B68"/>
    <w:rsid w:val="71785A5B"/>
    <w:rsid w:val="718A4497"/>
    <w:rsid w:val="718A44D3"/>
    <w:rsid w:val="719B7301"/>
    <w:rsid w:val="719E7958"/>
    <w:rsid w:val="719F6B23"/>
    <w:rsid w:val="71A20079"/>
    <w:rsid w:val="71A70910"/>
    <w:rsid w:val="71AA2612"/>
    <w:rsid w:val="71AA371E"/>
    <w:rsid w:val="71AA43A8"/>
    <w:rsid w:val="71B17D35"/>
    <w:rsid w:val="71B96608"/>
    <w:rsid w:val="71BB64D6"/>
    <w:rsid w:val="71BC4782"/>
    <w:rsid w:val="71C26BE4"/>
    <w:rsid w:val="71C70183"/>
    <w:rsid w:val="71D27F8A"/>
    <w:rsid w:val="71D72B54"/>
    <w:rsid w:val="72067721"/>
    <w:rsid w:val="720B6055"/>
    <w:rsid w:val="720C546C"/>
    <w:rsid w:val="72186237"/>
    <w:rsid w:val="72270868"/>
    <w:rsid w:val="722D2AB0"/>
    <w:rsid w:val="7233543C"/>
    <w:rsid w:val="723725CA"/>
    <w:rsid w:val="72477710"/>
    <w:rsid w:val="72553024"/>
    <w:rsid w:val="725A2EF5"/>
    <w:rsid w:val="7279101C"/>
    <w:rsid w:val="727F01CB"/>
    <w:rsid w:val="727F515C"/>
    <w:rsid w:val="728A3B01"/>
    <w:rsid w:val="72930F7D"/>
    <w:rsid w:val="729F366A"/>
    <w:rsid w:val="72B92EB4"/>
    <w:rsid w:val="72BA44C3"/>
    <w:rsid w:val="72C31133"/>
    <w:rsid w:val="72D32173"/>
    <w:rsid w:val="72E431B2"/>
    <w:rsid w:val="72EE3AED"/>
    <w:rsid w:val="72FF6F4C"/>
    <w:rsid w:val="73005A4F"/>
    <w:rsid w:val="73085DF3"/>
    <w:rsid w:val="7309711B"/>
    <w:rsid w:val="730C2768"/>
    <w:rsid w:val="73122968"/>
    <w:rsid w:val="731F5D5E"/>
    <w:rsid w:val="731F75B4"/>
    <w:rsid w:val="73214147"/>
    <w:rsid w:val="73253718"/>
    <w:rsid w:val="73374BA6"/>
    <w:rsid w:val="73383726"/>
    <w:rsid w:val="73411B96"/>
    <w:rsid w:val="73413FF4"/>
    <w:rsid w:val="73486BF9"/>
    <w:rsid w:val="734B0E16"/>
    <w:rsid w:val="734D529E"/>
    <w:rsid w:val="73670F1A"/>
    <w:rsid w:val="73816CB2"/>
    <w:rsid w:val="738678E5"/>
    <w:rsid w:val="738A5FEE"/>
    <w:rsid w:val="738E75B1"/>
    <w:rsid w:val="73972979"/>
    <w:rsid w:val="73B00F77"/>
    <w:rsid w:val="73C25CE2"/>
    <w:rsid w:val="73C4337B"/>
    <w:rsid w:val="73C51AD5"/>
    <w:rsid w:val="73C804E8"/>
    <w:rsid w:val="73D11498"/>
    <w:rsid w:val="73DC213A"/>
    <w:rsid w:val="73F06E3B"/>
    <w:rsid w:val="73F91714"/>
    <w:rsid w:val="740E31EC"/>
    <w:rsid w:val="741934FC"/>
    <w:rsid w:val="741E793C"/>
    <w:rsid w:val="74333DCA"/>
    <w:rsid w:val="74542534"/>
    <w:rsid w:val="74580324"/>
    <w:rsid w:val="745E3944"/>
    <w:rsid w:val="746B03A7"/>
    <w:rsid w:val="746D0554"/>
    <w:rsid w:val="747B287D"/>
    <w:rsid w:val="74833309"/>
    <w:rsid w:val="74AA35A5"/>
    <w:rsid w:val="74B135C7"/>
    <w:rsid w:val="74BB7BBE"/>
    <w:rsid w:val="74C61436"/>
    <w:rsid w:val="74CA4688"/>
    <w:rsid w:val="750A0E63"/>
    <w:rsid w:val="7511489F"/>
    <w:rsid w:val="75241309"/>
    <w:rsid w:val="75295853"/>
    <w:rsid w:val="752E4C7E"/>
    <w:rsid w:val="753401A8"/>
    <w:rsid w:val="75375CEB"/>
    <w:rsid w:val="753F3CA4"/>
    <w:rsid w:val="75547578"/>
    <w:rsid w:val="755B19B5"/>
    <w:rsid w:val="755C5054"/>
    <w:rsid w:val="75664928"/>
    <w:rsid w:val="756F2722"/>
    <w:rsid w:val="75723201"/>
    <w:rsid w:val="75750A31"/>
    <w:rsid w:val="757F51FA"/>
    <w:rsid w:val="75817FDA"/>
    <w:rsid w:val="758547E9"/>
    <w:rsid w:val="758962F1"/>
    <w:rsid w:val="759E37C7"/>
    <w:rsid w:val="75A570D7"/>
    <w:rsid w:val="75AA7A0A"/>
    <w:rsid w:val="75AC4804"/>
    <w:rsid w:val="75AE7B06"/>
    <w:rsid w:val="75B01AD0"/>
    <w:rsid w:val="75B52A5B"/>
    <w:rsid w:val="75C9668A"/>
    <w:rsid w:val="75D44632"/>
    <w:rsid w:val="75DA5404"/>
    <w:rsid w:val="75E755F3"/>
    <w:rsid w:val="75F75951"/>
    <w:rsid w:val="76037EB7"/>
    <w:rsid w:val="76127D2C"/>
    <w:rsid w:val="76230AFF"/>
    <w:rsid w:val="762D0983"/>
    <w:rsid w:val="7635099D"/>
    <w:rsid w:val="763B0338"/>
    <w:rsid w:val="763B583E"/>
    <w:rsid w:val="76402765"/>
    <w:rsid w:val="7650195E"/>
    <w:rsid w:val="7656315C"/>
    <w:rsid w:val="765C5A0E"/>
    <w:rsid w:val="76625687"/>
    <w:rsid w:val="76720632"/>
    <w:rsid w:val="76785033"/>
    <w:rsid w:val="767D17ED"/>
    <w:rsid w:val="767F496E"/>
    <w:rsid w:val="7686464D"/>
    <w:rsid w:val="76975757"/>
    <w:rsid w:val="76DE6732"/>
    <w:rsid w:val="76F404EE"/>
    <w:rsid w:val="76FB7730"/>
    <w:rsid w:val="770025E3"/>
    <w:rsid w:val="771340C5"/>
    <w:rsid w:val="771556EE"/>
    <w:rsid w:val="772206AB"/>
    <w:rsid w:val="77244C67"/>
    <w:rsid w:val="772E266D"/>
    <w:rsid w:val="773A0B93"/>
    <w:rsid w:val="7743382B"/>
    <w:rsid w:val="77484F66"/>
    <w:rsid w:val="774921DC"/>
    <w:rsid w:val="775766A7"/>
    <w:rsid w:val="77666A8C"/>
    <w:rsid w:val="77762421"/>
    <w:rsid w:val="777F79AC"/>
    <w:rsid w:val="77813724"/>
    <w:rsid w:val="778A63A2"/>
    <w:rsid w:val="778B417D"/>
    <w:rsid w:val="778D5592"/>
    <w:rsid w:val="77A54878"/>
    <w:rsid w:val="77B533CE"/>
    <w:rsid w:val="77B56B1F"/>
    <w:rsid w:val="77E616E5"/>
    <w:rsid w:val="77F01173"/>
    <w:rsid w:val="77F7580C"/>
    <w:rsid w:val="78022363"/>
    <w:rsid w:val="78022C21"/>
    <w:rsid w:val="780F09F4"/>
    <w:rsid w:val="78115B31"/>
    <w:rsid w:val="78143A69"/>
    <w:rsid w:val="78260B82"/>
    <w:rsid w:val="782B19EF"/>
    <w:rsid w:val="782D7408"/>
    <w:rsid w:val="78342545"/>
    <w:rsid w:val="783509AB"/>
    <w:rsid w:val="783B5664"/>
    <w:rsid w:val="78400E45"/>
    <w:rsid w:val="78705861"/>
    <w:rsid w:val="787E1450"/>
    <w:rsid w:val="78885F37"/>
    <w:rsid w:val="788D0962"/>
    <w:rsid w:val="78A90480"/>
    <w:rsid w:val="78AA797A"/>
    <w:rsid w:val="78AC657F"/>
    <w:rsid w:val="78BF79C0"/>
    <w:rsid w:val="78D930EC"/>
    <w:rsid w:val="78DD050D"/>
    <w:rsid w:val="78F46CA7"/>
    <w:rsid w:val="78FA52B9"/>
    <w:rsid w:val="79073671"/>
    <w:rsid w:val="793238A9"/>
    <w:rsid w:val="793531BF"/>
    <w:rsid w:val="79433355"/>
    <w:rsid w:val="794D063C"/>
    <w:rsid w:val="79623468"/>
    <w:rsid w:val="79764DDF"/>
    <w:rsid w:val="79782F66"/>
    <w:rsid w:val="7983114D"/>
    <w:rsid w:val="7987560B"/>
    <w:rsid w:val="798D181E"/>
    <w:rsid w:val="79940132"/>
    <w:rsid w:val="79946760"/>
    <w:rsid w:val="79B439CB"/>
    <w:rsid w:val="79B8448B"/>
    <w:rsid w:val="79D753E0"/>
    <w:rsid w:val="79DD5076"/>
    <w:rsid w:val="79FF3026"/>
    <w:rsid w:val="7A0F14BB"/>
    <w:rsid w:val="7A1563A6"/>
    <w:rsid w:val="7A1673A9"/>
    <w:rsid w:val="7A364017"/>
    <w:rsid w:val="7A4C23A1"/>
    <w:rsid w:val="7A546ECE"/>
    <w:rsid w:val="7A5B3D8A"/>
    <w:rsid w:val="7A6052D6"/>
    <w:rsid w:val="7A8265E1"/>
    <w:rsid w:val="7A9206F9"/>
    <w:rsid w:val="7A9C1B10"/>
    <w:rsid w:val="7AA20000"/>
    <w:rsid w:val="7AA37E55"/>
    <w:rsid w:val="7AB029EF"/>
    <w:rsid w:val="7AB43E11"/>
    <w:rsid w:val="7AB44D46"/>
    <w:rsid w:val="7ABB7DC5"/>
    <w:rsid w:val="7AC2652D"/>
    <w:rsid w:val="7AC40F91"/>
    <w:rsid w:val="7AE31960"/>
    <w:rsid w:val="7AE72056"/>
    <w:rsid w:val="7AE87B18"/>
    <w:rsid w:val="7AED7256"/>
    <w:rsid w:val="7AF66331"/>
    <w:rsid w:val="7B1477F5"/>
    <w:rsid w:val="7B233340"/>
    <w:rsid w:val="7B337BC5"/>
    <w:rsid w:val="7B4406C9"/>
    <w:rsid w:val="7B5573A2"/>
    <w:rsid w:val="7B6018A2"/>
    <w:rsid w:val="7B686D42"/>
    <w:rsid w:val="7B755D7A"/>
    <w:rsid w:val="7B7A00DC"/>
    <w:rsid w:val="7B841746"/>
    <w:rsid w:val="7B8F0A21"/>
    <w:rsid w:val="7B914152"/>
    <w:rsid w:val="7BBA7205"/>
    <w:rsid w:val="7BCC4DA1"/>
    <w:rsid w:val="7BDA1909"/>
    <w:rsid w:val="7BF54261"/>
    <w:rsid w:val="7C090C35"/>
    <w:rsid w:val="7C1470D2"/>
    <w:rsid w:val="7C1C2D23"/>
    <w:rsid w:val="7C235B08"/>
    <w:rsid w:val="7C24128B"/>
    <w:rsid w:val="7C267BF9"/>
    <w:rsid w:val="7C273EDD"/>
    <w:rsid w:val="7C2F4844"/>
    <w:rsid w:val="7C3C069A"/>
    <w:rsid w:val="7C3C2A9C"/>
    <w:rsid w:val="7C471B8A"/>
    <w:rsid w:val="7C52145A"/>
    <w:rsid w:val="7C596106"/>
    <w:rsid w:val="7C6C5AC7"/>
    <w:rsid w:val="7C7962EB"/>
    <w:rsid w:val="7C847F02"/>
    <w:rsid w:val="7C914409"/>
    <w:rsid w:val="7C9438D6"/>
    <w:rsid w:val="7C9537CE"/>
    <w:rsid w:val="7C972F41"/>
    <w:rsid w:val="7C9C7253"/>
    <w:rsid w:val="7CB708CC"/>
    <w:rsid w:val="7CC6544B"/>
    <w:rsid w:val="7CCB4DB6"/>
    <w:rsid w:val="7CD442F6"/>
    <w:rsid w:val="7D0239FF"/>
    <w:rsid w:val="7D1A34B3"/>
    <w:rsid w:val="7D232BD1"/>
    <w:rsid w:val="7D290648"/>
    <w:rsid w:val="7D3A754E"/>
    <w:rsid w:val="7D474B76"/>
    <w:rsid w:val="7D4A280A"/>
    <w:rsid w:val="7D5E40CD"/>
    <w:rsid w:val="7D63231B"/>
    <w:rsid w:val="7D6679FD"/>
    <w:rsid w:val="7D72364A"/>
    <w:rsid w:val="7D73011A"/>
    <w:rsid w:val="7D7A4E9D"/>
    <w:rsid w:val="7D8927DD"/>
    <w:rsid w:val="7D951C5B"/>
    <w:rsid w:val="7D9601FA"/>
    <w:rsid w:val="7D964D8F"/>
    <w:rsid w:val="7D99109C"/>
    <w:rsid w:val="7DAA7877"/>
    <w:rsid w:val="7DB54CF6"/>
    <w:rsid w:val="7DC26F2B"/>
    <w:rsid w:val="7DCD56F2"/>
    <w:rsid w:val="7DCD70DD"/>
    <w:rsid w:val="7DD669CF"/>
    <w:rsid w:val="7DDB1F42"/>
    <w:rsid w:val="7DEF5BE0"/>
    <w:rsid w:val="7DF2712A"/>
    <w:rsid w:val="7DF804B8"/>
    <w:rsid w:val="7E105802"/>
    <w:rsid w:val="7E115136"/>
    <w:rsid w:val="7E124B40"/>
    <w:rsid w:val="7E2D69C6"/>
    <w:rsid w:val="7E5751DF"/>
    <w:rsid w:val="7E5A64F3"/>
    <w:rsid w:val="7E76139C"/>
    <w:rsid w:val="7E8A24AB"/>
    <w:rsid w:val="7E8E741A"/>
    <w:rsid w:val="7E915CBE"/>
    <w:rsid w:val="7E9F40E2"/>
    <w:rsid w:val="7EA55CBC"/>
    <w:rsid w:val="7EDC7492"/>
    <w:rsid w:val="7EEB0545"/>
    <w:rsid w:val="7F001CE7"/>
    <w:rsid w:val="7F0A0F58"/>
    <w:rsid w:val="7F0E11C8"/>
    <w:rsid w:val="7F2037D3"/>
    <w:rsid w:val="7F361298"/>
    <w:rsid w:val="7F3B5AFC"/>
    <w:rsid w:val="7F44687B"/>
    <w:rsid w:val="7F5035A9"/>
    <w:rsid w:val="7F556E2D"/>
    <w:rsid w:val="7F5869B2"/>
    <w:rsid w:val="7F675CAF"/>
    <w:rsid w:val="7F6B7218"/>
    <w:rsid w:val="7F8B0123"/>
    <w:rsid w:val="7F967064"/>
    <w:rsid w:val="7F9C7A2B"/>
    <w:rsid w:val="7FA0426E"/>
    <w:rsid w:val="7FA71CF1"/>
    <w:rsid w:val="7FA768C8"/>
    <w:rsid w:val="7FAC52FA"/>
    <w:rsid w:val="7FB56661"/>
    <w:rsid w:val="7FE47E50"/>
    <w:rsid w:val="7FF66DF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 w:semiHidden="0" w:name="heading 2"/>
    <w:lsdException w:qFormat="1" w:unhideWhenUsed="0" w:uiPriority="0"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4"/>
      <w:szCs w:val="24"/>
      <w:lang w:val="en-US" w:eastAsia="zh-CN" w:bidi="ar-SA"/>
    </w:rPr>
  </w:style>
  <w:style w:type="paragraph" w:styleId="4">
    <w:name w:val="heading 1"/>
    <w:basedOn w:val="1"/>
    <w:next w:val="1"/>
    <w:link w:val="34"/>
    <w:qFormat/>
    <w:uiPriority w:val="99"/>
    <w:pPr>
      <w:keepNext/>
      <w:numPr>
        <w:ilvl w:val="0"/>
        <w:numId w:val="1"/>
      </w:numPr>
      <w:overflowPunct w:val="0"/>
      <w:snapToGrid w:val="0"/>
      <w:spacing w:line="360" w:lineRule="auto"/>
      <w:ind w:left="0" w:firstLine="0"/>
      <w:jc w:val="center"/>
      <w:outlineLvl w:val="0"/>
    </w:pPr>
    <w:rPr>
      <w:rFonts w:eastAsia="黑体"/>
      <w:b/>
      <w:bCs/>
      <w:color w:val="000000"/>
      <w:kern w:val="44"/>
      <w:sz w:val="30"/>
      <w:szCs w:val="30"/>
    </w:rPr>
  </w:style>
  <w:style w:type="paragraph" w:styleId="5">
    <w:name w:val="heading 2"/>
    <w:basedOn w:val="4"/>
    <w:next w:val="1"/>
    <w:qFormat/>
    <w:uiPriority w:val="9"/>
    <w:pPr>
      <w:keepNext/>
      <w:keepLines/>
      <w:numPr>
        <w:ilvl w:val="1"/>
        <w:numId w:val="1"/>
      </w:numPr>
      <w:tabs>
        <w:tab w:val="clear" w:pos="420"/>
      </w:tabs>
      <w:spacing w:before="50" w:beforeLines="50" w:after="50" w:afterLines="50" w:line="360" w:lineRule="auto"/>
      <w:ind w:firstLineChars="0"/>
      <w:jc w:val="left"/>
      <w:outlineLvl w:val="1"/>
    </w:pPr>
    <w:rPr>
      <w:rFonts w:ascii="Times New Roman" w:hAnsi="Times New Roman" w:eastAsia="宋体" w:cs="Times New Roman"/>
      <w:sz w:val="30"/>
      <w:szCs w:val="32"/>
    </w:rPr>
  </w:style>
  <w:style w:type="paragraph" w:styleId="6">
    <w:name w:val="heading 3"/>
    <w:basedOn w:val="1"/>
    <w:next w:val="1"/>
    <w:qFormat/>
    <w:uiPriority w:val="0"/>
    <w:pPr>
      <w:keepNext/>
      <w:keepLines/>
      <w:numPr>
        <w:ilvl w:val="2"/>
        <w:numId w:val="1"/>
      </w:numPr>
      <w:spacing w:line="360" w:lineRule="auto"/>
      <w:ind w:left="0" w:firstLine="0"/>
      <w:jc w:val="left"/>
      <w:outlineLvl w:val="2"/>
    </w:pPr>
    <w:rPr>
      <w:rFonts w:ascii="Times New Roman" w:hAnsi="Times New Roman" w:eastAsia="宋体"/>
      <w:b/>
      <w:bCs/>
      <w:sz w:val="28"/>
      <w:szCs w:val="32"/>
    </w:rPr>
  </w:style>
  <w:style w:type="paragraph" w:styleId="7">
    <w:name w:val="heading 4"/>
    <w:basedOn w:val="1"/>
    <w:next w:val="1"/>
    <w:qFormat/>
    <w:uiPriority w:val="9"/>
    <w:pPr>
      <w:keepNext/>
      <w:keepLines/>
      <w:numPr>
        <w:ilvl w:val="3"/>
        <w:numId w:val="1"/>
      </w:numPr>
      <w:ind w:left="3545" w:hanging="2504" w:firstLineChars="0"/>
      <w:jc w:val="left"/>
      <w:outlineLvl w:val="3"/>
    </w:pPr>
    <w:rPr>
      <w:rFonts w:cs="Times New Roman"/>
      <w:b/>
      <w:bCs/>
      <w:szCs w:val="28"/>
    </w:rPr>
  </w:style>
  <w:style w:type="character" w:default="1" w:styleId="27">
    <w:name w:val="Default Paragraph Font"/>
    <w:semiHidden/>
    <w:qFormat/>
    <w:uiPriority w:val="0"/>
  </w:style>
  <w:style w:type="table" w:default="1" w:styleId="25">
    <w:name w:val="Normal Table"/>
    <w:semiHidden/>
    <w:qFormat/>
    <w:uiPriority w:val="0"/>
    <w:tblPr>
      <w:tblCellMar>
        <w:top w:w="0" w:type="dxa"/>
        <w:left w:w="108" w:type="dxa"/>
        <w:bottom w:w="0" w:type="dxa"/>
        <w:right w:w="108" w:type="dxa"/>
      </w:tblCellMar>
    </w:tblPr>
  </w:style>
  <w:style w:type="paragraph" w:styleId="2">
    <w:name w:val="Body Text"/>
    <w:basedOn w:val="1"/>
    <w:next w:val="3"/>
    <w:link w:val="33"/>
    <w:qFormat/>
    <w:uiPriority w:val="0"/>
    <w:pPr>
      <w:widowControl/>
      <w:snapToGrid w:val="0"/>
      <w:spacing w:before="60" w:after="160" w:line="259" w:lineRule="auto"/>
      <w:ind w:right="113"/>
    </w:pPr>
    <w:rPr>
      <w:kern w:val="0"/>
      <w:sz w:val="18"/>
      <w:szCs w:val="20"/>
    </w:rPr>
  </w:style>
  <w:style w:type="paragraph" w:styleId="3">
    <w:name w:val="Note Heading"/>
    <w:basedOn w:val="1"/>
    <w:next w:val="1"/>
    <w:qFormat/>
    <w:uiPriority w:val="0"/>
    <w:pPr>
      <w:widowControl w:val="0"/>
      <w:jc w:val="left"/>
    </w:pPr>
    <w:rPr>
      <w:rFonts w:ascii="Times New Roman" w:hAnsi="Times New Roman" w:eastAsia="宋体" w:cs="Times New Roman"/>
      <w:kern w:val="2"/>
      <w:sz w:val="21"/>
      <w:szCs w:val="24"/>
      <w:lang w:val="en-US" w:eastAsia="zh-CN" w:bidi="ar-SA"/>
    </w:rPr>
  </w:style>
  <w:style w:type="paragraph" w:styleId="8">
    <w:name w:val="Normal Indent"/>
    <w:basedOn w:val="1"/>
    <w:next w:val="9"/>
    <w:qFormat/>
    <w:uiPriority w:val="0"/>
    <w:pPr>
      <w:ind w:firstLine="420" w:firstLineChars="200"/>
    </w:pPr>
  </w:style>
  <w:style w:type="paragraph" w:styleId="9">
    <w:name w:val="Body Text First Indent 2"/>
    <w:basedOn w:val="10"/>
    <w:next w:val="1"/>
    <w:qFormat/>
    <w:uiPriority w:val="0"/>
    <w:pPr>
      <w:adjustRightInd w:val="0"/>
      <w:snapToGrid w:val="0"/>
      <w:spacing w:line="360" w:lineRule="auto"/>
      <w:ind w:left="0" w:leftChars="0" w:firstLine="1044"/>
    </w:pPr>
  </w:style>
  <w:style w:type="paragraph" w:styleId="10">
    <w:name w:val="Body Text Indent"/>
    <w:basedOn w:val="1"/>
    <w:next w:val="9"/>
    <w:link w:val="35"/>
    <w:qFormat/>
    <w:uiPriority w:val="0"/>
    <w:pPr>
      <w:spacing w:after="120"/>
      <w:ind w:left="420" w:leftChars="200"/>
    </w:pPr>
    <w:rPr>
      <w:kern w:val="0"/>
      <w:sz w:val="24"/>
      <w:szCs w:val="20"/>
    </w:rPr>
  </w:style>
  <w:style w:type="paragraph" w:styleId="11">
    <w:name w:val="annotation text"/>
    <w:basedOn w:val="1"/>
    <w:link w:val="36"/>
    <w:semiHidden/>
    <w:qFormat/>
    <w:uiPriority w:val="0"/>
    <w:pPr>
      <w:jc w:val="left"/>
    </w:pPr>
    <w:rPr>
      <w:kern w:val="0"/>
      <w:sz w:val="24"/>
      <w:szCs w:val="20"/>
    </w:rPr>
  </w:style>
  <w:style w:type="paragraph" w:styleId="12">
    <w:name w:val="index 6"/>
    <w:basedOn w:val="1"/>
    <w:next w:val="1"/>
    <w:qFormat/>
    <w:uiPriority w:val="0"/>
    <w:pPr>
      <w:ind w:left="1000" w:leftChars="1000"/>
    </w:pPr>
  </w:style>
  <w:style w:type="paragraph" w:styleId="13">
    <w:name w:val="Block Text"/>
    <w:basedOn w:val="1"/>
    <w:qFormat/>
    <w:uiPriority w:val="0"/>
    <w:pPr>
      <w:spacing w:after="120"/>
      <w:ind w:left="1440" w:leftChars="700" w:right="1440" w:rightChars="700"/>
    </w:pPr>
  </w:style>
  <w:style w:type="paragraph" w:styleId="14">
    <w:name w:val="Plain Text"/>
    <w:basedOn w:val="1"/>
    <w:next w:val="15"/>
    <w:qFormat/>
    <w:uiPriority w:val="0"/>
    <w:rPr>
      <w:rFonts w:ascii="宋体" w:hAnsi="Courier New"/>
    </w:rPr>
  </w:style>
  <w:style w:type="paragraph" w:styleId="15">
    <w:name w:val="toc 1"/>
    <w:basedOn w:val="1"/>
    <w:next w:val="1"/>
    <w:semiHidden/>
    <w:qFormat/>
    <w:uiPriority w:val="0"/>
    <w:pPr>
      <w:ind w:firstLine="480"/>
    </w:pPr>
    <w:rPr>
      <w:rFonts w:ascii="宋体" w:hAnsi="宋体"/>
      <w:color w:val="000000"/>
    </w:rPr>
  </w:style>
  <w:style w:type="paragraph" w:styleId="16">
    <w:name w:val="Date"/>
    <w:basedOn w:val="1"/>
    <w:next w:val="1"/>
    <w:link w:val="37"/>
    <w:qFormat/>
    <w:uiPriority w:val="0"/>
    <w:pPr>
      <w:ind w:left="100" w:leftChars="2500"/>
    </w:pPr>
    <w:rPr>
      <w:kern w:val="0"/>
      <w:sz w:val="24"/>
      <w:szCs w:val="20"/>
    </w:rPr>
  </w:style>
  <w:style w:type="paragraph" w:styleId="17">
    <w:name w:val="Balloon Text"/>
    <w:basedOn w:val="1"/>
    <w:link w:val="38"/>
    <w:semiHidden/>
    <w:qFormat/>
    <w:uiPriority w:val="0"/>
    <w:rPr>
      <w:kern w:val="0"/>
      <w:sz w:val="18"/>
      <w:szCs w:val="20"/>
    </w:rPr>
  </w:style>
  <w:style w:type="paragraph" w:styleId="18">
    <w:name w:val="footer"/>
    <w:basedOn w:val="1"/>
    <w:link w:val="39"/>
    <w:qFormat/>
    <w:uiPriority w:val="99"/>
    <w:pPr>
      <w:tabs>
        <w:tab w:val="center" w:pos="4153"/>
        <w:tab w:val="right" w:pos="8306"/>
      </w:tabs>
      <w:snapToGrid w:val="0"/>
      <w:jc w:val="left"/>
    </w:pPr>
    <w:rPr>
      <w:kern w:val="0"/>
      <w:sz w:val="18"/>
      <w:szCs w:val="20"/>
    </w:rPr>
  </w:style>
  <w:style w:type="paragraph" w:styleId="19">
    <w:name w:val="header"/>
    <w:basedOn w:val="1"/>
    <w:link w:val="40"/>
    <w:qFormat/>
    <w:uiPriority w:val="0"/>
    <w:pPr>
      <w:pBdr>
        <w:bottom w:val="single" w:color="auto" w:sz="6" w:space="1"/>
      </w:pBdr>
      <w:tabs>
        <w:tab w:val="center" w:pos="4153"/>
        <w:tab w:val="right" w:pos="8306"/>
      </w:tabs>
      <w:snapToGrid w:val="0"/>
      <w:jc w:val="center"/>
    </w:pPr>
    <w:rPr>
      <w:kern w:val="0"/>
      <w:sz w:val="18"/>
      <w:szCs w:val="20"/>
    </w:rPr>
  </w:style>
  <w:style w:type="paragraph" w:styleId="20">
    <w:name w:val="table of figures"/>
    <w:basedOn w:val="1"/>
    <w:next w:val="1"/>
    <w:unhideWhenUsed/>
    <w:qFormat/>
    <w:uiPriority w:val="99"/>
    <w:pPr>
      <w:ind w:left="200" w:leftChars="200" w:hanging="200" w:hangingChars="200"/>
    </w:pPr>
  </w:style>
  <w:style w:type="paragraph" w:styleId="21">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22">
    <w:name w:val="Title"/>
    <w:basedOn w:val="1"/>
    <w:next w:val="1"/>
    <w:qFormat/>
    <w:uiPriority w:val="0"/>
    <w:pPr>
      <w:spacing w:before="240" w:after="60"/>
      <w:jc w:val="center"/>
      <w:outlineLvl w:val="0"/>
    </w:pPr>
    <w:rPr>
      <w:rFonts w:ascii="Cambria" w:hAnsi="Cambria" w:eastAsia="方正小标宋简体"/>
      <w:bCs/>
      <w:spacing w:val="0"/>
      <w:kern w:val="0"/>
      <w:sz w:val="36"/>
      <w:szCs w:val="32"/>
    </w:rPr>
  </w:style>
  <w:style w:type="paragraph" w:styleId="23">
    <w:name w:val="annotation subject"/>
    <w:basedOn w:val="11"/>
    <w:next w:val="11"/>
    <w:link w:val="41"/>
    <w:semiHidden/>
    <w:qFormat/>
    <w:uiPriority w:val="0"/>
    <w:rPr>
      <w:b/>
      <w:sz w:val="24"/>
      <w:szCs w:val="20"/>
    </w:rPr>
  </w:style>
  <w:style w:type="paragraph" w:styleId="24">
    <w:name w:val="Body Text First Indent"/>
    <w:basedOn w:val="2"/>
    <w:next w:val="1"/>
    <w:qFormat/>
    <w:uiPriority w:val="0"/>
    <w:pPr>
      <w:widowControl/>
      <w:snapToGrid w:val="0"/>
      <w:spacing w:before="60" w:beforeLines="0" w:after="160" w:afterLines="0" w:line="259" w:lineRule="auto"/>
      <w:ind w:right="113" w:firstLine="420" w:firstLineChars="100"/>
      <w:jc w:val="both"/>
    </w:pPr>
    <w:rPr>
      <w:rFonts w:ascii="Times New Roman" w:hAnsi="Times New Roman" w:eastAsia="宋体" w:cs="Times New Roman"/>
      <w:kern w:val="0"/>
      <w:sz w:val="18"/>
      <w:szCs w:val="20"/>
      <w:lang w:val="en-US" w:eastAsia="zh-CN" w:bidi="ar-SA"/>
    </w:rPr>
  </w:style>
  <w:style w:type="table" w:styleId="26">
    <w:name w:val="Table Grid"/>
    <w:basedOn w:val="25"/>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qFormat/>
    <w:uiPriority w:val="0"/>
    <w:rPr>
      <w:b/>
    </w:rPr>
  </w:style>
  <w:style w:type="character" w:styleId="29">
    <w:name w:val="page number"/>
    <w:qFormat/>
    <w:uiPriority w:val="0"/>
  </w:style>
  <w:style w:type="character" w:styleId="30">
    <w:name w:val="Emphasis"/>
    <w:qFormat/>
    <w:uiPriority w:val="0"/>
    <w:rPr>
      <w:i/>
    </w:rPr>
  </w:style>
  <w:style w:type="character" w:styleId="31">
    <w:name w:val="Hyperlink"/>
    <w:qFormat/>
    <w:uiPriority w:val="0"/>
    <w:rPr>
      <w:color w:val="0000FF"/>
      <w:u w:val="single"/>
    </w:rPr>
  </w:style>
  <w:style w:type="character" w:styleId="32">
    <w:name w:val="annotation reference"/>
    <w:semiHidden/>
    <w:qFormat/>
    <w:uiPriority w:val="0"/>
    <w:rPr>
      <w:sz w:val="21"/>
    </w:rPr>
  </w:style>
  <w:style w:type="character" w:customStyle="1" w:styleId="33">
    <w:name w:val="正文文本 字符"/>
    <w:link w:val="2"/>
    <w:qFormat/>
    <w:uiPriority w:val="0"/>
    <w:rPr>
      <w:sz w:val="18"/>
    </w:rPr>
  </w:style>
  <w:style w:type="character" w:customStyle="1" w:styleId="34">
    <w:name w:val="标题 1 字符"/>
    <w:link w:val="4"/>
    <w:qFormat/>
    <w:uiPriority w:val="99"/>
    <w:rPr>
      <w:rFonts w:ascii="Times New Roman" w:hAnsi="Times New Roman" w:eastAsia="黑体"/>
      <w:b/>
      <w:bCs/>
      <w:color w:val="000000"/>
      <w:kern w:val="44"/>
      <w:sz w:val="30"/>
      <w:szCs w:val="30"/>
    </w:rPr>
  </w:style>
  <w:style w:type="character" w:customStyle="1" w:styleId="35">
    <w:name w:val="正文文本缩进 字符"/>
    <w:link w:val="10"/>
    <w:semiHidden/>
    <w:qFormat/>
    <w:uiPriority w:val="0"/>
    <w:rPr>
      <w:rFonts w:ascii="Times New Roman" w:hAnsi="Times New Roman" w:eastAsia="宋体"/>
      <w:sz w:val="24"/>
    </w:rPr>
  </w:style>
  <w:style w:type="character" w:customStyle="1" w:styleId="36">
    <w:name w:val="批注文字 字符"/>
    <w:link w:val="11"/>
    <w:qFormat/>
    <w:uiPriority w:val="0"/>
    <w:rPr>
      <w:rFonts w:ascii="Times New Roman" w:hAnsi="Times New Roman" w:eastAsia="宋体"/>
      <w:sz w:val="24"/>
    </w:rPr>
  </w:style>
  <w:style w:type="character" w:customStyle="1" w:styleId="37">
    <w:name w:val="日期 字符1"/>
    <w:link w:val="16"/>
    <w:qFormat/>
    <w:uiPriority w:val="0"/>
    <w:rPr>
      <w:rFonts w:ascii="Times New Roman" w:hAnsi="Times New Roman" w:eastAsia="宋体"/>
      <w:sz w:val="24"/>
    </w:rPr>
  </w:style>
  <w:style w:type="character" w:customStyle="1" w:styleId="38">
    <w:name w:val="批注框文本 字符"/>
    <w:link w:val="17"/>
    <w:semiHidden/>
    <w:qFormat/>
    <w:uiPriority w:val="0"/>
    <w:rPr>
      <w:rFonts w:ascii="Times New Roman" w:hAnsi="Times New Roman" w:eastAsia="宋体"/>
      <w:sz w:val="18"/>
    </w:rPr>
  </w:style>
  <w:style w:type="character" w:customStyle="1" w:styleId="39">
    <w:name w:val="页脚 字符1"/>
    <w:link w:val="18"/>
    <w:qFormat/>
    <w:uiPriority w:val="99"/>
    <w:rPr>
      <w:sz w:val="18"/>
    </w:rPr>
  </w:style>
  <w:style w:type="character" w:customStyle="1" w:styleId="40">
    <w:name w:val="页眉 字符"/>
    <w:link w:val="19"/>
    <w:qFormat/>
    <w:uiPriority w:val="0"/>
    <w:rPr>
      <w:sz w:val="18"/>
    </w:rPr>
  </w:style>
  <w:style w:type="character" w:customStyle="1" w:styleId="41">
    <w:name w:val="批注主题 字符"/>
    <w:link w:val="23"/>
    <w:semiHidden/>
    <w:qFormat/>
    <w:uiPriority w:val="0"/>
    <w:rPr>
      <w:rFonts w:ascii="Times New Roman" w:hAnsi="Times New Roman" w:eastAsia="宋体"/>
      <w:b/>
      <w:kern w:val="2"/>
      <w:sz w:val="24"/>
    </w:rPr>
  </w:style>
  <w:style w:type="paragraph" w:customStyle="1" w:styleId="42">
    <w:name w:val="正文(首行缩进)"/>
    <w:basedOn w:val="1"/>
    <w:qFormat/>
    <w:uiPriority w:val="0"/>
    <w:pPr>
      <w:spacing w:line="360" w:lineRule="auto"/>
      <w:ind w:firstLine="480" w:firstLineChars="200"/>
    </w:pPr>
    <w:rPr>
      <w:rFonts w:ascii="宋体" w:hAnsi="宋体"/>
      <w:color w:val="000000"/>
      <w:kern w:val="24"/>
      <w:szCs w:val="20"/>
    </w:rPr>
  </w:style>
  <w:style w:type="character" w:customStyle="1" w:styleId="43">
    <w:name w:val="页脚 字符"/>
    <w:qFormat/>
    <w:uiPriority w:val="99"/>
  </w:style>
  <w:style w:type="character" w:customStyle="1" w:styleId="44">
    <w:name w:val="fontstyle21"/>
    <w:qFormat/>
    <w:uiPriority w:val="0"/>
    <w:rPr>
      <w:rFonts w:ascii="黑体" w:hAnsi="宋体" w:eastAsia="黑体" w:cs="黑体"/>
      <w:color w:val="000000"/>
      <w:sz w:val="22"/>
      <w:szCs w:val="22"/>
    </w:rPr>
  </w:style>
  <w:style w:type="character" w:customStyle="1" w:styleId="45">
    <w:name w:val="font21"/>
    <w:qFormat/>
    <w:uiPriority w:val="0"/>
    <w:rPr>
      <w:rFonts w:hint="default" w:ascii="Times New Roman" w:hAnsi="Times New Roman" w:cs="Times New Roman"/>
      <w:color w:val="000000"/>
      <w:sz w:val="21"/>
      <w:szCs w:val="21"/>
      <w:u w:val="none"/>
    </w:rPr>
  </w:style>
  <w:style w:type="character" w:customStyle="1" w:styleId="46">
    <w:name w:val="font41"/>
    <w:qFormat/>
    <w:uiPriority w:val="0"/>
    <w:rPr>
      <w:rFonts w:hint="eastAsia" w:ascii="微软雅黑" w:hAnsi="微软雅黑" w:eastAsia="微软雅黑" w:cs="微软雅黑"/>
      <w:color w:val="000000"/>
      <w:sz w:val="20"/>
      <w:szCs w:val="20"/>
      <w:u w:val="none"/>
      <w:vertAlign w:val="superscript"/>
    </w:rPr>
  </w:style>
  <w:style w:type="character" w:customStyle="1" w:styleId="47">
    <w:name w:val="日期 字符"/>
    <w:semiHidden/>
    <w:qFormat/>
    <w:uiPriority w:val="0"/>
    <w:rPr>
      <w:rFonts w:ascii="Times New Roman" w:hAnsi="Times New Roman" w:eastAsia="宋体"/>
      <w:sz w:val="24"/>
    </w:rPr>
  </w:style>
  <w:style w:type="character" w:customStyle="1" w:styleId="48">
    <w:name w:val="批注文字 字符1"/>
    <w:semiHidden/>
    <w:qFormat/>
    <w:uiPriority w:val="0"/>
    <w:rPr>
      <w:rFonts w:ascii="Times New Roman" w:hAnsi="Times New Roman" w:eastAsia="宋体"/>
      <w:sz w:val="24"/>
    </w:rPr>
  </w:style>
  <w:style w:type="character" w:customStyle="1" w:styleId="49">
    <w:name w:val="表格名称 Char"/>
    <w:link w:val="50"/>
    <w:qFormat/>
    <w:uiPriority w:val="0"/>
    <w:rPr>
      <w:rFonts w:cs="宋体"/>
      <w:b/>
      <w:bCs/>
      <w:sz w:val="21"/>
      <w:szCs w:val="21"/>
    </w:rPr>
  </w:style>
  <w:style w:type="paragraph" w:customStyle="1" w:styleId="50">
    <w:name w:val="表格名称"/>
    <w:basedOn w:val="1"/>
    <w:next w:val="1"/>
    <w:link w:val="49"/>
    <w:qFormat/>
    <w:uiPriority w:val="0"/>
    <w:pPr>
      <w:adjustRightInd/>
      <w:snapToGrid/>
      <w:spacing w:before="50" w:beforeLines="50" w:line="240" w:lineRule="auto"/>
      <w:ind w:firstLine="0" w:firstLineChars="0"/>
      <w:jc w:val="center"/>
    </w:pPr>
    <w:rPr>
      <w:rFonts w:cs="宋体"/>
      <w:b/>
      <w:bCs/>
      <w:sz w:val="21"/>
      <w:szCs w:val="21"/>
    </w:rPr>
  </w:style>
  <w:style w:type="character" w:customStyle="1" w:styleId="51">
    <w:name w:val="fontstyle01"/>
    <w:qFormat/>
    <w:uiPriority w:val="0"/>
    <w:rPr>
      <w:rFonts w:hint="eastAsia" w:ascii="宋体" w:hAnsi="宋体" w:eastAsia="宋体" w:cs="宋体"/>
      <w:color w:val="000000"/>
      <w:sz w:val="24"/>
      <w:szCs w:val="24"/>
    </w:rPr>
  </w:style>
  <w:style w:type="character" w:customStyle="1" w:styleId="52">
    <w:name w:val="表格 Char"/>
    <w:link w:val="53"/>
    <w:qFormat/>
    <w:uiPriority w:val="0"/>
    <w:rPr>
      <w:rFonts w:ascii="宋体"/>
      <w:sz w:val="21"/>
    </w:rPr>
  </w:style>
  <w:style w:type="paragraph" w:customStyle="1" w:styleId="53">
    <w:name w:val="表格"/>
    <w:basedOn w:val="1"/>
    <w:next w:val="1"/>
    <w:link w:val="52"/>
    <w:qFormat/>
    <w:uiPriority w:val="0"/>
    <w:pPr>
      <w:adjustRightInd w:val="0"/>
      <w:snapToGrid w:val="0"/>
      <w:spacing w:beforeLines="10" w:afterLines="10" w:line="259" w:lineRule="auto"/>
      <w:jc w:val="center"/>
    </w:pPr>
    <w:rPr>
      <w:rFonts w:ascii="宋体"/>
      <w:kern w:val="0"/>
      <w:szCs w:val="20"/>
    </w:rPr>
  </w:style>
  <w:style w:type="character" w:customStyle="1" w:styleId="54">
    <w:name w:val="font11"/>
    <w:qFormat/>
    <w:uiPriority w:val="0"/>
    <w:rPr>
      <w:rFonts w:hint="eastAsia" w:ascii="宋体" w:hAnsi="宋体" w:eastAsia="宋体" w:cs="宋体"/>
      <w:color w:val="000000"/>
      <w:sz w:val="21"/>
      <w:szCs w:val="21"/>
      <w:u w:val="none"/>
    </w:rPr>
  </w:style>
  <w:style w:type="character" w:customStyle="1" w:styleId="55">
    <w:name w:val="正文文本 字符1"/>
    <w:semiHidden/>
    <w:qFormat/>
    <w:uiPriority w:val="0"/>
    <w:rPr>
      <w:rFonts w:ascii="Times New Roman" w:hAnsi="Times New Roman" w:eastAsia="宋体"/>
      <w:sz w:val="24"/>
    </w:rPr>
  </w:style>
  <w:style w:type="character" w:customStyle="1" w:styleId="56">
    <w:name w:val="font31"/>
    <w:qFormat/>
    <w:uiPriority w:val="0"/>
    <w:rPr>
      <w:rFonts w:hint="default" w:ascii="Times New Roman" w:hAnsi="Times New Roman" w:cs="Times New Roman"/>
      <w:color w:val="000000"/>
      <w:sz w:val="21"/>
      <w:szCs w:val="21"/>
      <w:u w:val="none"/>
      <w:vertAlign w:val="superscript"/>
    </w:rPr>
  </w:style>
  <w:style w:type="paragraph" w:customStyle="1" w:styleId="57">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8">
    <w:name w:val="表格内容CCW"/>
    <w:basedOn w:val="1"/>
    <w:qFormat/>
    <w:uiPriority w:val="0"/>
    <w:pPr>
      <w:widowControl/>
      <w:adjustRightInd/>
      <w:spacing w:line="240" w:lineRule="auto"/>
      <w:ind w:firstLine="0" w:firstLineChars="0"/>
      <w:jc w:val="center"/>
    </w:pPr>
    <w:rPr>
      <w:rFonts w:cs="Times New Roman"/>
      <w:kern w:val="0"/>
      <w:sz w:val="18"/>
      <w:szCs w:val="20"/>
    </w:rPr>
  </w:style>
  <w:style w:type="paragraph" w:customStyle="1" w:styleId="59">
    <w:name w:val="四级标题"/>
    <w:next w:val="1"/>
    <w:qFormat/>
    <w:uiPriority w:val="0"/>
    <w:pPr>
      <w:numPr>
        <w:ilvl w:val="3"/>
        <w:numId w:val="2"/>
      </w:numPr>
      <w:spacing w:line="360" w:lineRule="auto"/>
      <w:outlineLvl w:val="3"/>
    </w:pPr>
    <w:rPr>
      <w:rFonts w:ascii="Times New Roman" w:hAnsi="Times New Roman" w:eastAsia="宋体" w:cs="Times New Roman"/>
      <w:b/>
      <w:kern w:val="2"/>
      <w:sz w:val="24"/>
      <w:szCs w:val="28"/>
      <w:lang w:val="en-US" w:eastAsia="zh-CN" w:bidi="ar-SA"/>
    </w:rPr>
  </w:style>
  <w:style w:type="paragraph" w:customStyle="1" w:styleId="60">
    <w:name w:val="图表标题"/>
    <w:basedOn w:val="1"/>
    <w:next w:val="1"/>
    <w:qFormat/>
    <w:uiPriority w:val="0"/>
    <w:pPr>
      <w:spacing w:line="240" w:lineRule="auto"/>
      <w:ind w:firstLine="0" w:firstLineChars="0"/>
      <w:jc w:val="center"/>
      <w:outlineLvl w:val="9"/>
    </w:pPr>
    <w:rPr>
      <w:b/>
    </w:rPr>
  </w:style>
  <w:style w:type="paragraph" w:customStyle="1" w:styleId="61">
    <w:name w:val="WPSOffice手动目录 1"/>
    <w:qFormat/>
    <w:uiPriority w:val="0"/>
    <w:rPr>
      <w:rFonts w:ascii="Times New Roman" w:hAnsi="Times New Roman" w:eastAsia="宋体" w:cs="Times New Roman"/>
      <w:lang w:val="en-US" w:eastAsia="zh-CN" w:bidi="ar-SA"/>
    </w:rPr>
  </w:style>
  <w:style w:type="paragraph" w:customStyle="1" w:styleId="62">
    <w:name w:val="常用"/>
    <w:basedOn w:val="1"/>
    <w:qFormat/>
    <w:uiPriority w:val="0"/>
    <w:pPr>
      <w:widowControl/>
      <w:spacing w:line="360" w:lineRule="auto"/>
      <w:ind w:firstLine="200" w:firstLineChars="200"/>
      <w:jc w:val="left"/>
    </w:pPr>
    <w:rPr>
      <w:rFonts w:ascii="宋体" w:hAnsi="宋体" w:eastAsia="宋体"/>
      <w:kern w:val="0"/>
      <w:szCs w:val="28"/>
    </w:rPr>
  </w:style>
  <w:style w:type="paragraph" w:customStyle="1" w:styleId="63">
    <w:name w:val="表格标题"/>
    <w:basedOn w:val="1"/>
    <w:next w:val="1"/>
    <w:qFormat/>
    <w:uiPriority w:val="0"/>
    <w:pPr>
      <w:numPr>
        <w:ilvl w:val="4"/>
        <w:numId w:val="1"/>
      </w:numPr>
      <w:adjustRightInd/>
      <w:ind w:firstLineChars="0"/>
      <w:jc w:val="center"/>
    </w:pPr>
    <w:rPr>
      <w:rFonts w:ascii="Times New Roman" w:hAnsi="Times New Roman" w:eastAsia="宋体"/>
      <w:b/>
      <w:sz w:val="24"/>
    </w:rPr>
  </w:style>
  <w:style w:type="paragraph" w:customStyle="1" w:styleId="64">
    <w:name w:val="表格正文"/>
    <w:basedOn w:val="1"/>
    <w:qFormat/>
    <w:uiPriority w:val="0"/>
    <w:pPr>
      <w:spacing w:line="240" w:lineRule="auto"/>
      <w:ind w:firstLine="0" w:firstLineChars="0"/>
      <w:jc w:val="center"/>
    </w:pPr>
    <w:rPr>
      <w:rFonts w:ascii="Times New Roman" w:hAnsi="Times New Roman" w:eastAsia="宋体"/>
      <w:sz w:val="21"/>
    </w:rPr>
  </w:style>
  <w:style w:type="paragraph" w:customStyle="1" w:styleId="65">
    <w:name w:val="7表格（治）"/>
    <w:qFormat/>
    <w:uiPriority w:val="0"/>
    <w:pPr>
      <w:widowControl w:val="0"/>
      <w:adjustRightInd w:val="0"/>
      <w:snapToGrid w:val="0"/>
      <w:jc w:val="center"/>
    </w:pPr>
    <w:rPr>
      <w:rFonts w:ascii="Times New Roman" w:hAnsi="Times New Roman" w:eastAsia="宋体" w:cs="Times New Roman"/>
      <w:color w:val="000000"/>
      <w:sz w:val="21"/>
      <w:szCs w:val="21"/>
      <w:lang w:val="en-US" w:eastAsia="zh-CN" w:bidi="ar-SA"/>
    </w:rPr>
  </w:style>
  <w:style w:type="paragraph" w:customStyle="1" w:styleId="66">
    <w:name w:val="表格的字"/>
    <w:basedOn w:val="1"/>
    <w:next w:val="1"/>
    <w:qFormat/>
    <w:uiPriority w:val="0"/>
    <w:pPr>
      <w:adjustRightInd/>
      <w:spacing w:line="240" w:lineRule="auto"/>
      <w:ind w:firstLine="0" w:firstLineChars="0"/>
      <w:jc w:val="center"/>
    </w:pPr>
    <w:rPr>
      <w:sz w:val="21"/>
      <w:szCs w:val="24"/>
    </w:rPr>
  </w:style>
  <w:style w:type="paragraph" w:customStyle="1" w:styleId="67">
    <w:name w:val="表格内容"/>
    <w:basedOn w:val="1"/>
    <w:next w:val="2"/>
    <w:qFormat/>
    <w:uiPriority w:val="0"/>
    <w:pPr>
      <w:wordWrap w:val="0"/>
      <w:topLinePunct/>
      <w:spacing w:line="240" w:lineRule="auto"/>
      <w:jc w:val="center"/>
    </w:pPr>
    <w:rPr>
      <w:rFonts w:ascii="Times New Roman" w:hAnsi="Times New Roman" w:eastAsia="宋体"/>
      <w:kern w:val="0"/>
      <w:sz w:val="21"/>
    </w:rPr>
  </w:style>
  <w:style w:type="paragraph" w:customStyle="1" w:styleId="68">
    <w:name w:val="5段落"/>
    <w:basedOn w:val="1"/>
    <w:qFormat/>
    <w:uiPriority w:val="0"/>
    <w:rPr>
      <w:szCs w:val="28"/>
    </w:rPr>
  </w:style>
  <w:style w:type="paragraph" w:customStyle="1" w:styleId="69">
    <w:name w:val="5文章(治)"/>
    <w:basedOn w:val="1"/>
    <w:next w:val="12"/>
    <w:qFormat/>
    <w:uiPriority w:val="0"/>
    <w:pPr>
      <w:spacing w:line="360" w:lineRule="auto"/>
      <w:ind w:firstLine="480" w:firstLineChars="200"/>
    </w:pPr>
    <w:rPr>
      <w:rFonts w:ascii="Arial" w:hAnsi="Arial"/>
      <w:snapToGrid w:val="0"/>
      <w:kern w:val="0"/>
      <w:szCs w:val="21"/>
    </w:rPr>
  </w:style>
  <w:style w:type="paragraph" w:customStyle="1" w:styleId="70">
    <w:name w:val="表格、图片标题"/>
    <w:basedOn w:val="20"/>
    <w:qFormat/>
    <w:uiPriority w:val="0"/>
    <w:pPr>
      <w:ind w:left="0" w:leftChars="0" w:firstLine="0" w:firstLineChars="0"/>
      <w:jc w:val="center"/>
    </w:pPr>
    <w:rPr>
      <w:b/>
      <w:sz w:val="21"/>
    </w:rPr>
  </w:style>
  <w:style w:type="paragraph" w:customStyle="1" w:styleId="71">
    <w:name w:val="表格文字"/>
    <w:basedOn w:val="1"/>
    <w:next w:val="1"/>
    <w:qFormat/>
    <w:uiPriority w:val="0"/>
    <w:pPr>
      <w:ind w:firstLine="0"/>
      <w:jc w:val="center"/>
    </w:pPr>
    <w:rPr>
      <w:rFonts w:eastAsia="宋体"/>
      <w:sz w:val="18"/>
      <w:szCs w:val="18"/>
    </w:rPr>
  </w:style>
  <w:style w:type="paragraph" w:customStyle="1" w:styleId="72">
    <w:name w:val="三级标题"/>
    <w:next w:val="1"/>
    <w:qFormat/>
    <w:uiPriority w:val="0"/>
    <w:pPr>
      <w:numPr>
        <w:ilvl w:val="2"/>
        <w:numId w:val="2"/>
      </w:numPr>
      <w:spacing w:line="360" w:lineRule="auto"/>
      <w:outlineLvl w:val="2"/>
    </w:pPr>
    <w:rPr>
      <w:rFonts w:ascii="Times New Roman" w:hAnsi="Times New Roman" w:eastAsia="宋体" w:cs="Times New Roman"/>
      <w:b/>
      <w:color w:val="000000"/>
      <w:sz w:val="28"/>
      <w:szCs w:val="28"/>
      <w:lang w:val="en-US" w:eastAsia="zh-CN" w:bidi="ar-SA"/>
    </w:rPr>
  </w:style>
  <w:style w:type="paragraph" w:customStyle="1" w:styleId="73">
    <w:name w:val="正文（小四）"/>
    <w:qFormat/>
    <w:uiPriority w:val="0"/>
    <w:pPr>
      <w:spacing w:line="360" w:lineRule="auto"/>
      <w:ind w:firstLine="200" w:firstLineChars="200"/>
      <w:jc w:val="both"/>
    </w:pPr>
    <w:rPr>
      <w:rFonts w:ascii="Times New Roman" w:hAnsi="Times New Roman" w:eastAsia="宋体" w:cs="Times New Roman"/>
      <w:bCs/>
      <w:color w:val="000000"/>
      <w:kern w:val="2"/>
      <w:sz w:val="24"/>
      <w:szCs w:val="32"/>
      <w:lang w:val="en-US" w:eastAsia="zh-CN" w:bidi="ar-SA"/>
    </w:rPr>
  </w:style>
  <w:style w:type="paragraph" w:customStyle="1" w:styleId="74">
    <w:name w:val="表正文"/>
    <w:basedOn w:val="1"/>
    <w:qFormat/>
    <w:uiPriority w:val="0"/>
    <w:pPr>
      <w:adjustRightInd w:val="0"/>
      <w:snapToGrid w:val="0"/>
      <w:spacing w:line="240" w:lineRule="auto"/>
      <w:jc w:val="center"/>
    </w:pPr>
    <w:rPr>
      <w:sz w:val="21"/>
      <w:szCs w:val="21"/>
    </w:rPr>
  </w:style>
  <w:style w:type="paragraph" w:customStyle="1" w:styleId="75">
    <w:name w:val="表格内文字"/>
    <w:qFormat/>
    <w:uiPriority w:val="99"/>
    <w:pPr>
      <w:widowControl w:val="0"/>
      <w:adjustRightInd w:val="0"/>
      <w:snapToGrid w:val="0"/>
    </w:pPr>
    <w:rPr>
      <w:rFonts w:ascii="Times New Roman" w:hAnsi="Times New Roman" w:eastAsia="宋体" w:cs="Times New Roman"/>
      <w:spacing w:val="6"/>
      <w:sz w:val="21"/>
      <w:szCs w:val="24"/>
      <w:lang w:val="en-US" w:eastAsia="zh-CN" w:bidi="ar-SA"/>
    </w:rPr>
  </w:style>
  <w:style w:type="paragraph" w:customStyle="1" w:styleId="76">
    <w:name w:val="正文-2"/>
    <w:basedOn w:val="1"/>
    <w:qFormat/>
    <w:uiPriority w:val="0"/>
    <w:pPr>
      <w:wordWrap w:val="0"/>
      <w:autoSpaceDE w:val="0"/>
      <w:autoSpaceDN w:val="0"/>
      <w:adjustRightInd w:val="0"/>
      <w:snapToGrid w:val="0"/>
      <w:spacing w:line="360" w:lineRule="auto"/>
      <w:ind w:firstLine="720" w:firstLineChars="200"/>
      <w:jc w:val="left"/>
    </w:pPr>
    <w:rPr>
      <w:rFonts w:hint="eastAsia" w:cs="宋体"/>
      <w:kern w:val="0"/>
      <w:szCs w:val="21"/>
    </w:rPr>
  </w:style>
  <w:style w:type="paragraph" w:customStyle="1" w:styleId="77">
    <w:name w:val="1级标题"/>
    <w:basedOn w:val="1"/>
    <w:qFormat/>
    <w:uiPriority w:val="0"/>
    <w:pPr>
      <w:pageBreakBefore/>
      <w:widowControl/>
      <w:numPr>
        <w:ilvl w:val="0"/>
        <w:numId w:val="3"/>
      </w:numPr>
      <w:spacing w:line="360" w:lineRule="auto"/>
      <w:jc w:val="left"/>
      <w:outlineLvl w:val="0"/>
    </w:pPr>
    <w:rPr>
      <w:rFonts w:eastAsia="黑体" w:cs="宋体"/>
      <w:b/>
      <w:kern w:val="0"/>
      <w:sz w:val="32"/>
      <w:szCs w:val="30"/>
    </w:rPr>
  </w:style>
  <w:style w:type="paragraph" w:customStyle="1" w:styleId="78">
    <w:name w:val="图件标题"/>
    <w:basedOn w:val="1"/>
    <w:next w:val="77"/>
    <w:qFormat/>
    <w:uiPriority w:val="0"/>
    <w:pPr>
      <w:numPr>
        <w:ilvl w:val="5"/>
        <w:numId w:val="1"/>
      </w:numPr>
      <w:jc w:val="center"/>
    </w:pPr>
    <w:rPr>
      <w:b/>
    </w:rPr>
  </w:style>
  <w:style w:type="paragraph" w:customStyle="1" w:styleId="79">
    <w:name w:val="普通(网站)2"/>
    <w:basedOn w:val="1"/>
    <w:qFormat/>
    <w:uiPriority w:val="0"/>
    <w:pPr>
      <w:widowControl/>
      <w:spacing w:before="100" w:beforeAutospacing="1" w:after="100" w:afterAutospacing="1"/>
      <w:jc w:val="left"/>
    </w:pPr>
    <w:rPr>
      <w:rFonts w:ascii="宋体" w:hAnsi="宋体"/>
      <w:sz w:val="24"/>
      <w:szCs w:val="20"/>
    </w:rPr>
  </w:style>
  <w:style w:type="paragraph" w:customStyle="1" w:styleId="80">
    <w:name w:val="正文-33"/>
    <w:basedOn w:val="1"/>
    <w:qFormat/>
    <w:uiPriority w:val="0"/>
    <w:pPr>
      <w:wordWrap w:val="0"/>
      <w:autoSpaceDE w:val="0"/>
      <w:autoSpaceDN w:val="0"/>
      <w:adjustRightInd w:val="0"/>
      <w:snapToGrid w:val="0"/>
      <w:spacing w:line="360" w:lineRule="auto"/>
      <w:ind w:firstLine="720" w:firstLineChars="200"/>
      <w:jc w:val="left"/>
    </w:pPr>
    <w:rPr>
      <w:rFonts w:hint="eastAsia" w:ascii="Times New Roman" w:hAnsi="Times New Roman" w:eastAsia="宋体" w:cs="宋体"/>
      <w:kern w:val="0"/>
      <w:szCs w:val="21"/>
    </w:rPr>
  </w:style>
  <w:style w:type="paragraph" w:customStyle="1" w:styleId="81">
    <w:name w:val="环评表格内容"/>
    <w:basedOn w:val="1"/>
    <w:qFormat/>
    <w:uiPriority w:val="0"/>
    <w:pPr>
      <w:widowControl/>
      <w:adjustRightInd w:val="0"/>
      <w:snapToGrid w:val="0"/>
      <w:jc w:val="center"/>
    </w:pPr>
    <w:rPr>
      <w:kern w:val="0"/>
      <w:szCs w:val="21"/>
    </w:rPr>
  </w:style>
  <w:style w:type="paragraph" w:customStyle="1" w:styleId="82">
    <w:name w:val="正文111"/>
    <w:basedOn w:val="1"/>
    <w:qFormat/>
    <w:uiPriority w:val="0"/>
    <w:pPr>
      <w:wordWrap w:val="0"/>
      <w:autoSpaceDE w:val="0"/>
      <w:autoSpaceDN w:val="0"/>
      <w:adjustRightInd w:val="0"/>
      <w:snapToGrid w:val="0"/>
      <w:spacing w:line="360" w:lineRule="auto"/>
      <w:ind w:firstLine="720" w:firstLineChars="200"/>
      <w:jc w:val="left"/>
    </w:pPr>
    <w:rPr>
      <w:rFonts w:hint="eastAsia" w:ascii="Times New Roman" w:hAnsi="Times New Roman" w:eastAsia="宋体" w:cs="宋体"/>
      <w:kern w:val="0"/>
      <w:szCs w:val="21"/>
    </w:rPr>
  </w:style>
  <w:style w:type="paragraph" w:customStyle="1" w:styleId="83">
    <w:name w:val="3表内文字"/>
    <w:basedOn w:val="1"/>
    <w:qFormat/>
    <w:uiPriority w:val="0"/>
    <w:pPr>
      <w:jc w:val="center"/>
    </w:pPr>
    <w:rPr>
      <w:color w:val="000000"/>
      <w:sz w:val="18"/>
      <w:szCs w:val="21"/>
    </w:rPr>
  </w:style>
  <w:style w:type="paragraph" w:customStyle="1" w:styleId="84">
    <w:name w:val="H图表内容"/>
    <w:basedOn w:val="1"/>
    <w:qFormat/>
    <w:uiPriority w:val="0"/>
    <w:rPr>
      <w:szCs w:val="20"/>
    </w:rPr>
  </w:style>
  <w:style w:type="paragraph" w:customStyle="1" w:styleId="85">
    <w:name w:val="样式 首行缩进:  2 字符1"/>
    <w:basedOn w:val="1"/>
    <w:qFormat/>
    <w:uiPriority w:val="0"/>
    <w:pPr>
      <w:adjustRightInd w:val="0"/>
      <w:snapToGrid w:val="0"/>
      <w:spacing w:line="360" w:lineRule="auto"/>
      <w:ind w:firstLine="480" w:firstLineChars="200"/>
    </w:pPr>
    <w:rPr>
      <w:color w:val="000000"/>
    </w:rPr>
  </w:style>
  <w:style w:type="paragraph" w:customStyle="1" w:styleId="86">
    <w:name w:val="表格内容 ylp"/>
    <w:qFormat/>
    <w:uiPriority w:val="0"/>
    <w:pPr>
      <w:widowControl w:val="0"/>
      <w:tabs>
        <w:tab w:val="center" w:pos="4153"/>
        <w:tab w:val="right" w:pos="8306"/>
      </w:tabs>
      <w:jc w:val="center"/>
    </w:pPr>
    <w:rPr>
      <w:rFonts w:ascii="Times New Roman" w:hAnsi="Times New Roman" w:eastAsia="宋体" w:cs="Times New Roman"/>
      <w:color w:val="000000"/>
      <w:kern w:val="2"/>
      <w:sz w:val="21"/>
      <w:szCs w:val="21"/>
      <w:lang w:val="en-US" w:eastAsia="zh-CN" w:bidi="ar-SA"/>
    </w:rPr>
  </w:style>
  <w:style w:type="table" w:customStyle="1" w:styleId="87">
    <w:name w:val="网格型7"/>
    <w:basedOn w:val="25"/>
    <w:qFormat/>
    <w:uiPriority w:val="0"/>
    <w:pPr>
      <w:widowControl w:val="0"/>
      <w:jc w:val="both"/>
    </w:pPr>
    <w:rPr>
      <w:sz w:val="21"/>
    </w:rPr>
    <w:tblPr>
      <w:jc w:val="center"/>
      <w:tblBorders>
        <w:top w:val="single" w:color="auto" w:sz="18" w:space="0"/>
        <w:bottom w:val="single" w:color="auto" w:sz="18" w:space="0"/>
        <w:insideH w:val="single" w:color="auto" w:sz="4" w:space="0"/>
        <w:insideV w:val="single" w:color="auto" w:sz="4" w:space="0"/>
      </w:tblBorders>
      <w:tblCellMar>
        <w:top w:w="0" w:type="dxa"/>
        <w:left w:w="108" w:type="dxa"/>
        <w:bottom w:w="0" w:type="dxa"/>
        <w:right w:w="108" w:type="dxa"/>
      </w:tblCellMar>
    </w:tblPr>
    <w:trPr>
      <w:jc w:val="center"/>
    </w:trPr>
    <w:tcPr>
      <w:vAlign w:val="center"/>
    </w:tcPr>
  </w:style>
  <w:style w:type="table" w:customStyle="1" w:styleId="88">
    <w:name w:val="Table Normal"/>
    <w:unhideWhenUsed/>
    <w:qFormat/>
    <w:uiPriority w:val="0"/>
    <w:rPr>
      <w:lang w:val="en-US" w:eastAsia="zh-CN" w:bidi="ar-SA"/>
    </w:rPr>
    <w:tblPr>
      <w:tblCellMar>
        <w:top w:w="0" w:type="dxa"/>
        <w:left w:w="0" w:type="dxa"/>
        <w:bottom w:w="0" w:type="dxa"/>
        <w:right w:w="0" w:type="dxa"/>
      </w:tblCellMar>
    </w:tblPr>
  </w:style>
  <w:style w:type="character" w:customStyle="1" w:styleId="89">
    <w:name w:val="font01"/>
    <w:qFormat/>
    <w:uiPriority w:val="0"/>
    <w:rPr>
      <w:rFonts w:hint="default" w:ascii="Times New Roman" w:hAnsi="Times New Roman" w:cs="Times New Roman"/>
      <w:color w:val="000000"/>
      <w:sz w:val="21"/>
      <w:szCs w:val="21"/>
      <w:u w:val="none"/>
      <w:vertAlign w:val="superscript"/>
    </w:rPr>
  </w:style>
  <w:style w:type="paragraph" w:customStyle="1" w:styleId="90">
    <w:name w:val="Table Text"/>
    <w:basedOn w:val="1"/>
    <w:semiHidden/>
    <w:qFormat/>
    <w:uiPriority w:val="0"/>
    <w:rPr>
      <w:rFonts w:ascii="宋体" w:hAnsi="宋体" w:cs="宋体"/>
      <w:lang w:eastAsia="en-US"/>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3" Type="http://schemas.openxmlformats.org/officeDocument/2006/relationships/fontTable" Target="fontTable.xml"/><Relationship Id="rId62" Type="http://schemas.openxmlformats.org/officeDocument/2006/relationships/numbering" Target="numbering.xml"/><Relationship Id="rId61" Type="http://schemas.openxmlformats.org/officeDocument/2006/relationships/customXml" Target="../customXml/item1.xml"/><Relationship Id="rId60" Type="http://schemas.openxmlformats.org/officeDocument/2006/relationships/image" Target="media/image46.png"/><Relationship Id="rId6" Type="http://schemas.openxmlformats.org/officeDocument/2006/relationships/footer" Target="footer4.xml"/><Relationship Id="rId59" Type="http://schemas.openxmlformats.org/officeDocument/2006/relationships/image" Target="media/image45.png"/><Relationship Id="rId58" Type="http://schemas.openxmlformats.org/officeDocument/2006/relationships/image" Target="media/image44.png"/><Relationship Id="rId57" Type="http://schemas.openxmlformats.org/officeDocument/2006/relationships/image" Target="media/image43.png"/><Relationship Id="rId56" Type="http://schemas.openxmlformats.org/officeDocument/2006/relationships/image" Target="media/image42.png"/><Relationship Id="rId55" Type="http://schemas.openxmlformats.org/officeDocument/2006/relationships/image" Target="media/image41.png"/><Relationship Id="rId54" Type="http://schemas.openxmlformats.org/officeDocument/2006/relationships/image" Target="media/image40.png"/><Relationship Id="rId53" Type="http://schemas.openxmlformats.org/officeDocument/2006/relationships/image" Target="media/image39.png"/><Relationship Id="rId52" Type="http://schemas.openxmlformats.org/officeDocument/2006/relationships/image" Target="media/image38.png"/><Relationship Id="rId51" Type="http://schemas.openxmlformats.org/officeDocument/2006/relationships/image" Target="media/image37.png"/><Relationship Id="rId50" Type="http://schemas.openxmlformats.org/officeDocument/2006/relationships/image" Target="media/image36.png"/><Relationship Id="rId5" Type="http://schemas.openxmlformats.org/officeDocument/2006/relationships/footer" Target="footer3.xml"/><Relationship Id="rId49" Type="http://schemas.openxmlformats.org/officeDocument/2006/relationships/image" Target="media/image35.png"/><Relationship Id="rId48" Type="http://schemas.openxmlformats.org/officeDocument/2006/relationships/image" Target="media/image34.png"/><Relationship Id="rId47" Type="http://schemas.openxmlformats.org/officeDocument/2006/relationships/image" Target="media/image33.png"/><Relationship Id="rId46" Type="http://schemas.openxmlformats.org/officeDocument/2006/relationships/image" Target="media/image32.png"/><Relationship Id="rId45" Type="http://schemas.openxmlformats.org/officeDocument/2006/relationships/image" Target="media/image31.png"/><Relationship Id="rId44" Type="http://schemas.openxmlformats.org/officeDocument/2006/relationships/image" Target="media/image30.png"/><Relationship Id="rId43" Type="http://schemas.openxmlformats.org/officeDocument/2006/relationships/image" Target="media/image29.png"/><Relationship Id="rId42" Type="http://schemas.openxmlformats.org/officeDocument/2006/relationships/image" Target="media/image28.jpeg"/><Relationship Id="rId41" Type="http://schemas.openxmlformats.org/officeDocument/2006/relationships/image" Target="media/image27.jpeg"/><Relationship Id="rId40" Type="http://schemas.openxmlformats.org/officeDocument/2006/relationships/image" Target="media/image26.png"/><Relationship Id="rId4" Type="http://schemas.openxmlformats.org/officeDocument/2006/relationships/footer" Target="footer2.xml"/><Relationship Id="rId39" Type="http://schemas.openxmlformats.org/officeDocument/2006/relationships/image" Target="media/image25.png"/><Relationship Id="rId38" Type="http://schemas.openxmlformats.org/officeDocument/2006/relationships/image" Target="media/image24.jpeg"/><Relationship Id="rId37" Type="http://schemas.openxmlformats.org/officeDocument/2006/relationships/image" Target="media/image23.jpeg"/><Relationship Id="rId36" Type="http://schemas.openxmlformats.org/officeDocument/2006/relationships/image" Target="media/image22.jpeg"/><Relationship Id="rId35" Type="http://schemas.openxmlformats.org/officeDocument/2006/relationships/image" Target="media/image21.jpeg"/><Relationship Id="rId34" Type="http://schemas.openxmlformats.org/officeDocument/2006/relationships/image" Target="media/image20.png"/><Relationship Id="rId33" Type="http://schemas.openxmlformats.org/officeDocument/2006/relationships/image" Target="media/image19.png"/><Relationship Id="rId32" Type="http://schemas.openxmlformats.org/officeDocument/2006/relationships/image" Target="media/image18.png"/><Relationship Id="rId31" Type="http://schemas.openxmlformats.org/officeDocument/2006/relationships/image" Target="media/image17.png"/><Relationship Id="rId30" Type="http://schemas.openxmlformats.org/officeDocument/2006/relationships/image" Target="media/image16.png"/><Relationship Id="rId3" Type="http://schemas.openxmlformats.org/officeDocument/2006/relationships/footer" Target="footer1.xml"/><Relationship Id="rId29" Type="http://schemas.openxmlformats.org/officeDocument/2006/relationships/image" Target="media/image15.jpeg"/><Relationship Id="rId28" Type="http://schemas.openxmlformats.org/officeDocument/2006/relationships/image" Target="media/image14.png"/><Relationship Id="rId27" Type="http://schemas.openxmlformats.org/officeDocument/2006/relationships/image" Target="media/image13.png"/><Relationship Id="rId26" Type="http://schemas.openxmlformats.org/officeDocument/2006/relationships/image" Target="media/image12.wmf"/><Relationship Id="rId25" Type="http://schemas.openxmlformats.org/officeDocument/2006/relationships/oleObject" Target="embeddings/oleObject5.bin"/><Relationship Id="rId24" Type="http://schemas.openxmlformats.org/officeDocument/2006/relationships/image" Target="media/image11.wmf"/><Relationship Id="rId23" Type="http://schemas.openxmlformats.org/officeDocument/2006/relationships/oleObject" Target="embeddings/oleObject4.bin"/><Relationship Id="rId22" Type="http://schemas.openxmlformats.org/officeDocument/2006/relationships/image" Target="media/image10.wmf"/><Relationship Id="rId21" Type="http://schemas.openxmlformats.org/officeDocument/2006/relationships/oleObject" Target="embeddings/oleObject3.bin"/><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emf"/><Relationship Id="rId17" Type="http://schemas.openxmlformats.org/officeDocument/2006/relationships/oleObject" Target="embeddings/oleObject2.bin"/><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jpeg"/><Relationship Id="rId12" Type="http://schemas.openxmlformats.org/officeDocument/2006/relationships/image" Target="media/image2.emf"/><Relationship Id="rId11" Type="http://schemas.openxmlformats.org/officeDocument/2006/relationships/oleObject" Target="embeddings/oleObject1.bin"/><Relationship Id="rId10" Type="http://schemas.openxmlformats.org/officeDocument/2006/relationships/image" Target="media/image1.jpe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wdzx97.dot</Template>
  <Company>微软中国</Company>
  <Pages>83</Pages>
  <Words>167</Words>
  <Characters>175</Characters>
  <Lines>245</Lines>
  <Paragraphs>69</Paragraphs>
  <TotalTime>4</TotalTime>
  <ScaleCrop>false</ScaleCrop>
  <LinksUpToDate>false</LinksUpToDate>
  <CharactersWithSpaces>198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2022-07-28T14:24:00Z</dcterms:created>
  <dc:creator>lhj</dc:creator>
  <cp:lastModifiedBy>Administrator</cp:lastModifiedBy>
  <cp:lastPrinted>2022-01-10T07:56:00Z</cp:lastPrinted>
  <dcterms:modified xsi:type="dcterms:W3CDTF">2026-06-30T08:32:29Z</dcterms:modified>
  <dc:title>附件2</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6555BCBF9D294A34B0A395623C8F7C8F_13</vt:lpwstr>
  </property>
  <property fmtid="{D5CDD505-2E9C-101B-9397-08002B2CF9AE}" pid="4" name="KSOTemplateDocerSaveRecord">
    <vt:lpwstr>eyJoZGlkIjoiNjc3ZjE4Yjc4NmZjN2Y3ZWY3NGY0NGZjMzk1YjYzMmYifQ==</vt:lpwstr>
  </property>
</Properties>
</file>