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sz w:val="36"/>
          <w:szCs w:val="36"/>
          <w:highlight w:val="none"/>
        </w:rPr>
      </w:pPr>
      <w:bookmarkStart w:id="0" w:name="_Hlk57883707"/>
    </w:p>
    <w:p>
      <w:pPr>
        <w:rPr>
          <w:rFonts w:ascii="仿宋_GB2312" w:hAnsi="仿宋_GB2312" w:eastAsia="仿宋_GB2312" w:cs="仿宋_GB2312"/>
          <w:color w:val="auto"/>
          <w:sz w:val="36"/>
          <w:szCs w:val="36"/>
          <w:highlight w:val="none"/>
        </w:rPr>
      </w:pPr>
    </w:p>
    <w:p>
      <w:pPr>
        <w:rPr>
          <w:rFonts w:hint="eastAsia"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bookmarkEnd w:id="0"/>
    <w:p>
      <w:pPr>
        <w:adjustRightInd w:val="0"/>
        <w:snapToGrid w:val="0"/>
        <w:jc w:val="center"/>
        <w:rPr>
          <w:rFonts w:hint="eastAsia" w:ascii="方正小标宋_GBK" w:eastAsia="方正小标宋_GBK"/>
          <w:bCs/>
          <w:color w:val="auto"/>
          <w:sz w:val="72"/>
          <w:szCs w:val="72"/>
          <w:highlight w:val="none"/>
        </w:rPr>
      </w:pPr>
      <w:bookmarkStart w:id="1" w:name="_Hlk57883728"/>
      <w:r>
        <w:rPr>
          <w:rFonts w:hint="eastAsia" w:ascii="方正小标宋_GBK" w:eastAsia="方正小标宋_GBK"/>
          <w:bCs/>
          <w:color w:val="auto"/>
          <w:sz w:val="72"/>
          <w:szCs w:val="72"/>
          <w:highlight w:val="none"/>
        </w:rPr>
        <w:t>建设项目环境影响报告表</w:t>
      </w:r>
    </w:p>
    <w:p>
      <w:pPr>
        <w:adjustRightInd w:val="0"/>
        <w:snapToGrid w:val="0"/>
        <w:spacing w:before="192" w:beforeLines="80"/>
        <w:jc w:val="center"/>
        <w:rPr>
          <w:rFonts w:hint="eastAsia" w:ascii="楷体_GB2312" w:eastAsia="楷体_GB2312"/>
          <w:bCs/>
          <w:color w:val="auto"/>
          <w:sz w:val="48"/>
          <w:szCs w:val="48"/>
          <w:highlight w:val="none"/>
        </w:rPr>
      </w:pPr>
      <w:r>
        <w:rPr>
          <w:rFonts w:hint="eastAsia" w:ascii="楷体_GB2312" w:eastAsia="楷体_GB2312"/>
          <w:bCs/>
          <w:color w:val="auto"/>
          <w:sz w:val="48"/>
          <w:szCs w:val="48"/>
          <w:highlight w:val="none"/>
        </w:rPr>
        <w:t>（生态影响类）</w:t>
      </w:r>
    </w:p>
    <w:p>
      <w:pPr>
        <w:adjustRightInd w:val="0"/>
        <w:snapToGrid w:val="0"/>
        <w:spacing w:line="288" w:lineRule="auto"/>
        <w:jc w:val="center"/>
        <w:rPr>
          <w:rFonts w:ascii="华文仿宋" w:hAnsi="华文仿宋" w:eastAsia="华文仿宋" w:cs="华文仿宋"/>
          <w:color w:val="auto"/>
          <w:kern w:val="44"/>
          <w:sz w:val="44"/>
          <w:szCs w:val="44"/>
          <w:highlight w:val="none"/>
        </w:rPr>
      </w:pPr>
    </w:p>
    <w:p>
      <w:pPr>
        <w:jc w:val="center"/>
        <w:rPr>
          <w:rFonts w:eastAsia="仿宋"/>
          <w:color w:val="auto"/>
          <w:sz w:val="52"/>
          <w:szCs w:val="52"/>
          <w:highlight w:val="none"/>
        </w:rPr>
      </w:pPr>
    </w:p>
    <w:p>
      <w:pPr>
        <w:ind w:firstLine="1040"/>
        <w:rPr>
          <w:rFonts w:hint="eastAsia" w:eastAsia="仿宋"/>
          <w:color w:val="auto"/>
          <w:sz w:val="44"/>
          <w:szCs w:val="44"/>
          <w:highlight w:val="none"/>
          <w:lang w:val="en-US" w:eastAsia="zh-CN"/>
        </w:rPr>
      </w:pPr>
      <w:r>
        <w:rPr>
          <w:rFonts w:hint="eastAsia" w:eastAsia="仿宋"/>
          <w:color w:val="auto"/>
          <w:sz w:val="44"/>
          <w:szCs w:val="44"/>
          <w:highlight w:val="none"/>
          <w:lang w:val="en-US" w:eastAsia="zh-CN"/>
        </w:rPr>
        <w:t xml:space="preserve"> </w:t>
      </w: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bookmarkEnd w:id="1"/>
    <w:p>
      <w:pPr>
        <w:adjustRightInd w:val="0"/>
        <w:snapToGrid w:val="0"/>
        <w:spacing w:line="288" w:lineRule="auto"/>
        <w:ind w:firstLine="1080" w:firstLineChars="300"/>
        <w:rPr>
          <w:rFonts w:hint="eastAsia" w:ascii="仿宋_GB2312" w:eastAsia="仿宋_GB2312"/>
          <w:color w:val="auto"/>
          <w:sz w:val="36"/>
          <w:szCs w:val="36"/>
          <w:highlight w:val="none"/>
          <w:u w:val="single"/>
        </w:rPr>
      </w:pPr>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福州市象山隧道拓宽改造工程</w:t>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 xml:space="preserve"> </w:t>
      </w:r>
    </w:p>
    <w:p>
      <w:pPr>
        <w:adjustRightInd w:val="0"/>
        <w:snapToGrid w:val="0"/>
        <w:spacing w:line="288" w:lineRule="auto"/>
        <w:ind w:firstLine="1040"/>
        <w:rPr>
          <w:rFonts w:ascii="仿宋_GB2312" w:eastAsia="仿宋_GB2312"/>
          <w:color w:val="auto"/>
          <w:spacing w:val="-7"/>
          <w:sz w:val="36"/>
          <w:szCs w:val="36"/>
          <w:highlight w:val="none"/>
          <w:u w:val="single"/>
        </w:rPr>
      </w:pPr>
      <w:r>
        <w:rPr>
          <w:rFonts w:hint="eastAsia" w:ascii="仿宋_GB2312" w:eastAsia="仿宋_GB2312"/>
          <w:color w:val="auto"/>
          <w:spacing w:val="-7"/>
          <w:sz w:val="36"/>
          <w:szCs w:val="36"/>
          <w:highlight w:val="none"/>
        </w:rPr>
        <w:t>建设单位（盖章）：</w:t>
      </w:r>
      <w:r>
        <w:rPr>
          <w:rFonts w:hint="eastAsia" w:ascii="仿宋_GB2312" w:eastAsia="仿宋_GB2312"/>
          <w:color w:val="auto"/>
          <w:spacing w:val="-7"/>
          <w:sz w:val="36"/>
          <w:szCs w:val="36"/>
          <w:highlight w:val="none"/>
          <w:u w:val="single"/>
        </w:rPr>
        <w:t>福州市市政建设开发有限公司</w:t>
      </w:r>
      <w:r>
        <w:rPr>
          <w:rFonts w:hint="eastAsia" w:ascii="仿宋_GB2312" w:eastAsia="仿宋_GB2312"/>
          <w:color w:val="auto"/>
          <w:spacing w:val="-7"/>
          <w:sz w:val="36"/>
          <w:szCs w:val="36"/>
          <w:highlight w:val="none"/>
          <w:u w:val="single"/>
        </w:rPr>
        <w:tab/>
      </w:r>
    </w:p>
    <w:p>
      <w:pPr>
        <w:adjustRightInd w:val="0"/>
        <w:snapToGrid w:val="0"/>
        <w:spacing w:line="288" w:lineRule="auto"/>
        <w:ind w:firstLine="1040"/>
        <w:rPr>
          <w:rFonts w:hint="eastAsia"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 xml:space="preserve">  2022年8月</w:t>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ab/>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 xml:space="preserve"> </w:t>
      </w:r>
    </w:p>
    <w:p>
      <w:pPr>
        <w:adjustRightInd w:val="0"/>
        <w:snapToGrid w:val="0"/>
        <w:spacing w:line="288" w:lineRule="auto"/>
        <w:ind w:firstLine="1040"/>
        <w:rPr>
          <w:rFonts w:ascii="仿宋_GB2312" w:eastAsia="仿宋_GB2312"/>
          <w:color w:val="auto"/>
          <w:sz w:val="36"/>
          <w:szCs w:val="36"/>
          <w:highlight w:val="none"/>
          <w:u w:val="single"/>
        </w:rPr>
      </w:pPr>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hint="eastAsia" w:ascii="仿宋_GB2312" w:eastAsia="仿宋_GB2312"/>
          <w:color w:val="auto"/>
          <w:sz w:val="36"/>
          <w:szCs w:val="36"/>
          <w:highlight w:val="none"/>
        </w:rPr>
      </w:pPr>
    </w:p>
    <w:p>
      <w:pPr>
        <w:adjustRightInd w:val="0"/>
        <w:snapToGrid w:val="0"/>
        <w:spacing w:line="288" w:lineRule="auto"/>
        <w:ind w:firstLine="1040"/>
        <w:rPr>
          <w:rFonts w:hint="eastAsia" w:ascii="仿宋_GB2312" w:eastAsia="仿宋_GB2312"/>
          <w:color w:val="auto"/>
          <w:sz w:val="36"/>
          <w:szCs w:val="36"/>
          <w:highlight w:val="none"/>
        </w:rPr>
      </w:pPr>
    </w:p>
    <w:p>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仿宋_GB2312" w:eastAsia="仿宋_GB2312"/>
          <w:color w:val="auto"/>
          <w:sz w:val="36"/>
          <w:szCs w:val="36"/>
          <w:highlight w:val="none"/>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18"/>
        <w:jc w:val="center"/>
        <w:outlineLvl w:val="0"/>
        <w:rPr>
          <w:rFonts w:ascii="黑体" w:hAnsi="黑体" w:eastAsia="黑体"/>
          <w:snapToGrid w:val="0"/>
          <w:color w:val="auto"/>
          <w:sz w:val="30"/>
          <w:szCs w:val="30"/>
          <w:highlight w:val="none"/>
        </w:rPr>
      </w:pPr>
      <w:bookmarkStart w:id="2" w:name="_Toc15186"/>
      <w:r>
        <w:rPr>
          <w:rFonts w:hint="eastAsia" w:ascii="黑体" w:hAnsi="黑体" w:eastAsia="黑体"/>
          <w:snapToGrid w:val="0"/>
          <w:color w:val="auto"/>
          <w:sz w:val="30"/>
          <w:szCs w:val="30"/>
          <w:highlight w:val="none"/>
        </w:rPr>
        <w:t>一、建设项目基本情况</w:t>
      </w:r>
      <w:bookmarkEnd w:id="2"/>
    </w:p>
    <w:tbl>
      <w:tblPr>
        <w:tblStyle w:val="23"/>
        <w:tblW w:w="9043"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26"/>
        <w:gridCol w:w="2043"/>
        <w:gridCol w:w="2218"/>
        <w:gridCol w:w="10"/>
        <w:gridCol w:w="25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建设项目名称</w:t>
            </w:r>
          </w:p>
        </w:tc>
        <w:tc>
          <w:tcPr>
            <w:tcW w:w="6817" w:type="dxa"/>
            <w:gridSpan w:val="4"/>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福州市象山隧道拓宽改造工程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项目代码</w:t>
            </w:r>
          </w:p>
        </w:tc>
        <w:tc>
          <w:tcPr>
            <w:tcW w:w="6817" w:type="dxa"/>
            <w:gridSpan w:val="4"/>
            <w:vAlign w:val="center"/>
          </w:tcPr>
          <w:p>
            <w:pPr>
              <w:adjustRightInd w:val="0"/>
              <w:snapToGrid w:val="0"/>
              <w:jc w:val="center"/>
              <w:rPr>
                <w:rFonts w:ascii="宋体" w:hAnsi="宋体" w:cs="宋体"/>
                <w:color w:val="auto"/>
                <w:szCs w:val="21"/>
                <w:highlight w:val="none"/>
              </w:rPr>
            </w:pPr>
            <w:r>
              <w:rPr>
                <w:rFonts w:hint="eastAsia" w:eastAsia="微软雅黑"/>
                <w:color w:val="auto"/>
                <w:szCs w:val="21"/>
                <w:highlight w:val="none"/>
                <w:shd w:val="clear" w:color="auto" w:fill="FFFFFF"/>
              </w:rPr>
              <w:t>2111-350100-04-05-985042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建设单位联系人</w:t>
            </w:r>
          </w:p>
        </w:tc>
        <w:tc>
          <w:tcPr>
            <w:tcW w:w="2043" w:type="dxa"/>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林鹏飞</w:t>
            </w:r>
          </w:p>
        </w:tc>
        <w:tc>
          <w:tcPr>
            <w:tcW w:w="2228" w:type="dxa"/>
            <w:gridSpan w:val="2"/>
            <w:vAlign w:val="center"/>
          </w:tcPr>
          <w:p>
            <w:pPr>
              <w:adjustRightInd w:val="0"/>
              <w:snapToGrid w:val="0"/>
              <w:jc w:val="center"/>
              <w:rPr>
                <w:color w:val="auto"/>
                <w:szCs w:val="21"/>
                <w:highlight w:val="none"/>
              </w:rPr>
            </w:pPr>
            <w:r>
              <w:rPr>
                <w:color w:val="auto"/>
                <w:szCs w:val="21"/>
                <w:highlight w:val="none"/>
              </w:rPr>
              <w:t>联系方式</w:t>
            </w:r>
          </w:p>
        </w:tc>
        <w:tc>
          <w:tcPr>
            <w:tcW w:w="2546" w:type="dxa"/>
            <w:vAlign w:val="center"/>
          </w:tcPr>
          <w:p>
            <w:pPr>
              <w:adjustRightInd w:val="0"/>
              <w:snapToGrid w:val="0"/>
              <w:jc w:val="center"/>
              <w:rPr>
                <w:color w:val="auto"/>
                <w:szCs w:val="21"/>
                <w:highlight w:val="none"/>
              </w:rPr>
            </w:pPr>
            <w:r>
              <w:rPr>
                <w:rFonts w:hint="eastAsia"/>
                <w:color w:val="auto"/>
                <w:szCs w:val="21"/>
                <w:highlight w:val="none"/>
              </w:rPr>
              <w:t>182</w:t>
            </w:r>
            <w:r>
              <w:rPr>
                <w:rFonts w:hint="eastAsia"/>
                <w:color w:val="auto"/>
                <w:szCs w:val="21"/>
                <w:highlight w:val="none"/>
                <w:lang w:val="en-US" w:eastAsia="zh-CN"/>
              </w:rPr>
              <w:t>****</w:t>
            </w:r>
            <w:r>
              <w:rPr>
                <w:rFonts w:hint="eastAsia"/>
                <w:color w:val="auto"/>
                <w:szCs w:val="21"/>
                <w:highlight w:val="none"/>
              </w:rPr>
              <w:t>0879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建设地点</w:t>
            </w:r>
          </w:p>
        </w:tc>
        <w:tc>
          <w:tcPr>
            <w:tcW w:w="6817" w:type="dxa"/>
            <w:gridSpan w:val="4"/>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FF0000"/>
                <w:szCs w:val="21"/>
                <w:highlight w:val="none"/>
              </w:rPr>
              <w:t>福州市鼓楼区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6817" w:type="dxa"/>
            <w:gridSpan w:val="4"/>
            <w:vAlign w:val="center"/>
          </w:tcPr>
          <w:p>
            <w:pPr>
              <w:adjustRightInd w:val="0"/>
              <w:snapToGrid w:val="0"/>
              <w:jc w:val="center"/>
              <w:rPr>
                <w:rFonts w:hint="eastAsia"/>
                <w:color w:val="auto"/>
                <w:highlight w:val="none"/>
              </w:rPr>
            </w:pPr>
            <w:r>
              <w:rPr>
                <w:rFonts w:hint="eastAsia"/>
                <w:color w:val="auto"/>
                <w:highlight w:val="none"/>
              </w:rPr>
              <w:t>西二环北路：</w:t>
            </w:r>
            <w:r>
              <w:rPr>
                <w:color w:val="auto"/>
                <w:highlight w:val="none"/>
              </w:rPr>
              <w:t>起点（</w:t>
            </w:r>
            <w:r>
              <w:rPr>
                <w:rFonts w:hint="eastAsia"/>
                <w:color w:val="auto"/>
                <w:highlight w:val="none"/>
              </w:rPr>
              <w:t>119°16'35.544"</w:t>
            </w:r>
            <w:r>
              <w:rPr>
                <w:color w:val="auto"/>
                <w:highlight w:val="none"/>
              </w:rPr>
              <w:t>，</w:t>
            </w:r>
            <w:r>
              <w:rPr>
                <w:rFonts w:hint="eastAsia"/>
                <w:color w:val="auto"/>
                <w:highlight w:val="none"/>
              </w:rPr>
              <w:t>26°06'04.443"）</w:t>
            </w:r>
          </w:p>
          <w:p>
            <w:pPr>
              <w:adjustRightInd w:val="0"/>
              <w:snapToGrid w:val="0"/>
              <w:jc w:val="center"/>
              <w:rPr>
                <w:rFonts w:hint="eastAsia"/>
                <w:color w:val="auto"/>
                <w:highlight w:val="none"/>
              </w:rPr>
            </w:pPr>
            <w:r>
              <w:rPr>
                <w:rFonts w:hint="eastAsia"/>
                <w:color w:val="auto"/>
                <w:highlight w:val="none"/>
              </w:rPr>
              <w:t xml:space="preserve">        </w:t>
            </w:r>
            <w:r>
              <w:rPr>
                <w:color w:val="auto"/>
                <w:highlight w:val="none"/>
              </w:rPr>
              <w:t>终点</w:t>
            </w:r>
            <w:r>
              <w:rPr>
                <w:rFonts w:hint="eastAsia"/>
                <w:color w:val="auto"/>
                <w:highlight w:val="none"/>
              </w:rPr>
              <w:t>（119°16'38.354"，26°05'31.461"）</w:t>
            </w:r>
          </w:p>
          <w:p>
            <w:pPr>
              <w:adjustRightInd w:val="0"/>
              <w:snapToGrid w:val="0"/>
              <w:jc w:val="center"/>
              <w:rPr>
                <w:rFonts w:hint="eastAsia"/>
                <w:color w:val="auto"/>
                <w:highlight w:val="none"/>
              </w:rPr>
            </w:pPr>
            <w:r>
              <w:rPr>
                <w:rFonts w:hint="eastAsia"/>
                <w:color w:val="auto"/>
                <w:highlight w:val="none"/>
              </w:rPr>
              <w:t>梅峰支路：</w:t>
            </w:r>
            <w:r>
              <w:rPr>
                <w:color w:val="auto"/>
                <w:highlight w:val="none"/>
              </w:rPr>
              <w:t>起点（</w:t>
            </w:r>
            <w:r>
              <w:rPr>
                <w:rFonts w:hint="eastAsia"/>
                <w:color w:val="auto"/>
                <w:highlight w:val="none"/>
              </w:rPr>
              <w:t>119°16'35.159"</w:t>
            </w:r>
            <w:r>
              <w:rPr>
                <w:color w:val="auto"/>
                <w:highlight w:val="none"/>
              </w:rPr>
              <w:t>，</w:t>
            </w:r>
            <w:r>
              <w:rPr>
                <w:rFonts w:hint="eastAsia"/>
                <w:color w:val="auto"/>
                <w:highlight w:val="none"/>
              </w:rPr>
              <w:t>26°05'54.404"）</w:t>
            </w:r>
          </w:p>
          <w:p>
            <w:pPr>
              <w:adjustRightInd w:val="0"/>
              <w:snapToGrid w:val="0"/>
              <w:jc w:val="center"/>
              <w:rPr>
                <w:rFonts w:hint="eastAsia"/>
                <w:color w:val="auto"/>
                <w:highlight w:val="none"/>
              </w:rPr>
            </w:pPr>
            <w:r>
              <w:rPr>
                <w:rFonts w:hint="eastAsia"/>
                <w:color w:val="auto"/>
                <w:highlight w:val="none"/>
              </w:rPr>
              <w:t xml:space="preserve">        </w:t>
            </w:r>
            <w:r>
              <w:rPr>
                <w:color w:val="auto"/>
                <w:highlight w:val="none"/>
              </w:rPr>
              <w:t>终点</w:t>
            </w:r>
            <w:r>
              <w:rPr>
                <w:rFonts w:hint="eastAsia"/>
                <w:color w:val="auto"/>
                <w:highlight w:val="none"/>
              </w:rPr>
              <w:t>（119°16'41.159"，26°05'54.194"）</w:t>
            </w:r>
          </w:p>
          <w:p>
            <w:pPr>
              <w:adjustRightInd w:val="0"/>
              <w:snapToGrid w:val="0"/>
              <w:jc w:val="center"/>
              <w:rPr>
                <w:rFonts w:hint="eastAsia"/>
                <w:color w:val="auto"/>
                <w:highlight w:val="none"/>
              </w:rPr>
            </w:pPr>
            <w:r>
              <w:rPr>
                <w:rFonts w:hint="eastAsia"/>
                <w:color w:val="auto"/>
                <w:highlight w:val="none"/>
              </w:rPr>
              <w:t>芳沁西路：</w:t>
            </w:r>
            <w:r>
              <w:rPr>
                <w:color w:val="auto"/>
                <w:highlight w:val="none"/>
              </w:rPr>
              <w:t>起点（</w:t>
            </w:r>
            <w:r>
              <w:rPr>
                <w:rFonts w:hint="eastAsia"/>
                <w:color w:val="auto"/>
                <w:highlight w:val="none"/>
              </w:rPr>
              <w:t>119°16'39.057"</w:t>
            </w:r>
            <w:r>
              <w:rPr>
                <w:color w:val="auto"/>
                <w:highlight w:val="none"/>
              </w:rPr>
              <w:t>，</w:t>
            </w:r>
            <w:r>
              <w:rPr>
                <w:rFonts w:hint="eastAsia"/>
                <w:color w:val="auto"/>
                <w:highlight w:val="none"/>
              </w:rPr>
              <w:t>26°05'41.865"）</w:t>
            </w:r>
          </w:p>
          <w:p>
            <w:pPr>
              <w:adjustRightInd w:val="0"/>
              <w:snapToGrid w:val="0"/>
              <w:jc w:val="center"/>
              <w:rPr>
                <w:rFonts w:hint="eastAsia"/>
                <w:color w:val="auto"/>
                <w:highlight w:val="none"/>
              </w:rPr>
            </w:pPr>
            <w:r>
              <w:rPr>
                <w:rFonts w:hint="eastAsia"/>
                <w:color w:val="auto"/>
                <w:highlight w:val="none"/>
              </w:rPr>
              <w:t xml:space="preserve">        </w:t>
            </w:r>
            <w:r>
              <w:rPr>
                <w:color w:val="auto"/>
                <w:highlight w:val="none"/>
              </w:rPr>
              <w:t>终点</w:t>
            </w:r>
            <w:r>
              <w:rPr>
                <w:rFonts w:hint="eastAsia"/>
                <w:color w:val="auto"/>
                <w:highlight w:val="none"/>
              </w:rPr>
              <w:t>（119°16'47.912"，26°05'45.110"）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15"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建设项目</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p>
        </w:tc>
        <w:tc>
          <w:tcPr>
            <w:tcW w:w="2043"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131、城市道路（不含维护；不含支路、人行天桥、人行地道） 新建快速路、主干路；城市桥梁、隧道</w:t>
            </w:r>
          </w:p>
        </w:tc>
        <w:tc>
          <w:tcPr>
            <w:tcW w:w="2218" w:type="dxa"/>
            <w:vAlign w:val="center"/>
          </w:tcPr>
          <w:p>
            <w:pPr>
              <w:adjustRightInd w:val="0"/>
              <w:snapToGrid w:val="0"/>
              <w:jc w:val="center"/>
              <w:rPr>
                <w:rFonts w:hint="eastAsia" w:ascii="宋体" w:hAnsi="宋体" w:cs="宋体"/>
                <w:color w:val="auto"/>
                <w:szCs w:val="21"/>
                <w:highlight w:val="none"/>
              </w:rPr>
            </w:pPr>
            <w:r>
              <w:rPr>
                <w:color w:val="auto"/>
                <w:szCs w:val="21"/>
                <w:highlight w:val="none"/>
              </w:rPr>
              <w:t>用地（用海）面积（m</w:t>
            </w:r>
            <w:r>
              <w:rPr>
                <w:color w:val="auto"/>
                <w:szCs w:val="21"/>
                <w:highlight w:val="none"/>
                <w:vertAlign w:val="superscript"/>
              </w:rPr>
              <w:t>2</w:t>
            </w:r>
            <w:r>
              <w:rPr>
                <w:color w:val="auto"/>
                <w:szCs w:val="21"/>
                <w:highlight w:val="none"/>
              </w:rPr>
              <w:t>）/长度（km）</w:t>
            </w:r>
          </w:p>
        </w:tc>
        <w:tc>
          <w:tcPr>
            <w:tcW w:w="2556" w:type="dxa"/>
            <w:gridSpan w:val="2"/>
            <w:vAlign w:val="center"/>
          </w:tcPr>
          <w:p>
            <w:pPr>
              <w:adjustRightInd w:val="0"/>
              <w:snapToGrid w:val="0"/>
              <w:jc w:val="center"/>
              <w:rPr>
                <w:rFonts w:ascii="宋体" w:hAnsi="宋体" w:cs="宋体"/>
                <w:color w:val="auto"/>
                <w:szCs w:val="21"/>
                <w:highlight w:val="none"/>
                <w:vertAlign w:val="superscript"/>
              </w:rPr>
            </w:pPr>
            <w:r>
              <w:rPr>
                <w:rFonts w:hint="eastAsia"/>
                <w:color w:val="auto"/>
                <w:szCs w:val="21"/>
                <w:highlight w:val="none"/>
              </w:rPr>
              <w:t>56840/0.96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4"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建设性质</w:t>
            </w:r>
          </w:p>
        </w:tc>
        <w:tc>
          <w:tcPr>
            <w:tcW w:w="2043" w:type="dxa"/>
            <w:vAlign w:val="center"/>
          </w:tcPr>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新建（迁建）</w:t>
            </w:r>
          </w:p>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改建</w:t>
            </w:r>
          </w:p>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扩建</w:t>
            </w:r>
          </w:p>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□技术改造</w:t>
            </w:r>
          </w:p>
        </w:tc>
        <w:tc>
          <w:tcPr>
            <w:tcW w:w="221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建设项目</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申报情形</w:t>
            </w:r>
          </w:p>
        </w:tc>
        <w:tc>
          <w:tcPr>
            <w:tcW w:w="2556" w:type="dxa"/>
            <w:gridSpan w:val="2"/>
            <w:vAlign w:val="center"/>
          </w:tcPr>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首次申报项目</w:t>
            </w:r>
          </w:p>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□不予批准后再次申报项目</w:t>
            </w:r>
          </w:p>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□超五年重新审核项目</w:t>
            </w:r>
          </w:p>
          <w:p>
            <w:pPr>
              <w:adjustRightInd w:val="0"/>
              <w:snapToGrid w:val="0"/>
              <w:rPr>
                <w:color w:val="auto"/>
                <w:szCs w:val="21"/>
                <w:highlight w:val="none"/>
              </w:rPr>
            </w:pPr>
            <w:r>
              <w:rPr>
                <w:rFonts w:hint="eastAsia" w:ascii="宋体" w:hAnsi="宋体" w:cs="宋体"/>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2"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备案）部门（选填）</w:t>
            </w:r>
          </w:p>
        </w:tc>
        <w:tc>
          <w:tcPr>
            <w:tcW w:w="2043" w:type="dxa"/>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福州市发展和改革委员会</w:t>
            </w:r>
          </w:p>
        </w:tc>
        <w:tc>
          <w:tcPr>
            <w:tcW w:w="221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备案）文号（选填）</w:t>
            </w:r>
          </w:p>
        </w:tc>
        <w:tc>
          <w:tcPr>
            <w:tcW w:w="2556" w:type="dxa"/>
            <w:gridSpan w:val="2"/>
            <w:vAlign w:val="center"/>
          </w:tcPr>
          <w:p>
            <w:pPr>
              <w:adjustRightInd w:val="0"/>
              <w:snapToGrid w:val="0"/>
              <w:jc w:val="center"/>
              <w:rPr>
                <w:color w:val="auto"/>
                <w:szCs w:val="21"/>
                <w:highlight w:val="none"/>
              </w:rPr>
            </w:pPr>
            <w:r>
              <w:rPr>
                <w:rFonts w:hint="eastAsia"/>
                <w:color w:val="auto"/>
                <w:szCs w:val="21"/>
                <w:highlight w:val="none"/>
              </w:rPr>
              <w:t>榕发改审批[2022]35号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总投资（万元）</w:t>
            </w:r>
          </w:p>
        </w:tc>
        <w:tc>
          <w:tcPr>
            <w:tcW w:w="2043" w:type="dxa"/>
            <w:vAlign w:val="center"/>
          </w:tcPr>
          <w:p>
            <w:pPr>
              <w:adjustRightInd w:val="0"/>
              <w:snapToGrid w:val="0"/>
              <w:jc w:val="center"/>
              <w:rPr>
                <w:rFonts w:hint="eastAsia" w:ascii="宋体" w:hAnsi="宋体" w:cs="宋体"/>
                <w:color w:val="auto"/>
                <w:szCs w:val="21"/>
                <w:highlight w:val="none"/>
              </w:rPr>
            </w:pPr>
            <w:r>
              <w:rPr>
                <w:rFonts w:hint="eastAsia"/>
                <w:color w:val="auto"/>
                <w:szCs w:val="21"/>
                <w:highlight w:val="none"/>
              </w:rPr>
              <w:t>80658.99</w:t>
            </w:r>
          </w:p>
        </w:tc>
        <w:tc>
          <w:tcPr>
            <w:tcW w:w="2218"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环保投资（万元）</w:t>
            </w:r>
          </w:p>
        </w:tc>
        <w:tc>
          <w:tcPr>
            <w:tcW w:w="2556" w:type="dxa"/>
            <w:gridSpan w:val="2"/>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rPr>
              <w:t>9</w:t>
            </w:r>
            <w:r>
              <w:rPr>
                <w:rFonts w:hint="eastAsia"/>
                <w:color w:val="auto"/>
                <w:szCs w:val="21"/>
                <w:highlight w:val="none"/>
                <w:lang w:val="en-US" w:eastAsia="zh-CN"/>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环保投资占比（</w:t>
            </w:r>
            <w:r>
              <w:rPr>
                <w:rFonts w:ascii="宋体" w:hAnsi="宋体" w:cs="宋体"/>
                <w:color w:val="auto"/>
                <w:szCs w:val="21"/>
                <w:highlight w:val="none"/>
              </w:rPr>
              <w:t>%</w:t>
            </w:r>
            <w:r>
              <w:rPr>
                <w:rFonts w:hint="eastAsia" w:ascii="宋体" w:hAnsi="宋体" w:cs="宋体"/>
                <w:color w:val="auto"/>
                <w:szCs w:val="21"/>
                <w:highlight w:val="none"/>
              </w:rPr>
              <w:t>）</w:t>
            </w:r>
          </w:p>
        </w:tc>
        <w:tc>
          <w:tcPr>
            <w:tcW w:w="2043"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1.12</w:t>
            </w:r>
          </w:p>
        </w:tc>
        <w:tc>
          <w:tcPr>
            <w:tcW w:w="2218"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施工工期</w:t>
            </w:r>
          </w:p>
        </w:tc>
        <w:tc>
          <w:tcPr>
            <w:tcW w:w="2556" w:type="dxa"/>
            <w:gridSpan w:val="2"/>
            <w:vAlign w:val="center"/>
          </w:tcPr>
          <w:p>
            <w:pPr>
              <w:adjustRightInd w:val="0"/>
              <w:snapToGrid w:val="0"/>
              <w:jc w:val="center"/>
              <w:rPr>
                <w:color w:val="auto"/>
                <w:szCs w:val="21"/>
                <w:highlight w:val="none"/>
              </w:rPr>
            </w:pPr>
            <w:r>
              <w:rPr>
                <w:color w:val="auto"/>
                <w:szCs w:val="21"/>
                <w:highlight w:val="none"/>
              </w:rPr>
              <w:t>202</w:t>
            </w:r>
            <w:r>
              <w:rPr>
                <w:rFonts w:hint="eastAsia"/>
                <w:color w:val="auto"/>
                <w:szCs w:val="21"/>
                <w:highlight w:val="none"/>
              </w:rPr>
              <w:t>2</w:t>
            </w:r>
            <w:r>
              <w:rPr>
                <w:color w:val="auto"/>
                <w:szCs w:val="21"/>
                <w:highlight w:val="none"/>
              </w:rPr>
              <w:t>年</w:t>
            </w:r>
            <w:r>
              <w:rPr>
                <w:rFonts w:hint="eastAsia"/>
                <w:color w:val="auto"/>
                <w:szCs w:val="21"/>
                <w:highlight w:val="none"/>
              </w:rPr>
              <w:t>9</w:t>
            </w:r>
            <w:r>
              <w:rPr>
                <w:color w:val="auto"/>
                <w:szCs w:val="21"/>
                <w:highlight w:val="none"/>
              </w:rPr>
              <w:t>月至202</w:t>
            </w:r>
            <w:r>
              <w:rPr>
                <w:rFonts w:hint="eastAsia"/>
                <w:color w:val="auto"/>
                <w:szCs w:val="21"/>
                <w:highlight w:val="none"/>
              </w:rPr>
              <w:t>4</w:t>
            </w:r>
            <w:r>
              <w:rPr>
                <w:color w:val="auto"/>
                <w:szCs w:val="21"/>
                <w:highlight w:val="none"/>
              </w:rPr>
              <w:t>年</w:t>
            </w:r>
            <w:r>
              <w:rPr>
                <w:rFonts w:hint="eastAsia"/>
                <w:color w:val="auto"/>
                <w:szCs w:val="21"/>
                <w:highlight w:val="none"/>
              </w:rPr>
              <w:t>5</w:t>
            </w:r>
            <w:r>
              <w:rPr>
                <w:color w:val="auto"/>
                <w:szCs w:val="21"/>
                <w:highlight w:val="none"/>
              </w:rPr>
              <w:t>月，共</w:t>
            </w:r>
            <w:r>
              <w:rPr>
                <w:rFonts w:hint="eastAsia"/>
                <w:color w:val="auto"/>
                <w:szCs w:val="21"/>
                <w:highlight w:val="none"/>
              </w:rPr>
              <w:t>33</w:t>
            </w:r>
            <w:r>
              <w:rPr>
                <w:color w:val="auto"/>
                <w:szCs w:val="21"/>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是否开工建设</w:t>
            </w:r>
          </w:p>
        </w:tc>
        <w:tc>
          <w:tcPr>
            <w:tcW w:w="6817" w:type="dxa"/>
            <w:gridSpan w:val="4"/>
            <w:vAlign w:val="center"/>
          </w:tcPr>
          <w:p>
            <w:pPr>
              <w:adjustRightInd w:val="0"/>
              <w:snapToGrid w:val="0"/>
              <w:ind w:firstLine="105"/>
              <w:jc w:val="lef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否</w:t>
            </w:r>
          </w:p>
          <w:p>
            <w:pPr>
              <w:adjustRightInd w:val="0"/>
              <w:snapToGrid w:val="0"/>
              <w:ind w:firstLine="92"/>
              <w:jc w:val="left"/>
              <w:rPr>
                <w:rFonts w:ascii="宋体" w:hAnsi="宋体" w:cs="宋体"/>
                <w:color w:val="auto"/>
                <w:szCs w:val="21"/>
                <w:highlight w:val="none"/>
              </w:rPr>
            </w:pPr>
            <w:r>
              <w:rPr>
                <w:rFonts w:hint="eastAsia" w:ascii="宋体" w:hAnsi="宋体" w:cs="宋体"/>
                <w:color w:val="auto"/>
                <w:szCs w:val="21"/>
                <w:highlight w:val="none"/>
              </w:rPr>
              <w:t>□是：</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专项评价设置情况</w:t>
            </w:r>
          </w:p>
        </w:tc>
        <w:tc>
          <w:tcPr>
            <w:tcW w:w="6817"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根据《建设项目环境影响报告表编制技术指南（生态影响类））（试行）》建设项目产生的生态环境影响需要深入论证的，应按照环境影响评价相关技术导则开展专项评价工作。根据建设项目特点和涉及的环境敏感区类别，确定专项评价的类别，设置原则</w:t>
            </w:r>
            <w:r>
              <w:rPr>
                <w:rFonts w:hint="eastAsia" w:ascii="Times New Roman" w:hAnsi="Times New Roman" w:eastAsia="宋体" w:cs="Times New Roman"/>
                <w:color w:val="auto"/>
                <w:sz w:val="24"/>
                <w:highlight w:val="none"/>
                <w:lang w:val="en-US" w:eastAsia="zh-CN"/>
              </w:rPr>
              <w:t>见下表</w:t>
            </w:r>
            <w:r>
              <w:rPr>
                <w:rFonts w:hint="eastAsia" w:ascii="Times New Roman" w:hAnsi="Times New Roman" w:eastAsia="宋体" w:cs="Times New Roman"/>
                <w:color w:val="auto"/>
                <w:sz w:val="24"/>
                <w:highlight w:val="none"/>
                <w:lang w:eastAsia="zh-CN"/>
              </w:rPr>
              <w:t>：</w:t>
            </w:r>
          </w:p>
          <w:p>
            <w:pPr>
              <w:ind w:firstLine="480"/>
              <w:jc w:val="center"/>
              <w:rPr>
                <w:rFonts w:hint="eastAsia" w:eastAsia="宋体"/>
                <w:b/>
                <w:bCs/>
                <w:color w:val="auto"/>
                <w:sz w:val="24"/>
                <w:highlight w:val="none"/>
                <w:lang w:val="en-US" w:eastAsia="zh-CN"/>
              </w:rPr>
            </w:pPr>
            <w:r>
              <w:rPr>
                <w:b/>
                <w:bCs/>
                <w:color w:val="auto"/>
                <w:sz w:val="24"/>
                <w:highlight w:val="none"/>
                <w:lang w:val="zh-CN"/>
              </w:rPr>
              <w:t>表</w:t>
            </w:r>
            <w:r>
              <w:rPr>
                <w:rFonts w:hint="eastAsia"/>
                <w:b/>
                <w:bCs/>
                <w:color w:val="auto"/>
                <w:sz w:val="24"/>
                <w:highlight w:val="none"/>
                <w:lang w:val="zh-CN"/>
              </w:rPr>
              <w:t>1</w:t>
            </w:r>
            <w:r>
              <w:rPr>
                <w:b/>
                <w:bCs/>
                <w:color w:val="auto"/>
                <w:sz w:val="24"/>
                <w:highlight w:val="none"/>
                <w:lang w:val="zh-CN"/>
              </w:rPr>
              <w:t xml:space="preserve">-1 </w:t>
            </w:r>
            <w:r>
              <w:rPr>
                <w:rFonts w:hint="eastAsia"/>
                <w:b/>
                <w:bCs/>
                <w:color w:val="auto"/>
                <w:sz w:val="24"/>
                <w:highlight w:val="none"/>
                <w:lang w:val="zh-CN"/>
              </w:rPr>
              <w:t>专项评价设置原则表（</w:t>
            </w:r>
            <w:r>
              <w:rPr>
                <w:rFonts w:hint="eastAsia"/>
                <w:b/>
                <w:bCs/>
                <w:color w:val="auto"/>
                <w:sz w:val="24"/>
                <w:highlight w:val="none"/>
                <w:lang w:val="en-US" w:eastAsia="zh-CN"/>
              </w:rPr>
              <w:t>摘录）</w:t>
            </w:r>
          </w:p>
          <w:tbl>
            <w:tblPr>
              <w:tblStyle w:val="23"/>
              <w:tblW w:w="657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7"/>
              <w:gridCol w:w="52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3" w:hRule="atLeast"/>
                <w:jc w:val="center"/>
              </w:trPr>
              <w:tc>
                <w:tcPr>
                  <w:tcW w:w="1347" w:type="dxa"/>
                  <w:vAlign w:val="center"/>
                </w:tcPr>
                <w:p>
                  <w:pPr>
                    <w:widowControl/>
                    <w:jc w:val="center"/>
                    <w:rPr>
                      <w:b w:val="0"/>
                      <w:bCs w:val="0"/>
                      <w:color w:val="auto"/>
                      <w:kern w:val="0"/>
                      <w:szCs w:val="21"/>
                      <w:highlight w:val="none"/>
                    </w:rPr>
                  </w:pPr>
                  <w:r>
                    <w:rPr>
                      <w:rFonts w:hint="eastAsia"/>
                      <w:b w:val="0"/>
                      <w:bCs w:val="0"/>
                      <w:color w:val="auto"/>
                      <w:kern w:val="0"/>
                      <w:szCs w:val="21"/>
                      <w:highlight w:val="none"/>
                    </w:rPr>
                    <w:t>专项评价的类别</w:t>
                  </w:r>
                </w:p>
              </w:tc>
              <w:tc>
                <w:tcPr>
                  <w:tcW w:w="5229" w:type="dxa"/>
                  <w:vAlign w:val="center"/>
                </w:tcPr>
                <w:p>
                  <w:pPr>
                    <w:widowControl/>
                    <w:jc w:val="center"/>
                    <w:rPr>
                      <w:b w:val="0"/>
                      <w:bCs w:val="0"/>
                      <w:color w:val="auto"/>
                      <w:kern w:val="0"/>
                      <w:szCs w:val="21"/>
                      <w:highlight w:val="none"/>
                    </w:rPr>
                  </w:pPr>
                  <w:r>
                    <w:rPr>
                      <w:rFonts w:hint="eastAsia"/>
                      <w:b w:val="0"/>
                      <w:bCs w:val="0"/>
                      <w:color w:val="auto"/>
                      <w:kern w:val="0"/>
                      <w:szCs w:val="21"/>
                      <w:highlight w:val="none"/>
                    </w:rPr>
                    <w:t>涉及项目类别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1347" w:type="dxa"/>
                  <w:vAlign w:val="center"/>
                </w:tcPr>
                <w:p>
                  <w:pPr>
                    <w:widowControl/>
                    <w:jc w:val="center"/>
                    <w:rPr>
                      <w:color w:val="auto"/>
                      <w:kern w:val="0"/>
                      <w:szCs w:val="21"/>
                      <w:highlight w:val="none"/>
                    </w:rPr>
                  </w:pPr>
                  <w:r>
                    <w:rPr>
                      <w:rFonts w:hint="eastAsia"/>
                      <w:color w:val="auto"/>
                      <w:kern w:val="0"/>
                      <w:szCs w:val="21"/>
                      <w:highlight w:val="none"/>
                    </w:rPr>
                    <w:t>噪声</w:t>
                  </w:r>
                </w:p>
              </w:tc>
              <w:tc>
                <w:tcPr>
                  <w:tcW w:w="5229" w:type="dxa"/>
                  <w:vAlign w:val="center"/>
                </w:tcPr>
                <w:p>
                  <w:pPr>
                    <w:widowControl/>
                    <w:jc w:val="center"/>
                    <w:rPr>
                      <w:color w:val="auto"/>
                      <w:kern w:val="0"/>
                      <w:szCs w:val="21"/>
                      <w:highlight w:val="none"/>
                    </w:rPr>
                  </w:pPr>
                  <w:r>
                    <w:rPr>
                      <w:rFonts w:hint="eastAsia"/>
                      <w:color w:val="auto"/>
                      <w:kern w:val="0"/>
                      <w:szCs w:val="21"/>
                      <w:highlight w:val="none"/>
                    </w:rPr>
                    <w:t>城市道路（不含维护，不含支路、人行天桥、人行地道）：全部</w:t>
                  </w:r>
                </w:p>
              </w:tc>
            </w:tr>
          </w:tbl>
          <w:p>
            <w:pPr>
              <w:autoSpaceDE w:val="0"/>
              <w:autoSpaceDN w:val="0"/>
              <w:adjustRightInd w:val="0"/>
              <w:snapToGrid w:val="0"/>
              <w:rPr>
                <w:rFonts w:ascii="宋体" w:hAnsi="宋体" w:cs="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87" w:hRule="atLeast"/>
        </w:trPr>
        <w:tc>
          <w:tcPr>
            <w:tcW w:w="2226" w:type="dxa"/>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szCs w:val="21"/>
                <w:highlight w:val="none"/>
              </w:rPr>
              <w:t>规划情况</w:t>
            </w:r>
          </w:p>
        </w:tc>
        <w:tc>
          <w:tcPr>
            <w:tcW w:w="6817" w:type="dxa"/>
            <w:gridSpan w:val="4"/>
            <w:tcMar>
              <w:top w:w="16" w:type="dxa"/>
              <w:left w:w="16" w:type="dxa"/>
              <w:right w:w="16" w:type="dxa"/>
            </w:tcMar>
            <w:vAlign w:val="center"/>
          </w:tcPr>
          <w:p>
            <w:pPr>
              <w:pStyle w:val="2"/>
              <w:ind w:firstLine="0"/>
              <w:jc w:val="center"/>
              <w:rPr>
                <w:rFonts w:hint="eastAsia"/>
                <w:color w:val="auto"/>
                <w:highlight w:val="none"/>
              </w:rPr>
            </w:pPr>
            <w:r>
              <w:rPr>
                <w:rFonts w:hint="eastAsia"/>
                <w:color w:val="auto"/>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utoSpaceDE w:val="0"/>
              <w:autoSpaceDN w:val="0"/>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规划环境影响</w:t>
            </w:r>
          </w:p>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szCs w:val="21"/>
                <w:highlight w:val="none"/>
              </w:rPr>
              <w:t>评价情况</w:t>
            </w:r>
          </w:p>
        </w:tc>
        <w:tc>
          <w:tcPr>
            <w:tcW w:w="6817" w:type="dxa"/>
            <w:gridSpan w:val="4"/>
            <w:tcMar>
              <w:top w:w="16" w:type="dxa"/>
              <w:left w:w="16" w:type="dxa"/>
              <w:right w:w="16" w:type="dxa"/>
            </w:tcMar>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557" w:hRule="atLeast"/>
        </w:trPr>
        <w:tc>
          <w:tcPr>
            <w:tcW w:w="2226" w:type="dxa"/>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规划及</w:t>
            </w:r>
            <w:r>
              <w:rPr>
                <w:rFonts w:hint="eastAsia" w:ascii="宋体" w:hAnsi="宋体" w:cs="宋体"/>
                <w:color w:val="auto"/>
                <w:szCs w:val="21"/>
                <w:highlight w:val="none"/>
              </w:rPr>
              <w:t>规划环境影响评价</w:t>
            </w:r>
            <w:r>
              <w:rPr>
                <w:rFonts w:hint="eastAsia" w:ascii="宋体" w:hAnsi="宋体" w:cs="宋体"/>
                <w:color w:val="auto"/>
                <w:kern w:val="0"/>
                <w:szCs w:val="21"/>
                <w:highlight w:val="none"/>
              </w:rPr>
              <w:t>符合性分析</w:t>
            </w:r>
          </w:p>
        </w:tc>
        <w:tc>
          <w:tcPr>
            <w:tcW w:w="6817"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根据福州市中心城区道路规划，规划道路网主骨架保持环+放射状结构，强化“中心城区—东部新城—长乐”机动车快速通道。根据各组团用地布局形成相应的方格网或自由式的道路网布局，并以组团联系通道沟通与融入到各组团道路网中。</w:t>
            </w:r>
          </w:p>
          <w:p>
            <w:pPr>
              <w:autoSpaceDE w:val="0"/>
              <w:autoSpaceDN w:val="0"/>
              <w:adjustRightInd w:val="0"/>
              <w:snapToGrid w:val="0"/>
              <w:spacing w:line="360" w:lineRule="auto"/>
              <w:ind w:firstLine="480" w:firstLineChars="200"/>
              <w:rPr>
                <w:rFonts w:hint="eastAsia"/>
                <w:color w:val="auto"/>
                <w:sz w:val="24"/>
                <w:highlight w:val="none"/>
              </w:rPr>
            </w:pPr>
            <w:r>
              <w:rPr>
                <w:rFonts w:hint="eastAsia"/>
                <w:color w:val="auto"/>
                <w:sz w:val="24"/>
                <w:highlight w:val="none"/>
              </w:rPr>
              <w:t>规划期末中心城区路网总规模达到3100km，路网总密度为8.2km/ km</w:t>
            </w:r>
            <w:r>
              <w:rPr>
                <w:rFonts w:hint="eastAsia"/>
                <w:color w:val="auto"/>
                <w:sz w:val="24"/>
                <w:highlight w:val="none"/>
                <w:vertAlign w:val="superscript"/>
              </w:rPr>
              <w:t>2</w:t>
            </w:r>
            <w:r>
              <w:rPr>
                <w:rFonts w:hint="eastAsia"/>
                <w:color w:val="auto"/>
                <w:sz w:val="24"/>
                <w:highlight w:val="none"/>
              </w:rPr>
              <w:t>，其中由快速路、主干路、次干路构成的干路网总规模1441km，干路网密度达到3.8km/ km</w:t>
            </w:r>
            <w:r>
              <w:rPr>
                <w:rFonts w:hint="eastAsia"/>
                <w:color w:val="auto"/>
                <w:sz w:val="24"/>
                <w:highlight w:val="none"/>
                <w:vertAlign w:val="superscript"/>
              </w:rPr>
              <w:t>2</w:t>
            </w:r>
            <w:r>
              <w:rPr>
                <w:rFonts w:hint="eastAsia"/>
                <w:color w:val="auto"/>
                <w:sz w:val="24"/>
                <w:highlight w:val="none"/>
              </w:rPr>
              <w:t>。</w:t>
            </w:r>
          </w:p>
          <w:p>
            <w:pPr>
              <w:autoSpaceDE w:val="0"/>
              <w:autoSpaceDN w:val="0"/>
              <w:adjustRightInd w:val="0"/>
              <w:snapToGrid w:val="0"/>
              <w:spacing w:line="360" w:lineRule="auto"/>
              <w:ind w:firstLine="480" w:firstLineChars="200"/>
              <w:rPr>
                <w:rFonts w:hint="eastAsia" w:ascii="宋体" w:hAnsi="宋体" w:cs="宋体"/>
                <w:color w:val="auto"/>
                <w:kern w:val="0"/>
                <w:szCs w:val="21"/>
                <w:highlight w:val="none"/>
              </w:rPr>
            </w:pPr>
            <w:r>
              <w:rPr>
                <w:rFonts w:hint="eastAsia"/>
                <w:color w:val="auto"/>
                <w:sz w:val="24"/>
                <w:highlight w:val="none"/>
              </w:rPr>
              <w:t>福州市象山隧道拓宽改造工程位于福州道路路网的核心位置，拓宽改造工程的建设是缓解现状交通拥堵的重要工程，</w:t>
            </w:r>
            <w:r>
              <w:rPr>
                <w:rFonts w:hint="eastAsia"/>
                <w:color w:val="FF0000"/>
                <w:sz w:val="24"/>
                <w:highlight w:val="none"/>
              </w:rPr>
              <w:t>同队</w:t>
            </w:r>
            <w:r>
              <w:rPr>
                <w:rFonts w:hint="eastAsia"/>
                <w:color w:val="auto"/>
                <w:sz w:val="24"/>
                <w:highlight w:val="none"/>
              </w:rPr>
              <w:t>对完善福州市路网骨架起着重要的构建作用，符合城市道路规划的要求。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539" w:hRule="atLeast"/>
        </w:trPr>
        <w:tc>
          <w:tcPr>
            <w:tcW w:w="2226" w:type="dxa"/>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6817" w:type="dxa"/>
            <w:gridSpan w:val="4"/>
            <w:tcMar>
              <w:top w:w="16" w:type="dxa"/>
              <w:left w:w="16" w:type="dxa"/>
              <w:right w:w="16" w:type="dxa"/>
            </w:tcMar>
            <w:vAlign w:val="center"/>
          </w:tcPr>
          <w:p>
            <w:pPr>
              <w:pStyle w:val="77"/>
              <w:ind w:firstLine="0" w:firstLineChars="0"/>
              <w:rPr>
                <w:b/>
                <w:bCs/>
                <w:color w:val="auto"/>
                <w:highlight w:val="none"/>
              </w:rPr>
            </w:pPr>
            <w:bookmarkStart w:id="3" w:name="_Toc27498"/>
            <w:r>
              <w:rPr>
                <w:rFonts w:hint="eastAsia"/>
                <w:b/>
                <w:bCs/>
                <w:color w:val="auto"/>
                <w:highlight w:val="none"/>
              </w:rPr>
              <w:t>1、</w:t>
            </w:r>
            <w:r>
              <w:rPr>
                <w:b/>
                <w:bCs/>
                <w:color w:val="auto"/>
                <w:highlight w:val="none"/>
              </w:rPr>
              <w:t>国家产业政策符合性</w:t>
            </w:r>
            <w:bookmarkEnd w:id="3"/>
          </w:p>
          <w:p>
            <w:pPr>
              <w:pStyle w:val="77"/>
              <w:ind w:firstLine="480"/>
              <w:rPr>
                <w:color w:val="auto"/>
                <w:highlight w:val="none"/>
              </w:rPr>
            </w:pPr>
            <w:r>
              <w:rPr>
                <w:color w:val="auto"/>
                <w:highlight w:val="none"/>
              </w:rPr>
              <w:t>本项目为城市道路建设，属于《产业结构调整指导目录（2019年本）》（中华人民共和国国家发展和改革委员会令 第29号）中鼓励类第二十二“城镇基础设施”中“4、城市道路及智能交通体系建设”；本项目已于202</w:t>
            </w:r>
            <w:r>
              <w:rPr>
                <w:rFonts w:hint="eastAsia"/>
                <w:color w:val="auto"/>
                <w:highlight w:val="none"/>
              </w:rPr>
              <w:t>1</w:t>
            </w:r>
            <w:r>
              <w:rPr>
                <w:color w:val="auto"/>
                <w:highlight w:val="none"/>
              </w:rPr>
              <w:t>年12月</w:t>
            </w:r>
            <w:r>
              <w:rPr>
                <w:rFonts w:hint="eastAsia"/>
                <w:color w:val="auto"/>
                <w:highlight w:val="none"/>
              </w:rPr>
              <w:t>9</w:t>
            </w:r>
            <w:r>
              <w:rPr>
                <w:color w:val="auto"/>
                <w:highlight w:val="none"/>
              </w:rPr>
              <w:t>日取得福州市发展和改革</w:t>
            </w:r>
            <w:r>
              <w:rPr>
                <w:rFonts w:hint="eastAsia"/>
                <w:color w:val="auto"/>
                <w:highlight w:val="none"/>
              </w:rPr>
              <w:t>委员会</w:t>
            </w:r>
            <w:r>
              <w:rPr>
                <w:color w:val="auto"/>
                <w:highlight w:val="none"/>
              </w:rPr>
              <w:t>关于本</w:t>
            </w:r>
            <w:r>
              <w:rPr>
                <w:rFonts w:hint="eastAsia"/>
                <w:color w:val="auto"/>
                <w:highlight w:val="none"/>
              </w:rPr>
              <w:t>工程项目建议书</w:t>
            </w:r>
            <w:r>
              <w:rPr>
                <w:color w:val="auto"/>
                <w:highlight w:val="none"/>
              </w:rPr>
              <w:t>的批复（附件</w:t>
            </w:r>
            <w:r>
              <w:rPr>
                <w:rFonts w:hint="eastAsia"/>
                <w:color w:val="auto"/>
                <w:highlight w:val="none"/>
              </w:rPr>
              <w:t>3</w:t>
            </w:r>
            <w:r>
              <w:rPr>
                <w:color w:val="auto"/>
                <w:highlight w:val="none"/>
              </w:rPr>
              <w:t>）。因此本项目的建设内容符合国家当前的产业政策</w:t>
            </w:r>
            <w:r>
              <w:rPr>
                <w:rFonts w:hint="eastAsia"/>
                <w:color w:val="auto"/>
                <w:highlight w:val="none"/>
              </w:rPr>
              <w:t>。</w:t>
            </w:r>
          </w:p>
          <w:p>
            <w:pPr>
              <w:adjustRightInd w:val="0"/>
              <w:snapToGrid w:val="0"/>
              <w:spacing w:line="360" w:lineRule="auto"/>
              <w:outlineLvl w:val="2"/>
              <w:rPr>
                <w:rFonts w:hint="eastAsia"/>
                <w:b/>
                <w:bCs/>
                <w:snapToGrid w:val="0"/>
                <w:color w:val="auto"/>
                <w:kern w:val="0"/>
                <w:sz w:val="24"/>
                <w:highlight w:val="none"/>
              </w:rPr>
            </w:pPr>
            <w:r>
              <w:rPr>
                <w:rFonts w:hint="eastAsia"/>
                <w:b/>
                <w:bCs/>
                <w:snapToGrid w:val="0"/>
                <w:color w:val="auto"/>
                <w:kern w:val="0"/>
                <w:sz w:val="24"/>
                <w:highlight w:val="none"/>
              </w:rPr>
              <w:t>2、</w:t>
            </w:r>
            <w:r>
              <w:rPr>
                <w:b/>
                <w:bCs/>
                <w:snapToGrid w:val="0"/>
                <w:color w:val="auto"/>
                <w:kern w:val="0"/>
                <w:sz w:val="24"/>
                <w:highlight w:val="none"/>
              </w:rPr>
              <w:t>“三线一单”管控要求符合性分析</w:t>
            </w:r>
          </w:p>
          <w:p>
            <w:pPr>
              <w:adjustRightInd w:val="0"/>
              <w:snapToGrid w:val="0"/>
              <w:spacing w:line="360" w:lineRule="auto"/>
              <w:ind w:firstLine="480"/>
              <w:rPr>
                <w:rFonts w:hint="eastAsia"/>
                <w:b/>
                <w:bCs/>
                <w:color w:val="auto"/>
                <w:sz w:val="24"/>
                <w:highlight w:val="none"/>
              </w:rPr>
            </w:pPr>
            <w:r>
              <w:rPr>
                <w:rFonts w:hint="eastAsia"/>
                <w:b/>
                <w:bCs/>
                <w:color w:val="auto"/>
                <w:sz w:val="24"/>
                <w:highlight w:val="none"/>
              </w:rPr>
              <w:t>(1)生态保护红线</w:t>
            </w:r>
          </w:p>
          <w:p>
            <w:pPr>
              <w:adjustRightInd w:val="0"/>
              <w:snapToGrid w:val="0"/>
              <w:spacing w:line="360" w:lineRule="auto"/>
              <w:ind w:firstLine="480"/>
              <w:rPr>
                <w:color w:val="auto"/>
                <w:sz w:val="24"/>
                <w:highlight w:val="none"/>
              </w:rPr>
            </w:pPr>
            <w:r>
              <w:rPr>
                <w:color w:val="auto"/>
                <w:sz w:val="24"/>
                <w:highlight w:val="none"/>
              </w:rPr>
              <w:t>目前，</w:t>
            </w:r>
            <w:r>
              <w:rPr>
                <w:color w:val="FF0000"/>
                <w:sz w:val="24"/>
                <w:highlight w:val="none"/>
              </w:rPr>
              <w:t>福建省生态保护红线划定工作正在进行，福建省生态保护红线划定成果尚未发布。</w:t>
            </w:r>
            <w:r>
              <w:rPr>
                <w:color w:val="auto"/>
                <w:sz w:val="24"/>
                <w:highlight w:val="none"/>
              </w:rPr>
              <w:t>根据《福建省人民政府办公厅关于印发福建省生态保护红线划定成果调整工作方案的通知》(闽政办[2017]80 号)，福建省生态保护红线划定成果调整工作方案如下：“二、调整范围和内容- (四)调整禁止开发区域纳入的内容。根据科学评估结果，将评估得到的生态功能极重要区和生态环境极敏感区进行叠加合并，并与以下保护地进行校验，形成生态保护红线空间叠加图，确保划定范围涵盖国家级和省级禁止开发区域。国家级和省级禁止开发区域包括：</w:t>
            </w:r>
          </w:p>
          <w:p>
            <w:pPr>
              <w:adjustRightInd w:val="0"/>
              <w:snapToGrid w:val="0"/>
              <w:spacing w:line="360" w:lineRule="auto"/>
              <w:ind w:firstLine="480"/>
              <w:rPr>
                <w:color w:val="auto"/>
                <w:sz w:val="24"/>
                <w:highlight w:val="none"/>
              </w:rPr>
            </w:pPr>
            <w:r>
              <w:rPr>
                <w:color w:val="auto"/>
                <w:sz w:val="24"/>
                <w:highlight w:val="none"/>
              </w:rPr>
              <w:t>1.国家公园；</w:t>
            </w:r>
          </w:p>
          <w:p>
            <w:pPr>
              <w:adjustRightInd w:val="0"/>
              <w:snapToGrid w:val="0"/>
              <w:spacing w:line="360" w:lineRule="auto"/>
              <w:ind w:firstLine="480"/>
              <w:rPr>
                <w:color w:val="auto"/>
                <w:sz w:val="24"/>
                <w:highlight w:val="none"/>
              </w:rPr>
            </w:pPr>
            <w:r>
              <w:rPr>
                <w:color w:val="auto"/>
                <w:sz w:val="24"/>
                <w:highlight w:val="none"/>
              </w:rPr>
              <w:t>2.自然保护区；</w:t>
            </w:r>
          </w:p>
          <w:p>
            <w:pPr>
              <w:adjustRightInd w:val="0"/>
              <w:snapToGrid w:val="0"/>
              <w:spacing w:line="360" w:lineRule="auto"/>
              <w:ind w:firstLine="480"/>
              <w:rPr>
                <w:color w:val="auto"/>
                <w:sz w:val="24"/>
                <w:highlight w:val="none"/>
              </w:rPr>
            </w:pPr>
            <w:r>
              <w:rPr>
                <w:color w:val="auto"/>
                <w:sz w:val="24"/>
                <w:highlight w:val="none"/>
              </w:rPr>
              <w:t>3.森林公园的生态保育区和核心景观区；</w:t>
            </w:r>
          </w:p>
          <w:p>
            <w:pPr>
              <w:adjustRightInd w:val="0"/>
              <w:snapToGrid w:val="0"/>
              <w:spacing w:line="360" w:lineRule="auto"/>
              <w:ind w:firstLine="480"/>
              <w:rPr>
                <w:color w:val="auto"/>
                <w:sz w:val="24"/>
                <w:highlight w:val="none"/>
              </w:rPr>
            </w:pPr>
            <w:r>
              <w:rPr>
                <w:color w:val="auto"/>
                <w:sz w:val="24"/>
                <w:highlight w:val="none"/>
              </w:rPr>
              <w:t>4.风景名胜区的核心景区；</w:t>
            </w:r>
          </w:p>
          <w:p>
            <w:pPr>
              <w:adjustRightInd w:val="0"/>
              <w:snapToGrid w:val="0"/>
              <w:spacing w:line="360" w:lineRule="auto"/>
              <w:ind w:firstLine="480"/>
              <w:rPr>
                <w:color w:val="auto"/>
                <w:sz w:val="24"/>
                <w:highlight w:val="none"/>
              </w:rPr>
            </w:pPr>
            <w:r>
              <w:rPr>
                <w:color w:val="auto"/>
                <w:sz w:val="24"/>
                <w:highlight w:val="none"/>
              </w:rPr>
              <w:t>5.地质公园的地质遗迹保护区；</w:t>
            </w:r>
          </w:p>
          <w:p>
            <w:pPr>
              <w:adjustRightInd w:val="0"/>
              <w:snapToGrid w:val="0"/>
              <w:spacing w:line="360" w:lineRule="auto"/>
              <w:ind w:firstLine="480"/>
              <w:rPr>
                <w:color w:val="auto"/>
                <w:sz w:val="24"/>
                <w:highlight w:val="none"/>
              </w:rPr>
            </w:pPr>
            <w:r>
              <w:rPr>
                <w:color w:val="auto"/>
                <w:sz w:val="24"/>
                <w:highlight w:val="none"/>
              </w:rPr>
              <w:t>6.世界自然遗产的核心区和缓冲区；</w:t>
            </w:r>
          </w:p>
          <w:p>
            <w:pPr>
              <w:adjustRightInd w:val="0"/>
              <w:snapToGrid w:val="0"/>
              <w:spacing w:line="360" w:lineRule="auto"/>
              <w:ind w:firstLine="480"/>
              <w:rPr>
                <w:color w:val="auto"/>
                <w:sz w:val="24"/>
                <w:highlight w:val="none"/>
              </w:rPr>
            </w:pPr>
            <w:r>
              <w:rPr>
                <w:color w:val="auto"/>
                <w:sz w:val="24"/>
                <w:highlight w:val="none"/>
              </w:rPr>
              <w:t>7.湿地公园的湿地保育区和恢复重建区；</w:t>
            </w:r>
          </w:p>
          <w:p>
            <w:pPr>
              <w:adjustRightInd w:val="0"/>
              <w:snapToGrid w:val="0"/>
              <w:spacing w:line="360" w:lineRule="auto"/>
              <w:ind w:firstLine="480"/>
              <w:rPr>
                <w:color w:val="auto"/>
                <w:sz w:val="24"/>
                <w:highlight w:val="none"/>
              </w:rPr>
            </w:pPr>
            <w:r>
              <w:rPr>
                <w:color w:val="auto"/>
                <w:sz w:val="24"/>
                <w:highlight w:val="none"/>
              </w:rPr>
              <w:t>8.饮用水水源地的一级保护区；</w:t>
            </w:r>
          </w:p>
          <w:p>
            <w:pPr>
              <w:adjustRightInd w:val="0"/>
              <w:snapToGrid w:val="0"/>
              <w:spacing w:line="360" w:lineRule="auto"/>
              <w:ind w:firstLine="480"/>
              <w:rPr>
                <w:color w:val="auto"/>
                <w:sz w:val="24"/>
                <w:highlight w:val="none"/>
              </w:rPr>
            </w:pPr>
            <w:r>
              <w:rPr>
                <w:color w:val="auto"/>
                <w:sz w:val="24"/>
                <w:highlight w:val="none"/>
              </w:rPr>
              <w:t>9.水产种质资源保护区的核心区等。”以及“(五)调整生态公益林等其他需要纳入红线的保护地纳入范围。此前省级以上生态公益林作为一个单独的红线保护类型，调整以后不再单列。结合我省实际情况，根据生态功能重要性，将有必要实施严格保护的各类保护地纳入生态保护红线范围，主要涵盖：国家一级公益林、重要湿地、沙(泥)岸沿海基干林带等重要生态保护地。”</w:t>
            </w:r>
          </w:p>
          <w:p>
            <w:pPr>
              <w:adjustRightInd w:val="0"/>
              <w:snapToGrid w:val="0"/>
              <w:spacing w:line="360" w:lineRule="auto"/>
              <w:ind w:firstLine="480"/>
              <w:rPr>
                <w:color w:val="auto"/>
                <w:sz w:val="24"/>
                <w:highlight w:val="none"/>
              </w:rPr>
            </w:pPr>
            <w:r>
              <w:rPr>
                <w:color w:val="auto"/>
                <w:sz w:val="24"/>
                <w:highlight w:val="none"/>
              </w:rPr>
              <w:t>对照福建省生态保护红线划定成果调整工作方案的内容，项目不涉及</w:t>
            </w:r>
            <w:r>
              <w:rPr>
                <w:rFonts w:hint="eastAsia"/>
                <w:color w:val="auto"/>
                <w:sz w:val="24"/>
                <w:highlight w:val="none"/>
              </w:rPr>
              <w:t>国家公园、</w:t>
            </w:r>
            <w:r>
              <w:rPr>
                <w:color w:val="auto"/>
                <w:sz w:val="24"/>
                <w:highlight w:val="none"/>
              </w:rPr>
              <w:t>自然保护区、风景名胜区、饮用水水源保护区、国家一级公益林等环境敏感区，符合生态保护红线要求。</w:t>
            </w:r>
          </w:p>
          <w:p>
            <w:pPr>
              <w:adjustRightInd w:val="0"/>
              <w:snapToGrid w:val="0"/>
              <w:spacing w:line="360" w:lineRule="auto"/>
              <w:ind w:firstLine="480"/>
              <w:rPr>
                <w:rFonts w:hint="eastAsia"/>
                <w:b/>
                <w:bCs/>
                <w:color w:val="auto"/>
                <w:sz w:val="24"/>
                <w:highlight w:val="none"/>
              </w:rPr>
            </w:pPr>
            <w:r>
              <w:rPr>
                <w:rFonts w:hint="eastAsia"/>
                <w:b/>
                <w:bCs/>
                <w:color w:val="auto"/>
                <w:sz w:val="24"/>
                <w:highlight w:val="none"/>
              </w:rPr>
              <w:t>(2)环境质量底线</w:t>
            </w:r>
          </w:p>
          <w:p>
            <w:pPr>
              <w:adjustRightInd w:val="0"/>
              <w:snapToGrid w:val="0"/>
              <w:spacing w:line="360" w:lineRule="auto"/>
              <w:ind w:firstLine="480"/>
              <w:rPr>
                <w:color w:val="auto"/>
                <w:sz w:val="24"/>
                <w:highlight w:val="none"/>
              </w:rPr>
            </w:pPr>
            <w:r>
              <w:rPr>
                <w:color w:val="auto"/>
                <w:sz w:val="24"/>
                <w:highlight w:val="none"/>
              </w:rPr>
              <w:t>项目所在区域环境质量底线见表</w:t>
            </w:r>
            <w:r>
              <w:rPr>
                <w:rFonts w:hint="eastAsia"/>
                <w:color w:val="auto"/>
                <w:sz w:val="24"/>
                <w:highlight w:val="none"/>
              </w:rPr>
              <w:t>1</w:t>
            </w:r>
            <w:r>
              <w:rPr>
                <w:color w:val="auto"/>
                <w:sz w:val="24"/>
                <w:highlight w:val="none"/>
              </w:rPr>
              <w:t>-</w:t>
            </w:r>
            <w:r>
              <w:rPr>
                <w:rFonts w:hint="eastAsia"/>
                <w:color w:val="auto"/>
                <w:sz w:val="24"/>
                <w:highlight w:val="none"/>
                <w:lang w:val="en-US" w:eastAsia="zh-CN"/>
              </w:rPr>
              <w:t>2</w:t>
            </w:r>
            <w:r>
              <w:rPr>
                <w:color w:val="auto"/>
                <w:sz w:val="24"/>
                <w:highlight w:val="none"/>
              </w:rPr>
              <w:t>。</w:t>
            </w:r>
          </w:p>
          <w:p>
            <w:pPr>
              <w:ind w:firstLine="480"/>
              <w:jc w:val="center"/>
              <w:rPr>
                <w:b/>
                <w:bCs/>
                <w:color w:val="auto"/>
                <w:sz w:val="24"/>
                <w:highlight w:val="none"/>
                <w:lang w:val="zh-CN"/>
              </w:rPr>
            </w:pPr>
            <w:r>
              <w:rPr>
                <w:b/>
                <w:bCs/>
                <w:color w:val="auto"/>
                <w:sz w:val="24"/>
                <w:highlight w:val="none"/>
                <w:lang w:val="zh-CN"/>
              </w:rPr>
              <w:t>表</w:t>
            </w:r>
            <w:r>
              <w:rPr>
                <w:rFonts w:hint="eastAsia"/>
                <w:b/>
                <w:bCs/>
                <w:color w:val="auto"/>
                <w:sz w:val="24"/>
                <w:highlight w:val="none"/>
                <w:lang w:val="zh-CN"/>
              </w:rPr>
              <w:t>1</w:t>
            </w:r>
            <w:r>
              <w:rPr>
                <w:b/>
                <w:bCs/>
                <w:color w:val="auto"/>
                <w:sz w:val="24"/>
                <w:highlight w:val="none"/>
                <w:lang w:val="zh-CN"/>
              </w:rPr>
              <w:t>-</w:t>
            </w:r>
            <w:r>
              <w:rPr>
                <w:rFonts w:hint="eastAsia"/>
                <w:b/>
                <w:bCs/>
                <w:color w:val="auto"/>
                <w:sz w:val="24"/>
                <w:highlight w:val="none"/>
                <w:lang w:val="en-US" w:eastAsia="zh-CN"/>
              </w:rPr>
              <w:t>2</w:t>
            </w:r>
            <w:r>
              <w:rPr>
                <w:b/>
                <w:bCs/>
                <w:color w:val="auto"/>
                <w:sz w:val="24"/>
                <w:highlight w:val="none"/>
                <w:lang w:val="zh-CN"/>
              </w:rPr>
              <w:t xml:space="preserve"> 项目区环境质量底线</w:t>
            </w:r>
          </w:p>
          <w:tbl>
            <w:tblPr>
              <w:tblStyle w:val="23"/>
              <w:tblW w:w="657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7"/>
              <w:gridCol w:w="52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3" w:hRule="atLeast"/>
                <w:jc w:val="center"/>
              </w:trPr>
              <w:tc>
                <w:tcPr>
                  <w:tcW w:w="1347" w:type="dxa"/>
                  <w:vAlign w:val="center"/>
                </w:tcPr>
                <w:p>
                  <w:pPr>
                    <w:widowControl/>
                    <w:jc w:val="center"/>
                    <w:rPr>
                      <w:b/>
                      <w:bCs/>
                      <w:color w:val="auto"/>
                      <w:kern w:val="0"/>
                      <w:szCs w:val="21"/>
                      <w:highlight w:val="none"/>
                    </w:rPr>
                  </w:pPr>
                  <w:r>
                    <w:rPr>
                      <w:rFonts w:hint="eastAsia"/>
                      <w:color w:val="auto"/>
                      <w:szCs w:val="21"/>
                      <w:highlight w:val="none"/>
                    </w:rPr>
                    <w:t>环境要素</w:t>
                  </w:r>
                </w:p>
              </w:tc>
              <w:tc>
                <w:tcPr>
                  <w:tcW w:w="5229" w:type="dxa"/>
                  <w:vAlign w:val="center"/>
                </w:tcPr>
                <w:p>
                  <w:pPr>
                    <w:widowControl/>
                    <w:jc w:val="center"/>
                    <w:rPr>
                      <w:b/>
                      <w:bCs/>
                      <w:color w:val="auto"/>
                      <w:kern w:val="0"/>
                      <w:szCs w:val="21"/>
                      <w:highlight w:val="none"/>
                    </w:rPr>
                  </w:pPr>
                  <w:r>
                    <w:rPr>
                      <w:rFonts w:hint="eastAsia"/>
                      <w:color w:val="auto"/>
                      <w:szCs w:val="21"/>
                      <w:highlight w:val="none"/>
                    </w:rPr>
                    <w:t>环境质量底线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1347" w:type="dxa"/>
                  <w:vAlign w:val="center"/>
                </w:tcPr>
                <w:p>
                  <w:pPr>
                    <w:widowControl/>
                    <w:jc w:val="center"/>
                    <w:rPr>
                      <w:color w:val="auto"/>
                      <w:kern w:val="0"/>
                      <w:szCs w:val="21"/>
                      <w:highlight w:val="none"/>
                    </w:rPr>
                  </w:pPr>
                  <w:r>
                    <w:rPr>
                      <w:rFonts w:hint="eastAsia"/>
                      <w:color w:val="auto"/>
                      <w:szCs w:val="21"/>
                      <w:highlight w:val="none"/>
                    </w:rPr>
                    <w:t>地表水环境</w:t>
                  </w:r>
                </w:p>
              </w:tc>
              <w:tc>
                <w:tcPr>
                  <w:tcW w:w="5229" w:type="dxa"/>
                  <w:vAlign w:val="center"/>
                </w:tcPr>
                <w:p>
                  <w:pPr>
                    <w:widowControl/>
                    <w:jc w:val="center"/>
                    <w:rPr>
                      <w:color w:val="auto"/>
                      <w:kern w:val="0"/>
                      <w:szCs w:val="21"/>
                      <w:highlight w:val="none"/>
                    </w:rPr>
                  </w:pPr>
                  <w:r>
                    <w:rPr>
                      <w:rFonts w:hint="eastAsia"/>
                      <w:color w:val="auto"/>
                      <w:szCs w:val="21"/>
                      <w:highlight w:val="none"/>
                    </w:rPr>
                    <w:t>《地表水环境质量标准》(GB3838-2002) 中V类标准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1347" w:type="dxa"/>
                  <w:vAlign w:val="center"/>
                </w:tcPr>
                <w:p>
                  <w:pPr>
                    <w:widowControl/>
                    <w:jc w:val="center"/>
                    <w:rPr>
                      <w:color w:val="auto"/>
                      <w:kern w:val="0"/>
                      <w:szCs w:val="21"/>
                      <w:highlight w:val="none"/>
                    </w:rPr>
                  </w:pPr>
                  <w:r>
                    <w:rPr>
                      <w:rFonts w:hint="eastAsia"/>
                      <w:color w:val="auto"/>
                      <w:szCs w:val="21"/>
                      <w:highlight w:val="none"/>
                    </w:rPr>
                    <w:t>环境空气</w:t>
                  </w:r>
                </w:p>
              </w:tc>
              <w:tc>
                <w:tcPr>
                  <w:tcW w:w="5229" w:type="dxa"/>
                  <w:vAlign w:val="center"/>
                </w:tcPr>
                <w:p>
                  <w:pPr>
                    <w:widowControl/>
                    <w:jc w:val="center"/>
                    <w:rPr>
                      <w:color w:val="auto"/>
                      <w:kern w:val="0"/>
                      <w:szCs w:val="21"/>
                      <w:highlight w:val="none"/>
                    </w:rPr>
                  </w:pPr>
                  <w:r>
                    <w:rPr>
                      <w:rFonts w:hint="eastAsia"/>
                      <w:color w:val="auto"/>
                      <w:szCs w:val="21"/>
                      <w:highlight w:val="none"/>
                    </w:rPr>
                    <w:t>《环境空气质量标准》(GB3095-2012)及其修改单中二级浓度限值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1347" w:type="dxa"/>
                  <w:vAlign w:val="center"/>
                </w:tcPr>
                <w:p>
                  <w:pPr>
                    <w:widowControl/>
                    <w:jc w:val="center"/>
                    <w:rPr>
                      <w:color w:val="auto"/>
                      <w:kern w:val="0"/>
                      <w:szCs w:val="21"/>
                      <w:highlight w:val="none"/>
                    </w:rPr>
                  </w:pPr>
                  <w:r>
                    <w:rPr>
                      <w:rFonts w:hint="eastAsia"/>
                      <w:color w:val="auto"/>
                      <w:szCs w:val="21"/>
                      <w:highlight w:val="none"/>
                    </w:rPr>
                    <w:t>声环境</w:t>
                  </w:r>
                </w:p>
              </w:tc>
              <w:tc>
                <w:tcPr>
                  <w:tcW w:w="5229" w:type="dxa"/>
                  <w:vAlign w:val="center"/>
                </w:tcPr>
                <w:p>
                  <w:pPr>
                    <w:widowControl/>
                    <w:jc w:val="center"/>
                    <w:rPr>
                      <w:rFonts w:hint="eastAsia"/>
                      <w:color w:val="auto"/>
                      <w:highlight w:val="none"/>
                    </w:rPr>
                  </w:pPr>
                  <w:r>
                    <w:rPr>
                      <w:rFonts w:hint="eastAsia"/>
                      <w:color w:val="auto"/>
                      <w:highlight w:val="none"/>
                    </w:rPr>
                    <w:t>《声环境质量标准》(GB3096-2008) 中2类标准</w:t>
                  </w:r>
                </w:p>
                <w:p>
                  <w:pPr>
                    <w:pStyle w:val="13"/>
                    <w:jc w:val="center"/>
                    <w:rPr>
                      <w:color w:val="auto"/>
                      <w:highlight w:val="none"/>
                    </w:rPr>
                  </w:pPr>
                  <w:r>
                    <w:rPr>
                      <w:rFonts w:hint="eastAsia"/>
                      <w:color w:val="auto"/>
                      <w:sz w:val="21"/>
                      <w:szCs w:val="24"/>
                      <w:highlight w:val="none"/>
                    </w:rPr>
                    <w:t>《声环境质量标准》(GB3096-2008) 中4a类标准</w:t>
                  </w:r>
                </w:p>
              </w:tc>
            </w:tr>
          </w:tbl>
          <w:p>
            <w:pPr>
              <w:adjustRightInd w:val="0"/>
              <w:snapToGrid w:val="0"/>
              <w:spacing w:line="360" w:lineRule="auto"/>
              <w:ind w:firstLine="480"/>
              <w:rPr>
                <w:rFonts w:hint="eastAsia"/>
                <w:b/>
                <w:bCs/>
                <w:color w:val="auto"/>
                <w:sz w:val="24"/>
                <w:highlight w:val="none"/>
              </w:rPr>
            </w:pPr>
            <w:r>
              <w:rPr>
                <w:color w:val="auto"/>
                <w:sz w:val="24"/>
                <w:highlight w:val="none"/>
              </w:rPr>
              <w:t>项目建成通车后，路面径流雨水对</w:t>
            </w:r>
            <w:r>
              <w:rPr>
                <w:rFonts w:hint="eastAsia"/>
                <w:color w:val="auto"/>
                <w:sz w:val="24"/>
                <w:highlight w:val="none"/>
              </w:rPr>
              <w:t>梅峰河、西湖</w:t>
            </w:r>
            <w:r>
              <w:rPr>
                <w:color w:val="auto"/>
                <w:sz w:val="24"/>
                <w:highlight w:val="none"/>
              </w:rPr>
              <w:t>水质影响较小；</w:t>
            </w:r>
            <w:r>
              <w:rPr>
                <w:color w:val="auto"/>
                <w:kern w:val="0"/>
                <w:sz w:val="24"/>
                <w:highlight w:val="none"/>
                <w:lang w:val="zh-CN"/>
              </w:rPr>
              <w:t>CO和NO</w:t>
            </w:r>
            <w:r>
              <w:rPr>
                <w:color w:val="auto"/>
                <w:kern w:val="0"/>
                <w:sz w:val="24"/>
                <w:highlight w:val="none"/>
                <w:vertAlign w:val="subscript"/>
                <w:lang w:val="zh-CN"/>
              </w:rPr>
              <w:t>2</w:t>
            </w:r>
            <w:r>
              <w:rPr>
                <w:color w:val="auto"/>
                <w:kern w:val="0"/>
                <w:sz w:val="24"/>
                <w:highlight w:val="none"/>
                <w:lang w:val="zh-CN"/>
              </w:rPr>
              <w:t>浓度增加不大，对沿线周围环境空气质量影响均在大气环境质量允许范围之内</w:t>
            </w:r>
            <w:r>
              <w:rPr>
                <w:rFonts w:hint="eastAsia"/>
                <w:color w:val="auto"/>
                <w:sz w:val="24"/>
                <w:highlight w:val="none"/>
              </w:rPr>
              <w:t>；</w:t>
            </w:r>
            <w:r>
              <w:rPr>
                <w:color w:val="auto"/>
                <w:sz w:val="24"/>
                <w:highlight w:val="none"/>
              </w:rPr>
              <w:t>交通噪声对沿线声环境</w:t>
            </w:r>
            <w:r>
              <w:rPr>
                <w:rFonts w:hint="eastAsia"/>
                <w:b/>
                <w:bCs/>
                <w:color w:val="auto"/>
                <w:sz w:val="24"/>
                <w:highlight w:val="none"/>
              </w:rPr>
              <w:t>影响较小，不会突破区域环境质量底线。</w:t>
            </w:r>
          </w:p>
          <w:p>
            <w:pPr>
              <w:adjustRightInd w:val="0"/>
              <w:snapToGrid w:val="0"/>
              <w:spacing w:line="360" w:lineRule="auto"/>
              <w:ind w:firstLine="480"/>
              <w:rPr>
                <w:rFonts w:hint="eastAsia"/>
                <w:b/>
                <w:bCs/>
                <w:color w:val="auto"/>
                <w:sz w:val="24"/>
                <w:highlight w:val="none"/>
              </w:rPr>
            </w:pPr>
            <w:r>
              <w:rPr>
                <w:rFonts w:hint="eastAsia"/>
                <w:b/>
                <w:bCs/>
                <w:color w:val="auto"/>
                <w:sz w:val="24"/>
                <w:highlight w:val="none"/>
              </w:rPr>
              <w:t>(3)资源利用上线</w:t>
            </w:r>
          </w:p>
          <w:p>
            <w:pPr>
              <w:adjustRightInd w:val="0"/>
              <w:snapToGrid w:val="0"/>
              <w:spacing w:line="360" w:lineRule="auto"/>
              <w:ind w:firstLine="480"/>
              <w:rPr>
                <w:rFonts w:hint="eastAsia"/>
                <w:color w:val="auto"/>
                <w:sz w:val="24"/>
                <w:highlight w:val="none"/>
              </w:rPr>
            </w:pPr>
            <w:r>
              <w:rPr>
                <w:rFonts w:hint="eastAsia"/>
                <w:color w:val="auto"/>
                <w:sz w:val="24"/>
                <w:highlight w:val="none"/>
              </w:rPr>
              <w:t>项目利用的资源主要为土地资源，项目永久占地56840m</w:t>
            </w:r>
            <w:r>
              <w:rPr>
                <w:rFonts w:hint="eastAsia"/>
                <w:color w:val="auto"/>
                <w:sz w:val="24"/>
                <w:highlight w:val="none"/>
                <w:vertAlign w:val="superscript"/>
              </w:rPr>
              <w:t>2</w:t>
            </w:r>
            <w:r>
              <w:rPr>
                <w:rFonts w:hint="eastAsia"/>
                <w:color w:val="auto"/>
                <w:sz w:val="24"/>
                <w:highlight w:val="none"/>
              </w:rPr>
              <w:t>，其中林地2231m</w:t>
            </w:r>
            <w:r>
              <w:rPr>
                <w:rFonts w:hint="eastAsia"/>
                <w:color w:val="auto"/>
                <w:sz w:val="24"/>
                <w:highlight w:val="none"/>
                <w:vertAlign w:val="superscript"/>
              </w:rPr>
              <w:t>2</w:t>
            </w:r>
            <w:r>
              <w:rPr>
                <w:rFonts w:hint="eastAsia"/>
                <w:color w:val="auto"/>
                <w:sz w:val="24"/>
                <w:highlight w:val="none"/>
              </w:rPr>
              <w:t>，林地位于隧道上方，本次改造未使用林地，项目</w:t>
            </w:r>
            <w:r>
              <w:rPr>
                <w:rFonts w:hint="eastAsia"/>
                <w:color w:val="auto"/>
                <w:sz w:val="24"/>
                <w:highlight w:val="none"/>
                <w:lang w:val="en-US" w:eastAsia="zh-CN"/>
              </w:rPr>
              <w:t>临时占地54800</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w:t>
            </w:r>
            <w:r>
              <w:rPr>
                <w:rFonts w:hint="eastAsia"/>
                <w:color w:val="auto"/>
                <w:sz w:val="24"/>
                <w:highlight w:val="none"/>
                <w:lang w:val="en-US" w:eastAsia="zh-CN"/>
              </w:rPr>
              <w:t>其中红线内临时占地500m</w:t>
            </w:r>
            <w:r>
              <w:rPr>
                <w:rFonts w:hint="eastAsia"/>
                <w:color w:val="auto"/>
                <w:sz w:val="24"/>
                <w:highlight w:val="none"/>
                <w:vertAlign w:val="superscript"/>
                <w:lang w:val="en-US" w:eastAsia="zh-CN"/>
              </w:rPr>
              <w:t>2</w:t>
            </w:r>
            <w:r>
              <w:rPr>
                <w:rFonts w:hint="eastAsia"/>
                <w:color w:val="auto"/>
                <w:sz w:val="24"/>
                <w:highlight w:val="none"/>
                <w:lang w:val="en-US" w:eastAsia="zh-CN"/>
              </w:rPr>
              <w:t>，</w:t>
            </w:r>
            <w:r>
              <w:rPr>
                <w:rFonts w:hint="eastAsia"/>
                <w:color w:val="auto"/>
                <w:sz w:val="24"/>
                <w:highlight w:val="none"/>
              </w:rPr>
              <w:t>红线内预制场临时设施场地与道路工程一起场平建设</w:t>
            </w:r>
            <w:r>
              <w:rPr>
                <w:rFonts w:hint="eastAsia"/>
                <w:color w:val="auto"/>
                <w:sz w:val="24"/>
                <w:highlight w:val="none"/>
                <w:lang w:eastAsia="zh-CN"/>
              </w:rPr>
              <w:t>；</w:t>
            </w:r>
            <w:r>
              <w:rPr>
                <w:rFonts w:hint="eastAsia"/>
                <w:color w:val="auto"/>
                <w:sz w:val="24"/>
                <w:highlight w:val="none"/>
              </w:rPr>
              <w:t>红线外</w:t>
            </w:r>
            <w:r>
              <w:rPr>
                <w:rFonts w:hint="eastAsia"/>
                <w:color w:val="auto"/>
                <w:sz w:val="24"/>
                <w:highlight w:val="none"/>
                <w:lang w:val="en-US" w:eastAsia="zh-CN"/>
              </w:rPr>
              <w:t>临时54300m</w:t>
            </w:r>
            <w:r>
              <w:rPr>
                <w:rFonts w:hint="eastAsia"/>
                <w:color w:val="auto"/>
                <w:sz w:val="24"/>
                <w:highlight w:val="none"/>
                <w:vertAlign w:val="superscript"/>
                <w:lang w:val="en-US" w:eastAsia="zh-CN"/>
              </w:rPr>
              <w:t>2</w:t>
            </w:r>
            <w:r>
              <w:rPr>
                <w:rFonts w:hint="eastAsia"/>
                <w:color w:val="auto"/>
                <w:sz w:val="24"/>
                <w:highlight w:val="none"/>
                <w:lang w:val="en-US" w:eastAsia="zh-CN"/>
              </w:rPr>
              <w:t>，施工结束后，</w:t>
            </w:r>
            <w:r>
              <w:rPr>
                <w:rFonts w:hint="eastAsia"/>
                <w:color w:val="auto"/>
                <w:sz w:val="24"/>
                <w:highlight w:val="none"/>
              </w:rPr>
              <w:t>临时围挡占地进行原地貌恢复。项目建设对土地利用影响较小</w:t>
            </w:r>
            <w:r>
              <w:rPr>
                <w:rFonts w:hint="eastAsia"/>
                <w:color w:val="auto"/>
                <w:sz w:val="24"/>
                <w:highlight w:val="none"/>
                <w:lang w:eastAsia="zh-CN"/>
              </w:rPr>
              <w:t>，</w:t>
            </w:r>
            <w:r>
              <w:rPr>
                <w:rFonts w:hint="eastAsia"/>
                <w:color w:val="auto"/>
                <w:sz w:val="24"/>
                <w:highlight w:val="none"/>
              </w:rPr>
              <w:t>不会突破区域资源利用上线。</w:t>
            </w:r>
          </w:p>
          <w:p>
            <w:pPr>
              <w:adjustRightInd w:val="0"/>
              <w:snapToGrid w:val="0"/>
              <w:spacing w:line="360" w:lineRule="auto"/>
              <w:ind w:firstLine="480"/>
              <w:rPr>
                <w:rFonts w:hint="eastAsia"/>
                <w:b/>
                <w:bCs/>
                <w:color w:val="auto"/>
                <w:sz w:val="24"/>
                <w:highlight w:val="none"/>
              </w:rPr>
            </w:pPr>
            <w:r>
              <w:rPr>
                <w:rFonts w:hint="eastAsia"/>
                <w:b/>
                <w:bCs/>
                <w:color w:val="auto"/>
                <w:sz w:val="24"/>
                <w:highlight w:val="none"/>
              </w:rPr>
              <w:t>(4)环境准入负面清单</w:t>
            </w:r>
          </w:p>
          <w:p>
            <w:pPr>
              <w:adjustRightInd w:val="0"/>
              <w:snapToGrid w:val="0"/>
              <w:spacing w:line="360" w:lineRule="auto"/>
              <w:ind w:firstLine="480"/>
              <w:rPr>
                <w:color w:val="auto"/>
                <w:sz w:val="24"/>
                <w:highlight w:val="none"/>
              </w:rPr>
            </w:pPr>
            <w:r>
              <w:rPr>
                <w:color w:val="auto"/>
                <w:sz w:val="24"/>
                <w:highlight w:val="none"/>
              </w:rPr>
              <w:t>项目所在区域未设置环境准入负面清单</w:t>
            </w:r>
            <w:r>
              <w:rPr>
                <w:rFonts w:hint="eastAsia"/>
                <w:color w:val="auto"/>
                <w:sz w:val="24"/>
                <w:highlight w:val="none"/>
              </w:rPr>
              <w:t>；</w:t>
            </w:r>
            <w:r>
              <w:rPr>
                <w:color w:val="auto"/>
                <w:sz w:val="24"/>
                <w:highlight w:val="none"/>
              </w:rPr>
              <w:t>项目建设符合国家产业政策，不属于《市场准入负面清单》(20</w:t>
            </w:r>
            <w:r>
              <w:rPr>
                <w:rFonts w:hint="eastAsia"/>
                <w:color w:val="auto"/>
                <w:sz w:val="24"/>
                <w:highlight w:val="none"/>
              </w:rPr>
              <w:t>20</w:t>
            </w:r>
            <w:r>
              <w:rPr>
                <w:color w:val="auto"/>
                <w:sz w:val="24"/>
                <w:highlight w:val="none"/>
              </w:rPr>
              <w:t>年版)中禁止准入类和限制准入类项目。</w:t>
            </w:r>
          </w:p>
          <w:p>
            <w:pPr>
              <w:adjustRightInd w:val="0"/>
              <w:snapToGrid w:val="0"/>
              <w:spacing w:line="360" w:lineRule="auto"/>
              <w:ind w:firstLine="480"/>
              <w:rPr>
                <w:rFonts w:hint="eastAsia"/>
                <w:b/>
                <w:bCs/>
                <w:color w:val="auto"/>
                <w:sz w:val="24"/>
                <w:highlight w:val="none"/>
              </w:rPr>
            </w:pPr>
            <w:r>
              <w:rPr>
                <w:rFonts w:hint="eastAsia"/>
                <w:b/>
                <w:bCs/>
                <w:color w:val="auto"/>
                <w:sz w:val="24"/>
                <w:highlight w:val="none"/>
              </w:rPr>
              <w:t>(5)与《福建省人民政府关于实施“三线一单”生态环境分区管控的通知》符合性分析</w:t>
            </w:r>
          </w:p>
          <w:p>
            <w:pPr>
              <w:spacing w:line="360" w:lineRule="auto"/>
              <w:ind w:firstLine="480" w:firstLineChars="200"/>
              <w:rPr>
                <w:rFonts w:hint="eastAsia"/>
                <w:color w:val="auto"/>
                <w:kern w:val="0"/>
                <w:sz w:val="24"/>
                <w:highlight w:val="none"/>
              </w:rPr>
            </w:pPr>
            <w:r>
              <w:rPr>
                <w:rFonts w:hint="eastAsia"/>
                <w:color w:val="auto"/>
                <w:kern w:val="0"/>
                <w:sz w:val="24"/>
                <w:highlight w:val="none"/>
              </w:rPr>
              <w:t>根据《福建省人民政府关于实施“三线一单”生态环境分区管控的通知》(闽政[2020]12 号)相关要求分析，项目所在位置属于福建省陆域区域。因此，项目对照全省生态环境总体准入要求中“全省陆域”部分，具体见表 1-</w:t>
            </w:r>
            <w:r>
              <w:rPr>
                <w:rFonts w:hint="eastAsia"/>
                <w:color w:val="auto"/>
                <w:kern w:val="0"/>
                <w:sz w:val="24"/>
                <w:highlight w:val="none"/>
                <w:lang w:val="en-US" w:eastAsia="zh-CN"/>
              </w:rPr>
              <w:t>3</w:t>
            </w:r>
            <w:r>
              <w:rPr>
                <w:rFonts w:hint="eastAsia"/>
                <w:color w:val="auto"/>
                <w:kern w:val="0"/>
                <w:sz w:val="24"/>
                <w:highlight w:val="none"/>
              </w:rPr>
              <w:t>。</w:t>
            </w:r>
          </w:p>
          <w:p>
            <w:pPr>
              <w:jc w:val="center"/>
              <w:rPr>
                <w:b/>
                <w:bCs/>
                <w:color w:val="auto"/>
                <w:kern w:val="0"/>
                <w:sz w:val="24"/>
                <w:highlight w:val="none"/>
              </w:rPr>
            </w:pPr>
            <w:r>
              <w:rPr>
                <w:rFonts w:ascii="宋体" w:hAnsi="宋体" w:cs="宋体"/>
                <w:b/>
                <w:bCs/>
                <w:color w:val="auto"/>
                <w:sz w:val="24"/>
                <w:highlight w:val="none"/>
              </w:rPr>
              <w:t>表1-</w:t>
            </w:r>
            <w:r>
              <w:rPr>
                <w:rFonts w:hint="eastAsia" w:ascii="宋体" w:hAnsi="宋体" w:cs="宋体"/>
                <w:b/>
                <w:bCs/>
                <w:color w:val="auto"/>
                <w:sz w:val="24"/>
                <w:highlight w:val="none"/>
                <w:lang w:val="en-US" w:eastAsia="zh-CN"/>
              </w:rPr>
              <w:t>3</w:t>
            </w:r>
            <w:r>
              <w:rPr>
                <w:rFonts w:ascii="宋体" w:hAnsi="宋体" w:cs="宋体"/>
                <w:b/>
                <w:bCs/>
                <w:color w:val="auto"/>
                <w:sz w:val="24"/>
                <w:highlight w:val="none"/>
              </w:rPr>
              <w:t xml:space="preserve"> </w:t>
            </w:r>
            <w:r>
              <w:rPr>
                <w:rFonts w:hint="eastAsia" w:ascii="宋体" w:hAnsi="宋体" w:cs="宋体"/>
                <w:b/>
                <w:bCs/>
                <w:color w:val="auto"/>
                <w:sz w:val="24"/>
                <w:highlight w:val="none"/>
              </w:rPr>
              <w:t>项目与全省生态环境总体准入要求的符合性分析</w:t>
            </w:r>
          </w:p>
          <w:tbl>
            <w:tblPr>
              <w:tblStyle w:val="23"/>
              <w:tblW w:w="678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688"/>
              <w:gridCol w:w="2958"/>
              <w:gridCol w:w="1491"/>
              <w:gridCol w:w="8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2" w:type="dxa"/>
                  <w:vAlign w:val="center"/>
                </w:tcPr>
                <w:p>
                  <w:pPr>
                    <w:spacing w:before="48" w:beforeLines="20"/>
                    <w:jc w:val="center"/>
                    <w:rPr>
                      <w:b/>
                      <w:bCs/>
                      <w:color w:val="auto"/>
                      <w:kern w:val="0"/>
                      <w:szCs w:val="21"/>
                      <w:highlight w:val="none"/>
                    </w:rPr>
                  </w:pPr>
                  <w:r>
                    <w:rPr>
                      <w:rFonts w:hint="eastAsia"/>
                      <w:b/>
                      <w:bCs/>
                      <w:color w:val="auto"/>
                      <w:kern w:val="0"/>
                      <w:szCs w:val="21"/>
                      <w:highlight w:val="none"/>
                    </w:rPr>
                    <w:t>适用范围</w:t>
                  </w:r>
                </w:p>
              </w:tc>
              <w:tc>
                <w:tcPr>
                  <w:tcW w:w="3646" w:type="dxa"/>
                  <w:gridSpan w:val="2"/>
                  <w:vAlign w:val="center"/>
                </w:tcPr>
                <w:p>
                  <w:pPr>
                    <w:spacing w:before="48" w:beforeLines="20"/>
                    <w:jc w:val="center"/>
                    <w:rPr>
                      <w:b/>
                      <w:bCs/>
                      <w:color w:val="auto"/>
                      <w:kern w:val="0"/>
                      <w:szCs w:val="21"/>
                      <w:highlight w:val="none"/>
                    </w:rPr>
                  </w:pPr>
                  <w:r>
                    <w:rPr>
                      <w:rFonts w:hint="eastAsia"/>
                      <w:b/>
                      <w:bCs/>
                      <w:color w:val="auto"/>
                      <w:szCs w:val="21"/>
                      <w:highlight w:val="none"/>
                    </w:rPr>
                    <w:t>准入要求</w:t>
                  </w:r>
                </w:p>
              </w:tc>
              <w:tc>
                <w:tcPr>
                  <w:tcW w:w="1491" w:type="dxa"/>
                  <w:vAlign w:val="center"/>
                </w:tcPr>
                <w:p>
                  <w:pPr>
                    <w:spacing w:before="48" w:beforeLines="20"/>
                    <w:jc w:val="center"/>
                    <w:rPr>
                      <w:b/>
                      <w:bCs/>
                      <w:color w:val="auto"/>
                      <w:szCs w:val="21"/>
                      <w:highlight w:val="none"/>
                    </w:rPr>
                  </w:pPr>
                  <w:r>
                    <w:rPr>
                      <w:rFonts w:hint="eastAsia"/>
                      <w:b/>
                      <w:bCs/>
                      <w:color w:val="auto"/>
                      <w:szCs w:val="21"/>
                      <w:highlight w:val="none"/>
                    </w:rPr>
                    <w:t>本项目情况</w:t>
                  </w:r>
                </w:p>
              </w:tc>
              <w:tc>
                <w:tcPr>
                  <w:tcW w:w="882" w:type="dxa"/>
                  <w:vAlign w:val="center"/>
                </w:tcPr>
                <w:p>
                  <w:pPr>
                    <w:spacing w:before="48" w:beforeLines="20"/>
                    <w:jc w:val="center"/>
                    <w:rPr>
                      <w:b/>
                      <w:bCs/>
                      <w:color w:val="auto"/>
                      <w:szCs w:val="21"/>
                      <w:highlight w:val="none"/>
                    </w:rPr>
                  </w:pPr>
                  <w:r>
                    <w:rPr>
                      <w:rFonts w:hint="eastAsia"/>
                      <w:b/>
                      <w:bCs/>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2" w:type="dxa"/>
                  <w:vMerge w:val="restart"/>
                  <w:vAlign w:val="center"/>
                </w:tcPr>
                <w:p>
                  <w:pPr>
                    <w:spacing w:before="48" w:beforeLines="20"/>
                    <w:jc w:val="center"/>
                    <w:rPr>
                      <w:rFonts w:hint="eastAsia"/>
                      <w:color w:val="auto"/>
                      <w:kern w:val="0"/>
                      <w:szCs w:val="21"/>
                      <w:highlight w:val="none"/>
                    </w:rPr>
                  </w:pPr>
                  <w:r>
                    <w:rPr>
                      <w:rFonts w:hint="eastAsia"/>
                      <w:color w:val="auto"/>
                      <w:kern w:val="0"/>
                      <w:szCs w:val="21"/>
                      <w:highlight w:val="none"/>
                    </w:rPr>
                    <w:t>全省</w:t>
                  </w:r>
                </w:p>
                <w:p>
                  <w:pPr>
                    <w:spacing w:before="48" w:beforeLines="20"/>
                    <w:jc w:val="center"/>
                    <w:rPr>
                      <w:color w:val="auto"/>
                      <w:kern w:val="0"/>
                      <w:szCs w:val="21"/>
                      <w:highlight w:val="none"/>
                    </w:rPr>
                  </w:pPr>
                  <w:r>
                    <w:rPr>
                      <w:rFonts w:hint="eastAsia"/>
                      <w:color w:val="auto"/>
                      <w:kern w:val="0"/>
                      <w:szCs w:val="21"/>
                      <w:highlight w:val="none"/>
                    </w:rPr>
                    <w:t>陆域</w:t>
                  </w:r>
                </w:p>
              </w:tc>
              <w:tc>
                <w:tcPr>
                  <w:tcW w:w="688" w:type="dxa"/>
                  <w:vAlign w:val="center"/>
                </w:tcPr>
                <w:p>
                  <w:pPr>
                    <w:spacing w:before="48" w:beforeLines="20"/>
                    <w:jc w:val="center"/>
                    <w:rPr>
                      <w:color w:val="auto"/>
                      <w:kern w:val="0"/>
                      <w:szCs w:val="21"/>
                      <w:highlight w:val="none"/>
                    </w:rPr>
                  </w:pPr>
                  <w:r>
                    <w:rPr>
                      <w:rFonts w:hint="eastAsia"/>
                      <w:color w:val="auto"/>
                      <w:kern w:val="0"/>
                      <w:szCs w:val="21"/>
                      <w:highlight w:val="none"/>
                    </w:rPr>
                    <w:t>空间布局约束</w:t>
                  </w:r>
                </w:p>
              </w:tc>
              <w:tc>
                <w:tcPr>
                  <w:tcW w:w="2958" w:type="dxa"/>
                  <w:vAlign w:val="center"/>
                </w:tcPr>
                <w:p>
                  <w:pPr>
                    <w:spacing w:before="48" w:beforeLines="20"/>
                    <w:jc w:val="center"/>
                    <w:rPr>
                      <w:rFonts w:hint="eastAsia"/>
                      <w:color w:val="auto"/>
                      <w:kern w:val="0"/>
                      <w:szCs w:val="21"/>
                      <w:highlight w:val="none"/>
                    </w:rPr>
                  </w:pPr>
                  <w:r>
                    <w:rPr>
                      <w:rFonts w:hint="eastAsia"/>
                      <w:color w:val="auto"/>
                      <w:kern w:val="0"/>
                      <w:szCs w:val="21"/>
                      <w:highlight w:val="none"/>
                    </w:rPr>
                    <w:t>1、石化、汽车、船舶、冶金、水泥、制浆造纸、印染等重点产业，要符合全省规划布局要求。</w:t>
                  </w:r>
                </w:p>
                <w:p>
                  <w:pPr>
                    <w:spacing w:before="48" w:beforeLines="20"/>
                    <w:jc w:val="center"/>
                    <w:rPr>
                      <w:rFonts w:hint="eastAsia"/>
                      <w:color w:val="auto"/>
                      <w:kern w:val="0"/>
                      <w:szCs w:val="21"/>
                      <w:highlight w:val="none"/>
                    </w:rPr>
                  </w:pPr>
                  <w:r>
                    <w:rPr>
                      <w:rFonts w:hint="eastAsia"/>
                      <w:color w:val="auto"/>
                      <w:kern w:val="0"/>
                      <w:szCs w:val="21"/>
                      <w:highlight w:val="none"/>
                    </w:rPr>
                    <w:t>2、严控钢铁、水泥、平板玻璃等产能过剩行业新增产能，新增产能应实施产能等量或减量置换。</w:t>
                  </w:r>
                </w:p>
                <w:p>
                  <w:pPr>
                    <w:spacing w:before="48" w:beforeLines="20"/>
                    <w:jc w:val="center"/>
                    <w:rPr>
                      <w:rFonts w:hint="eastAsia"/>
                      <w:color w:val="auto"/>
                      <w:kern w:val="0"/>
                      <w:szCs w:val="21"/>
                      <w:highlight w:val="none"/>
                    </w:rPr>
                  </w:pPr>
                  <w:r>
                    <w:rPr>
                      <w:rFonts w:hint="eastAsia"/>
                      <w:color w:val="auto"/>
                      <w:kern w:val="0"/>
                      <w:szCs w:val="21"/>
                      <w:highlight w:val="none"/>
                    </w:rPr>
                    <w:t>3、除列入国家规划的大型煤电和符合相关要求的等容量替代项目，以及以供热为主的热电联产项目外，原则上不再建设新的煤电项目。</w:t>
                  </w:r>
                </w:p>
                <w:p>
                  <w:pPr>
                    <w:spacing w:before="48" w:beforeLines="20"/>
                    <w:jc w:val="center"/>
                    <w:rPr>
                      <w:rFonts w:hint="eastAsia"/>
                      <w:color w:val="auto"/>
                      <w:kern w:val="0"/>
                      <w:szCs w:val="21"/>
                      <w:highlight w:val="none"/>
                    </w:rPr>
                  </w:pPr>
                  <w:r>
                    <w:rPr>
                      <w:rFonts w:hint="eastAsia"/>
                      <w:color w:val="auto"/>
                      <w:kern w:val="0"/>
                      <w:szCs w:val="21"/>
                      <w:highlight w:val="none"/>
                    </w:rPr>
                    <w:t>4、氟化工产业应集中布局在《关于促进我省氟化工产业绿色高效发展的若干意见》中确定的园区，在上述园区之外不再新建氟化工项目，园区之外现有氟化工项目不再扩大规模。</w:t>
                  </w:r>
                </w:p>
                <w:p>
                  <w:pPr>
                    <w:spacing w:before="48" w:beforeLines="20"/>
                    <w:jc w:val="center"/>
                    <w:rPr>
                      <w:color w:val="auto"/>
                      <w:kern w:val="0"/>
                      <w:szCs w:val="21"/>
                      <w:highlight w:val="none"/>
                    </w:rPr>
                  </w:pPr>
                  <w:r>
                    <w:rPr>
                      <w:rFonts w:hint="eastAsia"/>
                      <w:color w:val="auto"/>
                      <w:kern w:val="0"/>
                      <w:szCs w:val="21"/>
                      <w:highlight w:val="none"/>
                    </w:rPr>
                    <w:t>5、禁止在水环境质量不能稳定达标的区域内，建设新增相应不达标污染物指标排放量的工业项目。</w:t>
                  </w:r>
                </w:p>
              </w:tc>
              <w:tc>
                <w:tcPr>
                  <w:tcW w:w="1491" w:type="dxa"/>
                  <w:vAlign w:val="center"/>
                </w:tcPr>
                <w:p>
                  <w:pPr>
                    <w:spacing w:before="48" w:beforeLines="20"/>
                    <w:jc w:val="center"/>
                    <w:rPr>
                      <w:rFonts w:hint="eastAsia"/>
                      <w:color w:val="auto"/>
                      <w:szCs w:val="21"/>
                      <w:highlight w:val="none"/>
                    </w:rPr>
                  </w:pPr>
                  <w:r>
                    <w:rPr>
                      <w:rFonts w:hint="eastAsia"/>
                      <w:color w:val="auto"/>
                      <w:szCs w:val="21"/>
                      <w:highlight w:val="none"/>
                    </w:rPr>
                    <w:t>本项目为道路拓宽工程，项目建设与空间布局约束要求不相冲突</w:t>
                  </w:r>
                </w:p>
              </w:tc>
              <w:tc>
                <w:tcPr>
                  <w:tcW w:w="882" w:type="dxa"/>
                  <w:vAlign w:val="center"/>
                </w:tcPr>
                <w:p>
                  <w:pPr>
                    <w:spacing w:before="48" w:beforeLines="20"/>
                    <w:jc w:val="center"/>
                    <w:rPr>
                      <w:color w:val="auto"/>
                      <w:szCs w:val="21"/>
                      <w:highlight w:val="none"/>
                    </w:rPr>
                  </w:pPr>
                  <w:r>
                    <w:rPr>
                      <w:rFonts w:hint="eastAsia"/>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2" w:type="dxa"/>
                  <w:vMerge w:val="continue"/>
                  <w:vAlign w:val="center"/>
                </w:tcPr>
                <w:p>
                  <w:pPr>
                    <w:spacing w:before="48" w:beforeLines="20"/>
                    <w:jc w:val="center"/>
                    <w:rPr>
                      <w:color w:val="auto"/>
                      <w:kern w:val="0"/>
                      <w:szCs w:val="21"/>
                      <w:highlight w:val="none"/>
                    </w:rPr>
                  </w:pPr>
                </w:p>
              </w:tc>
              <w:tc>
                <w:tcPr>
                  <w:tcW w:w="688" w:type="dxa"/>
                  <w:vAlign w:val="center"/>
                </w:tcPr>
                <w:p>
                  <w:pPr>
                    <w:spacing w:before="48" w:beforeLines="20"/>
                    <w:jc w:val="center"/>
                    <w:rPr>
                      <w:color w:val="auto"/>
                      <w:kern w:val="0"/>
                      <w:szCs w:val="21"/>
                      <w:highlight w:val="none"/>
                    </w:rPr>
                  </w:pPr>
                  <w:r>
                    <w:rPr>
                      <w:rFonts w:hint="eastAsia"/>
                      <w:color w:val="auto"/>
                      <w:kern w:val="0"/>
                      <w:szCs w:val="21"/>
                      <w:highlight w:val="none"/>
                    </w:rPr>
                    <w:t>污染物排放管控</w:t>
                  </w:r>
                </w:p>
              </w:tc>
              <w:tc>
                <w:tcPr>
                  <w:tcW w:w="2958" w:type="dxa"/>
                  <w:vAlign w:val="center"/>
                </w:tcPr>
                <w:p>
                  <w:pPr>
                    <w:spacing w:before="48" w:beforeLines="20"/>
                    <w:jc w:val="center"/>
                    <w:rPr>
                      <w:rFonts w:hint="eastAsia"/>
                      <w:color w:val="auto"/>
                      <w:kern w:val="0"/>
                      <w:szCs w:val="21"/>
                      <w:highlight w:val="none"/>
                    </w:rPr>
                  </w:pPr>
                  <w:r>
                    <w:rPr>
                      <w:rFonts w:hint="eastAsia"/>
                      <w:color w:val="auto"/>
                      <w:kern w:val="0"/>
                      <w:szCs w:val="21"/>
                      <w:highlight w:val="none"/>
                    </w:rPr>
                    <w:t>1、建设项目新增的主要污染物排放量应按要求实行</w:t>
                  </w:r>
                </w:p>
                <w:p>
                  <w:pPr>
                    <w:spacing w:before="48" w:beforeLines="20"/>
                    <w:jc w:val="center"/>
                    <w:rPr>
                      <w:rFonts w:hint="eastAsia"/>
                      <w:color w:val="auto"/>
                      <w:kern w:val="0"/>
                      <w:szCs w:val="21"/>
                      <w:highlight w:val="none"/>
                    </w:rPr>
                  </w:pPr>
                  <w:r>
                    <w:rPr>
                      <w:rFonts w:hint="eastAsia"/>
                      <w:color w:val="auto"/>
                      <w:kern w:val="0"/>
                      <w:szCs w:val="21"/>
                      <w:highlight w:val="none"/>
                    </w:rPr>
                    <w:t>等量或倍量替代。涉及总磷排放的建设项目应按照要求实行总磷排放量倍量或等量削减替代。涉及重金属重点行业建设项目新增的重点重金属污染物应按要求实行“减量置换”或等量替换"。涉新增 VOC</w:t>
                  </w:r>
                  <w:r>
                    <w:rPr>
                      <w:rFonts w:hint="eastAsia"/>
                      <w:color w:val="auto"/>
                      <w:kern w:val="0"/>
                      <w:szCs w:val="21"/>
                      <w:highlight w:val="none"/>
                      <w:vertAlign w:val="subscript"/>
                    </w:rPr>
                    <w:t>S</w:t>
                  </w:r>
                  <w:r>
                    <w:rPr>
                      <w:rFonts w:hint="eastAsia"/>
                      <w:color w:val="auto"/>
                      <w:kern w:val="0"/>
                      <w:szCs w:val="21"/>
                      <w:highlight w:val="none"/>
                    </w:rPr>
                    <w:t>排放项目，VOC</w:t>
                  </w:r>
                  <w:r>
                    <w:rPr>
                      <w:rFonts w:hint="eastAsia"/>
                      <w:color w:val="auto"/>
                      <w:kern w:val="0"/>
                      <w:szCs w:val="21"/>
                      <w:highlight w:val="none"/>
                      <w:vertAlign w:val="subscript"/>
                    </w:rPr>
                    <w:t>S</w:t>
                  </w:r>
                  <w:r>
                    <w:rPr>
                      <w:rFonts w:hint="eastAsia"/>
                      <w:color w:val="auto"/>
                      <w:kern w:val="0"/>
                      <w:szCs w:val="21"/>
                      <w:highlight w:val="none"/>
                    </w:rPr>
                    <w:t>排放实行区域内等量替代。福州、厦门、漳州、泉州、莆田、宁德等 6 个重点控制区可实施倍量替代。</w:t>
                  </w:r>
                </w:p>
                <w:p>
                  <w:pPr>
                    <w:spacing w:before="48" w:beforeLines="20"/>
                    <w:jc w:val="center"/>
                    <w:rPr>
                      <w:rFonts w:hint="eastAsia"/>
                      <w:color w:val="auto"/>
                      <w:kern w:val="0"/>
                      <w:szCs w:val="21"/>
                      <w:highlight w:val="none"/>
                    </w:rPr>
                  </w:pPr>
                  <w:r>
                    <w:rPr>
                      <w:rFonts w:hint="eastAsia"/>
                      <w:color w:val="auto"/>
                      <w:kern w:val="0"/>
                      <w:szCs w:val="21"/>
                      <w:highlight w:val="none"/>
                    </w:rPr>
                    <w:t>2、新建水泥、有色金属项目应执行大气污染物特别排放限值，钢铁项目应执行超低排放指标要求，火电项目应达到超低排放限值。</w:t>
                  </w:r>
                </w:p>
                <w:p>
                  <w:pPr>
                    <w:spacing w:before="48" w:beforeLines="20"/>
                    <w:jc w:val="center"/>
                    <w:rPr>
                      <w:color w:val="auto"/>
                      <w:kern w:val="0"/>
                      <w:szCs w:val="21"/>
                      <w:highlight w:val="none"/>
                    </w:rPr>
                  </w:pPr>
                  <w:r>
                    <w:rPr>
                      <w:rFonts w:hint="eastAsia"/>
                      <w:color w:val="auto"/>
                      <w:kern w:val="0"/>
                      <w:szCs w:val="21"/>
                      <w:highlight w:val="none"/>
                    </w:rPr>
                    <w:t>3、尾水排入近岸海域汇水区域、“六江两溪”流域以及湖泊、水库等封闭、半封闭水域的城镇污水处理设施执行不低于一级 A 排放标准。</w:t>
                  </w:r>
                </w:p>
              </w:tc>
              <w:tc>
                <w:tcPr>
                  <w:tcW w:w="1491" w:type="dxa"/>
                  <w:vAlign w:val="center"/>
                </w:tcPr>
                <w:p>
                  <w:pPr>
                    <w:spacing w:before="48" w:beforeLines="20"/>
                    <w:jc w:val="center"/>
                    <w:rPr>
                      <w:rFonts w:hint="eastAsia"/>
                      <w:color w:val="auto"/>
                      <w:szCs w:val="21"/>
                      <w:highlight w:val="none"/>
                    </w:rPr>
                  </w:pPr>
                  <w:r>
                    <w:rPr>
                      <w:rFonts w:hint="eastAsia"/>
                      <w:color w:val="auto"/>
                      <w:szCs w:val="21"/>
                      <w:highlight w:val="none"/>
                    </w:rPr>
                    <w:t>1、项目位于福州市鼓楼区，属于其规定的污染物管控区域。项目不涉及总磷、重金属、VOC</w:t>
                  </w:r>
                  <w:r>
                    <w:rPr>
                      <w:rFonts w:hint="eastAsia"/>
                      <w:color w:val="auto"/>
                      <w:szCs w:val="21"/>
                      <w:highlight w:val="none"/>
                      <w:vertAlign w:val="subscript"/>
                    </w:rPr>
                    <w:t>S</w:t>
                  </w:r>
                  <w:r>
                    <w:rPr>
                      <w:rFonts w:hint="eastAsia"/>
                      <w:color w:val="auto"/>
                      <w:szCs w:val="21"/>
                      <w:highlight w:val="none"/>
                    </w:rPr>
                    <w:t>排放。</w:t>
                  </w:r>
                </w:p>
                <w:p>
                  <w:pPr>
                    <w:spacing w:before="48" w:beforeLines="20"/>
                    <w:jc w:val="center"/>
                    <w:rPr>
                      <w:rFonts w:hint="eastAsia"/>
                      <w:color w:val="auto"/>
                      <w:szCs w:val="21"/>
                      <w:highlight w:val="none"/>
                    </w:rPr>
                  </w:pPr>
                  <w:r>
                    <w:rPr>
                      <w:rFonts w:hint="eastAsia"/>
                      <w:color w:val="auto"/>
                      <w:szCs w:val="21"/>
                      <w:highlight w:val="none"/>
                    </w:rPr>
                    <w:t>2、项目为道路拓宽改造工程，不属于水泥、有色金属、钢铁、火电项目。</w:t>
                  </w:r>
                </w:p>
                <w:p>
                  <w:pPr>
                    <w:spacing w:before="48" w:beforeLines="20"/>
                    <w:jc w:val="center"/>
                    <w:rPr>
                      <w:color w:val="auto"/>
                      <w:szCs w:val="21"/>
                      <w:highlight w:val="none"/>
                    </w:rPr>
                  </w:pPr>
                  <w:r>
                    <w:rPr>
                      <w:rFonts w:hint="eastAsia"/>
                      <w:color w:val="auto"/>
                      <w:szCs w:val="21"/>
                      <w:highlight w:val="none"/>
                    </w:rPr>
                    <w:t>3、项目运营期无废水产生。</w:t>
                  </w:r>
                </w:p>
              </w:tc>
              <w:tc>
                <w:tcPr>
                  <w:tcW w:w="882" w:type="dxa"/>
                  <w:vAlign w:val="center"/>
                </w:tcPr>
                <w:p>
                  <w:pPr>
                    <w:spacing w:before="48" w:beforeLines="20"/>
                    <w:jc w:val="center"/>
                    <w:rPr>
                      <w:color w:val="auto"/>
                      <w:szCs w:val="21"/>
                      <w:highlight w:val="none"/>
                    </w:rPr>
                  </w:pPr>
                  <w:r>
                    <w:rPr>
                      <w:rFonts w:hint="eastAsia"/>
                      <w:color w:val="auto"/>
                      <w:szCs w:val="21"/>
                      <w:highlight w:val="none"/>
                    </w:rPr>
                    <w:t>符合</w:t>
                  </w:r>
                </w:p>
              </w:tc>
            </w:tr>
          </w:tbl>
          <w:p>
            <w:pPr>
              <w:spacing w:line="360" w:lineRule="auto"/>
              <w:ind w:firstLine="480" w:firstLineChars="200"/>
              <w:rPr>
                <w:rFonts w:hint="eastAsia"/>
                <w:color w:val="auto"/>
                <w:kern w:val="0"/>
                <w:sz w:val="24"/>
                <w:highlight w:val="none"/>
              </w:rPr>
            </w:pPr>
            <w:r>
              <w:rPr>
                <w:rFonts w:hint="eastAsia"/>
                <w:color w:val="auto"/>
                <w:kern w:val="0"/>
                <w:sz w:val="24"/>
                <w:highlight w:val="none"/>
              </w:rPr>
              <w:t>根据上述分析，本项目与《福建省人民政府关于实施“三线一单”生态环境分区管控的通知》(闽政[2020]12号)中的相关规定是符合的。</w:t>
            </w:r>
          </w:p>
          <w:p>
            <w:pPr>
              <w:adjustRightInd w:val="0"/>
              <w:snapToGrid w:val="0"/>
              <w:spacing w:line="360" w:lineRule="auto"/>
              <w:ind w:firstLine="480"/>
              <w:rPr>
                <w:rFonts w:hint="eastAsia"/>
                <w:b/>
                <w:bCs/>
                <w:color w:val="auto"/>
                <w:sz w:val="24"/>
                <w:highlight w:val="none"/>
              </w:rPr>
            </w:pPr>
            <w:r>
              <w:rPr>
                <w:rFonts w:hint="eastAsia"/>
                <w:b/>
                <w:bCs/>
                <w:color w:val="auto"/>
                <w:sz w:val="24"/>
                <w:highlight w:val="none"/>
              </w:rPr>
              <w:t>(6)与《福州市人民政府关于实施“三线一单”生态分区管控的通知》符合性分析</w:t>
            </w:r>
          </w:p>
          <w:p>
            <w:pPr>
              <w:adjustRightInd w:val="0"/>
              <w:snapToGrid w:val="0"/>
              <w:spacing w:line="360" w:lineRule="auto"/>
              <w:ind w:firstLine="480"/>
              <w:rPr>
                <w:rFonts w:hint="eastAsia"/>
                <w:color w:val="auto"/>
                <w:sz w:val="24"/>
                <w:highlight w:val="none"/>
              </w:rPr>
            </w:pPr>
            <w:r>
              <w:rPr>
                <w:rFonts w:hint="eastAsia"/>
                <w:color w:val="auto"/>
                <w:sz w:val="24"/>
                <w:highlight w:val="none"/>
              </w:rPr>
              <w:t>根据《福州市人民政府关于实施“三线一单”生态分区管控的通知》(榕政综〔2021〕178 号)相关要求分析，项目所在位置属于福州市陆域区域。因此，项目对照福州市生态环境总体准入要求中“一、鼓楼区生态环境准入清单”——“鼓楼区重点管控单元1、鼓楼区重点管控单元2、鼓楼区重点管控单元3”，具体见表 1-</w:t>
            </w:r>
            <w:r>
              <w:rPr>
                <w:rFonts w:hint="eastAsia"/>
                <w:color w:val="auto"/>
                <w:sz w:val="24"/>
                <w:highlight w:val="none"/>
                <w:lang w:val="en-US" w:eastAsia="zh-CN"/>
              </w:rPr>
              <w:t>4</w:t>
            </w:r>
            <w:r>
              <w:rPr>
                <w:rFonts w:hint="eastAsia"/>
                <w:color w:val="auto"/>
                <w:sz w:val="24"/>
                <w:highlight w:val="none"/>
              </w:rPr>
              <w:t>。</w:t>
            </w:r>
          </w:p>
          <w:p>
            <w:pPr>
              <w:ind w:firstLine="480"/>
              <w:jc w:val="center"/>
              <w:rPr>
                <w:b/>
                <w:bCs/>
                <w:color w:val="auto"/>
                <w:sz w:val="24"/>
                <w:highlight w:val="none"/>
                <w:lang w:val="zh-CN"/>
              </w:rPr>
            </w:pPr>
            <w:r>
              <w:rPr>
                <w:rFonts w:hint="eastAsia"/>
                <w:b/>
                <w:bCs/>
                <w:color w:val="auto"/>
                <w:sz w:val="24"/>
                <w:highlight w:val="none"/>
                <w:lang w:val="zh-CN"/>
              </w:rPr>
              <w:t>表 1-</w:t>
            </w:r>
            <w:r>
              <w:rPr>
                <w:rFonts w:hint="eastAsia"/>
                <w:b/>
                <w:bCs/>
                <w:color w:val="auto"/>
                <w:sz w:val="24"/>
                <w:highlight w:val="none"/>
                <w:lang w:val="en-US" w:eastAsia="zh-CN"/>
              </w:rPr>
              <w:t>4</w:t>
            </w:r>
            <w:r>
              <w:rPr>
                <w:rFonts w:hint="eastAsia"/>
                <w:b/>
                <w:bCs/>
                <w:color w:val="auto"/>
                <w:sz w:val="24"/>
                <w:highlight w:val="none"/>
                <w:lang w:val="zh-CN"/>
              </w:rPr>
              <w:t xml:space="preserve"> 项目与所在环境管控单元管控要求符合性分析</w:t>
            </w:r>
          </w:p>
          <w:tbl>
            <w:tblPr>
              <w:tblStyle w:val="23"/>
              <w:tblW w:w="678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882"/>
              <w:gridCol w:w="2221"/>
              <w:gridCol w:w="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3651" w:type="dxa"/>
                  <w:gridSpan w:val="2"/>
                  <w:vAlign w:val="center"/>
                </w:tcPr>
                <w:p>
                  <w:pPr>
                    <w:spacing w:line="240" w:lineRule="exact"/>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管控要求</w:t>
                  </w:r>
                </w:p>
              </w:tc>
              <w:tc>
                <w:tcPr>
                  <w:tcW w:w="2221" w:type="dxa"/>
                  <w:vAlign w:val="center"/>
                </w:tcPr>
                <w:p>
                  <w:pPr>
                    <w:spacing w:line="240" w:lineRule="exact"/>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本项目</w:t>
                  </w:r>
                </w:p>
              </w:tc>
              <w:tc>
                <w:tcPr>
                  <w:tcW w:w="912" w:type="dxa"/>
                  <w:vAlign w:val="center"/>
                </w:tcPr>
                <w:p>
                  <w:pPr>
                    <w:spacing w:line="240" w:lineRule="exact"/>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769" w:type="dxa"/>
                  <w:vAlign w:val="center"/>
                </w:tcPr>
                <w:p>
                  <w:pPr>
                    <w:widowControl/>
                    <w:spacing w:line="24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空间布局约束</w:t>
                  </w:r>
                </w:p>
              </w:tc>
              <w:tc>
                <w:tcPr>
                  <w:tcW w:w="2882" w:type="dxa"/>
                  <w:vAlign w:val="center"/>
                </w:tcPr>
                <w:p>
                  <w:pPr>
                    <w:adjustRightInd w:val="0"/>
                    <w:snapToGrid w:val="0"/>
                    <w:spacing w:line="240" w:lineRule="exact"/>
                    <w:jc w:val="center"/>
                    <w:rPr>
                      <w:rFonts w:hint="eastAsia" w:ascii="宋体" w:hAnsi="宋体" w:cs="宋体"/>
                      <w:color w:val="auto"/>
                      <w:szCs w:val="21"/>
                      <w:highlight w:val="none"/>
                    </w:rPr>
                  </w:pPr>
                  <w:r>
                    <w:rPr>
                      <w:rFonts w:hint="eastAsia" w:ascii="宋体" w:hAnsi="宋体" w:cs="宋体"/>
                      <w:color w:val="auto"/>
                      <w:szCs w:val="21"/>
                      <w:highlight w:val="none"/>
                    </w:rPr>
                    <w:t>1.严禁在人口聚集区新建涉及化学品和危险废物排放的项目</w:t>
                  </w:r>
                  <w:r>
                    <w:rPr>
                      <w:rFonts w:hint="eastAsia" w:ascii="宋体" w:hAnsi="宋体" w:cs="宋体"/>
                      <w:color w:val="auto"/>
                      <w:kern w:val="0"/>
                      <w:szCs w:val="21"/>
                      <w:highlight w:val="none"/>
                    </w:rPr>
                    <w:t>，</w:t>
                  </w:r>
                  <w:r>
                    <w:rPr>
                      <w:rFonts w:hint="eastAsia" w:ascii="宋体" w:hAnsi="宋体" w:cs="宋体"/>
                      <w:color w:val="auto"/>
                      <w:szCs w:val="21"/>
                      <w:highlight w:val="none"/>
                    </w:rPr>
                    <w:t>城市建成区内现有污染较重的企业应有序搬迁改造或依法关闭。</w:t>
                  </w:r>
                </w:p>
                <w:p>
                  <w:pPr>
                    <w:adjustRightInd w:val="0"/>
                    <w:snapToGrid w:val="0"/>
                    <w:spacing w:line="240" w:lineRule="exact"/>
                    <w:jc w:val="center"/>
                    <w:rPr>
                      <w:rFonts w:hint="eastAsia" w:ascii="宋体" w:hAnsi="宋体" w:cs="宋体"/>
                      <w:color w:val="auto"/>
                      <w:szCs w:val="21"/>
                      <w:highlight w:val="none"/>
                    </w:rPr>
                  </w:pPr>
                  <w:r>
                    <w:rPr>
                      <w:rFonts w:hint="eastAsia" w:ascii="宋体" w:hAnsi="宋体" w:cs="宋体"/>
                      <w:color w:val="auto"/>
                      <w:szCs w:val="21"/>
                      <w:highlight w:val="none"/>
                    </w:rPr>
                    <w:t>2.严格控制包装印刷、工业涂装、制鞋等高VOCs排放的项目建设，相关新建项目必须进入工业园区。</w:t>
                  </w:r>
                </w:p>
              </w:tc>
              <w:tc>
                <w:tcPr>
                  <w:tcW w:w="2221" w:type="dxa"/>
                  <w:vAlign w:val="center"/>
                </w:tcPr>
                <w:p>
                  <w:pPr>
                    <w:adjustRightInd w:val="0"/>
                    <w:snapToGrid w:val="0"/>
                    <w:jc w:val="center"/>
                    <w:rPr>
                      <w:color w:val="auto"/>
                      <w:highlight w:val="none"/>
                    </w:rPr>
                  </w:pPr>
                  <w:r>
                    <w:rPr>
                      <w:rFonts w:hint="eastAsia"/>
                      <w:color w:val="auto"/>
                      <w:highlight w:val="none"/>
                    </w:rPr>
                    <w:t>项目为城市道路建设项目，不涉及化学品和危险废物排放，亦不涉及VOCs排放。</w:t>
                  </w:r>
                </w:p>
              </w:tc>
              <w:tc>
                <w:tcPr>
                  <w:tcW w:w="912" w:type="dxa"/>
                  <w:vAlign w:val="center"/>
                </w:tcPr>
                <w:p>
                  <w:pPr>
                    <w:adjustRightInd w:val="0"/>
                    <w:snapToGrid w:val="0"/>
                    <w:spacing w:line="240" w:lineRule="exact"/>
                    <w:jc w:val="center"/>
                    <w:rPr>
                      <w:rFonts w:hint="eastAsia" w:ascii="宋体" w:hAnsi="宋体" w:cs="宋体"/>
                      <w:color w:val="auto"/>
                      <w:szCs w:val="21"/>
                      <w:highlight w:val="none"/>
                    </w:rPr>
                  </w:pPr>
                  <w:r>
                    <w:rPr>
                      <w:rFonts w:hint="eastAsia" w:ascii="宋体" w:hAnsi="宋体" w:cs="宋体"/>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769" w:type="dxa"/>
                  <w:vAlign w:val="center"/>
                </w:tcPr>
                <w:p>
                  <w:pPr>
                    <w:widowControl/>
                    <w:spacing w:line="24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污染物排放管控</w:t>
                  </w:r>
                </w:p>
              </w:tc>
              <w:tc>
                <w:tcPr>
                  <w:tcW w:w="2882" w:type="dxa"/>
                  <w:vAlign w:val="center"/>
                </w:tcPr>
                <w:p>
                  <w:pPr>
                    <w:adjustRightInd w:val="0"/>
                    <w:snapToGrid w:val="0"/>
                    <w:spacing w:line="24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城市建成区的大气污染型工业企业的新增大气污染物（二氧化硫、氮氧化物）排放量，按不低于1.5倍调剂。</w:t>
                  </w:r>
                </w:p>
              </w:tc>
              <w:tc>
                <w:tcPr>
                  <w:tcW w:w="2221" w:type="dxa"/>
                  <w:vAlign w:val="center"/>
                </w:tcPr>
                <w:p>
                  <w:pPr>
                    <w:adjustRightInd w:val="0"/>
                    <w:snapToGrid w:val="0"/>
                    <w:jc w:val="center"/>
                    <w:rPr>
                      <w:rFonts w:hint="eastAsia" w:ascii="宋体" w:hAnsi="宋体" w:cs="宋体"/>
                      <w:color w:val="auto"/>
                      <w:kern w:val="0"/>
                      <w:szCs w:val="21"/>
                      <w:highlight w:val="none"/>
                    </w:rPr>
                  </w:pPr>
                  <w:r>
                    <w:rPr>
                      <w:rFonts w:hint="eastAsia"/>
                      <w:color w:val="auto"/>
                      <w:highlight w:val="none"/>
                    </w:rPr>
                    <w:t>项目为城市道路建设项目，不属于</w:t>
                  </w:r>
                  <w:r>
                    <w:rPr>
                      <w:rFonts w:hint="eastAsia" w:ascii="宋体" w:hAnsi="宋体" w:cs="宋体"/>
                      <w:color w:val="auto"/>
                      <w:kern w:val="0"/>
                      <w:szCs w:val="21"/>
                      <w:highlight w:val="none"/>
                    </w:rPr>
                    <w:t>大气污染型工业企业。</w:t>
                  </w:r>
                </w:p>
              </w:tc>
              <w:tc>
                <w:tcPr>
                  <w:tcW w:w="912" w:type="dxa"/>
                  <w:vAlign w:val="center"/>
                </w:tcPr>
                <w:p>
                  <w:pPr>
                    <w:adjustRightInd w:val="0"/>
                    <w:snapToGrid w:val="0"/>
                    <w:spacing w:line="240" w:lineRule="exact"/>
                    <w:jc w:val="center"/>
                    <w:rPr>
                      <w:rFonts w:hint="eastAsia" w:ascii="宋体" w:hAnsi="宋体" w:cs="宋体"/>
                      <w:color w:val="auto"/>
                      <w:kern w:val="0"/>
                      <w:szCs w:val="21"/>
                      <w:highlight w:val="none"/>
                    </w:rPr>
                  </w:pPr>
                  <w:r>
                    <w:rPr>
                      <w:rFonts w:hint="eastAsia" w:ascii="宋体" w:hAnsi="宋体" w:cs="宋体"/>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69" w:type="dxa"/>
                  <w:vAlign w:val="center"/>
                </w:tcPr>
                <w:p>
                  <w:pPr>
                    <w:widowControl/>
                    <w:spacing w:line="240" w:lineRule="exact"/>
                    <w:jc w:val="center"/>
                    <w:rPr>
                      <w:rFonts w:hint="eastAsia" w:ascii="宋体" w:hAnsi="宋体" w:cs="宋体"/>
                      <w:color w:val="auto"/>
                      <w:kern w:val="0"/>
                      <w:szCs w:val="21"/>
                      <w:highlight w:val="none"/>
                    </w:rPr>
                  </w:pPr>
                  <w:r>
                    <w:rPr>
                      <w:rFonts w:hint="eastAsia" w:ascii="宋体" w:hAnsi="宋体" w:cs="宋体"/>
                      <w:color w:val="auto"/>
                      <w:szCs w:val="21"/>
                      <w:highlight w:val="none"/>
                    </w:rPr>
                    <w:t>资源开发效率要求</w:t>
                  </w:r>
                </w:p>
              </w:tc>
              <w:tc>
                <w:tcPr>
                  <w:tcW w:w="2882" w:type="dxa"/>
                  <w:vAlign w:val="center"/>
                </w:tcPr>
                <w:p>
                  <w:pPr>
                    <w:adjustRightInd w:val="0"/>
                    <w:snapToGrid w:val="0"/>
                    <w:spacing w:line="24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高污染燃料禁燃区内禁止燃用高污染燃料，禁止新建、扩建燃用高污染燃料的设施。已建的燃用高污染燃料设施，限期改用电、天然气、液化石油气等清洁能源。</w:t>
                  </w:r>
                </w:p>
              </w:tc>
              <w:tc>
                <w:tcPr>
                  <w:tcW w:w="2221" w:type="dxa"/>
                  <w:vAlign w:val="center"/>
                </w:tcPr>
                <w:p>
                  <w:pPr>
                    <w:adjustRightInd w:val="0"/>
                    <w:snapToGrid w:val="0"/>
                    <w:jc w:val="center"/>
                    <w:rPr>
                      <w:rFonts w:hint="eastAsia" w:ascii="宋体" w:hAnsi="宋体" w:cs="宋体"/>
                      <w:color w:val="auto"/>
                      <w:kern w:val="0"/>
                      <w:szCs w:val="21"/>
                      <w:highlight w:val="none"/>
                    </w:rPr>
                  </w:pPr>
                  <w:r>
                    <w:rPr>
                      <w:rFonts w:hint="eastAsia"/>
                      <w:color w:val="auto"/>
                      <w:highlight w:val="none"/>
                    </w:rPr>
                    <w:t>项目为城市道路建设项目，不使用</w:t>
                  </w:r>
                  <w:r>
                    <w:rPr>
                      <w:rFonts w:hint="eastAsia" w:ascii="宋体" w:hAnsi="宋体" w:cs="宋体"/>
                      <w:color w:val="auto"/>
                      <w:kern w:val="0"/>
                      <w:szCs w:val="21"/>
                      <w:highlight w:val="none"/>
                    </w:rPr>
                    <w:t>高污染燃料。</w:t>
                  </w:r>
                </w:p>
              </w:tc>
              <w:tc>
                <w:tcPr>
                  <w:tcW w:w="912" w:type="dxa"/>
                  <w:vAlign w:val="center"/>
                </w:tcPr>
                <w:p>
                  <w:pPr>
                    <w:adjustRightInd w:val="0"/>
                    <w:snapToGrid w:val="0"/>
                    <w:spacing w:line="240" w:lineRule="exact"/>
                    <w:jc w:val="center"/>
                    <w:rPr>
                      <w:rFonts w:hint="eastAsia" w:ascii="宋体" w:hAnsi="宋体" w:cs="宋体"/>
                      <w:color w:val="auto"/>
                      <w:kern w:val="0"/>
                      <w:szCs w:val="21"/>
                      <w:highlight w:val="none"/>
                    </w:rPr>
                  </w:pPr>
                  <w:r>
                    <w:rPr>
                      <w:rFonts w:hint="eastAsia" w:ascii="宋体" w:hAnsi="宋体" w:cs="宋体"/>
                      <w:color w:val="auto"/>
                      <w:szCs w:val="21"/>
                      <w:highlight w:val="none"/>
                    </w:rPr>
                    <w:t>符合</w:t>
                  </w:r>
                </w:p>
              </w:tc>
            </w:tr>
          </w:tbl>
          <w:p>
            <w:pPr>
              <w:adjustRightInd w:val="0"/>
              <w:snapToGrid w:val="0"/>
              <w:spacing w:line="360" w:lineRule="auto"/>
              <w:ind w:firstLine="480"/>
              <w:rPr>
                <w:rFonts w:hint="eastAsia"/>
                <w:color w:val="auto"/>
                <w:sz w:val="24"/>
                <w:highlight w:val="none"/>
              </w:rPr>
            </w:pPr>
            <w:r>
              <w:rPr>
                <w:rFonts w:hint="eastAsia"/>
                <w:color w:val="auto"/>
                <w:sz w:val="24"/>
                <w:highlight w:val="none"/>
              </w:rPr>
              <w:t>根据上述分析，本项目与《福州市人民政府关于实施“三线一单”生态分区管控的通知》(榕政综〔2021〕178号)中的相关规定是符合的。</w:t>
            </w:r>
          </w:p>
          <w:p>
            <w:pPr>
              <w:adjustRightInd w:val="0"/>
              <w:snapToGrid w:val="0"/>
              <w:spacing w:line="360" w:lineRule="auto"/>
              <w:ind w:firstLine="480"/>
              <w:rPr>
                <w:color w:val="auto"/>
                <w:sz w:val="24"/>
                <w:highlight w:val="none"/>
              </w:rPr>
            </w:pPr>
            <w:r>
              <w:rPr>
                <w:color w:val="auto"/>
                <w:sz w:val="24"/>
                <w:highlight w:val="none"/>
              </w:rPr>
              <w:t>综上所述，项目建设符合“三线一单"管控要求。</w:t>
            </w:r>
          </w:p>
          <w:p>
            <w:pPr>
              <w:pStyle w:val="77"/>
              <w:ind w:firstLine="0" w:firstLineChars="0"/>
              <w:rPr>
                <w:b/>
                <w:bCs/>
                <w:color w:val="auto"/>
                <w:highlight w:val="none"/>
              </w:rPr>
            </w:pPr>
            <w:bookmarkStart w:id="4" w:name="_Toc13009"/>
            <w:r>
              <w:rPr>
                <w:rFonts w:hint="eastAsia"/>
                <w:b/>
                <w:bCs/>
                <w:color w:val="auto"/>
                <w:highlight w:val="none"/>
              </w:rPr>
              <w:t>3、</w:t>
            </w:r>
            <w:bookmarkEnd w:id="4"/>
            <w:r>
              <w:rPr>
                <w:rFonts w:hint="eastAsia"/>
                <w:b/>
                <w:bCs/>
                <w:color w:val="auto"/>
                <w:highlight w:val="none"/>
              </w:rPr>
              <w:t>与相关生态环境保护法律法规政策、生态环境保护规划的符合性</w:t>
            </w:r>
          </w:p>
          <w:p>
            <w:pPr>
              <w:pStyle w:val="77"/>
              <w:ind w:firstLine="480"/>
              <w:rPr>
                <w:color w:val="FF0000"/>
                <w:highlight w:val="none"/>
              </w:rPr>
            </w:pPr>
            <w:r>
              <w:rPr>
                <w:rFonts w:hint="eastAsia"/>
                <w:color w:val="auto"/>
                <w:highlight w:val="none"/>
              </w:rPr>
              <w:t>《中华人民共和国文物保护法》（2017年修订）规定：“文物保护单位的保护范围内不得进行其他建设工程或者爆破、钻探、挖掘等作业。但是，因特殊情况需要在文物保护单位的保护范围内进行其他建设工程或者爆破、钻探、挖掘等作业的，必须保证文物保护单位的安全，并经核定公布该文物保护单位的人民政府批准，在批准前应当征得上一级人民政府文物行政部门同意；在全国重点文物保护单位的保护范围内进行其他建设工程或者爆破、钻探、挖掘等作业的，必须经省、自治区、直辖市人民政府批准，在批准前应当征得国务院文物行政部门同意。”福州市象山隧道拓宽改造工程红线距离市级文物保护单位伊斯兰圣墓约57m，位于市级文物保护单位伊斯兰圣墓保护范围内，位置关系详见附图</w:t>
            </w:r>
            <w:r>
              <w:rPr>
                <w:rFonts w:hint="eastAsia"/>
                <w:color w:val="auto"/>
                <w:highlight w:val="none"/>
                <w:lang w:val="en-US" w:eastAsia="zh-CN"/>
              </w:rPr>
              <w:t>10</w:t>
            </w:r>
            <w:r>
              <w:rPr>
                <w:rFonts w:hint="eastAsia"/>
                <w:color w:val="auto"/>
                <w:highlight w:val="none"/>
              </w:rPr>
              <w:t>，保护范围：整座井边亭山，凡回教徒墓地均属之，此后限制非回教徒在此营葬。建设控制地带暂未公布（附图</w:t>
            </w:r>
            <w:r>
              <w:rPr>
                <w:rFonts w:hint="eastAsia"/>
                <w:color w:val="auto"/>
                <w:highlight w:val="none"/>
                <w:lang w:val="en-US" w:eastAsia="zh-CN"/>
              </w:rPr>
              <w:t>10</w:t>
            </w:r>
            <w:r>
              <w:rPr>
                <w:rFonts w:hint="eastAsia"/>
                <w:color w:val="auto"/>
                <w:highlight w:val="none"/>
              </w:rPr>
              <w:t>所示为保护范围外15米的暂定建设控制地带）。本次拓宽改造工程小部分位于伊斯兰圣墓文物保护单位的保护范围内，未进行爆破、钻探等作业，未建设污染文物保护单位的设施，不改变文物周边环境，未进行可能影响文物保护单位安全及其环境的活动</w:t>
            </w:r>
            <w:r>
              <w:rPr>
                <w:rFonts w:hint="eastAsia"/>
                <w:color w:val="auto"/>
                <w:highlight w:val="none"/>
                <w:lang w:eastAsia="zh-CN"/>
              </w:rPr>
              <w:t>，</w:t>
            </w:r>
            <w:r>
              <w:rPr>
                <w:rFonts w:hint="eastAsia"/>
                <w:color w:val="auto"/>
                <w:highlight w:val="none"/>
              </w:rPr>
              <w:t>但是在伊斯兰圣墓文物保护单位</w:t>
            </w:r>
            <w:r>
              <w:rPr>
                <w:rFonts w:hint="eastAsia"/>
                <w:color w:val="auto"/>
                <w:highlight w:val="none"/>
                <w:lang w:eastAsia="zh-CN"/>
              </w:rPr>
              <w:t>保护范围</w:t>
            </w:r>
            <w:r>
              <w:rPr>
                <w:rFonts w:hint="eastAsia"/>
                <w:color w:val="auto"/>
                <w:highlight w:val="none"/>
              </w:rPr>
              <w:t>内进行</w:t>
            </w:r>
            <w:r>
              <w:rPr>
                <w:rFonts w:hint="eastAsia"/>
                <w:color w:val="auto"/>
                <w:highlight w:val="none"/>
                <w:lang w:eastAsia="zh-CN"/>
              </w:rPr>
              <w:t>了</w:t>
            </w:r>
            <w:r>
              <w:rPr>
                <w:rFonts w:hint="eastAsia"/>
                <w:color w:val="auto"/>
                <w:highlight w:val="none"/>
              </w:rPr>
              <w:t>挖掘作业</w:t>
            </w:r>
            <w:r>
              <w:rPr>
                <w:rFonts w:hint="eastAsia"/>
                <w:color w:val="auto"/>
                <w:highlight w:val="none"/>
                <w:lang w:eastAsia="zh-CN"/>
              </w:rPr>
              <w:t>。</w:t>
            </w:r>
            <w:r>
              <w:rPr>
                <w:rFonts w:hint="eastAsia"/>
                <w:color w:val="auto"/>
                <w:highlight w:val="none"/>
              </w:rPr>
              <w:t>项目于2022年6月20日取得了</w:t>
            </w:r>
            <w:r>
              <w:rPr>
                <w:rFonts w:hint="eastAsia"/>
                <w:color w:val="FF0000"/>
                <w:highlight w:val="none"/>
              </w:rPr>
              <w:t>福州市文物局《关于福州市象山隧道拓宽改造工程涉及文物保护的函》（榕文物保[2022]124号），同意项目开发建设。</w:t>
            </w:r>
          </w:p>
          <w:p>
            <w:pPr>
              <w:pStyle w:val="77"/>
              <w:ind w:firstLine="480"/>
              <w:rPr>
                <w:color w:val="auto"/>
                <w:highlight w:val="none"/>
              </w:rPr>
            </w:pPr>
            <w:r>
              <w:rPr>
                <w:color w:val="auto"/>
                <w:highlight w:val="none"/>
              </w:rPr>
              <w:t>因此，</w:t>
            </w:r>
            <w:r>
              <w:rPr>
                <w:rFonts w:hint="eastAsia"/>
                <w:color w:val="auto"/>
                <w:highlight w:val="none"/>
              </w:rPr>
              <w:t>项目的建设符合《中华人民共和国文物保护法》的相关规定。</w:t>
            </w:r>
          </w:p>
          <w:p>
            <w:pPr>
              <w:adjustRightInd w:val="0"/>
              <w:snapToGrid w:val="0"/>
              <w:spacing w:line="360" w:lineRule="auto"/>
              <w:ind w:firstLine="480" w:firstLineChars="200"/>
              <w:rPr>
                <w:rFonts w:hint="eastAsia" w:ascii="宋体" w:hAnsi="宋体" w:cs="宋体"/>
                <w:color w:val="auto"/>
                <w:sz w:val="24"/>
                <w:highlight w:val="none"/>
              </w:rPr>
            </w:pPr>
          </w:p>
          <w:p>
            <w:pPr>
              <w:adjustRightInd w:val="0"/>
              <w:snapToGrid w:val="0"/>
              <w:spacing w:line="360" w:lineRule="auto"/>
              <w:ind w:firstLine="480" w:firstLineChars="200"/>
              <w:rPr>
                <w:rFonts w:hint="eastAsia" w:ascii="宋体" w:hAnsi="宋体" w:cs="宋体"/>
                <w:color w:val="auto"/>
                <w:sz w:val="24"/>
                <w:highlight w:val="none"/>
              </w:rPr>
            </w:pPr>
          </w:p>
        </w:tc>
      </w:tr>
    </w:tbl>
    <w:p>
      <w:pPr>
        <w:spacing w:line="360" w:lineRule="auto"/>
        <w:rPr>
          <w:rFonts w:eastAsia="黑体"/>
          <w:color w:val="auto"/>
          <w:sz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jc w:val="center"/>
        <w:outlineLvl w:val="0"/>
        <w:rPr>
          <w:rFonts w:ascii="黑体" w:hAnsi="黑体" w:eastAsia="黑体"/>
          <w:snapToGrid w:val="0"/>
          <w:color w:val="auto"/>
          <w:sz w:val="30"/>
          <w:szCs w:val="30"/>
          <w:highlight w:val="none"/>
        </w:rPr>
      </w:pPr>
      <w:bookmarkStart w:id="5" w:name="_Toc12586"/>
      <w:r>
        <w:rPr>
          <w:rFonts w:hint="eastAsia" w:ascii="黑体" w:hAnsi="黑体" w:eastAsia="黑体"/>
          <w:snapToGrid w:val="0"/>
          <w:color w:val="auto"/>
          <w:sz w:val="30"/>
          <w:szCs w:val="30"/>
          <w:highlight w:val="none"/>
        </w:rPr>
        <w:t>二、建设内容</w:t>
      </w:r>
      <w:bookmarkEnd w:id="5"/>
    </w:p>
    <w:tbl>
      <w:tblPr>
        <w:tblStyle w:val="23"/>
        <w:tblW w:w="90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3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jc w:val="center"/>
        </w:trPr>
        <w:tc>
          <w:tcPr>
            <w:tcW w:w="710" w:type="dxa"/>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项目由来</w:t>
            </w:r>
          </w:p>
        </w:tc>
        <w:tc>
          <w:tcPr>
            <w:tcW w:w="8380" w:type="dxa"/>
            <w:vAlign w:val="center"/>
          </w:tcPr>
          <w:p>
            <w:pPr>
              <w:pStyle w:val="67"/>
              <w:rPr>
                <w:rFonts w:hint="eastAsia" w:ascii="宋体" w:hAnsi="宋体"/>
                <w:color w:val="auto"/>
                <w:szCs w:val="21"/>
                <w:highlight w:val="none"/>
              </w:rPr>
            </w:pPr>
            <w:r>
              <w:rPr>
                <w:rFonts w:cs="Times New Roman"/>
                <w:color w:val="auto"/>
                <w:szCs w:val="21"/>
                <w:highlight w:val="none"/>
              </w:rPr>
              <w:t>本项目改造主要包括象山隧道改扩建、二环西路、两条匝道。其中，象山隧道长度200米（单洞长度），采用拆除既有隧道，新建双层隧道；二环西路（南起北梦山路与西二环的交叉口，经象山隧道，止于梅峰支路）全长约0.96km；改建九00医院调头高架匝道桥，桥宽7.5米，总长340米；新建二环拼宽高架下匝道桥，桥宽6.5米，总长120米。工程建设内容主</w:t>
            </w:r>
            <w:r>
              <w:rPr>
                <w:rFonts w:hint="eastAsia" w:ascii="宋体" w:hAnsi="宋体"/>
                <w:color w:val="auto"/>
                <w:szCs w:val="21"/>
                <w:highlight w:val="none"/>
              </w:rPr>
              <w:t>要包括道路、桥梁、隧道、电气、给排水、景观绿化及交通设施等工程。</w:t>
            </w:r>
          </w:p>
          <w:p>
            <w:pPr>
              <w:pStyle w:val="67"/>
              <w:rPr>
                <w:rFonts w:hint="eastAsia" w:cs="Times New Roman"/>
                <w:color w:val="auto"/>
                <w:highlight w:val="none"/>
              </w:rPr>
            </w:pPr>
            <w:r>
              <w:rPr>
                <w:rFonts w:hint="eastAsia" w:cs="Times New Roman"/>
                <w:color w:val="auto"/>
                <w:highlight w:val="none"/>
              </w:rPr>
              <w:t>根据《中华人民共和国环境影响评价法》、《建设项目环境保护管理条例》、《建设项目环境影响评价分类管理名录》（2021年版）等有关规定（详见表2-1），本项目为城市道路</w:t>
            </w:r>
            <w:r>
              <w:rPr>
                <w:rFonts w:hint="eastAsia" w:cs="Times New Roman"/>
                <w:color w:val="auto"/>
                <w:highlight w:val="none"/>
                <w:lang w:eastAsia="zh-CN"/>
              </w:rPr>
              <w:t>改扩建</w:t>
            </w:r>
            <w:r>
              <w:rPr>
                <w:rFonts w:hint="eastAsia" w:cs="Times New Roman"/>
                <w:color w:val="auto"/>
                <w:highlight w:val="none"/>
              </w:rPr>
              <w:t>，</w:t>
            </w:r>
            <w:r>
              <w:rPr>
                <w:rFonts w:hint="eastAsia" w:cs="Times New Roman"/>
                <w:color w:val="auto"/>
                <w:highlight w:val="none"/>
                <w:lang w:eastAsia="zh-CN"/>
              </w:rPr>
              <w:t>改扩建</w:t>
            </w:r>
            <w:r>
              <w:rPr>
                <w:rFonts w:hint="eastAsia" w:cs="Times New Roman"/>
                <w:color w:val="auto"/>
                <w:highlight w:val="none"/>
              </w:rPr>
              <w:t>内容包括主干路、城市桥梁、隧道，道路等级为城市主干路，</w:t>
            </w:r>
            <w:r>
              <w:rPr>
                <w:rFonts w:cs="Times New Roman"/>
                <w:color w:val="auto"/>
                <w:highlight w:val="none"/>
              </w:rPr>
              <w:t>应</w:t>
            </w:r>
            <w:r>
              <w:rPr>
                <w:rFonts w:hAnsi="宋体"/>
                <w:color w:val="auto"/>
                <w:highlight w:val="none"/>
              </w:rPr>
              <w:t>编制环境影响报告表</w:t>
            </w:r>
            <w:r>
              <w:rPr>
                <w:rFonts w:hint="eastAsia" w:cs="Times New Roman"/>
                <w:color w:val="auto"/>
                <w:highlight w:val="none"/>
              </w:rPr>
              <w:t>。</w:t>
            </w:r>
          </w:p>
          <w:p>
            <w:pPr>
              <w:pStyle w:val="67"/>
              <w:ind w:firstLine="472"/>
              <w:rPr>
                <w:rFonts w:hAnsi="宋体"/>
                <w:bCs/>
                <w:color w:val="auto"/>
                <w:spacing w:val="-2"/>
                <w:highlight w:val="none"/>
              </w:rPr>
            </w:pPr>
            <w:r>
              <w:rPr>
                <w:rFonts w:hAnsi="宋体"/>
                <w:bCs/>
                <w:color w:val="auto"/>
                <w:spacing w:val="-2"/>
                <w:highlight w:val="none"/>
              </w:rPr>
              <w:t>建设单位委托</w:t>
            </w:r>
            <w:r>
              <w:rPr>
                <w:rFonts w:hint="eastAsia" w:hAnsi="宋体"/>
                <w:bCs/>
                <w:color w:val="auto"/>
                <w:spacing w:val="-2"/>
                <w:highlight w:val="none"/>
              </w:rPr>
              <w:t>本单位</w:t>
            </w:r>
            <w:r>
              <w:rPr>
                <w:rFonts w:hAnsi="宋体"/>
                <w:bCs/>
                <w:color w:val="auto"/>
                <w:spacing w:val="-2"/>
                <w:highlight w:val="none"/>
              </w:rPr>
              <w:t>编制该项目的环境影响评价文件</w:t>
            </w:r>
            <w:r>
              <w:rPr>
                <w:rFonts w:hint="eastAsia" w:hAnsi="宋体"/>
                <w:bCs/>
                <w:color w:val="auto"/>
                <w:spacing w:val="-2"/>
                <w:highlight w:val="none"/>
              </w:rPr>
              <w:t>，</w:t>
            </w:r>
            <w:r>
              <w:rPr>
                <w:rFonts w:hAnsi="宋体"/>
                <w:bCs/>
                <w:color w:val="auto"/>
                <w:spacing w:val="-2"/>
                <w:highlight w:val="none"/>
              </w:rPr>
              <w:t>本环评单位接受委托后，依照相关规定编制成报告表，供建设单位报环保主管部门审批并</w:t>
            </w:r>
            <w:r>
              <w:rPr>
                <w:rFonts w:hAnsi="宋体"/>
                <w:color w:val="auto"/>
                <w:spacing w:val="-2"/>
                <w:highlight w:val="none"/>
              </w:rPr>
              <w:t>作为污染防治建设的依据</w:t>
            </w:r>
            <w:r>
              <w:rPr>
                <w:rFonts w:hAnsi="宋体"/>
                <w:bCs/>
                <w:color w:val="auto"/>
                <w:spacing w:val="-2"/>
                <w:highlight w:val="none"/>
              </w:rPr>
              <w:t>。</w:t>
            </w:r>
          </w:p>
          <w:p>
            <w:pPr>
              <w:pStyle w:val="44"/>
              <w:spacing w:before="120" w:beforeLines="50"/>
              <w:ind w:firstLine="480"/>
              <w:rPr>
                <w:color w:val="auto"/>
                <w:highlight w:val="none"/>
              </w:rPr>
            </w:pPr>
            <w:r>
              <w:rPr>
                <w:rFonts w:eastAsia="宋体"/>
                <w:b/>
                <w:bCs/>
                <w:color w:val="auto"/>
                <w:kern w:val="2"/>
                <w:szCs w:val="24"/>
                <w:highlight w:val="none"/>
                <w:lang w:val="zh-CN"/>
              </w:rPr>
              <w:t>表2-1</w:t>
            </w:r>
            <w:r>
              <w:rPr>
                <w:rFonts w:hint="eastAsia" w:eastAsia="宋体"/>
                <w:b/>
                <w:bCs/>
                <w:color w:val="auto"/>
                <w:kern w:val="2"/>
                <w:szCs w:val="24"/>
                <w:highlight w:val="none"/>
              </w:rPr>
              <w:t xml:space="preserve">  </w:t>
            </w:r>
            <w:r>
              <w:rPr>
                <w:rFonts w:eastAsia="宋体"/>
                <w:b/>
                <w:bCs/>
                <w:color w:val="auto"/>
                <w:kern w:val="2"/>
                <w:szCs w:val="24"/>
                <w:highlight w:val="none"/>
                <w:lang w:val="zh-CN"/>
              </w:rPr>
              <w:t>建设项目环境影响评价分类管理名录</w:t>
            </w:r>
          </w:p>
          <w:tbl>
            <w:tblPr>
              <w:tblStyle w:val="23"/>
              <w:tblW w:w="81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109"/>
              <w:gridCol w:w="1298"/>
              <w:gridCol w:w="2082"/>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31" w:type="dxa"/>
                  <w:gridSpan w:val="2"/>
                  <w:tcBorders>
                    <w:top w:val="single" w:color="auto" w:sz="12" w:space="0"/>
                    <w:left w:val="nil"/>
                    <w:bottom w:val="single" w:color="auto" w:sz="8" w:space="0"/>
                    <w:right w:val="single" w:color="auto" w:sz="8" w:space="0"/>
                    <w:tl2br w:val="single" w:color="auto" w:sz="8" w:space="0"/>
                  </w:tcBorders>
                  <w:shd w:val="clear" w:color="auto" w:fill="auto"/>
                  <w:vAlign w:val="center"/>
                </w:tcPr>
                <w:p>
                  <w:pPr>
                    <w:pStyle w:val="68"/>
                    <w:spacing w:line="240" w:lineRule="auto"/>
                    <w:jc w:val="right"/>
                    <w:rPr>
                      <w:color w:val="auto"/>
                      <w:szCs w:val="21"/>
                      <w:highlight w:val="none"/>
                    </w:rPr>
                  </w:pPr>
                  <w:r>
                    <w:rPr>
                      <w:color w:val="auto"/>
                      <w:szCs w:val="21"/>
                      <w:highlight w:val="none"/>
                    </w:rPr>
                    <w:t>环评类别</w:t>
                  </w:r>
                </w:p>
                <w:p>
                  <w:pPr>
                    <w:pStyle w:val="68"/>
                    <w:spacing w:line="240" w:lineRule="auto"/>
                    <w:jc w:val="both"/>
                    <w:rPr>
                      <w:rFonts w:hint="eastAsia"/>
                      <w:color w:val="auto"/>
                      <w:szCs w:val="21"/>
                      <w:highlight w:val="none"/>
                    </w:rPr>
                  </w:pPr>
                  <w:r>
                    <w:rPr>
                      <w:color w:val="auto"/>
                      <w:szCs w:val="21"/>
                      <w:highlight w:val="none"/>
                    </w:rPr>
                    <w:t>项目类别</w:t>
                  </w:r>
                </w:p>
              </w:tc>
              <w:tc>
                <w:tcPr>
                  <w:tcW w:w="1298" w:type="dxa"/>
                  <w:tcBorders>
                    <w:top w:val="single" w:color="auto" w:sz="12" w:space="0"/>
                    <w:left w:val="single" w:color="auto" w:sz="8" w:space="0"/>
                    <w:bottom w:val="single" w:color="auto" w:sz="8" w:space="0"/>
                    <w:right w:val="single" w:color="auto" w:sz="8" w:space="0"/>
                  </w:tcBorders>
                  <w:shd w:val="clear" w:color="auto" w:fill="auto"/>
                  <w:vAlign w:val="center"/>
                </w:tcPr>
                <w:p>
                  <w:pPr>
                    <w:pStyle w:val="68"/>
                    <w:spacing w:line="240" w:lineRule="auto"/>
                    <w:rPr>
                      <w:color w:val="auto"/>
                      <w:szCs w:val="21"/>
                      <w:highlight w:val="none"/>
                    </w:rPr>
                  </w:pPr>
                  <w:r>
                    <w:rPr>
                      <w:color w:val="auto"/>
                      <w:szCs w:val="21"/>
                      <w:highlight w:val="none"/>
                    </w:rPr>
                    <w:t>报告书</w:t>
                  </w:r>
                </w:p>
              </w:tc>
              <w:tc>
                <w:tcPr>
                  <w:tcW w:w="2082" w:type="dxa"/>
                  <w:tcBorders>
                    <w:top w:val="single" w:color="auto" w:sz="12" w:space="0"/>
                    <w:left w:val="single" w:color="auto" w:sz="8" w:space="0"/>
                    <w:bottom w:val="single" w:color="auto" w:sz="8" w:space="0"/>
                    <w:right w:val="single" w:color="auto" w:sz="8" w:space="0"/>
                  </w:tcBorders>
                  <w:shd w:val="clear" w:color="auto" w:fill="CCCCCC"/>
                  <w:vAlign w:val="center"/>
                </w:tcPr>
                <w:p>
                  <w:pPr>
                    <w:pStyle w:val="68"/>
                    <w:spacing w:line="240" w:lineRule="auto"/>
                    <w:rPr>
                      <w:color w:val="auto"/>
                      <w:szCs w:val="21"/>
                      <w:highlight w:val="none"/>
                    </w:rPr>
                  </w:pPr>
                  <w:r>
                    <w:rPr>
                      <w:color w:val="auto"/>
                      <w:szCs w:val="21"/>
                      <w:highlight w:val="none"/>
                    </w:rPr>
                    <w:t>报告表</w:t>
                  </w:r>
                </w:p>
              </w:tc>
              <w:tc>
                <w:tcPr>
                  <w:tcW w:w="1940" w:type="dxa"/>
                  <w:tcBorders>
                    <w:top w:val="single" w:color="auto" w:sz="12" w:space="0"/>
                    <w:left w:val="single" w:color="auto" w:sz="8" w:space="0"/>
                    <w:bottom w:val="single" w:color="auto" w:sz="8" w:space="0"/>
                    <w:right w:val="nil"/>
                  </w:tcBorders>
                  <w:vAlign w:val="center"/>
                </w:tcPr>
                <w:p>
                  <w:pPr>
                    <w:pStyle w:val="68"/>
                    <w:spacing w:line="240" w:lineRule="auto"/>
                    <w:rPr>
                      <w:color w:val="auto"/>
                      <w:szCs w:val="21"/>
                      <w:highlight w:val="none"/>
                    </w:rPr>
                  </w:pPr>
                  <w:r>
                    <w:rPr>
                      <w:color w:val="auto"/>
                      <w:szCs w:val="21"/>
                      <w:highlight w:val="none"/>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51" w:type="dxa"/>
                  <w:gridSpan w:val="5"/>
                  <w:tcBorders>
                    <w:top w:val="single" w:color="auto" w:sz="8" w:space="0"/>
                    <w:left w:val="nil"/>
                    <w:bottom w:val="single" w:color="auto" w:sz="8" w:space="0"/>
                    <w:right w:val="nil"/>
                  </w:tcBorders>
                  <w:vAlign w:val="center"/>
                </w:tcPr>
                <w:p>
                  <w:pPr>
                    <w:pStyle w:val="68"/>
                    <w:spacing w:line="240" w:lineRule="auto"/>
                    <w:rPr>
                      <w:color w:val="auto"/>
                      <w:szCs w:val="21"/>
                      <w:highlight w:val="none"/>
                    </w:rPr>
                  </w:pPr>
                  <w:r>
                    <w:rPr>
                      <w:rFonts w:hint="eastAsia" w:cs="Times New Roman"/>
                      <w:color w:val="auto"/>
                      <w:kern w:val="0"/>
                      <w:szCs w:val="21"/>
                      <w:highlight w:val="none"/>
                    </w:rPr>
                    <w:t>五十二、交通运输业、管道运输业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2" w:type="dxa"/>
                  <w:tcBorders>
                    <w:top w:val="single" w:color="auto" w:sz="8" w:space="0"/>
                    <w:left w:val="nil"/>
                    <w:bottom w:val="single" w:color="auto" w:sz="12" w:space="0"/>
                    <w:right w:val="single" w:color="auto" w:sz="4" w:space="0"/>
                  </w:tcBorders>
                  <w:shd w:val="clear" w:color="auto" w:fill="auto"/>
                  <w:vAlign w:val="center"/>
                </w:tcPr>
                <w:p>
                  <w:pPr>
                    <w:pStyle w:val="68"/>
                    <w:spacing w:line="240" w:lineRule="auto"/>
                    <w:jc w:val="both"/>
                    <w:rPr>
                      <w:rFonts w:cs="Times New Roman"/>
                      <w:color w:val="auto"/>
                      <w:szCs w:val="21"/>
                      <w:highlight w:val="none"/>
                    </w:rPr>
                  </w:pPr>
                  <w:r>
                    <w:rPr>
                      <w:rFonts w:hint="eastAsia" w:cs="Times New Roman"/>
                      <w:color w:val="auto"/>
                      <w:szCs w:val="21"/>
                      <w:highlight w:val="none"/>
                    </w:rPr>
                    <w:t>131</w:t>
                  </w:r>
                </w:p>
              </w:tc>
              <w:tc>
                <w:tcPr>
                  <w:tcW w:w="2109" w:type="dxa"/>
                  <w:tcBorders>
                    <w:top w:val="single" w:color="auto" w:sz="8" w:space="0"/>
                    <w:left w:val="single" w:color="auto" w:sz="4" w:space="0"/>
                    <w:bottom w:val="single" w:color="auto" w:sz="12" w:space="0"/>
                    <w:right w:val="single" w:color="auto" w:sz="8" w:space="0"/>
                  </w:tcBorders>
                  <w:shd w:val="clear" w:color="auto" w:fill="auto"/>
                  <w:vAlign w:val="center"/>
                </w:tcPr>
                <w:p>
                  <w:pPr>
                    <w:pStyle w:val="68"/>
                    <w:spacing w:line="240" w:lineRule="auto"/>
                    <w:jc w:val="both"/>
                    <w:rPr>
                      <w:rFonts w:hint="eastAsia" w:cs="Times New Roman"/>
                      <w:color w:val="auto"/>
                      <w:szCs w:val="21"/>
                      <w:highlight w:val="none"/>
                    </w:rPr>
                  </w:pPr>
                  <w:r>
                    <w:rPr>
                      <w:rFonts w:hint="eastAsia" w:hAnsi="宋体" w:cs="Times New Roman"/>
                      <w:color w:val="auto"/>
                      <w:kern w:val="0"/>
                      <w:szCs w:val="21"/>
                      <w:highlight w:val="none"/>
                    </w:rPr>
                    <w:t>城市道路（不含维护；不含支路、人行天桥、人行地道）</w:t>
                  </w:r>
                </w:p>
              </w:tc>
              <w:tc>
                <w:tcPr>
                  <w:tcW w:w="1298" w:type="dxa"/>
                  <w:tcBorders>
                    <w:top w:val="single" w:color="auto" w:sz="8" w:space="0"/>
                    <w:left w:val="single" w:color="auto" w:sz="8" w:space="0"/>
                    <w:bottom w:val="single" w:color="auto" w:sz="12" w:space="0"/>
                    <w:right w:val="single" w:color="auto" w:sz="8" w:space="0"/>
                  </w:tcBorders>
                  <w:shd w:val="clear" w:color="auto" w:fill="auto"/>
                  <w:vAlign w:val="center"/>
                </w:tcPr>
                <w:p>
                  <w:pPr>
                    <w:pStyle w:val="68"/>
                    <w:spacing w:line="240" w:lineRule="auto"/>
                    <w:jc w:val="left"/>
                    <w:rPr>
                      <w:rFonts w:hint="eastAsia"/>
                      <w:color w:val="auto"/>
                      <w:szCs w:val="21"/>
                      <w:highlight w:val="none"/>
                    </w:rPr>
                  </w:pPr>
                  <w:r>
                    <w:rPr>
                      <w:rFonts w:hint="eastAsia"/>
                      <w:color w:val="auto"/>
                      <w:szCs w:val="21"/>
                      <w:highlight w:val="none"/>
                    </w:rPr>
                    <w:t>/</w:t>
                  </w:r>
                </w:p>
              </w:tc>
              <w:tc>
                <w:tcPr>
                  <w:tcW w:w="2082" w:type="dxa"/>
                  <w:tcBorders>
                    <w:top w:val="single" w:color="auto" w:sz="8" w:space="0"/>
                    <w:left w:val="single" w:color="auto" w:sz="8" w:space="0"/>
                    <w:bottom w:val="single" w:color="auto" w:sz="12" w:space="0"/>
                    <w:right w:val="single" w:color="auto" w:sz="8" w:space="0"/>
                  </w:tcBorders>
                  <w:shd w:val="clear" w:color="auto" w:fill="CCCCCC"/>
                  <w:vAlign w:val="center"/>
                </w:tcPr>
                <w:p>
                  <w:pPr>
                    <w:pStyle w:val="68"/>
                    <w:spacing w:line="240" w:lineRule="auto"/>
                    <w:jc w:val="left"/>
                    <w:rPr>
                      <w:rFonts w:hint="eastAsia"/>
                      <w:color w:val="auto"/>
                      <w:szCs w:val="21"/>
                      <w:highlight w:val="none"/>
                    </w:rPr>
                  </w:pPr>
                  <w:r>
                    <w:rPr>
                      <w:rFonts w:hint="eastAsia"/>
                      <w:color w:val="auto"/>
                      <w:szCs w:val="21"/>
                      <w:highlight w:val="none"/>
                    </w:rPr>
                    <w:t>新建快速路、主干路；城市桥梁、隧道</w:t>
                  </w:r>
                </w:p>
              </w:tc>
              <w:tc>
                <w:tcPr>
                  <w:tcW w:w="1940" w:type="dxa"/>
                  <w:tcBorders>
                    <w:top w:val="single" w:color="auto" w:sz="8" w:space="0"/>
                    <w:left w:val="single" w:color="auto" w:sz="8" w:space="0"/>
                    <w:bottom w:val="single" w:color="auto" w:sz="12" w:space="0"/>
                    <w:right w:val="nil"/>
                  </w:tcBorders>
                  <w:vAlign w:val="center"/>
                </w:tcPr>
                <w:p>
                  <w:pPr>
                    <w:pStyle w:val="68"/>
                    <w:spacing w:line="240" w:lineRule="auto"/>
                    <w:jc w:val="left"/>
                    <w:rPr>
                      <w:rFonts w:hint="eastAsia"/>
                      <w:color w:val="auto"/>
                      <w:szCs w:val="21"/>
                      <w:highlight w:val="none"/>
                    </w:rPr>
                  </w:pPr>
                  <w:r>
                    <w:rPr>
                      <w:rFonts w:hint="eastAsia"/>
                      <w:color w:val="auto"/>
                      <w:szCs w:val="21"/>
                      <w:highlight w:val="none"/>
                    </w:rPr>
                    <w:t>其他</w:t>
                  </w:r>
                </w:p>
              </w:tc>
            </w:tr>
          </w:tbl>
          <w:p>
            <w:pPr>
              <w:adjustRightInd w:val="0"/>
              <w:snapToGrid w:val="0"/>
              <w:spacing w:line="360" w:lineRule="auto"/>
              <w:ind w:firstLine="480" w:firstLineChars="200"/>
              <w:jc w:val="left"/>
              <w:rPr>
                <w:rFonts w:hint="eastAsia" w:ascii="宋体" w:hAnsi="宋体" w:cs="宋体"/>
                <w:color w:val="auto"/>
                <w:kern w:val="0"/>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6" w:hRule="atLeast"/>
          <w:jc w:val="center"/>
        </w:trPr>
        <w:tc>
          <w:tcPr>
            <w:tcW w:w="710"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地理位置</w:t>
            </w:r>
          </w:p>
        </w:tc>
        <w:tc>
          <w:tcPr>
            <w:tcW w:w="8380" w:type="dxa"/>
            <w:vAlign w:val="center"/>
          </w:tcPr>
          <w:p>
            <w:pPr>
              <w:adjustRightInd w:val="0"/>
              <w:snapToGrid w:val="0"/>
              <w:spacing w:line="360" w:lineRule="auto"/>
              <w:ind w:firstLine="480" w:firstLineChars="200"/>
              <w:jc w:val="left"/>
              <w:rPr>
                <w:rFonts w:ascii="宋体" w:hAnsi="宋体" w:cs="宋体"/>
                <w:color w:val="auto"/>
                <w:kern w:val="0"/>
                <w:szCs w:val="21"/>
                <w:highlight w:val="none"/>
              </w:rPr>
            </w:pPr>
            <w:r>
              <w:rPr>
                <w:rFonts w:hint="eastAsia" w:ascii="宋体" w:hAnsi="宋体" w:cs="宋体"/>
                <w:color w:val="auto"/>
                <w:kern w:val="0"/>
                <w:sz w:val="24"/>
                <w:highlight w:val="none"/>
              </w:rPr>
              <w:t>本项目位于福州市鼓楼区</w:t>
            </w:r>
            <w:r>
              <w:rPr>
                <w:color w:val="auto"/>
                <w:kern w:val="0"/>
                <w:sz w:val="24"/>
                <w:highlight w:val="none"/>
              </w:rPr>
              <w:t>，</w:t>
            </w:r>
            <w:r>
              <w:rPr>
                <w:rFonts w:hint="eastAsia"/>
                <w:color w:val="auto"/>
                <w:kern w:val="0"/>
                <w:sz w:val="24"/>
                <w:highlight w:val="none"/>
              </w:rPr>
              <w:t>起于梅峰支路，线路由北向南延伸经象山隧道、芳沁西路、止于北梦山路与西二环的交叉口。</w:t>
            </w:r>
            <w:r>
              <w:rPr>
                <w:color w:val="auto"/>
                <w:kern w:val="0"/>
                <w:sz w:val="24"/>
                <w:highlight w:val="none"/>
              </w:rPr>
              <w:t>项目地理位置见附图1。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jc w:val="center"/>
        </w:trPr>
        <w:tc>
          <w:tcPr>
            <w:tcW w:w="710"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项目组成及规模</w:t>
            </w:r>
          </w:p>
        </w:tc>
        <w:tc>
          <w:tcPr>
            <w:tcW w:w="8380" w:type="dxa"/>
            <w:vAlign w:val="center"/>
          </w:tcPr>
          <w:p>
            <w:pPr>
              <w:snapToGrid w:val="0"/>
              <w:spacing w:line="360" w:lineRule="auto"/>
              <w:ind w:firstLine="482" w:firstLineChars="200"/>
              <w:rPr>
                <w:b/>
                <w:bCs/>
                <w:color w:val="auto"/>
                <w:sz w:val="24"/>
                <w:highlight w:val="none"/>
              </w:rPr>
            </w:pPr>
            <w:r>
              <w:rPr>
                <w:rFonts w:hint="eastAsia"/>
                <w:b/>
                <w:bCs/>
                <w:color w:val="auto"/>
                <w:sz w:val="24"/>
                <w:highlight w:val="none"/>
              </w:rPr>
              <w:t>1、项目概况</w:t>
            </w:r>
          </w:p>
          <w:p>
            <w:pPr>
              <w:snapToGrid w:val="0"/>
              <w:spacing w:line="360" w:lineRule="auto"/>
              <w:ind w:firstLine="480" w:firstLineChars="200"/>
              <w:rPr>
                <w:rFonts w:hint="eastAsia"/>
                <w:color w:val="auto"/>
                <w:sz w:val="24"/>
                <w:highlight w:val="none"/>
              </w:rPr>
            </w:pPr>
            <w:r>
              <w:rPr>
                <w:rFonts w:hint="eastAsia"/>
                <w:color w:val="auto"/>
                <w:sz w:val="24"/>
                <w:highlight w:val="none"/>
              </w:rPr>
              <w:t>项目名称：福州市象山隧道拓宽改造工程；</w:t>
            </w:r>
          </w:p>
          <w:p>
            <w:pPr>
              <w:snapToGrid w:val="0"/>
              <w:spacing w:line="360" w:lineRule="auto"/>
              <w:ind w:firstLine="480" w:firstLineChars="200"/>
              <w:rPr>
                <w:rFonts w:hint="eastAsia"/>
                <w:color w:val="auto"/>
                <w:sz w:val="24"/>
                <w:highlight w:val="none"/>
              </w:rPr>
            </w:pPr>
            <w:r>
              <w:rPr>
                <w:rFonts w:hint="eastAsia"/>
                <w:color w:val="auto"/>
                <w:sz w:val="24"/>
                <w:highlight w:val="none"/>
              </w:rPr>
              <w:t>建设性质：改扩建；</w:t>
            </w:r>
          </w:p>
          <w:p>
            <w:pPr>
              <w:snapToGrid w:val="0"/>
              <w:spacing w:line="360" w:lineRule="auto"/>
              <w:ind w:firstLine="480" w:firstLineChars="200"/>
              <w:rPr>
                <w:rFonts w:hint="eastAsia"/>
                <w:color w:val="auto"/>
                <w:sz w:val="24"/>
                <w:highlight w:val="none"/>
              </w:rPr>
            </w:pPr>
            <w:r>
              <w:rPr>
                <w:rFonts w:hint="eastAsia"/>
                <w:color w:val="auto"/>
                <w:sz w:val="24"/>
                <w:highlight w:val="none"/>
              </w:rPr>
              <w:t>行业类别：E4813市政道路工程建筑；</w:t>
            </w:r>
          </w:p>
          <w:p>
            <w:pPr>
              <w:snapToGrid w:val="0"/>
              <w:spacing w:line="360" w:lineRule="auto"/>
              <w:ind w:firstLine="480" w:firstLineChars="200"/>
              <w:rPr>
                <w:rFonts w:hint="eastAsia"/>
                <w:color w:val="auto"/>
                <w:sz w:val="24"/>
                <w:highlight w:val="none"/>
              </w:rPr>
            </w:pPr>
            <w:r>
              <w:rPr>
                <w:rFonts w:hint="eastAsia"/>
                <w:color w:val="auto"/>
                <w:sz w:val="24"/>
                <w:highlight w:val="none"/>
              </w:rPr>
              <w:t>建设单位：福州市市政建设开发有限公司；</w:t>
            </w:r>
          </w:p>
          <w:p>
            <w:pPr>
              <w:snapToGrid w:val="0"/>
              <w:spacing w:line="360" w:lineRule="auto"/>
              <w:ind w:firstLine="480" w:firstLineChars="200"/>
              <w:rPr>
                <w:rFonts w:hint="eastAsia"/>
                <w:color w:val="auto"/>
                <w:sz w:val="24"/>
                <w:highlight w:val="none"/>
              </w:rPr>
            </w:pPr>
            <w:r>
              <w:rPr>
                <w:rFonts w:hint="eastAsia"/>
                <w:color w:val="auto"/>
                <w:sz w:val="24"/>
                <w:highlight w:val="none"/>
              </w:rPr>
              <w:t>建设地点：福州市鼓楼区；</w:t>
            </w:r>
          </w:p>
          <w:p>
            <w:pPr>
              <w:snapToGrid w:val="0"/>
              <w:spacing w:line="360" w:lineRule="auto"/>
              <w:ind w:firstLine="480" w:firstLineChars="200"/>
              <w:rPr>
                <w:color w:val="auto"/>
                <w:sz w:val="24"/>
                <w:highlight w:val="none"/>
              </w:rPr>
            </w:pPr>
            <w:r>
              <w:rPr>
                <w:rFonts w:hint="eastAsia"/>
                <w:color w:val="auto"/>
                <w:sz w:val="24"/>
                <w:highlight w:val="none"/>
              </w:rPr>
              <w:t>建设内容及规模：工程建设内容主要包括道路、桥梁、隧道、电气、给排水、景观绿化及交通设施等工程。</w:t>
            </w:r>
          </w:p>
          <w:p>
            <w:pPr>
              <w:autoSpaceDE w:val="0"/>
              <w:autoSpaceDN w:val="0"/>
              <w:adjustRightInd w:val="0"/>
              <w:spacing w:line="360" w:lineRule="auto"/>
              <w:ind w:firstLine="480" w:firstLineChars="200"/>
              <w:jc w:val="left"/>
              <w:rPr>
                <w:rFonts w:hint="eastAsia"/>
                <w:color w:val="auto"/>
                <w:sz w:val="24"/>
                <w:highlight w:val="none"/>
              </w:rPr>
            </w:pPr>
            <w:r>
              <w:rPr>
                <w:color w:val="auto"/>
                <w:sz w:val="24"/>
                <w:highlight w:val="none"/>
              </w:rPr>
              <w:t>建设工期：202</w:t>
            </w:r>
            <w:r>
              <w:rPr>
                <w:rFonts w:hint="eastAsia"/>
                <w:color w:val="auto"/>
                <w:sz w:val="24"/>
                <w:highlight w:val="none"/>
              </w:rPr>
              <w:t>2</w:t>
            </w:r>
            <w:r>
              <w:rPr>
                <w:color w:val="auto"/>
                <w:sz w:val="24"/>
                <w:highlight w:val="none"/>
              </w:rPr>
              <w:t>年</w:t>
            </w:r>
            <w:r>
              <w:rPr>
                <w:rFonts w:hint="eastAsia"/>
                <w:color w:val="auto"/>
                <w:sz w:val="24"/>
                <w:highlight w:val="none"/>
              </w:rPr>
              <w:t>9</w:t>
            </w:r>
            <w:r>
              <w:rPr>
                <w:color w:val="auto"/>
                <w:sz w:val="24"/>
                <w:highlight w:val="none"/>
              </w:rPr>
              <w:t>月至202</w:t>
            </w:r>
            <w:r>
              <w:rPr>
                <w:rFonts w:hint="eastAsia"/>
                <w:color w:val="auto"/>
                <w:sz w:val="24"/>
                <w:highlight w:val="none"/>
              </w:rPr>
              <w:t>5</w:t>
            </w:r>
            <w:r>
              <w:rPr>
                <w:color w:val="auto"/>
                <w:sz w:val="24"/>
                <w:highlight w:val="none"/>
              </w:rPr>
              <w:t>年</w:t>
            </w:r>
            <w:r>
              <w:rPr>
                <w:rFonts w:hint="eastAsia"/>
                <w:color w:val="auto"/>
                <w:sz w:val="24"/>
                <w:highlight w:val="none"/>
              </w:rPr>
              <w:t>5</w:t>
            </w:r>
            <w:r>
              <w:rPr>
                <w:color w:val="auto"/>
                <w:sz w:val="24"/>
                <w:highlight w:val="none"/>
              </w:rPr>
              <w:t>月，项目总建设周期约</w:t>
            </w:r>
            <w:r>
              <w:rPr>
                <w:rFonts w:hint="eastAsia"/>
                <w:color w:val="auto"/>
                <w:sz w:val="24"/>
                <w:highlight w:val="none"/>
              </w:rPr>
              <w:t>33</w:t>
            </w:r>
            <w:r>
              <w:rPr>
                <w:color w:val="auto"/>
                <w:sz w:val="24"/>
                <w:highlight w:val="none"/>
              </w:rPr>
              <w:t>个月。</w:t>
            </w:r>
          </w:p>
          <w:p>
            <w:pPr>
              <w:autoSpaceDE w:val="0"/>
              <w:autoSpaceDN w:val="0"/>
              <w:spacing w:line="360" w:lineRule="auto"/>
              <w:ind w:firstLine="480" w:firstLineChars="200"/>
              <w:jc w:val="left"/>
              <w:rPr>
                <w:rFonts w:hint="eastAsia"/>
                <w:color w:val="auto"/>
                <w:sz w:val="24"/>
                <w:highlight w:val="none"/>
              </w:rPr>
            </w:pPr>
            <w:r>
              <w:rPr>
                <w:rFonts w:hint="eastAsia"/>
                <w:color w:val="auto"/>
                <w:sz w:val="24"/>
                <w:highlight w:val="none"/>
              </w:rPr>
              <w:t>项目主要建设规模及内容见表2-2。</w:t>
            </w:r>
          </w:p>
          <w:p>
            <w:pPr>
              <w:snapToGrid w:val="0"/>
              <w:ind w:firstLine="482" w:firstLineChars="200"/>
              <w:jc w:val="center"/>
              <w:rPr>
                <w:rFonts w:hint="eastAsia"/>
                <w:b/>
                <w:bCs/>
                <w:color w:val="auto"/>
                <w:sz w:val="24"/>
                <w:highlight w:val="none"/>
              </w:rPr>
            </w:pPr>
            <w:r>
              <w:rPr>
                <w:b/>
                <w:bCs/>
                <w:color w:val="auto"/>
                <w:sz w:val="24"/>
                <w:highlight w:val="none"/>
              </w:rPr>
              <w:t>表2-</w:t>
            </w:r>
            <w:r>
              <w:rPr>
                <w:rFonts w:hint="eastAsia"/>
                <w:b/>
                <w:bCs/>
                <w:color w:val="auto"/>
                <w:sz w:val="24"/>
                <w:highlight w:val="none"/>
              </w:rPr>
              <w:t>3 主要建设规模及内容</w:t>
            </w:r>
          </w:p>
          <w:tbl>
            <w:tblPr>
              <w:tblStyle w:val="23"/>
              <w:tblW w:w="81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623"/>
              <w:gridCol w:w="1046"/>
              <w:gridCol w:w="6487"/>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9" w:type="dxa"/>
                  <w:gridSpan w:val="2"/>
                  <w:vAlign w:val="center"/>
                </w:tcPr>
                <w:p>
                  <w:pPr>
                    <w:jc w:val="center"/>
                    <w:rPr>
                      <w:rFonts w:hint="eastAsia"/>
                      <w:color w:val="auto"/>
                      <w:szCs w:val="21"/>
                      <w:highlight w:val="none"/>
                    </w:rPr>
                  </w:pPr>
                  <w:r>
                    <w:rPr>
                      <w:rFonts w:hint="eastAsia"/>
                      <w:color w:val="auto"/>
                      <w:szCs w:val="21"/>
                      <w:highlight w:val="none"/>
                    </w:rPr>
                    <w:t>项目组成</w:t>
                  </w:r>
                </w:p>
              </w:tc>
              <w:tc>
                <w:tcPr>
                  <w:tcW w:w="6487" w:type="dxa"/>
                  <w:vAlign w:val="center"/>
                </w:tcPr>
                <w:p>
                  <w:pPr>
                    <w:jc w:val="center"/>
                    <w:rPr>
                      <w:rFonts w:hint="eastAsia"/>
                      <w:color w:val="auto"/>
                      <w:szCs w:val="21"/>
                      <w:highlight w:val="none"/>
                    </w:rPr>
                  </w:pPr>
                  <w:r>
                    <w:rPr>
                      <w:rFonts w:hint="eastAsia"/>
                      <w:color w:val="auto"/>
                      <w:szCs w:val="21"/>
                      <w:highlight w:val="none"/>
                    </w:rPr>
                    <w:t>主要建设内容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623" w:type="dxa"/>
                  <w:vMerge w:val="restart"/>
                  <w:vAlign w:val="center"/>
                </w:tcPr>
                <w:p>
                  <w:pPr>
                    <w:jc w:val="center"/>
                    <w:rPr>
                      <w:rFonts w:hint="eastAsia"/>
                      <w:color w:val="auto"/>
                      <w:szCs w:val="21"/>
                      <w:highlight w:val="none"/>
                    </w:rPr>
                  </w:pPr>
                  <w:r>
                    <w:rPr>
                      <w:rFonts w:hint="eastAsia"/>
                      <w:color w:val="auto"/>
                      <w:szCs w:val="21"/>
                      <w:highlight w:val="none"/>
                    </w:rPr>
                    <w:t>道路工程</w:t>
                  </w:r>
                </w:p>
              </w:tc>
              <w:tc>
                <w:tcPr>
                  <w:tcW w:w="1046"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象山隧道</w:t>
                  </w:r>
                </w:p>
              </w:tc>
              <w:tc>
                <w:tcPr>
                  <w:tcW w:w="6487"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改扩建，</w:t>
                  </w:r>
                  <w:r>
                    <w:rPr>
                      <w:rFonts w:hint="eastAsia"/>
                      <w:color w:val="auto"/>
                      <w:szCs w:val="21"/>
                      <w:highlight w:val="none"/>
                    </w:rPr>
                    <w:t>象山隧道长度20</w:t>
                  </w:r>
                  <w:r>
                    <w:rPr>
                      <w:rFonts w:hint="eastAsia"/>
                      <w:color w:val="auto"/>
                      <w:szCs w:val="21"/>
                      <w:highlight w:val="none"/>
                      <w:lang w:val="en-US" w:eastAsia="zh-CN"/>
                    </w:rPr>
                    <w:t>0</w:t>
                  </w:r>
                  <w:r>
                    <w:rPr>
                      <w:rFonts w:hint="eastAsia"/>
                      <w:color w:val="auto"/>
                      <w:szCs w:val="21"/>
                      <w:highlight w:val="none"/>
                    </w:rPr>
                    <w:t>米（单洞长度），采用拆除既有隧道，将原四连拱隧道拆除，新建成 2 个双层小净距隧道。最终形成双向 10 个机动车道+2 个非机动车道+2 个人行道的新隧道。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623" w:type="dxa"/>
                  <w:vMerge w:val="continue"/>
                  <w:vAlign w:val="center"/>
                </w:tcPr>
                <w:p>
                  <w:pPr>
                    <w:jc w:val="center"/>
                    <w:rPr>
                      <w:rFonts w:hint="eastAsia"/>
                      <w:color w:val="auto"/>
                      <w:szCs w:val="21"/>
                      <w:highlight w:val="none"/>
                    </w:rPr>
                  </w:pPr>
                </w:p>
              </w:tc>
              <w:tc>
                <w:tcPr>
                  <w:tcW w:w="1046" w:type="dxa"/>
                  <w:vAlign w:val="center"/>
                </w:tcPr>
                <w:p>
                  <w:pPr>
                    <w:jc w:val="center"/>
                    <w:rPr>
                      <w:rFonts w:hint="eastAsia"/>
                      <w:color w:val="auto"/>
                      <w:szCs w:val="21"/>
                      <w:highlight w:val="none"/>
                    </w:rPr>
                  </w:pPr>
                  <w:r>
                    <w:rPr>
                      <w:rFonts w:hint="eastAsia"/>
                      <w:color w:val="auto"/>
                      <w:szCs w:val="21"/>
                      <w:highlight w:val="none"/>
                    </w:rPr>
                    <w:t>二环西路</w:t>
                  </w:r>
                </w:p>
              </w:tc>
              <w:tc>
                <w:tcPr>
                  <w:tcW w:w="6487"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Cs w:val="21"/>
                      <w:highlight w:val="none"/>
                      <w:lang w:eastAsia="zh-CN"/>
                    </w:rPr>
                  </w:pPr>
                  <w:r>
                    <w:rPr>
                      <w:rFonts w:hint="eastAsia"/>
                      <w:color w:val="auto"/>
                      <w:szCs w:val="21"/>
                      <w:highlight w:val="none"/>
                      <w:lang w:eastAsia="zh-CN"/>
                    </w:rPr>
                    <w:t>改扩建，</w:t>
                  </w:r>
                  <w:r>
                    <w:rPr>
                      <w:rFonts w:hint="eastAsia"/>
                      <w:color w:val="auto"/>
                      <w:szCs w:val="21"/>
                      <w:highlight w:val="none"/>
                    </w:rPr>
                    <w:t>二环西路</w:t>
                  </w:r>
                  <w:r>
                    <w:rPr>
                      <w:rFonts w:hint="eastAsia"/>
                      <w:color w:val="auto"/>
                      <w:szCs w:val="21"/>
                      <w:highlight w:val="none"/>
                      <w:lang w:val="en-US" w:eastAsia="zh-CN"/>
                    </w:rPr>
                    <w:t>由北洞口现状二环高架落地段至新建下穿U型槽及箱型通道，连接拓宽后象山双层隧道下穿通道，穿象山隧道后再于隧道南洞口由新建下穿箱型通道及U型槽驶出地面，与现状二环路相连接。二环辅路由新建象山隧道上层通道通行，经象山隧道后与现状二环路相</w:t>
                  </w:r>
                  <w:r>
                    <w:rPr>
                      <w:rStyle w:val="22"/>
                      <w:rFonts w:hint="eastAsia"/>
                      <w:color w:val="auto"/>
                      <w:kern w:val="0"/>
                      <w:highlight w:val="none"/>
                      <w:lang w:eastAsia="zh-CN"/>
                    </w:rPr>
                    <w:t>连接。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623" w:type="dxa"/>
                  <w:vMerge w:val="continue"/>
                  <w:vAlign w:val="center"/>
                </w:tcPr>
                <w:p>
                  <w:pPr>
                    <w:jc w:val="center"/>
                    <w:rPr>
                      <w:rFonts w:hint="eastAsia"/>
                      <w:color w:val="auto"/>
                      <w:szCs w:val="21"/>
                      <w:highlight w:val="none"/>
                    </w:rPr>
                  </w:pPr>
                </w:p>
              </w:tc>
              <w:tc>
                <w:tcPr>
                  <w:tcW w:w="1046" w:type="dxa"/>
                  <w:vAlign w:val="center"/>
                </w:tcPr>
                <w:p>
                  <w:pPr>
                    <w:jc w:val="center"/>
                    <w:rPr>
                      <w:rFonts w:hint="eastAsia" w:eastAsia="宋体"/>
                      <w:color w:val="auto"/>
                      <w:szCs w:val="21"/>
                      <w:highlight w:val="none"/>
                      <w:lang w:eastAsia="zh-CN"/>
                    </w:rPr>
                  </w:pPr>
                  <w:r>
                    <w:rPr>
                      <w:rFonts w:hint="eastAsia"/>
                      <w:color w:val="auto"/>
                      <w:szCs w:val="21"/>
                      <w:highlight w:val="none"/>
                    </w:rPr>
                    <w:t>九00医院调头高架匝道桥</w:t>
                  </w:r>
                </w:p>
              </w:tc>
              <w:tc>
                <w:tcPr>
                  <w:tcW w:w="6487" w:type="dxa"/>
                  <w:vAlign w:val="center"/>
                </w:tcPr>
                <w:p>
                  <w:pPr>
                    <w:rPr>
                      <w:rFonts w:hint="eastAsia" w:eastAsia="宋体"/>
                      <w:color w:val="auto"/>
                      <w:szCs w:val="21"/>
                      <w:highlight w:val="none"/>
                      <w:lang w:eastAsia="zh-CN"/>
                    </w:rPr>
                  </w:pPr>
                  <w:r>
                    <w:rPr>
                      <w:rFonts w:hint="eastAsia"/>
                      <w:color w:val="auto"/>
                      <w:szCs w:val="21"/>
                      <w:highlight w:val="none"/>
                    </w:rPr>
                    <w:t>施工期需拆除既有掉头高架及部分墩柱，待主体机构完成后，还建九00医院调头高架匝道桥，桥宽7.5米，总长340米</w:t>
                  </w: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623" w:type="dxa"/>
                  <w:vMerge w:val="continue"/>
                  <w:vAlign w:val="center"/>
                </w:tcPr>
                <w:p>
                  <w:pPr>
                    <w:jc w:val="center"/>
                    <w:rPr>
                      <w:rFonts w:hint="eastAsia"/>
                      <w:color w:val="auto"/>
                      <w:szCs w:val="21"/>
                      <w:highlight w:val="none"/>
                    </w:rPr>
                  </w:pPr>
                </w:p>
              </w:tc>
              <w:tc>
                <w:tcPr>
                  <w:tcW w:w="1046" w:type="dxa"/>
                  <w:vAlign w:val="center"/>
                </w:tcPr>
                <w:p>
                  <w:pPr>
                    <w:jc w:val="center"/>
                    <w:rPr>
                      <w:rFonts w:hint="eastAsia"/>
                      <w:color w:val="auto"/>
                      <w:szCs w:val="21"/>
                      <w:highlight w:val="none"/>
                    </w:rPr>
                  </w:pPr>
                  <w:r>
                    <w:rPr>
                      <w:rFonts w:hint="eastAsia"/>
                      <w:color w:val="auto"/>
                      <w:szCs w:val="21"/>
                      <w:highlight w:val="none"/>
                    </w:rPr>
                    <w:t>二环拼宽高架下匝道桥</w:t>
                  </w:r>
                </w:p>
              </w:tc>
              <w:tc>
                <w:tcPr>
                  <w:tcW w:w="6487" w:type="dxa"/>
                  <w:vAlign w:val="center"/>
                </w:tcPr>
                <w:p>
                  <w:pPr>
                    <w:rPr>
                      <w:rFonts w:hint="eastAsia"/>
                      <w:color w:val="auto"/>
                      <w:szCs w:val="21"/>
                      <w:highlight w:val="none"/>
                    </w:rPr>
                  </w:pPr>
                  <w:r>
                    <w:rPr>
                      <w:rFonts w:hint="eastAsia"/>
                      <w:color w:val="auto"/>
                      <w:szCs w:val="21"/>
                      <w:highlight w:val="none"/>
                    </w:rPr>
                    <w:t>新建二环拼宽高架下匝道桥，桥宽6.5米，总长120米。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623" w:type="dxa"/>
                  <w:vMerge w:val="continue"/>
                  <w:vAlign w:val="center"/>
                </w:tcPr>
                <w:p>
                  <w:pPr>
                    <w:jc w:val="center"/>
                    <w:rPr>
                      <w:rFonts w:hint="eastAsia"/>
                      <w:color w:val="auto"/>
                      <w:szCs w:val="21"/>
                      <w:highlight w:val="none"/>
                    </w:rPr>
                  </w:pPr>
                </w:p>
              </w:tc>
              <w:tc>
                <w:tcPr>
                  <w:tcW w:w="1046"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其他道路</w:t>
                  </w:r>
                </w:p>
              </w:tc>
              <w:tc>
                <w:tcPr>
                  <w:tcW w:w="6487" w:type="dxa"/>
                  <w:vAlign w:val="center"/>
                </w:tcPr>
                <w:p>
                  <w:pPr>
                    <w:rPr>
                      <w:rFonts w:hint="eastAsia"/>
                      <w:color w:val="auto"/>
                      <w:szCs w:val="21"/>
                      <w:highlight w:val="none"/>
                    </w:rPr>
                  </w:pPr>
                  <w:r>
                    <w:rPr>
                      <w:rFonts w:hint="eastAsia"/>
                      <w:color w:val="auto"/>
                      <w:szCs w:val="21"/>
                      <w:highlight w:val="none"/>
                      <w:lang w:val="en-US" w:eastAsia="zh-CN"/>
                    </w:rPr>
                    <w:t>芳沁西路、湖头街进行路面修复</w:t>
                  </w:r>
                  <w:r>
                    <w:rPr>
                      <w:rFonts w:hint="eastAsia"/>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623" w:type="dxa"/>
                  <w:vMerge w:val="continue"/>
                  <w:vAlign w:val="center"/>
                </w:tcPr>
                <w:p>
                  <w:pPr>
                    <w:jc w:val="center"/>
                    <w:rPr>
                      <w:rFonts w:hint="eastAsia"/>
                      <w:color w:val="auto"/>
                      <w:szCs w:val="21"/>
                      <w:highlight w:val="none"/>
                    </w:rPr>
                  </w:pPr>
                </w:p>
              </w:tc>
              <w:tc>
                <w:tcPr>
                  <w:tcW w:w="1046" w:type="dxa"/>
                  <w:vAlign w:val="center"/>
                </w:tcPr>
                <w:p>
                  <w:pPr>
                    <w:jc w:val="center"/>
                    <w:rPr>
                      <w:rFonts w:hint="eastAsia"/>
                      <w:color w:val="auto"/>
                      <w:szCs w:val="21"/>
                      <w:highlight w:val="none"/>
                    </w:rPr>
                  </w:pPr>
                  <w:r>
                    <w:rPr>
                      <w:rFonts w:hint="eastAsia"/>
                      <w:color w:val="auto"/>
                      <w:szCs w:val="21"/>
                      <w:highlight w:val="none"/>
                    </w:rPr>
                    <w:t>路面</w:t>
                  </w:r>
                </w:p>
              </w:tc>
              <w:tc>
                <w:tcPr>
                  <w:tcW w:w="6487" w:type="dxa"/>
                  <w:vAlign w:val="center"/>
                </w:tcPr>
                <w:p>
                  <w:pPr>
                    <w:rPr>
                      <w:rFonts w:hint="eastAsia"/>
                      <w:color w:val="auto"/>
                      <w:szCs w:val="21"/>
                      <w:highlight w:val="none"/>
                    </w:rPr>
                  </w:pPr>
                  <w:r>
                    <w:rPr>
                      <w:rFonts w:hint="eastAsia"/>
                      <w:color w:val="auto"/>
                      <w:szCs w:val="21"/>
                      <w:highlight w:val="none"/>
                    </w:rPr>
                    <w:t>现状二环路为沥青路面，本项目改造为 SMA 沥青马蹄脂碎石路面。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9" w:type="dxa"/>
                  <w:gridSpan w:val="2"/>
                  <w:vAlign w:val="center"/>
                </w:tcPr>
                <w:p>
                  <w:pPr>
                    <w:jc w:val="center"/>
                    <w:rPr>
                      <w:rFonts w:hint="eastAsia"/>
                      <w:color w:val="auto"/>
                      <w:szCs w:val="21"/>
                      <w:highlight w:val="none"/>
                    </w:rPr>
                  </w:pPr>
                  <w:r>
                    <w:rPr>
                      <w:rFonts w:hint="eastAsia"/>
                      <w:color w:val="auto"/>
                      <w:szCs w:val="21"/>
                      <w:highlight w:val="none"/>
                    </w:rPr>
                    <w:t>管线工程</w:t>
                  </w:r>
                </w:p>
              </w:tc>
              <w:tc>
                <w:tcPr>
                  <w:tcW w:w="6487" w:type="dxa"/>
                  <w:vAlign w:val="center"/>
                </w:tcPr>
                <w:p>
                  <w:pPr>
                    <w:rPr>
                      <w:rFonts w:hint="eastAsia"/>
                      <w:color w:val="auto"/>
                      <w:szCs w:val="21"/>
                      <w:highlight w:val="none"/>
                    </w:rPr>
                  </w:pPr>
                  <w:r>
                    <w:rPr>
                      <w:rFonts w:hint="eastAsia"/>
                      <w:color w:val="auto"/>
                      <w:szCs w:val="21"/>
                      <w:highlight w:val="none"/>
                    </w:rPr>
                    <w:t>目前</w:t>
                  </w:r>
                  <w:r>
                    <w:rPr>
                      <w:rFonts w:hint="eastAsia"/>
                      <w:color w:val="auto"/>
                      <w:szCs w:val="21"/>
                      <w:highlight w:val="none"/>
                      <w:lang w:eastAsia="zh-CN"/>
                    </w:rPr>
                    <w:t>道路</w:t>
                  </w:r>
                  <w:r>
                    <w:rPr>
                      <w:rFonts w:hint="eastAsia"/>
                      <w:color w:val="auto"/>
                      <w:szCs w:val="21"/>
                      <w:highlight w:val="none"/>
                    </w:rPr>
                    <w:t>两侧已经具有完善的</w:t>
                  </w:r>
                  <w:r>
                    <w:rPr>
                      <w:rFonts w:hint="eastAsia"/>
                      <w:color w:val="auto"/>
                      <w:szCs w:val="21"/>
                      <w:highlight w:val="none"/>
                      <w:lang w:eastAsia="zh-CN"/>
                    </w:rPr>
                    <w:t>管线</w:t>
                  </w:r>
                  <w:r>
                    <w:rPr>
                      <w:rFonts w:hint="eastAsia"/>
                      <w:color w:val="auto"/>
                      <w:szCs w:val="21"/>
                      <w:highlight w:val="none"/>
                    </w:rPr>
                    <w:t>系统</w:t>
                  </w:r>
                  <w:r>
                    <w:rPr>
                      <w:rFonts w:hint="eastAsia"/>
                      <w:color w:val="auto"/>
                      <w:szCs w:val="21"/>
                      <w:highlight w:val="none"/>
                      <w:lang w:eastAsia="zh-CN"/>
                    </w:rPr>
                    <w:t>。改扩建后，</w:t>
                  </w:r>
                  <w:r>
                    <w:rPr>
                      <w:rFonts w:hint="eastAsia"/>
                      <w:color w:val="auto"/>
                      <w:szCs w:val="21"/>
                      <w:highlight w:val="none"/>
                    </w:rPr>
                    <w:t>道路设置雨、污水管道外、给水管、电力管、通信管和燃气管。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9" w:type="dxa"/>
                  <w:gridSpan w:val="2"/>
                  <w:vAlign w:val="center"/>
                </w:tcPr>
                <w:p>
                  <w:pPr>
                    <w:jc w:val="center"/>
                    <w:rPr>
                      <w:rFonts w:hint="eastAsia"/>
                      <w:color w:val="auto"/>
                      <w:szCs w:val="21"/>
                      <w:highlight w:val="none"/>
                    </w:rPr>
                  </w:pPr>
                  <w:r>
                    <w:rPr>
                      <w:rFonts w:hint="eastAsia"/>
                      <w:color w:val="auto"/>
                      <w:szCs w:val="21"/>
                      <w:highlight w:val="none"/>
                    </w:rPr>
                    <w:t>景观绿化工程</w:t>
                  </w:r>
                </w:p>
              </w:tc>
              <w:tc>
                <w:tcPr>
                  <w:tcW w:w="6487" w:type="dxa"/>
                  <w:vAlign w:val="center"/>
                </w:tcPr>
                <w:p>
                  <w:pPr>
                    <w:rPr>
                      <w:rFonts w:hint="eastAsia"/>
                      <w:color w:val="auto"/>
                      <w:szCs w:val="21"/>
                      <w:highlight w:val="none"/>
                    </w:rPr>
                  </w:pPr>
                  <w:r>
                    <w:rPr>
                      <w:rFonts w:hint="eastAsia"/>
                      <w:color w:val="auto"/>
                      <w:szCs w:val="21"/>
                      <w:highlight w:val="none"/>
                    </w:rPr>
                    <w:t>中分带绿化、行道树种植、高架桥挂花箱和高架桥下绿化带提升。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9" w:type="dxa"/>
                  <w:gridSpan w:val="2"/>
                  <w:vAlign w:val="center"/>
                </w:tcPr>
                <w:p>
                  <w:pPr>
                    <w:jc w:val="center"/>
                    <w:rPr>
                      <w:rFonts w:hint="eastAsia"/>
                      <w:color w:val="auto"/>
                      <w:szCs w:val="21"/>
                      <w:highlight w:val="none"/>
                    </w:rPr>
                  </w:pPr>
                  <w:r>
                    <w:rPr>
                      <w:rFonts w:hint="eastAsia"/>
                      <w:color w:val="auto"/>
                      <w:szCs w:val="21"/>
                      <w:highlight w:val="none"/>
                    </w:rPr>
                    <w:t>交通设施</w:t>
                  </w:r>
                </w:p>
              </w:tc>
              <w:tc>
                <w:tcPr>
                  <w:tcW w:w="6487" w:type="dxa"/>
                  <w:vAlign w:val="center"/>
                </w:tcPr>
                <w:p>
                  <w:pPr>
                    <w:rPr>
                      <w:rFonts w:hint="eastAsia"/>
                      <w:color w:val="auto"/>
                      <w:szCs w:val="21"/>
                      <w:highlight w:val="none"/>
                    </w:rPr>
                  </w:pPr>
                  <w:r>
                    <w:rPr>
                      <w:rFonts w:hint="eastAsia"/>
                      <w:color w:val="auto"/>
                      <w:szCs w:val="21"/>
                      <w:highlight w:val="none"/>
                    </w:rPr>
                    <w:t>按照国家及交通部相关的标准，并结合道路的实际情况，全线设置完善的交通安全设施，包括标志、标线及标示、交通信号设施及隔离和防护设施。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9" w:type="dxa"/>
                  <w:gridSpan w:val="2"/>
                  <w:vAlign w:val="center"/>
                </w:tcPr>
                <w:p>
                  <w:pPr>
                    <w:jc w:val="center"/>
                    <w:rPr>
                      <w:rFonts w:hint="eastAsia"/>
                      <w:color w:val="auto"/>
                      <w:szCs w:val="21"/>
                      <w:highlight w:val="none"/>
                    </w:rPr>
                  </w:pPr>
                  <w:r>
                    <w:rPr>
                      <w:rFonts w:hint="eastAsia"/>
                      <w:color w:val="auto"/>
                      <w:szCs w:val="21"/>
                      <w:highlight w:val="none"/>
                    </w:rPr>
                    <w:t>临时工程</w:t>
                  </w:r>
                </w:p>
              </w:tc>
              <w:tc>
                <w:tcPr>
                  <w:tcW w:w="6487" w:type="dxa"/>
                  <w:vAlign w:val="center"/>
                </w:tcPr>
                <w:p>
                  <w:pPr>
                    <w:rPr>
                      <w:rFonts w:hint="default" w:eastAsia="宋体"/>
                      <w:color w:val="auto"/>
                      <w:szCs w:val="21"/>
                      <w:highlight w:val="none"/>
                      <w:lang w:val="en-US" w:eastAsia="zh-CN"/>
                    </w:rPr>
                  </w:pPr>
                  <w:r>
                    <w:rPr>
                      <w:rFonts w:hint="eastAsia"/>
                      <w:color w:val="auto"/>
                      <w:szCs w:val="21"/>
                      <w:highlight w:val="none"/>
                      <w:lang w:val="en-US" w:eastAsia="zh-CN"/>
                    </w:rPr>
                    <w:t>设置1处施工营地，1处预制场区。</w:t>
                  </w:r>
                </w:p>
              </w:tc>
            </w:tr>
          </w:tbl>
          <w:p>
            <w:pPr>
              <w:adjustRightInd w:val="0"/>
              <w:snapToGrid w:val="0"/>
              <w:spacing w:line="360" w:lineRule="auto"/>
              <w:ind w:firstLine="480" w:firstLineChars="200"/>
              <w:rPr>
                <w:rFonts w:hint="default" w:hAnsi="宋体"/>
                <w:color w:val="auto"/>
                <w:sz w:val="24"/>
                <w:highlight w:val="none"/>
                <w:lang w:val="en-US"/>
              </w:rPr>
            </w:pPr>
            <w:r>
              <w:rPr>
                <w:rFonts w:hint="eastAsia" w:hAnsi="宋体"/>
                <w:color w:val="auto"/>
                <w:sz w:val="24"/>
                <w:highlight w:val="none"/>
                <w:lang w:eastAsia="zh-CN"/>
              </w:rPr>
              <w:t>道路雨水、污水管线布置图见附图</w:t>
            </w:r>
            <w:r>
              <w:rPr>
                <w:rFonts w:hint="eastAsia" w:hAnsi="宋体"/>
                <w:color w:val="auto"/>
                <w:sz w:val="24"/>
                <w:highlight w:val="none"/>
                <w:lang w:val="en-US" w:eastAsia="zh-CN"/>
              </w:rPr>
              <w:t>5、附图6。</w:t>
            </w:r>
          </w:p>
          <w:p>
            <w:pPr>
              <w:snapToGrid w:val="0"/>
              <w:spacing w:line="360" w:lineRule="auto"/>
              <w:ind w:firstLine="562" w:firstLineChars="200"/>
              <w:rPr>
                <w:b/>
                <w:bCs/>
                <w:snapToGrid w:val="0"/>
                <w:color w:val="auto"/>
                <w:kern w:val="0"/>
                <w:sz w:val="28"/>
                <w:szCs w:val="28"/>
                <w:highlight w:val="none"/>
              </w:rPr>
            </w:pPr>
            <w:r>
              <w:rPr>
                <w:rFonts w:hint="eastAsia"/>
                <w:b/>
                <w:bCs/>
                <w:snapToGrid w:val="0"/>
                <w:color w:val="auto"/>
                <w:kern w:val="0"/>
                <w:sz w:val="28"/>
                <w:szCs w:val="28"/>
                <w:highlight w:val="none"/>
              </w:rPr>
              <w:t>2、</w:t>
            </w:r>
            <w:r>
              <w:rPr>
                <w:b/>
                <w:bCs/>
                <w:snapToGrid w:val="0"/>
                <w:color w:val="auto"/>
                <w:kern w:val="0"/>
                <w:sz w:val="28"/>
                <w:szCs w:val="28"/>
                <w:highlight w:val="none"/>
              </w:rPr>
              <w:t>主要技术指标</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各道路规模及主要指标：</w:t>
            </w:r>
          </w:p>
          <w:p>
            <w:pPr>
              <w:snapToGrid w:val="0"/>
              <w:ind w:firstLine="482" w:firstLineChars="200"/>
              <w:jc w:val="center"/>
              <w:rPr>
                <w:rFonts w:hint="eastAsia" w:eastAsia="宋体"/>
                <w:b/>
                <w:bCs/>
                <w:color w:val="auto"/>
                <w:sz w:val="24"/>
                <w:highlight w:val="none"/>
                <w:lang w:eastAsia="zh-CN"/>
              </w:rPr>
            </w:pPr>
            <w:r>
              <w:rPr>
                <w:b/>
                <w:bCs/>
                <w:color w:val="auto"/>
                <w:sz w:val="24"/>
                <w:highlight w:val="none"/>
              </w:rPr>
              <w:t>表2-</w:t>
            </w:r>
            <w:r>
              <w:rPr>
                <w:rFonts w:hint="eastAsia"/>
                <w:b/>
                <w:bCs/>
                <w:color w:val="auto"/>
                <w:sz w:val="24"/>
                <w:highlight w:val="none"/>
              </w:rPr>
              <w:t xml:space="preserve">3 </w:t>
            </w:r>
            <w:r>
              <w:rPr>
                <w:rFonts w:hint="eastAsia"/>
                <w:b/>
                <w:bCs/>
                <w:color w:val="auto"/>
                <w:sz w:val="24"/>
                <w:highlight w:val="none"/>
                <w:lang w:eastAsia="zh-CN"/>
              </w:rPr>
              <w:t>改扩建前后</w:t>
            </w:r>
            <w:r>
              <w:rPr>
                <w:rFonts w:hint="eastAsia"/>
                <w:b/>
                <w:bCs/>
                <w:color w:val="auto"/>
                <w:sz w:val="24"/>
                <w:highlight w:val="none"/>
              </w:rPr>
              <w:t>道路规模及主要指标</w:t>
            </w:r>
            <w:r>
              <w:rPr>
                <w:rFonts w:hint="eastAsia"/>
                <w:b/>
                <w:bCs/>
                <w:color w:val="auto"/>
                <w:sz w:val="24"/>
                <w:highlight w:val="none"/>
                <w:lang w:eastAsia="zh-CN"/>
              </w:rPr>
              <w:t>一栏表</w:t>
            </w:r>
          </w:p>
          <w:tbl>
            <w:tblPr>
              <w:tblStyle w:val="23"/>
              <w:tblW w:w="81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217"/>
              <w:gridCol w:w="1031"/>
              <w:gridCol w:w="1031"/>
              <w:gridCol w:w="1068"/>
              <w:gridCol w:w="1031"/>
              <w:gridCol w:w="1031"/>
              <w:gridCol w:w="1069"/>
              <w:gridCol w:w="678"/>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90" w:hRule="atLeast"/>
              </w:trPr>
              <w:tc>
                <w:tcPr>
                  <w:tcW w:w="1217" w:type="dxa"/>
                  <w:vMerge w:val="restart"/>
                  <w:vAlign w:val="center"/>
                </w:tcPr>
                <w:p>
                  <w:pPr>
                    <w:jc w:val="center"/>
                    <w:rPr>
                      <w:color w:val="auto"/>
                      <w:szCs w:val="21"/>
                      <w:highlight w:val="none"/>
                    </w:rPr>
                  </w:pPr>
                  <w:r>
                    <w:rPr>
                      <w:rFonts w:hint="eastAsia"/>
                      <w:color w:val="auto"/>
                      <w:szCs w:val="21"/>
                      <w:highlight w:val="none"/>
                    </w:rPr>
                    <w:t>道路名称</w:t>
                  </w:r>
                </w:p>
              </w:tc>
              <w:tc>
                <w:tcPr>
                  <w:tcW w:w="3130" w:type="dxa"/>
                  <w:gridSpan w:val="3"/>
                  <w:vAlign w:val="center"/>
                </w:tcPr>
                <w:p>
                  <w:pPr>
                    <w:jc w:val="center"/>
                    <w:rPr>
                      <w:rFonts w:hint="eastAsia" w:eastAsia="宋体"/>
                      <w:color w:val="auto"/>
                      <w:szCs w:val="21"/>
                      <w:highlight w:val="none"/>
                      <w:lang w:eastAsia="zh-CN"/>
                    </w:rPr>
                  </w:pPr>
                  <w:r>
                    <w:rPr>
                      <w:rFonts w:hint="eastAsia"/>
                      <w:color w:val="auto"/>
                      <w:szCs w:val="21"/>
                      <w:highlight w:val="none"/>
                      <w:lang w:eastAsia="zh-CN"/>
                    </w:rPr>
                    <w:t>改扩建后</w:t>
                  </w:r>
                </w:p>
              </w:tc>
              <w:tc>
                <w:tcPr>
                  <w:tcW w:w="3131" w:type="dxa"/>
                  <w:gridSpan w:val="3"/>
                  <w:vAlign w:val="center"/>
                </w:tcPr>
                <w:p>
                  <w:pPr>
                    <w:jc w:val="center"/>
                    <w:rPr>
                      <w:rFonts w:hint="eastAsia" w:eastAsia="宋体"/>
                      <w:color w:val="auto"/>
                      <w:szCs w:val="21"/>
                      <w:highlight w:val="none"/>
                      <w:lang w:eastAsia="zh-CN"/>
                    </w:rPr>
                  </w:pPr>
                  <w:r>
                    <w:rPr>
                      <w:rFonts w:hint="eastAsia"/>
                      <w:color w:val="auto"/>
                      <w:szCs w:val="21"/>
                      <w:highlight w:val="none"/>
                      <w:lang w:eastAsia="zh-CN"/>
                    </w:rPr>
                    <w:t>改扩建后</w:t>
                  </w:r>
                </w:p>
              </w:tc>
              <w:tc>
                <w:tcPr>
                  <w:tcW w:w="678" w:type="dxa"/>
                  <w:vMerge w:val="restart"/>
                  <w:vAlign w:val="center"/>
                </w:tcPr>
                <w:p>
                  <w:pPr>
                    <w:jc w:val="center"/>
                    <w:rPr>
                      <w:rFonts w:hint="eastAsia" w:eastAsia="宋体"/>
                      <w:color w:val="auto"/>
                      <w:szCs w:val="21"/>
                      <w:highlight w:val="none"/>
                      <w:lang w:eastAsia="zh-CN"/>
                    </w:rPr>
                  </w:pPr>
                  <w:r>
                    <w:rPr>
                      <w:rFonts w:hint="eastAsia"/>
                      <w:color w:val="auto"/>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90" w:hRule="atLeast"/>
              </w:trPr>
              <w:tc>
                <w:tcPr>
                  <w:tcW w:w="1217" w:type="dxa"/>
                  <w:vMerge w:val="continue"/>
                  <w:vAlign w:val="center"/>
                </w:tcPr>
                <w:p>
                  <w:pPr>
                    <w:jc w:val="center"/>
                    <w:rPr>
                      <w:rFonts w:hint="eastAsia"/>
                      <w:color w:val="auto"/>
                      <w:szCs w:val="21"/>
                      <w:highlight w:val="none"/>
                    </w:rPr>
                  </w:pPr>
                </w:p>
              </w:tc>
              <w:tc>
                <w:tcPr>
                  <w:tcW w:w="1031" w:type="dxa"/>
                  <w:vAlign w:val="center"/>
                </w:tcPr>
                <w:p>
                  <w:pPr>
                    <w:jc w:val="center"/>
                    <w:rPr>
                      <w:rFonts w:hint="eastAsia"/>
                      <w:color w:val="auto"/>
                      <w:szCs w:val="21"/>
                      <w:highlight w:val="none"/>
                    </w:rPr>
                  </w:pPr>
                  <w:r>
                    <w:rPr>
                      <w:rFonts w:hint="eastAsia"/>
                      <w:color w:val="auto"/>
                      <w:szCs w:val="21"/>
                      <w:highlight w:val="none"/>
                    </w:rPr>
                    <w:t>道路等级</w:t>
                  </w:r>
                </w:p>
              </w:tc>
              <w:tc>
                <w:tcPr>
                  <w:tcW w:w="1031" w:type="dxa"/>
                  <w:vAlign w:val="center"/>
                </w:tcPr>
                <w:p>
                  <w:pPr>
                    <w:jc w:val="center"/>
                    <w:rPr>
                      <w:rFonts w:hint="eastAsia"/>
                      <w:color w:val="auto"/>
                      <w:szCs w:val="21"/>
                      <w:highlight w:val="none"/>
                    </w:rPr>
                  </w:pPr>
                  <w:r>
                    <w:rPr>
                      <w:rFonts w:hint="eastAsia"/>
                      <w:color w:val="auto"/>
                      <w:szCs w:val="21"/>
                      <w:highlight w:val="none"/>
                    </w:rPr>
                    <w:t>道路规模</w:t>
                  </w:r>
                </w:p>
                <w:p>
                  <w:pPr>
                    <w:jc w:val="center"/>
                    <w:rPr>
                      <w:rFonts w:hint="eastAsia"/>
                      <w:color w:val="auto"/>
                      <w:szCs w:val="21"/>
                      <w:highlight w:val="none"/>
                    </w:rPr>
                  </w:pPr>
                  <w:r>
                    <w:rPr>
                      <w:rFonts w:hint="eastAsia"/>
                      <w:color w:val="auto"/>
                      <w:szCs w:val="21"/>
                      <w:highlight w:val="none"/>
                    </w:rPr>
                    <w:t xml:space="preserve">(宽*长)(m) </w:t>
                  </w:r>
                </w:p>
              </w:tc>
              <w:tc>
                <w:tcPr>
                  <w:tcW w:w="1068" w:type="dxa"/>
                  <w:vAlign w:val="center"/>
                </w:tcPr>
                <w:p>
                  <w:pPr>
                    <w:jc w:val="center"/>
                    <w:rPr>
                      <w:rFonts w:hint="eastAsia"/>
                      <w:color w:val="auto"/>
                      <w:szCs w:val="21"/>
                      <w:highlight w:val="none"/>
                    </w:rPr>
                  </w:pPr>
                  <w:r>
                    <w:rPr>
                      <w:rFonts w:hint="eastAsia"/>
                      <w:color w:val="auto"/>
                      <w:szCs w:val="21"/>
                      <w:highlight w:val="none"/>
                    </w:rPr>
                    <w:t>设计速度</w:t>
                  </w:r>
                </w:p>
                <w:p>
                  <w:pPr>
                    <w:jc w:val="center"/>
                    <w:rPr>
                      <w:rFonts w:hint="eastAsia"/>
                      <w:color w:val="auto"/>
                      <w:szCs w:val="21"/>
                      <w:highlight w:val="none"/>
                    </w:rPr>
                  </w:pPr>
                  <w:r>
                    <w:rPr>
                      <w:rFonts w:hint="eastAsia"/>
                      <w:color w:val="auto"/>
                      <w:szCs w:val="21"/>
                      <w:highlight w:val="none"/>
                    </w:rPr>
                    <w:t>（km/h）</w:t>
                  </w:r>
                </w:p>
              </w:tc>
              <w:tc>
                <w:tcPr>
                  <w:tcW w:w="1031"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道路等级</w:t>
                  </w:r>
                </w:p>
              </w:tc>
              <w:tc>
                <w:tcPr>
                  <w:tcW w:w="1031" w:type="dxa"/>
                  <w:vAlign w:val="center"/>
                </w:tcPr>
                <w:p>
                  <w:pPr>
                    <w:jc w:val="center"/>
                    <w:rPr>
                      <w:rFonts w:hint="eastAsia"/>
                      <w:color w:val="auto"/>
                      <w:szCs w:val="21"/>
                      <w:highlight w:val="none"/>
                    </w:rPr>
                  </w:pPr>
                  <w:r>
                    <w:rPr>
                      <w:rFonts w:hint="eastAsia"/>
                      <w:color w:val="auto"/>
                      <w:szCs w:val="21"/>
                      <w:highlight w:val="none"/>
                    </w:rPr>
                    <w:t>道路规模</w:t>
                  </w:r>
                </w:p>
                <w:p>
                  <w:pPr>
                    <w:jc w:val="center"/>
                    <w:rPr>
                      <w:rFonts w:hint="eastAsia"/>
                      <w:color w:val="auto"/>
                      <w:szCs w:val="21"/>
                      <w:highlight w:val="none"/>
                    </w:rPr>
                  </w:pPr>
                  <w:r>
                    <w:rPr>
                      <w:rFonts w:hint="eastAsia"/>
                      <w:color w:val="auto"/>
                      <w:szCs w:val="21"/>
                      <w:highlight w:val="none"/>
                    </w:rPr>
                    <w:t xml:space="preserve">(宽*长)(m) </w:t>
                  </w:r>
                </w:p>
              </w:tc>
              <w:tc>
                <w:tcPr>
                  <w:tcW w:w="1069" w:type="dxa"/>
                  <w:vAlign w:val="center"/>
                </w:tcPr>
                <w:p>
                  <w:pPr>
                    <w:jc w:val="center"/>
                    <w:rPr>
                      <w:rFonts w:hint="eastAsia"/>
                      <w:color w:val="auto"/>
                      <w:szCs w:val="21"/>
                      <w:highlight w:val="none"/>
                    </w:rPr>
                  </w:pPr>
                  <w:r>
                    <w:rPr>
                      <w:rFonts w:hint="eastAsia"/>
                      <w:color w:val="auto"/>
                      <w:szCs w:val="21"/>
                      <w:highlight w:val="none"/>
                    </w:rPr>
                    <w:t>设计速度</w:t>
                  </w:r>
                </w:p>
                <w:p>
                  <w:pPr>
                    <w:jc w:val="center"/>
                    <w:rPr>
                      <w:rFonts w:hint="eastAsia"/>
                      <w:color w:val="auto"/>
                      <w:szCs w:val="21"/>
                      <w:highlight w:val="none"/>
                    </w:rPr>
                  </w:pPr>
                  <w:r>
                    <w:rPr>
                      <w:rFonts w:hint="eastAsia"/>
                      <w:color w:val="auto"/>
                      <w:szCs w:val="21"/>
                      <w:highlight w:val="none"/>
                    </w:rPr>
                    <w:t>（km/h）</w:t>
                  </w:r>
                </w:p>
              </w:tc>
              <w:tc>
                <w:tcPr>
                  <w:tcW w:w="678" w:type="dxa"/>
                  <w:vMerge w:val="continue"/>
                  <w:vAlign w:val="center"/>
                </w:tcPr>
                <w:p>
                  <w:pPr>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13" w:hRule="atLeast"/>
              </w:trPr>
              <w:tc>
                <w:tcPr>
                  <w:tcW w:w="1217" w:type="dxa"/>
                  <w:vAlign w:val="center"/>
                </w:tcPr>
                <w:p>
                  <w:pPr>
                    <w:jc w:val="center"/>
                    <w:rPr>
                      <w:color w:val="auto"/>
                      <w:szCs w:val="21"/>
                      <w:highlight w:val="none"/>
                    </w:rPr>
                  </w:pPr>
                  <w:r>
                    <w:rPr>
                      <w:rFonts w:hint="eastAsia"/>
                      <w:color w:val="auto"/>
                      <w:szCs w:val="21"/>
                      <w:highlight w:val="none"/>
                    </w:rPr>
                    <w:t xml:space="preserve">二环西路 </w:t>
                  </w:r>
                </w:p>
              </w:tc>
              <w:tc>
                <w:tcPr>
                  <w:tcW w:w="1031" w:type="dxa"/>
                  <w:vAlign w:val="center"/>
                </w:tcPr>
                <w:p>
                  <w:pPr>
                    <w:jc w:val="center"/>
                    <w:rPr>
                      <w:color w:val="auto"/>
                      <w:szCs w:val="21"/>
                      <w:highlight w:val="none"/>
                    </w:rPr>
                  </w:pPr>
                  <w:r>
                    <w:rPr>
                      <w:rFonts w:hint="eastAsia"/>
                      <w:color w:val="auto"/>
                      <w:szCs w:val="21"/>
                      <w:highlight w:val="none"/>
                    </w:rPr>
                    <w:t xml:space="preserve">主干路 </w:t>
                  </w:r>
                </w:p>
              </w:tc>
              <w:tc>
                <w:tcPr>
                  <w:tcW w:w="1031" w:type="dxa"/>
                  <w:vAlign w:val="center"/>
                </w:tcPr>
                <w:p>
                  <w:pPr>
                    <w:jc w:val="center"/>
                    <w:rPr>
                      <w:rFonts w:hint="eastAsia"/>
                      <w:color w:val="auto"/>
                      <w:szCs w:val="21"/>
                      <w:highlight w:val="none"/>
                    </w:rPr>
                  </w:pPr>
                  <w:r>
                    <w:rPr>
                      <w:rFonts w:hint="eastAsia"/>
                      <w:color w:val="auto"/>
                      <w:szCs w:val="21"/>
                      <w:highlight w:val="none"/>
                    </w:rPr>
                    <w:t>48*960</w:t>
                  </w:r>
                </w:p>
              </w:tc>
              <w:tc>
                <w:tcPr>
                  <w:tcW w:w="1068" w:type="dxa"/>
                  <w:vAlign w:val="center"/>
                </w:tcPr>
                <w:p>
                  <w:pPr>
                    <w:jc w:val="center"/>
                    <w:rPr>
                      <w:rFonts w:hint="eastAsia"/>
                      <w:color w:val="auto"/>
                      <w:szCs w:val="21"/>
                      <w:highlight w:val="none"/>
                    </w:rPr>
                  </w:pPr>
                  <w:r>
                    <w:rPr>
                      <w:rFonts w:hint="eastAsia"/>
                      <w:color w:val="auto"/>
                      <w:szCs w:val="21"/>
                      <w:highlight w:val="none"/>
                    </w:rPr>
                    <w:t>50</w:t>
                  </w:r>
                </w:p>
              </w:tc>
              <w:tc>
                <w:tcPr>
                  <w:tcW w:w="1031"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 xml:space="preserve">主干路 </w:t>
                  </w:r>
                </w:p>
              </w:tc>
              <w:tc>
                <w:tcPr>
                  <w:tcW w:w="1031"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48*960</w:t>
                  </w:r>
                </w:p>
              </w:tc>
              <w:tc>
                <w:tcPr>
                  <w:tcW w:w="1069" w:type="dxa"/>
                  <w:vAlign w:val="center"/>
                </w:tcPr>
                <w:p>
                  <w:pPr>
                    <w:jc w:val="center"/>
                    <w:rPr>
                      <w:rFonts w:hint="eastAsia"/>
                      <w:color w:val="auto"/>
                      <w:szCs w:val="21"/>
                      <w:highlight w:val="none"/>
                    </w:rPr>
                  </w:pPr>
                  <w:r>
                    <w:rPr>
                      <w:rFonts w:hint="eastAsia"/>
                      <w:color w:val="auto"/>
                      <w:szCs w:val="21"/>
                      <w:highlight w:val="none"/>
                    </w:rPr>
                    <w:t>50，40</w:t>
                  </w:r>
                </w:p>
              </w:tc>
              <w:tc>
                <w:tcPr>
                  <w:tcW w:w="678" w:type="dxa"/>
                  <w:vAlign w:val="center"/>
                </w:tcPr>
                <w:p>
                  <w:pPr>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1217" w:type="dxa"/>
                  <w:vAlign w:val="center"/>
                </w:tcPr>
                <w:p>
                  <w:pPr>
                    <w:jc w:val="center"/>
                    <w:rPr>
                      <w:color w:val="auto"/>
                      <w:szCs w:val="21"/>
                      <w:highlight w:val="none"/>
                    </w:rPr>
                  </w:pPr>
                  <w:r>
                    <w:rPr>
                      <w:rFonts w:hint="eastAsia"/>
                      <w:color w:val="auto"/>
                      <w:szCs w:val="21"/>
                      <w:highlight w:val="none"/>
                    </w:rPr>
                    <w:t xml:space="preserve">象山隧道 </w:t>
                  </w:r>
                </w:p>
              </w:tc>
              <w:tc>
                <w:tcPr>
                  <w:tcW w:w="1031" w:type="dxa"/>
                  <w:vAlign w:val="center"/>
                </w:tcPr>
                <w:p>
                  <w:pPr>
                    <w:jc w:val="center"/>
                    <w:rPr>
                      <w:rFonts w:hint="eastAsia"/>
                      <w:color w:val="auto"/>
                      <w:szCs w:val="21"/>
                      <w:highlight w:val="none"/>
                    </w:rPr>
                  </w:pPr>
                  <w:r>
                    <w:rPr>
                      <w:rFonts w:hint="eastAsia"/>
                      <w:color w:val="auto"/>
                      <w:szCs w:val="21"/>
                      <w:highlight w:val="none"/>
                    </w:rPr>
                    <w:t>主干路</w:t>
                  </w:r>
                </w:p>
              </w:tc>
              <w:tc>
                <w:tcPr>
                  <w:tcW w:w="1031" w:type="dxa"/>
                  <w:vAlign w:val="center"/>
                </w:tcPr>
                <w:p>
                  <w:pPr>
                    <w:jc w:val="center"/>
                    <w:rPr>
                      <w:rFonts w:hint="eastAsia"/>
                      <w:color w:val="auto"/>
                      <w:szCs w:val="21"/>
                      <w:highlight w:val="none"/>
                    </w:rPr>
                  </w:pPr>
                  <w:r>
                    <w:rPr>
                      <w:rFonts w:hint="eastAsia"/>
                      <w:color w:val="auto"/>
                      <w:szCs w:val="21"/>
                      <w:highlight w:val="none"/>
                      <w:lang w:val="en-US" w:eastAsia="zh-CN"/>
                    </w:rPr>
                    <w:t>35.4</w:t>
                  </w:r>
                  <w:r>
                    <w:rPr>
                      <w:rFonts w:hint="eastAsia"/>
                      <w:color w:val="auto"/>
                      <w:szCs w:val="21"/>
                      <w:highlight w:val="none"/>
                    </w:rPr>
                    <w:t>*200</w:t>
                  </w:r>
                </w:p>
              </w:tc>
              <w:tc>
                <w:tcPr>
                  <w:tcW w:w="1068" w:type="dxa"/>
                  <w:vAlign w:val="center"/>
                </w:tcPr>
                <w:p>
                  <w:pPr>
                    <w:jc w:val="center"/>
                    <w:rPr>
                      <w:rFonts w:hint="eastAsia"/>
                      <w:color w:val="auto"/>
                      <w:szCs w:val="21"/>
                      <w:highlight w:val="none"/>
                    </w:rPr>
                  </w:pPr>
                  <w:r>
                    <w:rPr>
                      <w:rFonts w:hint="eastAsia"/>
                      <w:color w:val="auto"/>
                      <w:szCs w:val="21"/>
                      <w:highlight w:val="none"/>
                    </w:rPr>
                    <w:t>50</w:t>
                  </w:r>
                </w:p>
              </w:tc>
              <w:tc>
                <w:tcPr>
                  <w:tcW w:w="1031"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主干路</w:t>
                  </w:r>
                </w:p>
              </w:tc>
              <w:tc>
                <w:tcPr>
                  <w:tcW w:w="1031"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 xml:space="preserve">42.5*200 </w:t>
                  </w:r>
                </w:p>
              </w:tc>
              <w:tc>
                <w:tcPr>
                  <w:tcW w:w="1069" w:type="dxa"/>
                  <w:vAlign w:val="center"/>
                </w:tcPr>
                <w:p>
                  <w:pPr>
                    <w:jc w:val="center"/>
                    <w:rPr>
                      <w:rFonts w:hint="eastAsia"/>
                      <w:color w:val="auto"/>
                      <w:szCs w:val="21"/>
                      <w:highlight w:val="none"/>
                    </w:rPr>
                  </w:pPr>
                  <w:r>
                    <w:rPr>
                      <w:rFonts w:hint="eastAsia"/>
                      <w:color w:val="auto"/>
                      <w:szCs w:val="21"/>
                      <w:highlight w:val="none"/>
                    </w:rPr>
                    <w:t xml:space="preserve">50，40 </w:t>
                  </w:r>
                </w:p>
              </w:tc>
              <w:tc>
                <w:tcPr>
                  <w:tcW w:w="678" w:type="dxa"/>
                  <w:vAlign w:val="center"/>
                </w:tcPr>
                <w:p>
                  <w:pPr>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1217" w:type="dxa"/>
                  <w:vAlign w:val="center"/>
                </w:tcPr>
                <w:p>
                  <w:pPr>
                    <w:jc w:val="center"/>
                    <w:rPr>
                      <w:color w:val="auto"/>
                      <w:szCs w:val="21"/>
                      <w:highlight w:val="none"/>
                    </w:rPr>
                  </w:pPr>
                  <w:r>
                    <w:rPr>
                      <w:rFonts w:hint="eastAsia"/>
                      <w:color w:val="auto"/>
                      <w:szCs w:val="21"/>
                      <w:highlight w:val="none"/>
                    </w:rPr>
                    <w:t xml:space="preserve">掉头匝道 </w:t>
                  </w:r>
                </w:p>
              </w:tc>
              <w:tc>
                <w:tcPr>
                  <w:tcW w:w="1031" w:type="dxa"/>
                  <w:vAlign w:val="center"/>
                </w:tcPr>
                <w:p>
                  <w:pPr>
                    <w:jc w:val="center"/>
                    <w:rPr>
                      <w:rFonts w:hint="eastAsia" w:eastAsia="宋体"/>
                      <w:color w:val="auto"/>
                      <w:szCs w:val="21"/>
                      <w:highlight w:val="none"/>
                      <w:lang w:val="en-US" w:eastAsia="zh-CN"/>
                    </w:rPr>
                  </w:pPr>
                  <w:r>
                    <w:rPr>
                      <w:rFonts w:hint="eastAsia"/>
                      <w:color w:val="auto"/>
                      <w:szCs w:val="21"/>
                      <w:highlight w:val="none"/>
                    </w:rPr>
                    <w:t>匝道</w:t>
                  </w:r>
                </w:p>
              </w:tc>
              <w:tc>
                <w:tcPr>
                  <w:tcW w:w="1031" w:type="dxa"/>
                  <w:vAlign w:val="center"/>
                </w:tcPr>
                <w:p>
                  <w:pPr>
                    <w:jc w:val="center"/>
                    <w:rPr>
                      <w:rFonts w:hint="default" w:eastAsia="宋体"/>
                      <w:color w:val="auto"/>
                      <w:szCs w:val="21"/>
                      <w:highlight w:val="none"/>
                      <w:lang w:val="en-US" w:eastAsia="zh-CN"/>
                    </w:rPr>
                  </w:pPr>
                  <w:r>
                    <w:rPr>
                      <w:rFonts w:hint="eastAsia"/>
                      <w:color w:val="auto"/>
                      <w:szCs w:val="21"/>
                      <w:highlight w:val="none"/>
                    </w:rPr>
                    <w:t xml:space="preserve">7.5*340 </w:t>
                  </w:r>
                </w:p>
              </w:tc>
              <w:tc>
                <w:tcPr>
                  <w:tcW w:w="1068" w:type="dxa"/>
                  <w:vAlign w:val="center"/>
                </w:tcPr>
                <w:p>
                  <w:pPr>
                    <w:jc w:val="center"/>
                    <w:rPr>
                      <w:color w:val="auto"/>
                      <w:szCs w:val="21"/>
                      <w:highlight w:val="none"/>
                    </w:rPr>
                  </w:pPr>
                  <w:r>
                    <w:rPr>
                      <w:rFonts w:hint="eastAsia"/>
                      <w:color w:val="auto"/>
                      <w:szCs w:val="21"/>
                      <w:highlight w:val="none"/>
                    </w:rPr>
                    <w:t xml:space="preserve">30 </w:t>
                  </w:r>
                </w:p>
              </w:tc>
              <w:tc>
                <w:tcPr>
                  <w:tcW w:w="1031"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匝道</w:t>
                  </w:r>
                </w:p>
              </w:tc>
              <w:tc>
                <w:tcPr>
                  <w:tcW w:w="1031" w:type="dxa"/>
                  <w:vAlign w:val="center"/>
                </w:tcPr>
                <w:p>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 xml:space="preserve">7.5*340 </w:t>
                  </w:r>
                </w:p>
              </w:tc>
              <w:tc>
                <w:tcPr>
                  <w:tcW w:w="1069" w:type="dxa"/>
                  <w:vAlign w:val="center"/>
                </w:tcPr>
                <w:p>
                  <w:pPr>
                    <w:jc w:val="center"/>
                    <w:rPr>
                      <w:rFonts w:hint="eastAsia"/>
                      <w:color w:val="auto"/>
                      <w:szCs w:val="21"/>
                      <w:highlight w:val="none"/>
                    </w:rPr>
                  </w:pPr>
                  <w:r>
                    <w:rPr>
                      <w:rFonts w:hint="eastAsia"/>
                      <w:color w:val="auto"/>
                      <w:szCs w:val="21"/>
                      <w:highlight w:val="none"/>
                    </w:rPr>
                    <w:t xml:space="preserve">30 </w:t>
                  </w:r>
                </w:p>
              </w:tc>
              <w:tc>
                <w:tcPr>
                  <w:tcW w:w="678"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重建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1217" w:type="dxa"/>
                  <w:vAlign w:val="center"/>
                </w:tcPr>
                <w:p>
                  <w:pPr>
                    <w:jc w:val="center"/>
                    <w:rPr>
                      <w:color w:val="auto"/>
                      <w:szCs w:val="21"/>
                      <w:highlight w:val="none"/>
                    </w:rPr>
                  </w:pPr>
                  <w:r>
                    <w:rPr>
                      <w:rFonts w:hint="eastAsia"/>
                      <w:color w:val="auto"/>
                      <w:szCs w:val="21"/>
                      <w:highlight w:val="none"/>
                    </w:rPr>
                    <w:t>铜盘高架下匝道</w:t>
                  </w:r>
                </w:p>
              </w:tc>
              <w:tc>
                <w:tcPr>
                  <w:tcW w:w="1031" w:type="dxa"/>
                  <w:vAlign w:val="center"/>
                </w:tcPr>
                <w:p>
                  <w:pPr>
                    <w:jc w:val="center"/>
                    <w:rPr>
                      <w:color w:val="auto"/>
                      <w:szCs w:val="21"/>
                      <w:highlight w:val="none"/>
                    </w:rPr>
                  </w:pPr>
                  <w:r>
                    <w:rPr>
                      <w:rFonts w:hint="eastAsia"/>
                      <w:color w:val="auto"/>
                      <w:szCs w:val="21"/>
                      <w:highlight w:val="none"/>
                      <w:lang w:val="en-US" w:eastAsia="zh-CN"/>
                    </w:rPr>
                    <w:t>/</w:t>
                  </w:r>
                </w:p>
              </w:tc>
              <w:tc>
                <w:tcPr>
                  <w:tcW w:w="1031" w:type="dxa"/>
                  <w:vAlign w:val="center"/>
                </w:tcPr>
                <w:p>
                  <w:pPr>
                    <w:jc w:val="center"/>
                    <w:rPr>
                      <w:rFonts w:hint="eastAsia"/>
                      <w:color w:val="auto"/>
                      <w:szCs w:val="21"/>
                      <w:highlight w:val="none"/>
                    </w:rPr>
                  </w:pPr>
                  <w:r>
                    <w:rPr>
                      <w:rFonts w:hint="eastAsia"/>
                      <w:color w:val="auto"/>
                      <w:szCs w:val="21"/>
                      <w:highlight w:val="none"/>
                      <w:lang w:val="en-US" w:eastAsia="zh-CN"/>
                    </w:rPr>
                    <w:t>/</w:t>
                  </w:r>
                </w:p>
              </w:tc>
              <w:tc>
                <w:tcPr>
                  <w:tcW w:w="1068"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1031" w:type="dxa"/>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匝道</w:t>
                  </w:r>
                </w:p>
              </w:tc>
              <w:tc>
                <w:tcPr>
                  <w:tcW w:w="1031" w:type="dxa"/>
                  <w:vAlign w:val="center"/>
                </w:tcPr>
                <w:p>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6.5*120</w:t>
                  </w:r>
                </w:p>
              </w:tc>
              <w:tc>
                <w:tcPr>
                  <w:tcW w:w="1069" w:type="dxa"/>
                  <w:vAlign w:val="center"/>
                </w:tcPr>
                <w:p>
                  <w:pPr>
                    <w:jc w:val="center"/>
                    <w:rPr>
                      <w:rFonts w:hint="eastAsia"/>
                      <w:color w:val="auto"/>
                      <w:szCs w:val="21"/>
                      <w:highlight w:val="none"/>
                    </w:rPr>
                  </w:pPr>
                  <w:r>
                    <w:rPr>
                      <w:rFonts w:hint="eastAsia"/>
                      <w:color w:val="auto"/>
                      <w:szCs w:val="21"/>
                      <w:highlight w:val="none"/>
                    </w:rPr>
                    <w:t xml:space="preserve">40 </w:t>
                  </w:r>
                </w:p>
              </w:tc>
              <w:tc>
                <w:tcPr>
                  <w:tcW w:w="678"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新建</w:t>
                  </w:r>
                </w:p>
              </w:tc>
            </w:tr>
          </w:tbl>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（一）道路主要技术指标</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（1）道路等级：城市主干道；</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（2）设计速度：二环主线 50km/h，二环辅路 40 km/h，匝道 30 km/h；</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（3）线路纵坡：最大 5%，最小 0.3%；</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（4）路面等级：沥青混凝土路面；</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（5）路面设计年限：15 年；</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（6）路面设计标准轴载：BZZ-100；</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（7）路线交叉：立体交叉；</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 xml:space="preserve">（8）地震烈度：设计地震基本烈度为 7 度，基本地震加速度 0.1g </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（二）隧道主要技术标准</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（1）隧道主体结构设计使用年限:100 年；</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（2）隧道内设计速度：50km/h；</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（3）隧道限界：隧道内机动车道宽取 3.5m，限界高度取 4.5m，侧向宽度 0.25m；非机动车道取 3.5m，限界高度取 2.5m；人行道取 2m，限界高度取 2.5m；</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（4）设计荷载：城—A 级；汽车超 20 级，挂车—120 级检算</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（5）设计安全等级：一级</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（6）结构防水等级：二级</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（7）结构耐火等级：一级；</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（8）三级裂缝控制等级，裂缝开展宽度δ≤ 0.2mm。</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（9）结构设计按最不利情况进行抗浮稳定验算。在不考虑侧壁摩阻力时，其抗浮安全 系数大于 1.05；当考虑侧壁摩阻力时，其抗浮安全系数大于 1.10。</w:t>
            </w:r>
          </w:p>
          <w:p>
            <w:pPr>
              <w:adjustRightInd w:val="0"/>
              <w:snapToGrid w:val="0"/>
              <w:spacing w:line="360" w:lineRule="auto"/>
              <w:ind w:firstLine="480" w:firstLineChars="200"/>
              <w:rPr>
                <w:rFonts w:ascii="宋体" w:hAnsi="宋体" w:cs="宋体"/>
                <w:color w:val="auto"/>
                <w:kern w:val="0"/>
                <w:szCs w:val="21"/>
                <w:highlight w:val="none"/>
              </w:rPr>
            </w:pPr>
            <w:r>
              <w:rPr>
                <w:rFonts w:hint="eastAsia" w:hAnsi="宋体"/>
                <w:color w:val="auto"/>
                <w:sz w:val="24"/>
                <w:highlight w:val="none"/>
              </w:rPr>
              <w:t>（10）隧道结构抗震设防烈度为七度。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19" w:hRule="atLeast"/>
          <w:jc w:val="center"/>
        </w:trPr>
        <w:tc>
          <w:tcPr>
            <w:tcW w:w="710"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总平面及现场布置</w:t>
            </w:r>
          </w:p>
        </w:tc>
        <w:tc>
          <w:tcPr>
            <w:tcW w:w="8380" w:type="dxa"/>
            <w:vAlign w:val="center"/>
          </w:tcPr>
          <w:p>
            <w:pPr>
              <w:adjustRightInd w:val="0"/>
              <w:snapToGrid w:val="0"/>
              <w:spacing w:line="360" w:lineRule="auto"/>
              <w:ind w:firstLine="482" w:firstLineChars="200"/>
              <w:rPr>
                <w:rFonts w:hAnsi="宋体"/>
                <w:b/>
                <w:bCs/>
                <w:color w:val="auto"/>
                <w:sz w:val="24"/>
                <w:highlight w:val="none"/>
              </w:rPr>
            </w:pPr>
            <w:r>
              <w:rPr>
                <w:rFonts w:hint="eastAsia" w:hAnsi="宋体"/>
                <w:b/>
                <w:bCs/>
                <w:color w:val="auto"/>
                <w:sz w:val="24"/>
                <w:highlight w:val="none"/>
              </w:rPr>
              <w:t>1、总平面布置</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（1）隧道平面布置</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主线下穿隧道 U 型槽口与铜盘高架落地点相接，南侧 U 型槽口位于梦山北路以长176 m，隧道暗埋段长420m（暗挖段320m，明挖暗埋段 100m），北侧U型槽长100m，南侧U型槽长150m。U 型槽纵坡6%，5.5%，为V 字形。</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（2）主辅路转换系统布局</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主辅路系统布局与连体式方案相同。</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（3）辅路系统交通组织</w:t>
            </w:r>
          </w:p>
          <w:p>
            <w:pPr>
              <w:adjustRightInd w:val="0"/>
              <w:snapToGrid w:val="0"/>
              <w:spacing w:line="360" w:lineRule="auto"/>
              <w:ind w:firstLine="480" w:firstLineChars="200"/>
              <w:rPr>
                <w:rFonts w:hint="default" w:hAnsi="宋体" w:eastAsia="宋体"/>
                <w:color w:val="auto"/>
                <w:sz w:val="24"/>
                <w:highlight w:val="none"/>
                <w:lang w:val="en-US" w:eastAsia="zh-CN"/>
              </w:rPr>
            </w:pPr>
            <w:r>
              <w:rPr>
                <w:rFonts w:hint="eastAsia" w:hAnsi="宋体"/>
                <w:color w:val="auto"/>
                <w:sz w:val="24"/>
                <w:highlight w:val="none"/>
              </w:rPr>
              <w:t>除U型槽口位置及长度略有变化外，辅路系统交通组织基本与连体式方案相同。</w:t>
            </w:r>
            <w:r>
              <w:rPr>
                <w:rFonts w:hint="eastAsia" w:hAnsi="宋体"/>
                <w:color w:val="auto"/>
                <w:sz w:val="24"/>
                <w:highlight w:val="none"/>
                <w:lang w:eastAsia="zh-CN"/>
              </w:rPr>
              <w:t>项目总平面图布置图详见附图</w:t>
            </w:r>
            <w:r>
              <w:rPr>
                <w:rFonts w:hint="eastAsia" w:hAnsi="宋体"/>
                <w:color w:val="auto"/>
                <w:sz w:val="24"/>
                <w:highlight w:val="none"/>
                <w:lang w:val="en-US" w:eastAsia="zh-CN"/>
              </w:rPr>
              <w:t>3。</w:t>
            </w:r>
          </w:p>
          <w:p>
            <w:pPr>
              <w:adjustRightInd w:val="0"/>
              <w:snapToGrid w:val="0"/>
              <w:spacing w:line="360" w:lineRule="auto"/>
              <w:ind w:firstLine="482" w:firstLineChars="200"/>
              <w:rPr>
                <w:rFonts w:hint="eastAsia" w:hAnsi="宋体"/>
                <w:b/>
                <w:bCs/>
                <w:color w:val="auto"/>
                <w:sz w:val="24"/>
                <w:highlight w:val="none"/>
                <w:lang w:eastAsia="zh-CN"/>
              </w:rPr>
            </w:pPr>
            <w:r>
              <w:rPr>
                <w:rFonts w:hint="eastAsia" w:hAnsi="宋体"/>
                <w:b/>
                <w:bCs/>
                <w:color w:val="auto"/>
                <w:sz w:val="24"/>
                <w:highlight w:val="none"/>
                <w:lang w:val="en-US" w:eastAsia="zh-CN"/>
              </w:rPr>
              <w:t>2、</w:t>
            </w:r>
            <w:r>
              <w:rPr>
                <w:rFonts w:hint="eastAsia" w:hAnsi="宋体"/>
                <w:b/>
                <w:bCs/>
                <w:color w:val="auto"/>
                <w:sz w:val="24"/>
                <w:highlight w:val="none"/>
              </w:rPr>
              <w:t>道路横断面设计</w:t>
            </w:r>
          </w:p>
          <w:p>
            <w:pPr>
              <w:numPr>
                <w:ilvl w:val="0"/>
                <w:numId w:val="2"/>
              </w:numPr>
              <w:autoSpaceDE w:val="0"/>
              <w:autoSpaceDN w:val="0"/>
              <w:spacing w:line="360" w:lineRule="auto"/>
              <w:ind w:firstLine="480" w:firstLineChars="200"/>
              <w:jc w:val="left"/>
              <w:rPr>
                <w:rFonts w:hint="eastAsia"/>
                <w:color w:val="auto"/>
                <w:sz w:val="24"/>
                <w:highlight w:val="none"/>
                <w:lang w:eastAsia="zh-CN"/>
              </w:rPr>
            </w:pPr>
            <w:r>
              <w:rPr>
                <w:rFonts w:hint="eastAsia"/>
                <w:color w:val="auto"/>
                <w:sz w:val="24"/>
                <w:highlight w:val="none"/>
                <w:lang w:eastAsia="zh-CN"/>
              </w:rPr>
              <w:t>现状道路标准横断面</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sz w:val="24"/>
                <w:highlight w:val="none"/>
                <w:lang w:eastAsia="zh-CN"/>
              </w:rPr>
            </w:pPr>
            <w:r>
              <w:rPr>
                <w:rFonts w:hint="eastAsia"/>
                <w:color w:val="auto"/>
                <w:sz w:val="24"/>
                <w:highlight w:val="none"/>
                <w:lang w:val="en-US" w:eastAsia="zh-CN"/>
              </w:rPr>
              <w:t>①</w:t>
            </w:r>
            <w:r>
              <w:rPr>
                <w:rFonts w:hint="eastAsia"/>
                <w:color w:val="auto"/>
                <w:sz w:val="24"/>
                <w:highlight w:val="none"/>
                <w:lang w:eastAsia="zh-CN"/>
              </w:rPr>
              <w:t>二环西路</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sz w:val="24"/>
                <w:highlight w:val="none"/>
                <w:lang w:eastAsia="zh-CN"/>
              </w:rPr>
            </w:pPr>
            <w:r>
              <w:rPr>
                <w:rFonts w:hint="eastAsia"/>
                <w:color w:val="auto"/>
                <w:sz w:val="24"/>
                <w:highlight w:val="none"/>
                <w:lang w:eastAsia="zh-CN"/>
              </w:rPr>
              <w:t>二环西路道路等级为城市主干路。道路红线宽度为 48m，断面布置如为：6m人行道（含树池）+3.75m 非机动车道（含路缘带）+13.5 机动车道+1.5 中央护栏（含 路缘带）+13.5 机动车道+3.75m 非机动车道（含路缘带）6m 人行道（含树池）=48m道路宽度。其中隧道北洞口布置有现状铜盘高架落地段，隧道南洞口布置有现状九00 医院掉头匝道。具体断面如下：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color w:val="auto"/>
                <w:sz w:val="24"/>
                <w:highlight w:val="none"/>
              </w:rPr>
              <w:t>象山隧道北洞口二环西路断面为主路高架双向4车道+辅路双向4车道。道路红线宽度为48m，断面布置如为：5.5m人行道（含树池）+2.75m非机动车道（含路缘带）+7m 机动车道（含路缘带）+17.5双向四车道高架+7m机动车道（含路缘 带）+2.75m非机动车道（含路缘带）5.5m人行道（含树池）=48m道路宽度，具体断面如下：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象山隧道南洞口二环西路断面为主路双向</w:t>
            </w:r>
            <w:r>
              <w:rPr>
                <w:rFonts w:hint="default" w:ascii="Times New Roman" w:hAnsi="Times New Roman" w:eastAsia="宋体"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车道</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 xml:space="preserve">掉头匝道，其中人非慢行道均位于红线外。现状道路宽度为 </w:t>
            </w:r>
            <w:r>
              <w:rPr>
                <w:rFonts w:hint="default" w:ascii="Times New Roman" w:hAnsi="Times New Roman" w:eastAsia="宋体" w:cs="Times New Roman"/>
                <w:color w:val="auto"/>
                <w:sz w:val="24"/>
                <w:highlight w:val="none"/>
                <w:lang w:val="en-US" w:eastAsia="zh-CN"/>
              </w:rPr>
              <w:t>60m</w:t>
            </w:r>
            <w:r>
              <w:rPr>
                <w:rFonts w:hint="eastAsia" w:ascii="Times New Roman" w:hAnsi="Times New Roman" w:eastAsia="宋体" w:cs="Times New Roman"/>
                <w:color w:val="auto"/>
                <w:sz w:val="24"/>
                <w:highlight w:val="none"/>
                <w:lang w:val="en-US" w:eastAsia="zh-CN"/>
              </w:rPr>
              <w:t>，断面布置如为：</w:t>
            </w:r>
            <w:r>
              <w:rPr>
                <w:rFonts w:hint="default" w:ascii="Times New Roman" w:hAnsi="Times New Roman" w:eastAsia="宋体" w:cs="Times New Roman"/>
                <w:color w:val="auto"/>
                <w:sz w:val="24"/>
                <w:highlight w:val="none"/>
                <w:lang w:val="en-US" w:eastAsia="zh-CN"/>
              </w:rPr>
              <w:t>2m</w:t>
            </w:r>
            <w:r>
              <w:rPr>
                <w:rFonts w:hint="eastAsia" w:ascii="Times New Roman" w:hAnsi="Times New Roman" w:eastAsia="宋体" w:cs="Times New Roman"/>
                <w:color w:val="auto"/>
                <w:sz w:val="24"/>
                <w:highlight w:val="none"/>
                <w:lang w:val="en-US" w:eastAsia="zh-CN"/>
              </w:rPr>
              <w:t>人行道</w:t>
            </w:r>
            <w:r>
              <w:rPr>
                <w:rFonts w:hint="default" w:ascii="Times New Roman" w:hAnsi="Times New Roman" w:eastAsia="宋体" w:cs="Times New Roman"/>
                <w:color w:val="auto"/>
                <w:sz w:val="24"/>
                <w:highlight w:val="none"/>
                <w:lang w:val="en-US" w:eastAsia="zh-CN"/>
              </w:rPr>
              <w:t>+4m</w:t>
            </w:r>
            <w:r>
              <w:rPr>
                <w:rFonts w:hint="eastAsia" w:ascii="Times New Roman" w:hAnsi="Times New Roman" w:eastAsia="宋体" w:cs="Times New Roman"/>
                <w:color w:val="auto"/>
                <w:sz w:val="24"/>
                <w:highlight w:val="none"/>
                <w:lang w:val="en-US" w:eastAsia="zh-CN"/>
              </w:rPr>
              <w:t>非机动车道</w:t>
            </w:r>
            <w:r>
              <w:rPr>
                <w:rFonts w:hint="default" w:ascii="Times New Roman" w:hAnsi="Times New Roman" w:eastAsia="宋体" w:cs="Times New Roman"/>
                <w:color w:val="auto"/>
                <w:sz w:val="24"/>
                <w:highlight w:val="none"/>
                <w:lang w:val="en-US" w:eastAsia="zh-CN"/>
              </w:rPr>
              <w:t>+8m</w:t>
            </w:r>
            <w:r>
              <w:rPr>
                <w:rFonts w:hint="eastAsia" w:ascii="Times New Roman" w:hAnsi="Times New Roman" w:eastAsia="宋体" w:cs="Times New Roman"/>
                <w:color w:val="auto"/>
                <w:sz w:val="24"/>
                <w:highlight w:val="none"/>
                <w:lang w:val="en-US" w:eastAsia="zh-CN"/>
              </w:rPr>
              <w:t>掉头匝道</w:t>
            </w:r>
            <w:r>
              <w:rPr>
                <w:rFonts w:hint="default" w:ascii="Times New Roman" w:hAnsi="Times New Roman" w:eastAsia="宋体" w:cs="Times New Roman"/>
                <w:color w:val="auto"/>
                <w:sz w:val="24"/>
                <w:highlight w:val="none"/>
                <w:lang w:val="en-US" w:eastAsia="zh-CN"/>
              </w:rPr>
              <w:t>+32m</w:t>
            </w:r>
            <w:r>
              <w:rPr>
                <w:rFonts w:hint="eastAsia" w:ascii="Times New Roman" w:hAnsi="Times New Roman" w:eastAsia="宋体" w:cs="Times New Roman"/>
                <w:color w:val="auto"/>
                <w:sz w:val="24"/>
                <w:highlight w:val="none"/>
                <w:lang w:val="en-US" w:eastAsia="zh-CN"/>
              </w:rPr>
              <w:t>机动车道（双向</w:t>
            </w:r>
            <w:r>
              <w:rPr>
                <w:rFonts w:hint="default" w:ascii="Times New Roman" w:hAnsi="Times New Roman" w:eastAsia="宋体"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车道含中央护栏及路缘带）</w:t>
            </w:r>
            <w:r>
              <w:rPr>
                <w:rFonts w:hint="default" w:ascii="Times New Roman" w:hAnsi="Times New Roman" w:eastAsia="宋体" w:cs="Times New Roman"/>
                <w:color w:val="auto"/>
                <w:sz w:val="24"/>
                <w:highlight w:val="none"/>
                <w:lang w:val="en-US" w:eastAsia="zh-CN"/>
              </w:rPr>
              <w:t>+8m</w:t>
            </w:r>
            <w:r>
              <w:rPr>
                <w:rFonts w:hint="eastAsia" w:ascii="Times New Roman" w:hAnsi="Times New Roman" w:eastAsia="宋体" w:cs="Times New Roman"/>
                <w:color w:val="auto"/>
                <w:sz w:val="24"/>
                <w:highlight w:val="none"/>
                <w:lang w:val="en-US" w:eastAsia="zh-CN"/>
              </w:rPr>
              <w:t>掉头匝道</w:t>
            </w:r>
            <w:r>
              <w:rPr>
                <w:rFonts w:hint="default" w:ascii="Times New Roman" w:hAnsi="Times New Roman" w:eastAsia="宋体" w:cs="Times New Roman"/>
                <w:color w:val="auto"/>
                <w:sz w:val="24"/>
                <w:highlight w:val="none"/>
                <w:lang w:val="en-US" w:eastAsia="zh-CN"/>
              </w:rPr>
              <w:t>+6m</w:t>
            </w:r>
            <w:r>
              <w:rPr>
                <w:rFonts w:hint="eastAsia" w:ascii="Times New Roman" w:hAnsi="Times New Roman" w:eastAsia="宋体" w:cs="Times New Roman"/>
                <w:color w:val="auto"/>
                <w:sz w:val="24"/>
                <w:highlight w:val="none"/>
                <w:lang w:val="en-US" w:eastAsia="zh-CN"/>
              </w:rPr>
              <w:t>人非慢行道（含树池）</w:t>
            </w:r>
            <w:r>
              <w:rPr>
                <w:rFonts w:hint="default" w:ascii="Times New Roman" w:hAnsi="Times New Roman" w:eastAsia="宋体" w:cs="Times New Roman"/>
                <w:color w:val="auto"/>
                <w:sz w:val="24"/>
                <w:highlight w:val="none"/>
                <w:lang w:val="en-US" w:eastAsia="zh-CN"/>
              </w:rPr>
              <w:t>=60m</w:t>
            </w:r>
            <w:r>
              <w:rPr>
                <w:rFonts w:hint="eastAsia" w:ascii="Times New Roman" w:hAnsi="Times New Roman" w:eastAsia="宋体" w:cs="Times New Roman"/>
                <w:color w:val="auto"/>
                <w:sz w:val="24"/>
                <w:highlight w:val="none"/>
                <w:lang w:val="en-US" w:eastAsia="zh-CN"/>
              </w:rPr>
              <w:t>道路宽度，具体断面如下：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②象山隧道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现有象山隧道位于福州市城市主干道二环路西段，主洞隧道于</w:t>
            </w:r>
            <w:r>
              <w:rPr>
                <w:rFonts w:hint="default" w:ascii="Times New Roman" w:hAnsi="Times New Roman" w:eastAsia="宋体" w:cs="Times New Roman"/>
                <w:color w:val="auto"/>
                <w:sz w:val="24"/>
                <w:highlight w:val="none"/>
                <w:lang w:val="en-US" w:eastAsia="zh-CN"/>
              </w:rPr>
              <w:t>1994</w:t>
            </w:r>
            <w:r>
              <w:rPr>
                <w:rFonts w:hint="eastAsia" w:ascii="Times New Roman" w:hAnsi="Times New Roman" w:eastAsia="宋体" w:cs="Times New Roman"/>
                <w:color w:val="auto"/>
                <w:sz w:val="24"/>
                <w:highlight w:val="none"/>
                <w:lang w:val="en-US" w:eastAsia="zh-CN"/>
              </w:rPr>
              <w:t>年建成通车，设计行车速度</w:t>
            </w:r>
            <w:r>
              <w:rPr>
                <w:rFonts w:hint="default" w:ascii="Times New Roman" w:hAnsi="Times New Roman" w:eastAsia="宋体" w:cs="Times New Roman"/>
                <w:color w:val="auto"/>
                <w:sz w:val="24"/>
                <w:highlight w:val="none"/>
                <w:lang w:val="en-US" w:eastAsia="zh-CN"/>
              </w:rPr>
              <w:t>50km/h</w:t>
            </w:r>
            <w:r>
              <w:rPr>
                <w:rFonts w:hint="eastAsia" w:ascii="Times New Roman" w:hAnsi="Times New Roman" w:eastAsia="宋体" w:cs="Times New Roman"/>
                <w:color w:val="auto"/>
                <w:sz w:val="24"/>
                <w:highlight w:val="none"/>
                <w:lang w:val="en-US" w:eastAsia="zh-CN"/>
              </w:rPr>
              <w:t>，设计为四洞联拱隧道，洞顶覆土深度约</w:t>
            </w:r>
            <w:r>
              <w:rPr>
                <w:rFonts w:hint="default" w:ascii="Times New Roman" w:hAnsi="Times New Roman" w:eastAsia="宋体" w:cs="Times New Roman"/>
                <w:color w:val="auto"/>
                <w:sz w:val="24"/>
                <w:highlight w:val="none"/>
                <w:lang w:val="en-US" w:eastAsia="zh-CN"/>
              </w:rPr>
              <w:t>20m</w:t>
            </w:r>
            <w:r>
              <w:rPr>
                <w:rFonts w:hint="eastAsia" w:ascii="Times New Roman" w:hAnsi="Times New Roman" w:eastAsia="宋体" w:cs="Times New Roman"/>
                <w:color w:val="auto"/>
                <w:sz w:val="24"/>
                <w:highlight w:val="none"/>
                <w:lang w:val="en-US" w:eastAsia="zh-CN"/>
              </w:rPr>
              <w:t>。中间两洞通行机动车，双向</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车道，车道宽</w:t>
            </w:r>
            <w:r>
              <w:rPr>
                <w:rFonts w:hint="default" w:ascii="Times New Roman" w:hAnsi="Times New Roman" w:eastAsia="宋体" w:cs="Times New Roman"/>
                <w:color w:val="auto"/>
                <w:sz w:val="24"/>
                <w:highlight w:val="none"/>
                <w:lang w:val="en-US" w:eastAsia="zh-CN"/>
              </w:rPr>
              <w:t>8m</w:t>
            </w:r>
            <w:r>
              <w:rPr>
                <w:rFonts w:hint="eastAsia" w:ascii="Times New Roman" w:hAnsi="Times New Roman" w:eastAsia="宋体" w:cs="Times New Roman"/>
                <w:color w:val="auto"/>
                <w:sz w:val="24"/>
                <w:highlight w:val="none"/>
                <w:lang w:val="en-US" w:eastAsia="zh-CN"/>
              </w:rPr>
              <w:t>（含路缘带），建筑限界高</w:t>
            </w:r>
            <w:r>
              <w:rPr>
                <w:rFonts w:hint="default" w:ascii="Times New Roman" w:hAnsi="Times New Roman" w:eastAsia="宋体" w:cs="Times New Roman"/>
                <w:color w:val="auto"/>
                <w:sz w:val="24"/>
                <w:highlight w:val="none"/>
                <w:lang w:val="en-US" w:eastAsia="zh-CN"/>
              </w:rPr>
              <w:t>5m</w:t>
            </w:r>
            <w:r>
              <w:rPr>
                <w:rFonts w:hint="eastAsia" w:ascii="Times New Roman" w:hAnsi="Times New Roman" w:eastAsia="宋体" w:cs="Times New Roman"/>
                <w:color w:val="auto"/>
                <w:sz w:val="24"/>
                <w:highlight w:val="none"/>
                <w:lang w:val="en-US" w:eastAsia="zh-CN"/>
              </w:rPr>
              <w:t>；外侧两洞原设计为人非混行车道，车道宽约</w:t>
            </w:r>
            <w:r>
              <w:rPr>
                <w:rFonts w:hint="default" w:ascii="Times New Roman" w:hAnsi="Times New Roman" w:eastAsia="宋体" w:cs="Times New Roman"/>
                <w:color w:val="auto"/>
                <w:sz w:val="24"/>
                <w:highlight w:val="none"/>
                <w:lang w:val="en-US" w:eastAsia="zh-CN"/>
              </w:rPr>
              <w:t>5m</w:t>
            </w:r>
            <w:r>
              <w:rPr>
                <w:rFonts w:hint="eastAsia" w:ascii="Times New Roman" w:hAnsi="Times New Roman" w:eastAsia="宋体" w:cs="Times New Roman"/>
                <w:color w:val="auto"/>
                <w:sz w:val="24"/>
                <w:highlight w:val="none"/>
                <w:lang w:val="en-US" w:eastAsia="zh-CN"/>
              </w:rPr>
              <w:t>（含路缘带），建筑限界高大于</w:t>
            </w:r>
            <w:r>
              <w:rPr>
                <w:rFonts w:hint="default" w:ascii="Times New Roman" w:hAnsi="Times New Roman" w:eastAsia="宋体" w:cs="Times New Roman"/>
                <w:color w:val="auto"/>
                <w:sz w:val="24"/>
                <w:highlight w:val="none"/>
                <w:lang w:val="en-US" w:eastAsia="zh-CN"/>
              </w:rPr>
              <w:t>3.5m</w:t>
            </w:r>
            <w:r>
              <w:rPr>
                <w:rFonts w:hint="eastAsia" w:ascii="Times New Roman" w:hAnsi="Times New Roman" w:eastAsia="宋体" w:cs="Times New Roman"/>
                <w:color w:val="auto"/>
                <w:sz w:val="24"/>
                <w:highlight w:val="none"/>
                <w:lang w:val="en-US" w:eastAsia="zh-CN"/>
              </w:rPr>
              <w:t>。 近年来为缓解交通压力，两侧洞开放小型机动车通行。</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③其余被交支路</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梅峰支路，现状为双向4车道，城市支路，设计速度30km/h，红线宽30m，其中断面布置为4.5m人行道（局部宽度不足4.5m）+9.5m车行道（局部宽度不足9.5m）+2m中央绿化带++9.5m车行道（局部宽度不足9.5m）+4.5m人行道（局部宽度不足4.5m）=30m。</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B</w:t>
            </w:r>
            <w:r>
              <w:rPr>
                <w:rFonts w:hint="eastAsia" w:ascii="Times New Roman" w:hAnsi="Times New Roman" w:eastAsia="宋体" w:cs="Times New Roman"/>
                <w:color w:val="auto"/>
                <w:sz w:val="24"/>
                <w:highlight w:val="none"/>
                <w:lang w:val="en-US" w:eastAsia="zh-CN"/>
              </w:rPr>
              <w:t>、湖头街，现状为双向2车道，城市支路，设计速度30km/h，红线宽16m，其中断面布置为4.5m人行道（小区地块侧）+7.5m双向两车道+4m人行道（西湖侧）=16m。</w:t>
            </w:r>
          </w:p>
          <w:p>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（2）改造后道路标准横断面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①二环西路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en-US" w:eastAsia="zh-CN"/>
              </w:rPr>
            </w:pPr>
            <w:r>
              <w:rPr>
                <w:rFonts w:hint="eastAsia" w:ascii="Times New Roman" w:hAnsi="Times New Roman" w:eastAsia="宋体" w:cs="Times New Roman"/>
                <w:color w:val="auto"/>
                <w:sz w:val="24"/>
                <w:highlight w:val="none"/>
                <w:lang w:val="en-US" w:eastAsia="zh-CN"/>
              </w:rPr>
              <w:t>本次二环路断面改造依照现状道路进行断面改造。具体典型断面如下：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象山改造后标准横断面图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本次改造采用拆除既有隧道，新建双层隧道方案，拓宽后隧道可保证双向10车道断面，上层断面布置如为：0.25m路缘带+3.5m机动车道+3.5m机动车道+0.25m路缘带+0.5m 护栏+3.0m非机动车道+2m人行道=13m。下层断面布置如为：0.25m路缘带+3.25m机动车道+3.5m机动车道+3.75m应急车道+0.25m路缘带=11m，其中第三车道预留为远期二环拓容车道，近期按应急车道使用。</w:t>
            </w:r>
          </w:p>
          <w:p>
            <w:pPr>
              <w:adjustRightInd w:val="0"/>
              <w:snapToGrid w:val="0"/>
              <w:spacing w:line="360" w:lineRule="auto"/>
              <w:ind w:firstLine="482" w:firstLineChars="200"/>
              <w:rPr>
                <w:rFonts w:hint="eastAsia" w:hAnsi="宋体"/>
                <w:b/>
                <w:bCs/>
                <w:color w:val="auto"/>
                <w:sz w:val="24"/>
                <w:highlight w:val="none"/>
              </w:rPr>
            </w:pPr>
            <w:r>
              <w:rPr>
                <w:rFonts w:hint="eastAsia" w:hAnsi="宋体"/>
                <w:b/>
                <w:bCs/>
                <w:color w:val="auto"/>
                <w:sz w:val="24"/>
                <w:highlight w:val="none"/>
                <w:lang w:val="en-US" w:eastAsia="zh-CN"/>
              </w:rPr>
              <w:t>3</w:t>
            </w:r>
            <w:r>
              <w:rPr>
                <w:rFonts w:hint="eastAsia" w:hAnsi="宋体"/>
                <w:b/>
                <w:bCs/>
                <w:color w:val="auto"/>
                <w:sz w:val="24"/>
                <w:highlight w:val="none"/>
              </w:rPr>
              <w:t>、道路纵断面设计</w:t>
            </w:r>
          </w:p>
          <w:p>
            <w:pPr>
              <w:adjustRightInd w:val="0"/>
              <w:snapToGrid w:val="0"/>
              <w:spacing w:line="360" w:lineRule="auto"/>
              <w:ind w:firstLine="480" w:firstLineChars="200"/>
              <w:rPr>
                <w:rFonts w:hint="default" w:hAnsi="宋体" w:eastAsia="宋体"/>
                <w:color w:val="auto"/>
                <w:sz w:val="24"/>
                <w:highlight w:val="none"/>
                <w:lang w:val="en-US" w:eastAsia="zh-CN"/>
              </w:rPr>
            </w:pPr>
            <w:r>
              <w:rPr>
                <w:rFonts w:hint="eastAsia" w:hAnsi="宋体"/>
                <w:color w:val="auto"/>
                <w:sz w:val="24"/>
                <w:highlight w:val="none"/>
              </w:rPr>
              <w:t>二环西路辅路纵断设计，隧道纵坡与现状二环隧道纵坡坡度一致，全线最小纵坡按 0.43%控制，最大纵坡为2.52%，最小坡长为 130m，最大坡长 321m，最小凸曲线半径 R=3450m，最小凹曲线半径 R=3500m,最小竖曲线长度 90m，二环西路主路纵断设计，分左右线进行竖向控制，全线最小纵坡按 0.43%控制，最大纵坡为 5%，其中北侧主线接现状铜盘高架，主线纵坡与现状高架纵坡 5.6%保持一致，最小坡长为 130m，最大坡长 298m，最小凸曲线半径R=2500m，最小凹曲线半径 R=1400m,最小竖曲线长度 61.6m。 新建二环铜盘高架出口匝道，纵断设计最小纵坡按1.469%控制，最大纵坡为5.6%，与现状铜盘高架纵坡5.6%保持一致，最小凹曲线半径 R=1000m，最小竖曲线长度70.9m，各项竖曲线要素指标均满足规范要求。还建二环九 00 医院掉头匝道，纵断设计中最大纵坡为6.958%，最小凸曲线半径 R=700m，最小凹曲线半径 R=850m。</w:t>
            </w:r>
            <w:r>
              <w:rPr>
                <w:rFonts w:hint="eastAsia" w:hAnsi="宋体"/>
                <w:color w:val="auto"/>
                <w:sz w:val="24"/>
                <w:highlight w:val="none"/>
                <w:lang w:eastAsia="zh-CN"/>
              </w:rPr>
              <w:t>本项目纵断面图详见附图</w:t>
            </w:r>
            <w:r>
              <w:rPr>
                <w:rFonts w:hint="eastAsia" w:hAnsi="宋体"/>
                <w:color w:val="auto"/>
                <w:sz w:val="24"/>
                <w:highlight w:val="none"/>
                <w:lang w:val="en-US" w:eastAsia="zh-CN"/>
              </w:rPr>
              <w:t>5。</w:t>
            </w:r>
          </w:p>
          <w:p>
            <w:pPr>
              <w:adjustRightInd w:val="0"/>
              <w:snapToGrid w:val="0"/>
              <w:spacing w:line="360" w:lineRule="auto"/>
              <w:ind w:firstLine="482" w:firstLineChars="200"/>
              <w:rPr>
                <w:rFonts w:hint="eastAsia" w:hAnsi="宋体"/>
                <w:b/>
                <w:bCs/>
                <w:color w:val="auto"/>
                <w:sz w:val="24"/>
                <w:highlight w:val="none"/>
              </w:rPr>
            </w:pPr>
            <w:r>
              <w:rPr>
                <w:rFonts w:hint="eastAsia" w:hAnsi="宋体"/>
                <w:b/>
                <w:bCs/>
                <w:color w:val="auto"/>
                <w:sz w:val="24"/>
                <w:highlight w:val="none"/>
                <w:lang w:val="en-US" w:eastAsia="zh-CN"/>
              </w:rPr>
              <w:t>4</w:t>
            </w:r>
            <w:r>
              <w:rPr>
                <w:rFonts w:hint="eastAsia" w:hAnsi="宋体"/>
                <w:b/>
                <w:bCs/>
                <w:color w:val="auto"/>
                <w:sz w:val="24"/>
                <w:highlight w:val="none"/>
              </w:rPr>
              <w:t>、工程拆迁</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项目工程拆迁情况如下表：</w:t>
            </w:r>
          </w:p>
          <w:p>
            <w:pPr>
              <w:snapToGrid w:val="0"/>
              <w:ind w:firstLine="482" w:firstLineChars="200"/>
              <w:jc w:val="center"/>
              <w:rPr>
                <w:rFonts w:hint="eastAsia"/>
                <w:b/>
                <w:bCs/>
                <w:color w:val="auto"/>
                <w:sz w:val="24"/>
                <w:highlight w:val="none"/>
              </w:rPr>
            </w:pPr>
            <w:r>
              <w:rPr>
                <w:b/>
                <w:bCs/>
                <w:color w:val="auto"/>
                <w:sz w:val="24"/>
                <w:highlight w:val="none"/>
              </w:rPr>
              <w:t>表2-</w:t>
            </w:r>
            <w:r>
              <w:rPr>
                <w:rFonts w:hint="eastAsia"/>
                <w:b/>
                <w:bCs/>
                <w:color w:val="auto"/>
                <w:sz w:val="24"/>
                <w:highlight w:val="none"/>
              </w:rPr>
              <w:t>4 工程拆迁一览表</w:t>
            </w:r>
          </w:p>
          <w:tbl>
            <w:tblPr>
              <w:tblStyle w:val="23"/>
              <w:tblW w:w="81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3045"/>
              <w:gridCol w:w="2122"/>
              <w:gridCol w:w="2994"/>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90" w:hRule="atLeast"/>
              </w:trPr>
              <w:tc>
                <w:tcPr>
                  <w:tcW w:w="3045" w:type="dxa"/>
                  <w:vAlign w:val="center"/>
                </w:tcPr>
                <w:p>
                  <w:pPr>
                    <w:jc w:val="center"/>
                    <w:rPr>
                      <w:rFonts w:hint="eastAsia"/>
                      <w:color w:val="auto"/>
                      <w:szCs w:val="21"/>
                      <w:highlight w:val="none"/>
                    </w:rPr>
                  </w:pPr>
                  <w:r>
                    <w:rPr>
                      <w:rFonts w:hint="eastAsia"/>
                      <w:color w:val="auto"/>
                      <w:szCs w:val="21"/>
                      <w:highlight w:val="none"/>
                    </w:rPr>
                    <w:t>拆迁类型</w:t>
                  </w:r>
                </w:p>
              </w:tc>
              <w:tc>
                <w:tcPr>
                  <w:tcW w:w="2122" w:type="dxa"/>
                  <w:vAlign w:val="center"/>
                </w:tcPr>
                <w:p>
                  <w:pPr>
                    <w:jc w:val="center"/>
                    <w:rPr>
                      <w:rFonts w:hint="eastAsia"/>
                      <w:color w:val="auto"/>
                      <w:szCs w:val="21"/>
                      <w:highlight w:val="none"/>
                    </w:rPr>
                  </w:pPr>
                  <w:r>
                    <w:rPr>
                      <w:rFonts w:hint="eastAsia"/>
                      <w:color w:val="auto"/>
                      <w:szCs w:val="21"/>
                      <w:highlight w:val="none"/>
                    </w:rPr>
                    <w:t>数量</w:t>
                  </w:r>
                </w:p>
              </w:tc>
              <w:tc>
                <w:tcPr>
                  <w:tcW w:w="2994" w:type="dxa"/>
                  <w:vAlign w:val="center"/>
                </w:tcPr>
                <w:p>
                  <w:pPr>
                    <w:jc w:val="center"/>
                    <w:rPr>
                      <w:rFonts w:hint="eastAsia"/>
                      <w:color w:val="auto"/>
                      <w:szCs w:val="21"/>
                      <w:highlight w:val="none"/>
                    </w:rPr>
                  </w:pPr>
                  <w:r>
                    <w:rPr>
                      <w:rFonts w:hint="eastAsia"/>
                      <w:color w:val="auto"/>
                      <w:szCs w:val="21"/>
                      <w:highlight w:val="none"/>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3045" w:type="dxa"/>
                  <w:vAlign w:val="center"/>
                </w:tcPr>
                <w:p>
                  <w:pPr>
                    <w:jc w:val="center"/>
                    <w:rPr>
                      <w:rFonts w:hint="eastAsia"/>
                      <w:color w:val="auto"/>
                      <w:szCs w:val="21"/>
                      <w:highlight w:val="none"/>
                    </w:rPr>
                  </w:pPr>
                  <w:r>
                    <w:rPr>
                      <w:rFonts w:hint="eastAsia"/>
                      <w:color w:val="auto"/>
                      <w:szCs w:val="21"/>
                      <w:highlight w:val="none"/>
                    </w:rPr>
                    <w:t>砖木结构房</w:t>
                  </w:r>
                </w:p>
              </w:tc>
              <w:tc>
                <w:tcPr>
                  <w:tcW w:w="2122" w:type="dxa"/>
                  <w:vAlign w:val="center"/>
                </w:tcPr>
                <w:p>
                  <w:pPr>
                    <w:jc w:val="center"/>
                    <w:rPr>
                      <w:color w:val="auto"/>
                      <w:szCs w:val="21"/>
                      <w:highlight w:val="none"/>
                    </w:rPr>
                  </w:pPr>
                  <w:r>
                    <w:rPr>
                      <w:rFonts w:hint="eastAsia"/>
                      <w:color w:val="auto"/>
                      <w:szCs w:val="21"/>
                      <w:highlight w:val="none"/>
                    </w:rPr>
                    <w:t>150</w:t>
                  </w:r>
                </w:p>
              </w:tc>
              <w:tc>
                <w:tcPr>
                  <w:tcW w:w="2994" w:type="dxa"/>
                  <w:vAlign w:val="center"/>
                </w:tcPr>
                <w:p>
                  <w:pPr>
                    <w:jc w:val="center"/>
                    <w:rPr>
                      <w:rFonts w:hint="eastAsia"/>
                      <w:color w:val="auto"/>
                      <w:szCs w:val="21"/>
                      <w:highlight w:val="none"/>
                    </w:rPr>
                  </w:pPr>
                  <w:r>
                    <w:rPr>
                      <w:rFonts w:hint="eastAsia"/>
                      <w:color w:val="auto"/>
                      <w:szCs w:val="21"/>
                      <w:highlight w:val="none"/>
                    </w:rPr>
                    <w:t>m</w:t>
                  </w:r>
                  <w:r>
                    <w:rPr>
                      <w:rFonts w:hint="eastAsia"/>
                      <w:color w:val="auto"/>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3045" w:type="dxa"/>
                  <w:vAlign w:val="center"/>
                </w:tcPr>
                <w:p>
                  <w:pPr>
                    <w:jc w:val="center"/>
                    <w:rPr>
                      <w:color w:val="auto"/>
                      <w:szCs w:val="21"/>
                      <w:highlight w:val="none"/>
                    </w:rPr>
                  </w:pPr>
                  <w:r>
                    <w:rPr>
                      <w:rFonts w:hint="eastAsia"/>
                      <w:color w:val="auto"/>
                      <w:szCs w:val="21"/>
                      <w:highlight w:val="none"/>
                    </w:rPr>
                    <w:t xml:space="preserve">给排水管道 </w:t>
                  </w:r>
                </w:p>
              </w:tc>
              <w:tc>
                <w:tcPr>
                  <w:tcW w:w="2122" w:type="dxa"/>
                  <w:vAlign w:val="center"/>
                </w:tcPr>
                <w:p>
                  <w:pPr>
                    <w:jc w:val="center"/>
                    <w:rPr>
                      <w:color w:val="auto"/>
                      <w:szCs w:val="21"/>
                      <w:highlight w:val="none"/>
                    </w:rPr>
                  </w:pPr>
                  <w:r>
                    <w:rPr>
                      <w:rFonts w:hint="eastAsia"/>
                      <w:color w:val="auto"/>
                      <w:szCs w:val="21"/>
                      <w:highlight w:val="none"/>
                    </w:rPr>
                    <w:t>2021</w:t>
                  </w:r>
                </w:p>
              </w:tc>
              <w:tc>
                <w:tcPr>
                  <w:tcW w:w="2994" w:type="dxa"/>
                  <w:vAlign w:val="center"/>
                </w:tcPr>
                <w:p>
                  <w:pPr>
                    <w:jc w:val="center"/>
                    <w:rPr>
                      <w:rFonts w:hint="eastAsia"/>
                      <w:color w:val="auto"/>
                      <w:szCs w:val="21"/>
                      <w:highlight w:val="none"/>
                    </w:rPr>
                  </w:pPr>
                  <w:r>
                    <w:rPr>
                      <w:rFonts w:hint="eastAsia"/>
                      <w:color w:val="auto"/>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3045" w:type="dxa"/>
                  <w:vAlign w:val="center"/>
                </w:tcPr>
                <w:p>
                  <w:pPr>
                    <w:jc w:val="center"/>
                    <w:rPr>
                      <w:rFonts w:hint="eastAsia"/>
                      <w:color w:val="auto"/>
                      <w:szCs w:val="21"/>
                      <w:highlight w:val="none"/>
                    </w:rPr>
                  </w:pPr>
                  <w:r>
                    <w:rPr>
                      <w:rFonts w:hint="eastAsia"/>
                      <w:color w:val="auto"/>
                      <w:szCs w:val="21"/>
                      <w:highlight w:val="none"/>
                    </w:rPr>
                    <w:t>燃气管道</w:t>
                  </w:r>
                </w:p>
              </w:tc>
              <w:tc>
                <w:tcPr>
                  <w:tcW w:w="2122" w:type="dxa"/>
                  <w:vAlign w:val="center"/>
                </w:tcPr>
                <w:p>
                  <w:pPr>
                    <w:jc w:val="center"/>
                    <w:rPr>
                      <w:rFonts w:hint="eastAsia"/>
                      <w:color w:val="auto"/>
                      <w:szCs w:val="21"/>
                      <w:highlight w:val="none"/>
                    </w:rPr>
                  </w:pPr>
                  <w:r>
                    <w:rPr>
                      <w:rFonts w:hint="eastAsia"/>
                      <w:color w:val="auto"/>
                      <w:szCs w:val="21"/>
                      <w:highlight w:val="none"/>
                    </w:rPr>
                    <w:t>1</w:t>
                  </w:r>
                </w:p>
              </w:tc>
              <w:tc>
                <w:tcPr>
                  <w:tcW w:w="2994" w:type="dxa"/>
                  <w:vAlign w:val="center"/>
                </w:tcPr>
                <w:p>
                  <w:pPr>
                    <w:jc w:val="center"/>
                    <w:rPr>
                      <w:rFonts w:hint="eastAsia"/>
                      <w:color w:val="auto"/>
                      <w:szCs w:val="21"/>
                      <w:highlight w:val="none"/>
                    </w:rPr>
                  </w:pPr>
                  <w:r>
                    <w:rPr>
                      <w:rFonts w:hint="eastAsia"/>
                      <w:color w:val="auto"/>
                      <w:szCs w:val="21"/>
                      <w:highlight w:val="none"/>
                    </w:rPr>
                    <w:t>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3045" w:type="dxa"/>
                  <w:vAlign w:val="center"/>
                </w:tcPr>
                <w:p>
                  <w:pPr>
                    <w:jc w:val="center"/>
                    <w:rPr>
                      <w:rFonts w:hint="eastAsia"/>
                      <w:color w:val="auto"/>
                      <w:szCs w:val="21"/>
                      <w:highlight w:val="none"/>
                    </w:rPr>
                  </w:pPr>
                  <w:r>
                    <w:rPr>
                      <w:rFonts w:hint="eastAsia"/>
                      <w:color w:val="auto"/>
                      <w:szCs w:val="21"/>
                      <w:highlight w:val="none"/>
                    </w:rPr>
                    <w:t>电力管道</w:t>
                  </w:r>
                </w:p>
              </w:tc>
              <w:tc>
                <w:tcPr>
                  <w:tcW w:w="2122" w:type="dxa"/>
                  <w:vAlign w:val="center"/>
                </w:tcPr>
                <w:p>
                  <w:pPr>
                    <w:jc w:val="center"/>
                    <w:rPr>
                      <w:color w:val="auto"/>
                      <w:szCs w:val="21"/>
                      <w:highlight w:val="none"/>
                    </w:rPr>
                  </w:pPr>
                  <w:r>
                    <w:rPr>
                      <w:rFonts w:hint="eastAsia"/>
                      <w:color w:val="auto"/>
                      <w:szCs w:val="21"/>
                      <w:highlight w:val="none"/>
                    </w:rPr>
                    <w:t>12000</w:t>
                  </w:r>
                </w:p>
              </w:tc>
              <w:tc>
                <w:tcPr>
                  <w:tcW w:w="2994" w:type="dxa"/>
                  <w:vAlign w:val="center"/>
                </w:tcPr>
                <w:p>
                  <w:pPr>
                    <w:jc w:val="center"/>
                    <w:rPr>
                      <w:rFonts w:hint="eastAsia"/>
                      <w:color w:val="auto"/>
                      <w:szCs w:val="21"/>
                      <w:highlight w:val="none"/>
                    </w:rPr>
                  </w:pPr>
                  <w:r>
                    <w:rPr>
                      <w:rFonts w:hint="eastAsia"/>
                      <w:color w:val="auto"/>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3045" w:type="dxa"/>
                  <w:vAlign w:val="center"/>
                </w:tcPr>
                <w:p>
                  <w:pPr>
                    <w:jc w:val="center"/>
                    <w:rPr>
                      <w:rFonts w:hint="eastAsia"/>
                      <w:color w:val="auto"/>
                      <w:szCs w:val="21"/>
                      <w:highlight w:val="none"/>
                    </w:rPr>
                  </w:pPr>
                  <w:r>
                    <w:rPr>
                      <w:rFonts w:hint="eastAsia"/>
                      <w:color w:val="auto"/>
                      <w:szCs w:val="21"/>
                      <w:highlight w:val="none"/>
                    </w:rPr>
                    <w:t>电力电缆</w:t>
                  </w:r>
                </w:p>
              </w:tc>
              <w:tc>
                <w:tcPr>
                  <w:tcW w:w="2122" w:type="dxa"/>
                  <w:vAlign w:val="center"/>
                </w:tcPr>
                <w:p>
                  <w:pPr>
                    <w:jc w:val="center"/>
                    <w:rPr>
                      <w:color w:val="auto"/>
                      <w:szCs w:val="21"/>
                      <w:highlight w:val="none"/>
                    </w:rPr>
                  </w:pPr>
                  <w:r>
                    <w:rPr>
                      <w:rFonts w:hint="eastAsia"/>
                      <w:color w:val="auto"/>
                      <w:szCs w:val="21"/>
                      <w:highlight w:val="none"/>
                    </w:rPr>
                    <w:t>10000</w:t>
                  </w:r>
                </w:p>
              </w:tc>
              <w:tc>
                <w:tcPr>
                  <w:tcW w:w="2994" w:type="dxa"/>
                  <w:vAlign w:val="center"/>
                </w:tcPr>
                <w:p>
                  <w:pPr>
                    <w:jc w:val="center"/>
                    <w:rPr>
                      <w:rFonts w:hint="eastAsia"/>
                      <w:color w:val="auto"/>
                      <w:szCs w:val="21"/>
                      <w:highlight w:val="none"/>
                    </w:rPr>
                  </w:pPr>
                  <w:r>
                    <w:rPr>
                      <w:rFonts w:hint="eastAsia"/>
                      <w:color w:val="auto"/>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3045" w:type="dxa"/>
                  <w:vAlign w:val="center"/>
                </w:tcPr>
                <w:p>
                  <w:pPr>
                    <w:jc w:val="center"/>
                    <w:rPr>
                      <w:rFonts w:hint="eastAsia"/>
                      <w:color w:val="auto"/>
                      <w:szCs w:val="21"/>
                      <w:highlight w:val="none"/>
                    </w:rPr>
                  </w:pPr>
                  <w:r>
                    <w:rPr>
                      <w:rFonts w:hint="eastAsia"/>
                      <w:color w:val="auto"/>
                      <w:szCs w:val="21"/>
                      <w:highlight w:val="none"/>
                    </w:rPr>
                    <w:t>电力井</w:t>
                  </w:r>
                </w:p>
              </w:tc>
              <w:tc>
                <w:tcPr>
                  <w:tcW w:w="2122" w:type="dxa"/>
                  <w:vAlign w:val="center"/>
                </w:tcPr>
                <w:p>
                  <w:pPr>
                    <w:jc w:val="center"/>
                    <w:rPr>
                      <w:color w:val="auto"/>
                      <w:szCs w:val="21"/>
                      <w:highlight w:val="none"/>
                    </w:rPr>
                  </w:pPr>
                  <w:r>
                    <w:rPr>
                      <w:rFonts w:hint="eastAsia"/>
                      <w:color w:val="auto"/>
                      <w:szCs w:val="21"/>
                      <w:highlight w:val="none"/>
                    </w:rPr>
                    <w:t>30</w:t>
                  </w:r>
                </w:p>
              </w:tc>
              <w:tc>
                <w:tcPr>
                  <w:tcW w:w="2994" w:type="dxa"/>
                  <w:vAlign w:val="center"/>
                </w:tcPr>
                <w:p>
                  <w:pPr>
                    <w:jc w:val="center"/>
                    <w:rPr>
                      <w:rFonts w:hint="eastAsia"/>
                      <w:color w:val="auto"/>
                      <w:szCs w:val="21"/>
                      <w:highlight w:val="none"/>
                    </w:rPr>
                  </w:pPr>
                  <w:r>
                    <w:rPr>
                      <w:rFonts w:hint="eastAsia"/>
                      <w:color w:val="auto"/>
                      <w:szCs w:val="21"/>
                      <w:highlight w:val="none"/>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3045" w:type="dxa"/>
                  <w:vAlign w:val="center"/>
                </w:tcPr>
                <w:p>
                  <w:pPr>
                    <w:jc w:val="center"/>
                    <w:rPr>
                      <w:rFonts w:hint="eastAsia"/>
                      <w:color w:val="auto"/>
                      <w:szCs w:val="21"/>
                      <w:highlight w:val="none"/>
                    </w:rPr>
                  </w:pPr>
                  <w:r>
                    <w:rPr>
                      <w:rFonts w:hint="eastAsia"/>
                      <w:color w:val="auto"/>
                      <w:szCs w:val="21"/>
                      <w:highlight w:val="none"/>
                    </w:rPr>
                    <w:t>通讯管道</w:t>
                  </w:r>
                </w:p>
              </w:tc>
              <w:tc>
                <w:tcPr>
                  <w:tcW w:w="2122" w:type="dxa"/>
                  <w:vAlign w:val="center"/>
                </w:tcPr>
                <w:p>
                  <w:pPr>
                    <w:jc w:val="center"/>
                    <w:rPr>
                      <w:color w:val="auto"/>
                      <w:szCs w:val="21"/>
                      <w:highlight w:val="none"/>
                    </w:rPr>
                  </w:pPr>
                  <w:r>
                    <w:rPr>
                      <w:rFonts w:hint="eastAsia"/>
                      <w:color w:val="auto"/>
                      <w:szCs w:val="21"/>
                      <w:highlight w:val="none"/>
                    </w:rPr>
                    <w:t>30000</w:t>
                  </w:r>
                </w:p>
              </w:tc>
              <w:tc>
                <w:tcPr>
                  <w:tcW w:w="2994" w:type="dxa"/>
                  <w:vAlign w:val="center"/>
                </w:tcPr>
                <w:p>
                  <w:pPr>
                    <w:pStyle w:val="19"/>
                    <w:spacing w:before="0" w:after="0"/>
                    <w:rPr>
                      <w:rFonts w:ascii="Times New Roman" w:hAnsi="Times New Roman" w:eastAsia="宋体"/>
                      <w:bCs w:val="0"/>
                      <w:color w:val="auto"/>
                      <w:kern w:val="2"/>
                      <w:sz w:val="21"/>
                      <w:szCs w:val="21"/>
                      <w:highlight w:val="none"/>
                    </w:rPr>
                  </w:pPr>
                  <w:r>
                    <w:rPr>
                      <w:rFonts w:hint="eastAsia" w:ascii="Times New Roman" w:hAnsi="Times New Roman" w:eastAsia="宋体"/>
                      <w:bCs w:val="0"/>
                      <w:color w:val="auto"/>
                      <w:kern w:val="2"/>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3045" w:type="dxa"/>
                  <w:vAlign w:val="center"/>
                </w:tcPr>
                <w:p>
                  <w:pPr>
                    <w:jc w:val="center"/>
                    <w:rPr>
                      <w:rFonts w:hint="eastAsia"/>
                      <w:color w:val="auto"/>
                      <w:szCs w:val="21"/>
                      <w:highlight w:val="none"/>
                    </w:rPr>
                  </w:pPr>
                  <w:r>
                    <w:rPr>
                      <w:rFonts w:hint="eastAsia"/>
                      <w:color w:val="auto"/>
                      <w:szCs w:val="21"/>
                      <w:highlight w:val="none"/>
                    </w:rPr>
                    <w:t>光缆</w:t>
                  </w:r>
                </w:p>
              </w:tc>
              <w:tc>
                <w:tcPr>
                  <w:tcW w:w="2122" w:type="dxa"/>
                  <w:vAlign w:val="center"/>
                </w:tcPr>
                <w:p>
                  <w:pPr>
                    <w:jc w:val="center"/>
                    <w:rPr>
                      <w:color w:val="auto"/>
                      <w:szCs w:val="21"/>
                      <w:highlight w:val="none"/>
                    </w:rPr>
                  </w:pPr>
                  <w:r>
                    <w:rPr>
                      <w:rFonts w:hint="eastAsia"/>
                      <w:color w:val="auto"/>
                      <w:szCs w:val="21"/>
                      <w:highlight w:val="none"/>
                    </w:rPr>
                    <w:t>50000</w:t>
                  </w:r>
                </w:p>
              </w:tc>
              <w:tc>
                <w:tcPr>
                  <w:tcW w:w="2994" w:type="dxa"/>
                  <w:vAlign w:val="center"/>
                </w:tcPr>
                <w:p>
                  <w:pPr>
                    <w:jc w:val="center"/>
                    <w:rPr>
                      <w:color w:val="auto"/>
                      <w:szCs w:val="21"/>
                      <w:highlight w:val="none"/>
                    </w:rPr>
                  </w:pPr>
                  <w:r>
                    <w:rPr>
                      <w:rFonts w:hint="eastAsia"/>
                      <w:color w:val="auto"/>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3045" w:type="dxa"/>
                  <w:vAlign w:val="center"/>
                </w:tcPr>
                <w:p>
                  <w:pPr>
                    <w:jc w:val="center"/>
                    <w:rPr>
                      <w:rFonts w:hint="eastAsia"/>
                      <w:color w:val="auto"/>
                      <w:szCs w:val="21"/>
                      <w:highlight w:val="none"/>
                    </w:rPr>
                  </w:pPr>
                  <w:r>
                    <w:rPr>
                      <w:rFonts w:hint="eastAsia"/>
                      <w:color w:val="auto"/>
                      <w:szCs w:val="21"/>
                      <w:highlight w:val="none"/>
                    </w:rPr>
                    <w:t>通讯井</w:t>
                  </w:r>
                </w:p>
              </w:tc>
              <w:tc>
                <w:tcPr>
                  <w:tcW w:w="2122" w:type="dxa"/>
                  <w:vAlign w:val="center"/>
                </w:tcPr>
                <w:p>
                  <w:pPr>
                    <w:jc w:val="center"/>
                    <w:rPr>
                      <w:color w:val="auto"/>
                      <w:szCs w:val="21"/>
                      <w:highlight w:val="none"/>
                    </w:rPr>
                  </w:pPr>
                  <w:r>
                    <w:rPr>
                      <w:rFonts w:hint="eastAsia"/>
                      <w:color w:val="auto"/>
                      <w:szCs w:val="21"/>
                      <w:highlight w:val="none"/>
                    </w:rPr>
                    <w:t>20</w:t>
                  </w:r>
                </w:p>
              </w:tc>
              <w:tc>
                <w:tcPr>
                  <w:tcW w:w="2994" w:type="dxa"/>
                  <w:vAlign w:val="center"/>
                </w:tcPr>
                <w:p>
                  <w:pPr>
                    <w:jc w:val="center"/>
                    <w:rPr>
                      <w:rFonts w:hint="eastAsia"/>
                      <w:color w:val="auto"/>
                      <w:szCs w:val="21"/>
                      <w:highlight w:val="none"/>
                    </w:rPr>
                  </w:pPr>
                  <w:r>
                    <w:rPr>
                      <w:rFonts w:hint="eastAsia"/>
                      <w:color w:val="auto"/>
                      <w:szCs w:val="21"/>
                      <w:highlight w:val="none"/>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3045" w:type="dxa"/>
                  <w:vAlign w:val="center"/>
                </w:tcPr>
                <w:p>
                  <w:pPr>
                    <w:jc w:val="center"/>
                    <w:rPr>
                      <w:rFonts w:hint="eastAsia"/>
                      <w:color w:val="auto"/>
                      <w:szCs w:val="21"/>
                      <w:highlight w:val="none"/>
                    </w:rPr>
                  </w:pPr>
                  <w:r>
                    <w:rPr>
                      <w:rFonts w:hint="eastAsia"/>
                      <w:color w:val="auto"/>
                      <w:szCs w:val="21"/>
                      <w:highlight w:val="none"/>
                    </w:rPr>
                    <w:t>军用光缆</w:t>
                  </w:r>
                </w:p>
              </w:tc>
              <w:tc>
                <w:tcPr>
                  <w:tcW w:w="2122" w:type="dxa"/>
                  <w:vAlign w:val="center"/>
                </w:tcPr>
                <w:p>
                  <w:pPr>
                    <w:jc w:val="center"/>
                    <w:rPr>
                      <w:rFonts w:hint="eastAsia"/>
                      <w:color w:val="auto"/>
                      <w:szCs w:val="21"/>
                      <w:highlight w:val="none"/>
                    </w:rPr>
                  </w:pPr>
                  <w:r>
                    <w:rPr>
                      <w:rFonts w:hint="eastAsia"/>
                      <w:color w:val="auto"/>
                      <w:szCs w:val="21"/>
                      <w:highlight w:val="none"/>
                    </w:rPr>
                    <w:t>1</w:t>
                  </w:r>
                </w:p>
              </w:tc>
              <w:tc>
                <w:tcPr>
                  <w:tcW w:w="2994" w:type="dxa"/>
                  <w:vAlign w:val="center"/>
                </w:tcPr>
                <w:p>
                  <w:pPr>
                    <w:jc w:val="center"/>
                    <w:rPr>
                      <w:color w:val="auto"/>
                      <w:szCs w:val="21"/>
                      <w:highlight w:val="none"/>
                    </w:rPr>
                  </w:pPr>
                  <w:r>
                    <w:rPr>
                      <w:rFonts w:hint="eastAsia"/>
                      <w:color w:val="auto"/>
                      <w:szCs w:val="21"/>
                      <w:highlight w:val="none"/>
                    </w:rPr>
                    <w:t>项</w:t>
                  </w:r>
                </w:p>
              </w:tc>
            </w:tr>
          </w:tbl>
          <w:p>
            <w:pPr>
              <w:snapToGrid w:val="0"/>
              <w:spacing w:line="360" w:lineRule="auto"/>
              <w:ind w:firstLine="560"/>
              <w:rPr>
                <w:rFonts w:hint="eastAsia"/>
                <w:color w:val="auto"/>
                <w:sz w:val="24"/>
                <w:highlight w:val="none"/>
              </w:rPr>
            </w:pPr>
            <w:r>
              <w:rPr>
                <w:rFonts w:hint="eastAsia"/>
                <w:color w:val="auto"/>
                <w:sz w:val="24"/>
                <w:highlight w:val="none"/>
              </w:rPr>
              <w:t>建设单位将依照榕政办[2013]100 号文、榕政办[2014]160 号文、榕房[2018]2 号文以及福州市有关补偿依据，做好补偿费用工作，工程涉及的征地拆迁由当地政府负责。</w:t>
            </w:r>
          </w:p>
          <w:p>
            <w:pPr>
              <w:adjustRightInd w:val="0"/>
              <w:snapToGrid w:val="0"/>
              <w:spacing w:line="360" w:lineRule="auto"/>
              <w:ind w:firstLine="482" w:firstLineChars="200"/>
              <w:rPr>
                <w:rFonts w:hAnsi="宋体"/>
                <w:color w:val="auto"/>
                <w:sz w:val="24"/>
                <w:highlight w:val="none"/>
              </w:rPr>
            </w:pPr>
            <w:r>
              <w:rPr>
                <w:rFonts w:hint="eastAsia" w:hAnsi="宋体"/>
                <w:b/>
                <w:bCs/>
                <w:color w:val="auto"/>
                <w:sz w:val="24"/>
                <w:highlight w:val="none"/>
                <w:lang w:val="en-US" w:eastAsia="zh-CN"/>
              </w:rPr>
              <w:t>5</w:t>
            </w:r>
            <w:r>
              <w:rPr>
                <w:rFonts w:hint="eastAsia" w:hAnsi="宋体"/>
                <w:b/>
                <w:bCs/>
                <w:color w:val="auto"/>
                <w:sz w:val="24"/>
                <w:highlight w:val="none"/>
              </w:rPr>
              <w:t>、施工现场布置</w:t>
            </w:r>
          </w:p>
          <w:p>
            <w:pPr>
              <w:snapToGrid w:val="0"/>
              <w:spacing w:line="360" w:lineRule="auto"/>
              <w:ind w:firstLine="560"/>
              <w:rPr>
                <w:color w:val="auto"/>
                <w:sz w:val="24"/>
                <w:highlight w:val="none"/>
              </w:rPr>
            </w:pPr>
            <w:r>
              <w:rPr>
                <w:color w:val="auto"/>
                <w:sz w:val="24"/>
                <w:highlight w:val="none"/>
              </w:rPr>
              <w:t>（1）施工生产生活区</w:t>
            </w:r>
          </w:p>
          <w:p>
            <w:pPr>
              <w:snapToGrid w:val="0"/>
              <w:spacing w:line="360" w:lineRule="auto"/>
              <w:ind w:firstLine="560"/>
              <w:rPr>
                <w:rFonts w:hint="eastAsia"/>
                <w:color w:val="auto"/>
                <w:sz w:val="24"/>
                <w:highlight w:val="none"/>
              </w:rPr>
            </w:pPr>
            <w:r>
              <w:rPr>
                <w:rFonts w:hint="eastAsia"/>
                <w:color w:val="auto"/>
                <w:sz w:val="24"/>
                <w:highlight w:val="none"/>
              </w:rPr>
              <w:t>项目施工期间需进行临时围挡，按分期围挡进行考虑，保留二环路交通通行；</w:t>
            </w:r>
          </w:p>
          <w:p>
            <w:pPr>
              <w:snapToGrid w:val="0"/>
              <w:spacing w:line="360" w:lineRule="auto"/>
              <w:ind w:firstLine="560"/>
              <w:rPr>
                <w:rFonts w:hint="eastAsia"/>
                <w:color w:val="auto"/>
                <w:sz w:val="24"/>
                <w:highlight w:val="none"/>
              </w:rPr>
            </w:pPr>
            <w:r>
              <w:rPr>
                <w:rFonts w:hint="eastAsia"/>
                <w:color w:val="auto"/>
                <w:sz w:val="24"/>
                <w:highlight w:val="none"/>
              </w:rPr>
              <w:t>施工期间固定围挡共计3180m，围挡占用红线外临时用地，占地面积约5.43hm</w:t>
            </w:r>
            <w:r>
              <w:rPr>
                <w:rFonts w:hint="eastAsia"/>
                <w:color w:val="auto"/>
                <w:sz w:val="24"/>
                <w:highlight w:val="none"/>
                <w:vertAlign w:val="superscript"/>
              </w:rPr>
              <w:t>2</w:t>
            </w:r>
            <w:r>
              <w:rPr>
                <w:rFonts w:hint="eastAsia"/>
                <w:color w:val="auto"/>
                <w:sz w:val="24"/>
                <w:highlight w:val="none"/>
              </w:rPr>
              <w:t>；施工场地采用租用现有的民房作为项目办公、生活场所，民房周边均已用水泥硬化，生活污水排入周边市政污水管网，本项目不再另行建设施工板房。</w:t>
            </w:r>
          </w:p>
          <w:p>
            <w:pPr>
              <w:spacing w:line="360" w:lineRule="auto"/>
              <w:ind w:firstLine="560"/>
              <w:rPr>
                <w:rFonts w:hint="eastAsia"/>
                <w:color w:val="auto"/>
                <w:sz w:val="24"/>
                <w:highlight w:val="none"/>
              </w:rPr>
            </w:pPr>
            <w:r>
              <w:rPr>
                <w:rFonts w:hint="eastAsia"/>
                <w:color w:val="auto"/>
                <w:sz w:val="24"/>
                <w:highlight w:val="none"/>
              </w:rPr>
              <w:t>根据现场调查及建设单位提供资料，项目原材料、钢管油漆、木材、水泥、砂石料等，可利用现有道路临时堆放，因此无需另设施工场地。</w:t>
            </w:r>
          </w:p>
          <w:p>
            <w:pPr>
              <w:spacing w:before="120" w:beforeLines="50" w:line="360" w:lineRule="auto"/>
              <w:ind w:firstLine="560"/>
              <w:rPr>
                <w:color w:val="auto"/>
                <w:sz w:val="24"/>
                <w:highlight w:val="none"/>
              </w:rPr>
            </w:pPr>
            <w:r>
              <w:rPr>
                <w:color w:val="auto"/>
                <w:sz w:val="24"/>
                <w:highlight w:val="none"/>
              </w:rPr>
              <w:t>（2）</w:t>
            </w:r>
            <w:r>
              <w:rPr>
                <w:rFonts w:hint="eastAsia"/>
                <w:color w:val="auto"/>
                <w:sz w:val="24"/>
                <w:highlight w:val="none"/>
              </w:rPr>
              <w:t>预制场区</w:t>
            </w:r>
          </w:p>
          <w:p>
            <w:pPr>
              <w:spacing w:line="360" w:lineRule="auto"/>
              <w:ind w:firstLine="480" w:firstLineChars="200"/>
              <w:rPr>
                <w:rFonts w:hint="eastAsia"/>
                <w:color w:val="auto"/>
                <w:sz w:val="24"/>
                <w:highlight w:val="none"/>
              </w:rPr>
            </w:pPr>
            <w:r>
              <w:rPr>
                <w:rFonts w:hint="eastAsia"/>
                <w:color w:val="auto"/>
                <w:sz w:val="24"/>
                <w:highlight w:val="none"/>
              </w:rPr>
              <w:t>项目共布设1处预制场区，占地面积0.05hm</w:t>
            </w:r>
            <w:r>
              <w:rPr>
                <w:rFonts w:hint="eastAsia"/>
                <w:color w:val="auto"/>
                <w:sz w:val="24"/>
                <w:highlight w:val="none"/>
                <w:vertAlign w:val="superscript"/>
              </w:rPr>
              <w:t>2</w:t>
            </w:r>
            <w:r>
              <w:rPr>
                <w:rFonts w:hint="eastAsia"/>
                <w:color w:val="auto"/>
                <w:sz w:val="24"/>
                <w:highlight w:val="none"/>
              </w:rPr>
              <w:t>，位于桩号ZK0+160右侧（红线内），主要桥梁预制场、钢筋加工场等，占地类型为交通运输用地，为红线内临时用地，桥梁施工结束后进行下一阶段主体施工</w:t>
            </w:r>
            <w:r>
              <w:rPr>
                <w:rFonts w:hint="eastAsia"/>
                <w:color w:val="auto"/>
                <w:sz w:val="24"/>
                <w:highlight w:val="none"/>
                <w:lang w:eastAsia="zh-CN"/>
              </w:rPr>
              <w:t>。</w:t>
            </w:r>
            <w:r>
              <w:rPr>
                <w:rFonts w:hint="eastAsia"/>
                <w:color w:val="auto"/>
                <w:sz w:val="24"/>
                <w:highlight w:val="none"/>
              </w:rPr>
              <w:t>临时施工场地设置情况详见表2-5。</w:t>
            </w:r>
          </w:p>
          <w:p>
            <w:pPr>
              <w:snapToGrid w:val="0"/>
              <w:ind w:firstLine="482" w:firstLineChars="200"/>
              <w:jc w:val="center"/>
              <w:rPr>
                <w:rFonts w:hint="eastAsia"/>
                <w:b/>
                <w:bCs/>
                <w:color w:val="auto"/>
                <w:sz w:val="24"/>
                <w:highlight w:val="none"/>
              </w:rPr>
            </w:pPr>
            <w:r>
              <w:rPr>
                <w:b/>
                <w:bCs/>
                <w:color w:val="auto"/>
                <w:sz w:val="24"/>
                <w:highlight w:val="none"/>
              </w:rPr>
              <w:t>表2-</w:t>
            </w:r>
            <w:r>
              <w:rPr>
                <w:rFonts w:hint="eastAsia"/>
                <w:b/>
                <w:bCs/>
                <w:color w:val="auto"/>
                <w:sz w:val="24"/>
                <w:highlight w:val="none"/>
              </w:rPr>
              <w:t>5 工程临时施工场地布置一览表</w:t>
            </w:r>
          </w:p>
          <w:tbl>
            <w:tblPr>
              <w:tblStyle w:val="23"/>
              <w:tblW w:w="815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65"/>
              <w:gridCol w:w="1602"/>
              <w:gridCol w:w="2697"/>
              <w:gridCol w:w="22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7" w:hRule="atLeast"/>
                <w:jc w:val="center"/>
              </w:trPr>
              <w:tc>
                <w:tcPr>
                  <w:tcW w:w="3167" w:type="dxa"/>
                  <w:gridSpan w:val="2"/>
                  <w:vMerge w:val="restart"/>
                  <w:vAlign w:val="center"/>
                </w:tcPr>
                <w:p>
                  <w:pPr>
                    <w:jc w:val="center"/>
                    <w:rPr>
                      <w:rFonts w:hint="eastAsia"/>
                      <w:color w:val="auto"/>
                      <w:szCs w:val="21"/>
                      <w:highlight w:val="none"/>
                    </w:rPr>
                  </w:pPr>
                  <w:r>
                    <w:rPr>
                      <w:rFonts w:hint="eastAsia"/>
                      <w:color w:val="auto"/>
                      <w:szCs w:val="21"/>
                      <w:highlight w:val="none"/>
                    </w:rPr>
                    <w:t>项目</w:t>
                  </w:r>
                </w:p>
              </w:tc>
              <w:tc>
                <w:tcPr>
                  <w:tcW w:w="2697" w:type="dxa"/>
                  <w:vAlign w:val="center"/>
                </w:tcPr>
                <w:p>
                  <w:pPr>
                    <w:jc w:val="center"/>
                    <w:rPr>
                      <w:rFonts w:hint="eastAsia"/>
                      <w:color w:val="auto"/>
                      <w:szCs w:val="21"/>
                      <w:highlight w:val="none"/>
                    </w:rPr>
                  </w:pPr>
                  <w:r>
                    <w:rPr>
                      <w:rFonts w:hint="eastAsia"/>
                      <w:color w:val="auto"/>
                      <w:szCs w:val="21"/>
                      <w:highlight w:val="none"/>
                    </w:rPr>
                    <w:t xml:space="preserve">工程占地类型及面积         </w:t>
                  </w:r>
                </w:p>
                <w:p>
                  <w:pPr>
                    <w:jc w:val="center"/>
                    <w:rPr>
                      <w:rFonts w:hint="eastAsia"/>
                      <w:color w:val="auto"/>
                      <w:szCs w:val="21"/>
                      <w:highlight w:val="none"/>
                    </w:rPr>
                  </w:pPr>
                  <w:r>
                    <w:rPr>
                      <w:rFonts w:hint="eastAsia"/>
                      <w:color w:val="auto"/>
                      <w:szCs w:val="21"/>
                      <w:highlight w:val="none"/>
                    </w:rPr>
                    <w:t>(单位：hm</w:t>
                  </w:r>
                  <w:r>
                    <w:rPr>
                      <w:rFonts w:hint="eastAsia"/>
                      <w:color w:val="auto"/>
                      <w:szCs w:val="21"/>
                      <w:highlight w:val="none"/>
                      <w:vertAlign w:val="superscript"/>
                    </w:rPr>
                    <w:t>2</w:t>
                  </w:r>
                  <w:r>
                    <w:rPr>
                      <w:rFonts w:hint="eastAsia"/>
                      <w:color w:val="auto"/>
                      <w:szCs w:val="21"/>
                      <w:highlight w:val="none"/>
                    </w:rPr>
                    <w:t>)</w:t>
                  </w:r>
                </w:p>
              </w:tc>
              <w:tc>
                <w:tcPr>
                  <w:tcW w:w="2293" w:type="dxa"/>
                  <w:vMerge w:val="restart"/>
                  <w:vAlign w:val="center"/>
                </w:tcPr>
                <w:p>
                  <w:pPr>
                    <w:jc w:val="center"/>
                    <w:rPr>
                      <w:rFonts w:hint="eastAsia"/>
                      <w:color w:val="auto"/>
                      <w:szCs w:val="21"/>
                      <w:highlight w:val="none"/>
                    </w:rPr>
                  </w:pPr>
                  <w:r>
                    <w:rPr>
                      <w:rFonts w:hint="eastAsia"/>
                      <w:color w:val="auto"/>
                      <w:szCs w:val="21"/>
                      <w:highlight w:val="none"/>
                    </w:rPr>
                    <w:t>占地性质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1" w:hRule="atLeast"/>
                <w:jc w:val="center"/>
              </w:trPr>
              <w:tc>
                <w:tcPr>
                  <w:tcW w:w="3167" w:type="dxa"/>
                  <w:gridSpan w:val="2"/>
                  <w:vMerge w:val="continue"/>
                  <w:vAlign w:val="center"/>
                </w:tcPr>
                <w:p>
                  <w:pPr>
                    <w:jc w:val="center"/>
                    <w:rPr>
                      <w:rFonts w:hint="eastAsia"/>
                      <w:color w:val="auto"/>
                      <w:szCs w:val="21"/>
                      <w:highlight w:val="none"/>
                    </w:rPr>
                  </w:pPr>
                </w:p>
              </w:tc>
              <w:tc>
                <w:tcPr>
                  <w:tcW w:w="2697" w:type="dxa"/>
                  <w:vAlign w:val="center"/>
                </w:tcPr>
                <w:p>
                  <w:pPr>
                    <w:jc w:val="center"/>
                    <w:rPr>
                      <w:rFonts w:hint="eastAsia"/>
                      <w:color w:val="auto"/>
                      <w:szCs w:val="21"/>
                      <w:highlight w:val="none"/>
                    </w:rPr>
                  </w:pPr>
                  <w:r>
                    <w:rPr>
                      <w:rFonts w:hint="eastAsia"/>
                      <w:color w:val="auto"/>
                      <w:szCs w:val="21"/>
                      <w:highlight w:val="none"/>
                    </w:rPr>
                    <w:t>交通运输用地</w:t>
                  </w:r>
                </w:p>
              </w:tc>
              <w:tc>
                <w:tcPr>
                  <w:tcW w:w="2293" w:type="dxa"/>
                  <w:vMerge w:val="continue"/>
                  <w:vAlign w:val="center"/>
                </w:tcPr>
                <w:p>
                  <w:pPr>
                    <w:jc w:val="center"/>
                    <w:rPr>
                      <w:rFonts w:hint="eastAsia"/>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7" w:hRule="atLeast"/>
                <w:jc w:val="center"/>
              </w:trPr>
              <w:tc>
                <w:tcPr>
                  <w:tcW w:w="1565" w:type="dxa"/>
                  <w:vMerge w:val="restart"/>
                  <w:vAlign w:val="center"/>
                </w:tcPr>
                <w:p>
                  <w:pPr>
                    <w:jc w:val="center"/>
                    <w:rPr>
                      <w:rFonts w:hint="eastAsia"/>
                      <w:color w:val="auto"/>
                      <w:szCs w:val="21"/>
                      <w:highlight w:val="none"/>
                    </w:rPr>
                  </w:pPr>
                  <w:r>
                    <w:rPr>
                      <w:rFonts w:hint="eastAsia"/>
                      <w:color w:val="auto"/>
                      <w:szCs w:val="21"/>
                      <w:highlight w:val="none"/>
                    </w:rPr>
                    <w:t>临时设施区</w:t>
                  </w:r>
                </w:p>
              </w:tc>
              <w:tc>
                <w:tcPr>
                  <w:tcW w:w="1602" w:type="dxa"/>
                  <w:vAlign w:val="center"/>
                </w:tcPr>
                <w:p>
                  <w:pPr>
                    <w:jc w:val="center"/>
                    <w:rPr>
                      <w:rFonts w:hint="eastAsia"/>
                      <w:color w:val="auto"/>
                      <w:szCs w:val="21"/>
                      <w:highlight w:val="none"/>
                    </w:rPr>
                  </w:pPr>
                  <w:r>
                    <w:rPr>
                      <w:rFonts w:hint="eastAsia"/>
                      <w:color w:val="auto"/>
                      <w:szCs w:val="21"/>
                      <w:highlight w:val="none"/>
                    </w:rPr>
                    <w:t>施工生产生活区</w:t>
                  </w:r>
                </w:p>
              </w:tc>
              <w:tc>
                <w:tcPr>
                  <w:tcW w:w="2697" w:type="dxa"/>
                  <w:vAlign w:val="center"/>
                </w:tcPr>
                <w:p>
                  <w:pPr>
                    <w:jc w:val="center"/>
                    <w:rPr>
                      <w:color w:val="auto"/>
                      <w:szCs w:val="21"/>
                      <w:highlight w:val="none"/>
                    </w:rPr>
                  </w:pPr>
                  <w:r>
                    <w:rPr>
                      <w:rFonts w:hint="default"/>
                      <w:color w:val="auto"/>
                      <w:highlight w:val="none"/>
                      <w:lang w:val="en-US" w:eastAsia="zh-CN"/>
                    </w:rPr>
                    <w:t xml:space="preserve">5.43 </w:t>
                  </w:r>
                  <w:r>
                    <w:rPr>
                      <w:color w:val="auto"/>
                      <w:szCs w:val="21"/>
                      <w:highlight w:val="none"/>
                    </w:rPr>
                    <w:t xml:space="preserve"> </w:t>
                  </w:r>
                </w:p>
              </w:tc>
              <w:tc>
                <w:tcPr>
                  <w:tcW w:w="2293" w:type="dxa"/>
                  <w:vAlign w:val="center"/>
                </w:tcPr>
                <w:p>
                  <w:pPr>
                    <w:jc w:val="center"/>
                    <w:rPr>
                      <w:color w:val="auto"/>
                      <w:szCs w:val="21"/>
                      <w:highlight w:val="none"/>
                    </w:rPr>
                  </w:pPr>
                  <w:r>
                    <w:rPr>
                      <w:rFonts w:hint="eastAsia"/>
                      <w:color w:val="auto"/>
                      <w:szCs w:val="21"/>
                      <w:highlight w:val="none"/>
                    </w:rPr>
                    <w:t>临时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7" w:hRule="atLeast"/>
                <w:jc w:val="center"/>
              </w:trPr>
              <w:tc>
                <w:tcPr>
                  <w:tcW w:w="1565" w:type="dxa"/>
                  <w:vMerge w:val="continue"/>
                  <w:vAlign w:val="center"/>
                </w:tcPr>
                <w:p>
                  <w:pPr>
                    <w:jc w:val="center"/>
                    <w:rPr>
                      <w:rFonts w:hint="eastAsia"/>
                      <w:color w:val="auto"/>
                      <w:szCs w:val="21"/>
                      <w:highlight w:val="none"/>
                    </w:rPr>
                  </w:pPr>
                </w:p>
              </w:tc>
              <w:tc>
                <w:tcPr>
                  <w:tcW w:w="1602" w:type="dxa"/>
                  <w:vAlign w:val="center"/>
                </w:tcPr>
                <w:p>
                  <w:pPr>
                    <w:jc w:val="center"/>
                    <w:rPr>
                      <w:rFonts w:hint="eastAsia"/>
                      <w:color w:val="auto"/>
                      <w:szCs w:val="21"/>
                      <w:highlight w:val="none"/>
                    </w:rPr>
                  </w:pPr>
                  <w:r>
                    <w:rPr>
                      <w:rFonts w:hint="eastAsia"/>
                      <w:color w:val="auto"/>
                      <w:szCs w:val="21"/>
                      <w:highlight w:val="none"/>
                    </w:rPr>
                    <w:t>预制场</w:t>
                  </w:r>
                </w:p>
              </w:tc>
              <w:tc>
                <w:tcPr>
                  <w:tcW w:w="2697" w:type="dxa"/>
                  <w:vAlign w:val="center"/>
                </w:tcPr>
                <w:p>
                  <w:pPr>
                    <w:jc w:val="center"/>
                    <w:rPr>
                      <w:color w:val="auto"/>
                      <w:szCs w:val="21"/>
                      <w:highlight w:val="none"/>
                    </w:rPr>
                  </w:pPr>
                  <w:r>
                    <w:rPr>
                      <w:color w:val="auto"/>
                      <w:szCs w:val="21"/>
                      <w:highlight w:val="none"/>
                    </w:rPr>
                    <w:t xml:space="preserve">0.05 </w:t>
                  </w:r>
                </w:p>
              </w:tc>
              <w:tc>
                <w:tcPr>
                  <w:tcW w:w="2293" w:type="dxa"/>
                  <w:vAlign w:val="center"/>
                </w:tcPr>
                <w:p>
                  <w:pPr>
                    <w:jc w:val="center"/>
                    <w:rPr>
                      <w:color w:val="auto"/>
                      <w:szCs w:val="21"/>
                      <w:highlight w:val="none"/>
                    </w:rPr>
                  </w:pPr>
                  <w:r>
                    <w:rPr>
                      <w:rFonts w:hint="eastAsia"/>
                      <w:color w:val="auto"/>
                      <w:szCs w:val="21"/>
                      <w:highlight w:val="none"/>
                    </w:rPr>
                    <w:t>临时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7" w:hRule="atLeast"/>
                <w:jc w:val="center"/>
              </w:trPr>
              <w:tc>
                <w:tcPr>
                  <w:tcW w:w="3167" w:type="dxa"/>
                  <w:gridSpan w:val="2"/>
                  <w:vAlign w:val="center"/>
                </w:tcPr>
                <w:p>
                  <w:pPr>
                    <w:jc w:val="center"/>
                    <w:rPr>
                      <w:rFonts w:hint="eastAsia"/>
                      <w:color w:val="auto"/>
                      <w:szCs w:val="21"/>
                      <w:highlight w:val="none"/>
                    </w:rPr>
                  </w:pPr>
                  <w:r>
                    <w:rPr>
                      <w:rFonts w:hint="eastAsia"/>
                      <w:color w:val="auto"/>
                      <w:szCs w:val="21"/>
                      <w:highlight w:val="none"/>
                    </w:rPr>
                    <w:t>合计</w:t>
                  </w:r>
                </w:p>
              </w:tc>
              <w:tc>
                <w:tcPr>
                  <w:tcW w:w="2697"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5.48</w:t>
                  </w:r>
                </w:p>
              </w:tc>
              <w:tc>
                <w:tcPr>
                  <w:tcW w:w="2293" w:type="dxa"/>
                  <w:vAlign w:val="center"/>
                </w:tcPr>
                <w:p>
                  <w:pPr>
                    <w:jc w:val="center"/>
                    <w:rPr>
                      <w:color w:val="auto"/>
                      <w:szCs w:val="21"/>
                      <w:highlight w:val="none"/>
                    </w:rPr>
                  </w:pPr>
                </w:p>
              </w:tc>
            </w:tr>
          </w:tbl>
          <w:p>
            <w:pPr>
              <w:spacing w:line="360" w:lineRule="auto"/>
              <w:ind w:firstLine="480" w:firstLineChars="200"/>
              <w:rPr>
                <w:rFonts w:ascii="宋体" w:hAnsi="宋体" w:cs="宋体"/>
                <w:color w:val="auto"/>
                <w:kern w:val="0"/>
                <w:szCs w:val="21"/>
                <w:highlight w:val="none"/>
              </w:rPr>
            </w:pPr>
            <w:r>
              <w:rPr>
                <w:rFonts w:hint="eastAsia"/>
                <w:color w:val="auto"/>
                <w:sz w:val="24"/>
                <w:highlight w:val="none"/>
              </w:rPr>
              <w:t>施工现场平面布置图见附图</w:t>
            </w:r>
            <w:r>
              <w:rPr>
                <w:rFonts w:hint="eastAsia"/>
                <w:color w:val="auto"/>
                <w:sz w:val="24"/>
                <w:highlight w:val="none"/>
                <w:lang w:val="en-US" w:eastAsia="zh-CN"/>
              </w:rPr>
              <w:t>9</w:t>
            </w:r>
            <w:r>
              <w:rPr>
                <w:rFonts w:hint="eastAsia"/>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710"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施工方案</w:t>
            </w:r>
          </w:p>
        </w:tc>
        <w:tc>
          <w:tcPr>
            <w:tcW w:w="8380" w:type="dxa"/>
            <w:vAlign w:val="center"/>
          </w:tcPr>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隧道南北两端，按分期围挡进行考虑，保留二环路交通通行。</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本方案隧道由三部分组成，包括 U 型槽段、明挖暗埋段和暗挖段。南北两端的 U 型槽及明挖暗埋段采用明挖顺作法施工，中部山体隧道采用非爆破法施工。</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Ⅴ级围岩洞口浅埋、偏压段建议采用 CRD 法施工；Ⅴ级围岩一般段建议采用上台阶预留核心图法；Ⅳ级围岩浅埋段段建议采用超短台阶法施工。</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1、施工期交通组织</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结合项目周边施工场地条件、围岩情况、下穿方案的开挖工法及支护等统筹考虑，在满足隧道进出口工作面均可正常施工的情况下，预计隧道工程总工期约 20 个月。其中暗挖段 317m 为本项目控制性工程，工程筹划中暂按单洞每个工作面进度约 0.5m/ 天，单洞综合进度约 1m/天。</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施工准备期 2 个月，拆除总院门口掉头匝道象山高架桥、管线迁改、隧道北口行道树，将隧道外二环道路进行拓宽。</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隧道施工一期 4 个月，主要进行工作井两侧围护桩及临时盖板施工。保证双向 6 车道及人行道的宽度。</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隧道施工二期 14 个月，主要进行 U 型槽段开挖、内部结构施工、暗挖隧道施工，两头同时施工。在该施工期内道路往围挡两侧组织通行，北往南维持现状（2 车道+1 混行车道）+工业北路绕行；南往北维持现状（2 车道+1 混行车道）+北梦山路、芳沁路、湖头街疏解。</w:t>
            </w:r>
          </w:p>
          <w:p>
            <w:pPr>
              <w:adjustRightInd w:val="0"/>
              <w:snapToGrid w:val="0"/>
              <w:spacing w:line="360" w:lineRule="auto"/>
              <w:ind w:firstLine="480" w:firstLineChars="200"/>
              <w:jc w:val="left"/>
              <w:rPr>
                <w:color w:val="auto"/>
                <w:highlight w:val="none"/>
              </w:rPr>
            </w:pPr>
            <w:r>
              <w:rPr>
                <w:rFonts w:hint="eastAsia"/>
                <w:color w:val="auto"/>
                <w:sz w:val="24"/>
                <w:highlight w:val="none"/>
              </w:rPr>
              <w:t>后续施工完善期 2 个月，则对现有隧道逐洞加固。该阶段可利用已完工的下穿隧道组织通行，安全通顺。</w:t>
            </w:r>
          </w:p>
          <w:p>
            <w:pPr>
              <w:adjustRightInd w:val="0"/>
              <w:snapToGrid w:val="0"/>
              <w:spacing w:line="360" w:lineRule="auto"/>
              <w:ind w:firstLine="482" w:firstLineChars="200"/>
              <w:outlineLvl w:val="2"/>
              <w:rPr>
                <w:b/>
                <w:bCs/>
                <w:snapToGrid w:val="0"/>
                <w:color w:val="auto"/>
                <w:kern w:val="0"/>
                <w:sz w:val="24"/>
                <w:highlight w:val="none"/>
              </w:rPr>
            </w:pPr>
            <w:r>
              <w:rPr>
                <w:b/>
                <w:bCs/>
                <w:snapToGrid w:val="0"/>
                <w:color w:val="auto"/>
                <w:kern w:val="0"/>
                <w:sz w:val="24"/>
                <w:highlight w:val="none"/>
              </w:rPr>
              <w:t>1、路基工程</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（1）低填浅挖路段地基处理</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对路基填高较低、软土上硬层较厚，经对路基的工后沉降及稳定计算均满足要求的路段，采取基底清表(或清除建筑垃圾)换填处理。</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本工程路基涉及二环西路主、辅路，拟将本工程路基建设标准为城市主干道标准，其余被交支路仅进行路面修复，不做路基处理。</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项目二环辅路较原地面进行整体段落标高提升，提升高度0~ 1. 4m不等，对于低填段，采用回填碎石灌砂至路槽底处理。对于现状人行道改建机动车行车道的部位，应破除现状人行道结构至改造道路路面结构路槽底下80cm，换填碎石灌砂并碾压密实。</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对纵向或横向的天然坡度大于1: 5的地面，进行挖台阶处理，台阶宽度不小于2m。</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二环铜盘高架路基段:本项目二环铜盘高架接新建U型槽，需对既有高架落地路基段进行改造，故采用破除现状路基段挡墙及旧车道路面结构重新新建路面结构。</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（2）陡坡路堤和填挖交界</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陡、斜坡路堤及半填半挖之填方区路堤;当路堤不稳定或其坡脚为软弱土基时，必须采取换填、挡土墙等措施强化处理。</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对纵、横向填挖交界处、天然地面横坡陡于1∶5且小于1∶25，应按要求在原地表开挖成向内倾斜2～4%的反向台阶，台阶宽度＜2.m，高填方路段台阶宽度＜3.0m，并按要求对台阶进行填筑压实，达到规范要求压实度，保证填挖交界面有良好结合。对石方路段填挖交界处，由于沉降差异较明显，所以开挖台阶应注意从填方至挖方的刚柔缓和过渡，避免产生纵横向路面裂缝。</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横向填挖交界处设置＜3.0m的台阶，阶面呈 4%向内横坡，以加强挖填面之间连接;在填挖方的交界处视地下水或地面水情况，酌情设置纵、横向盲沟，或在路基填挖交界面填筑一层透水性材料，以利路基内的水排出。</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（3）软土地基处理</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软土路基处理主要控制路基工后沉降和稳定性。本次设计按一次性铺筑路面考虑，采用路面完工15 年内的工后沉降控制。路基稳定性验算采用固结有效应力法，营运期路基稳定安全系数不小于1.2，施工期不小于1.1。</w:t>
            </w:r>
          </w:p>
          <w:p>
            <w:pPr>
              <w:adjustRightInd w:val="0"/>
              <w:snapToGrid w:val="0"/>
              <w:spacing w:line="360" w:lineRule="auto"/>
              <w:ind w:firstLine="480" w:firstLineChars="200"/>
              <w:jc w:val="left"/>
              <w:rPr>
                <w:color w:val="auto"/>
                <w:sz w:val="24"/>
                <w:highlight w:val="none"/>
              </w:rPr>
            </w:pPr>
            <w:r>
              <w:rPr>
                <w:rFonts w:hint="eastAsia"/>
                <w:color w:val="auto"/>
                <w:sz w:val="24"/>
                <w:highlight w:val="none"/>
              </w:rPr>
              <w:t>根据地勘资料，本工程大部分路段地表多为杂填土及粉质黏土层，分布厚度一般为3-4m,其下层局部路段分布3~6m的软弱淤泥层。二环西路为现状道路，已运行多年，行车状况良好，本次改造由隧道外二环主路原先路面行驶改造为地下通行，在南北洞口外段新建箱型通道及U型槽。本项目U槽及箱型通道局部结构底位于淤泥层，淤泥深度约3m不等，采用基地超挖换填碎石灌砂厚1. 5m处理。二环拼宽下匝道匝道及掉头匝道，桥头路基大部分在现状机动车道上，地质情况较好，地表多为杂填土及粉质黏土层，分布厚度为4-5m,其下夹层均布3m多的软弱淤泥层，为保证桥头沉降稳定，本项目高架桥桥头处采用泡沫轻质混凝土填料填筑，不另外进行软基处理。</w:t>
            </w:r>
          </w:p>
          <w:p>
            <w:pPr>
              <w:adjustRightInd w:val="0"/>
              <w:snapToGrid w:val="0"/>
              <w:spacing w:line="360" w:lineRule="auto"/>
              <w:ind w:firstLine="482" w:firstLineChars="200"/>
              <w:outlineLvl w:val="2"/>
              <w:rPr>
                <w:b/>
                <w:bCs/>
                <w:snapToGrid w:val="0"/>
                <w:color w:val="auto"/>
                <w:kern w:val="0"/>
                <w:sz w:val="24"/>
                <w:highlight w:val="none"/>
              </w:rPr>
            </w:pPr>
            <w:r>
              <w:rPr>
                <w:rFonts w:hint="eastAsia"/>
                <w:b/>
                <w:bCs/>
                <w:snapToGrid w:val="0"/>
                <w:color w:val="auto"/>
                <w:kern w:val="0"/>
                <w:sz w:val="24"/>
                <w:highlight w:val="none"/>
              </w:rPr>
              <w:t>2、</w:t>
            </w:r>
            <w:r>
              <w:rPr>
                <w:b/>
                <w:bCs/>
                <w:snapToGrid w:val="0"/>
                <w:color w:val="auto"/>
                <w:kern w:val="0"/>
                <w:sz w:val="24"/>
                <w:highlight w:val="none"/>
              </w:rPr>
              <w:t>路面工程施工</w:t>
            </w:r>
          </w:p>
          <w:p>
            <w:pPr>
              <w:spacing w:line="360" w:lineRule="auto"/>
              <w:ind w:firstLine="480" w:firstLineChars="200"/>
              <w:jc w:val="left"/>
              <w:rPr>
                <w:color w:val="auto"/>
                <w:sz w:val="24"/>
                <w:highlight w:val="none"/>
              </w:rPr>
            </w:pPr>
            <w:r>
              <w:rPr>
                <w:color w:val="auto"/>
                <w:sz w:val="24"/>
                <w:highlight w:val="none"/>
              </w:rPr>
              <w:t>路面所需的砾料采用集中拌和专用汽车运输，摊铺采用摊铺机并碾压。道路施工方式流程见图</w:t>
            </w:r>
            <w:r>
              <w:rPr>
                <w:rFonts w:hint="eastAsia"/>
                <w:color w:val="auto"/>
                <w:sz w:val="24"/>
                <w:highlight w:val="none"/>
              </w:rPr>
              <w:t>2-2</w:t>
            </w:r>
            <w:r>
              <w:rPr>
                <w:color w:val="auto"/>
                <w:sz w:val="24"/>
                <w:highlight w:val="none"/>
              </w:rPr>
              <w:t>。</w:t>
            </w:r>
          </w:p>
          <w:p>
            <w:pPr>
              <w:spacing w:line="360" w:lineRule="auto"/>
              <w:rPr>
                <w:color w:val="auto"/>
                <w:sz w:val="24"/>
                <w:highlight w:val="none"/>
              </w:rPr>
            </w:pPr>
            <w:r>
              <w:rPr>
                <w:color w:val="auto"/>
                <w:sz w:val="24"/>
                <w:highlight w:val="none"/>
              </w:rPr>
              <mc:AlternateContent>
                <mc:Choice Requires="wpg">
                  <w:drawing>
                    <wp:inline distT="0" distB="0" distL="114300" distR="114300">
                      <wp:extent cx="5165090" cy="830580"/>
                      <wp:effectExtent l="0" t="0" r="0" b="0"/>
                      <wp:docPr id="14" name="组合 532"/>
                      <wp:cNvGraphicFramePr/>
                      <a:graphic xmlns:a="http://schemas.openxmlformats.org/drawingml/2006/main">
                        <a:graphicData uri="http://schemas.microsoft.com/office/word/2010/wordprocessingGroup">
                          <wpg:wgp>
                            <wpg:cNvGrpSpPr>
                              <a:grpSpLocks noRot="1"/>
                            </wpg:cNvGrpSpPr>
                            <wpg:grpSpPr>
                              <a:xfrm>
                                <a:off x="0" y="0"/>
                                <a:ext cx="5165090" cy="830580"/>
                                <a:chOff x="0" y="0"/>
                                <a:chExt cx="8396" cy="1308"/>
                              </a:xfrm>
                            </wpg:grpSpPr>
                            <wps:wsp>
                              <wps:cNvPr id="1" name="直线 533"/>
                              <wps:cNvCnPr/>
                              <wps:spPr>
                                <a:xfrm>
                                  <a:off x="3360" y="1061"/>
                                  <a:ext cx="695" cy="1"/>
                                </a:xfrm>
                                <a:prstGeom prst="line">
                                  <a:avLst/>
                                </a:prstGeom>
                                <a:ln w="9525" cap="flat" cmpd="sng">
                                  <a:solidFill>
                                    <a:srgbClr val="000000"/>
                                  </a:solidFill>
                                  <a:prstDash val="solid"/>
                                  <a:headEnd type="triangle" w="sm" len="lg"/>
                                  <a:tailEnd type="none" w="med" len="med"/>
                                </a:ln>
                              </wps:spPr>
                              <wps:bodyPr upright="1"/>
                            </wps:wsp>
                            <wps:wsp>
                              <wps:cNvPr id="2" name="直线 534"/>
                              <wps:cNvCnPr/>
                              <wps:spPr>
                                <a:xfrm>
                                  <a:off x="1340" y="224"/>
                                  <a:ext cx="694" cy="1"/>
                                </a:xfrm>
                                <a:prstGeom prst="line">
                                  <a:avLst/>
                                </a:prstGeom>
                                <a:ln w="9525" cap="flat" cmpd="sng">
                                  <a:solidFill>
                                    <a:srgbClr val="000000"/>
                                  </a:solidFill>
                                  <a:prstDash val="solid"/>
                                  <a:headEnd type="none" w="med" len="med"/>
                                  <a:tailEnd type="triangle" w="sm" len="lg"/>
                                </a:ln>
                              </wps:spPr>
                              <wps:bodyPr upright="1"/>
                            </wps:wsp>
                            <wps:wsp>
                              <wps:cNvPr id="3" name="文本框 535"/>
                              <wps:cNvSpPr txBox="1"/>
                              <wps:spPr>
                                <a:xfrm>
                                  <a:off x="4019" y="0"/>
                                  <a:ext cx="1621"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rFonts w:hint="eastAsia"/>
                                        <w:szCs w:val="21"/>
                                      </w:rPr>
                                    </w:pPr>
                                    <w:r>
                                      <w:rPr>
                                        <w:rFonts w:hint="eastAsia"/>
                                        <w:szCs w:val="21"/>
                                      </w:rPr>
                                      <w:t>铺筑碎石垫层</w:t>
                                    </w:r>
                                  </w:p>
                                </w:txbxContent>
                              </wps:txbx>
                              <wps:bodyPr wrap="square" lIns="0" tIns="0" rIns="0" bIns="0" upright="1"/>
                            </wps:wsp>
                            <wps:wsp>
                              <wps:cNvPr id="4" name="直线 536"/>
                              <wps:cNvCnPr/>
                              <wps:spPr>
                                <a:xfrm>
                                  <a:off x="6088" y="1045"/>
                                  <a:ext cx="695" cy="1"/>
                                </a:xfrm>
                                <a:prstGeom prst="line">
                                  <a:avLst/>
                                </a:prstGeom>
                                <a:ln w="9525" cap="flat" cmpd="sng">
                                  <a:solidFill>
                                    <a:srgbClr val="000000"/>
                                  </a:solidFill>
                                  <a:prstDash val="solid"/>
                                  <a:headEnd type="triangle" w="sm" len="lg"/>
                                  <a:tailEnd type="none" w="med" len="med"/>
                                </a:ln>
                              </wps:spPr>
                              <wps:bodyPr upright="1"/>
                            </wps:wsp>
                            <wps:wsp>
                              <wps:cNvPr id="5" name="直线 537"/>
                              <wps:cNvCnPr/>
                              <wps:spPr>
                                <a:xfrm>
                                  <a:off x="5625" y="207"/>
                                  <a:ext cx="695" cy="1"/>
                                </a:xfrm>
                                <a:prstGeom prst="line">
                                  <a:avLst/>
                                </a:prstGeom>
                                <a:ln w="9525" cap="flat" cmpd="sng">
                                  <a:solidFill>
                                    <a:srgbClr val="000000"/>
                                  </a:solidFill>
                                  <a:prstDash val="solid"/>
                                  <a:headEnd type="none" w="med" len="med"/>
                                  <a:tailEnd type="triangle" w="sm" len="lg"/>
                                </a:ln>
                              </wps:spPr>
                              <wps:bodyPr upright="1"/>
                            </wps:wsp>
                            <wps:wsp>
                              <wps:cNvPr id="6" name="直线 538"/>
                              <wps:cNvCnPr/>
                              <wps:spPr>
                                <a:xfrm>
                                  <a:off x="3346" y="224"/>
                                  <a:ext cx="695" cy="1"/>
                                </a:xfrm>
                                <a:prstGeom prst="line">
                                  <a:avLst/>
                                </a:prstGeom>
                                <a:ln w="9525" cap="flat" cmpd="sng">
                                  <a:solidFill>
                                    <a:srgbClr val="000000"/>
                                  </a:solidFill>
                                  <a:prstDash val="solid"/>
                                  <a:headEnd type="none" w="med" len="med"/>
                                  <a:tailEnd type="triangle" w="sm" len="lg"/>
                                </a:ln>
                              </wps:spPr>
                              <wps:bodyPr upright="1"/>
                            </wps:wsp>
                            <wps:wsp>
                              <wps:cNvPr id="7" name="直线 539"/>
                              <wps:cNvCnPr/>
                              <wps:spPr>
                                <a:xfrm>
                                  <a:off x="7538" y="443"/>
                                  <a:ext cx="0" cy="423"/>
                                </a:xfrm>
                                <a:prstGeom prst="line">
                                  <a:avLst/>
                                </a:prstGeom>
                                <a:ln w="9525" cap="flat" cmpd="sng">
                                  <a:solidFill>
                                    <a:srgbClr val="000000"/>
                                  </a:solidFill>
                                  <a:prstDash val="solid"/>
                                  <a:headEnd type="none" w="med" len="med"/>
                                  <a:tailEnd type="triangle" w="sm" len="lg"/>
                                </a:ln>
                              </wps:spPr>
                              <wps:bodyPr upright="1"/>
                            </wps:wsp>
                            <wps:wsp>
                              <wps:cNvPr id="8" name="文本框 540"/>
                              <wps:cNvSpPr txBox="1"/>
                              <wps:spPr>
                                <a:xfrm>
                                  <a:off x="6312" y="0"/>
                                  <a:ext cx="2084"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rFonts w:hint="eastAsia"/>
                                        <w:szCs w:val="21"/>
                                      </w:rPr>
                                    </w:pPr>
                                    <w:r>
                                      <w:rPr>
                                        <w:rFonts w:hint="eastAsia"/>
                                        <w:szCs w:val="21"/>
                                      </w:rPr>
                                      <w:t>铺筑水泥稳定</w:t>
                                    </w:r>
                                    <w:r>
                                      <w:rPr>
                                        <w:szCs w:val="21"/>
                                      </w:rPr>
                                      <w:t>碎石</w:t>
                                    </w:r>
                                  </w:p>
                                </w:txbxContent>
                              </wps:txbx>
                              <wps:bodyPr wrap="square" lIns="0" tIns="0" rIns="0" bIns="0" upright="1"/>
                            </wps:wsp>
                            <wps:wsp>
                              <wps:cNvPr id="9" name="文本框 541"/>
                              <wps:cNvSpPr txBox="1"/>
                              <wps:spPr>
                                <a:xfrm>
                                  <a:off x="6698" y="836"/>
                                  <a:ext cx="1621"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40" w:lineRule="exact"/>
                                      <w:jc w:val="center"/>
                                      <w:rPr>
                                        <w:rFonts w:hint="eastAsia"/>
                                        <w:color w:val="000000"/>
                                        <w:szCs w:val="21"/>
                                      </w:rPr>
                                    </w:pPr>
                                    <w:r>
                                      <w:rPr>
                                        <w:rFonts w:hint="eastAsia"/>
                                        <w:color w:val="000000"/>
                                        <w:szCs w:val="21"/>
                                      </w:rPr>
                                      <w:t>平整</w:t>
                                    </w:r>
                                  </w:p>
                                  <w:p>
                                    <w:pPr>
                                      <w:spacing w:line="300" w:lineRule="exact"/>
                                      <w:ind w:firstLine="480"/>
                                      <w:jc w:val="center"/>
                                      <w:rPr>
                                        <w:rFonts w:hint="eastAsia"/>
                                        <w:szCs w:val="21"/>
                                      </w:rPr>
                                    </w:pPr>
                                  </w:p>
                                </w:txbxContent>
                              </wps:txbx>
                              <wps:bodyPr wrap="square" lIns="0" tIns="0" rIns="0" bIns="0" upright="1"/>
                            </wps:wsp>
                            <wps:wsp>
                              <wps:cNvPr id="10" name="文本框 542"/>
                              <wps:cNvSpPr txBox="1"/>
                              <wps:spPr>
                                <a:xfrm>
                                  <a:off x="4020" y="836"/>
                                  <a:ext cx="2083"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rFonts w:hint="eastAsia"/>
                                        <w:szCs w:val="21"/>
                                      </w:rPr>
                                    </w:pPr>
                                    <w:r>
                                      <w:rPr>
                                        <w:rFonts w:hint="eastAsia"/>
                                        <w:szCs w:val="21"/>
                                      </w:rPr>
                                      <w:t>铺筑沥青混凝土</w:t>
                                    </w:r>
                                  </w:p>
                                </w:txbxContent>
                              </wps:txbx>
                              <wps:bodyPr wrap="square" lIns="0" tIns="0" rIns="0" bIns="0" upright="1"/>
                            </wps:wsp>
                            <wps:wsp>
                              <wps:cNvPr id="11" name="文本框 543"/>
                              <wps:cNvSpPr txBox="1"/>
                              <wps:spPr>
                                <a:xfrm>
                                  <a:off x="2009" y="0"/>
                                  <a:ext cx="1390"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rFonts w:hint="eastAsia"/>
                                        <w:szCs w:val="21"/>
                                      </w:rPr>
                                    </w:pPr>
                                    <w:r>
                                      <w:rPr>
                                        <w:rFonts w:hint="eastAsia"/>
                                        <w:szCs w:val="21"/>
                                      </w:rPr>
                                      <w:t>下管线</w:t>
                                    </w:r>
                                  </w:p>
                                </w:txbxContent>
                              </wps:txbx>
                              <wps:bodyPr wrap="square" lIns="0" tIns="0" rIns="0" bIns="0" upright="1"/>
                            </wps:wsp>
                            <wps:wsp>
                              <wps:cNvPr id="12" name="文本框 544"/>
                              <wps:cNvSpPr txBox="1"/>
                              <wps:spPr>
                                <a:xfrm>
                                  <a:off x="0" y="0"/>
                                  <a:ext cx="1390"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rFonts w:hint="eastAsia"/>
                                        <w:szCs w:val="21"/>
                                      </w:rPr>
                                    </w:pPr>
                                    <w:r>
                                      <w:rPr>
                                        <w:rFonts w:hint="eastAsia"/>
                                        <w:szCs w:val="21"/>
                                      </w:rPr>
                                      <w:t>清整场地</w:t>
                                    </w:r>
                                  </w:p>
                                </w:txbxContent>
                              </wps:txbx>
                              <wps:bodyPr wrap="square" lIns="7200" tIns="3600" rIns="7200" bIns="3600" upright="1"/>
                            </wps:wsp>
                            <wps:wsp>
                              <wps:cNvPr id="13" name="文本框 545"/>
                              <wps:cNvSpPr txBox="1"/>
                              <wps:spPr>
                                <a:xfrm>
                                  <a:off x="1980" y="865"/>
                                  <a:ext cx="1390"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rFonts w:hint="eastAsia"/>
                                        <w:szCs w:val="21"/>
                                      </w:rPr>
                                    </w:pPr>
                                    <w:r>
                                      <w:rPr>
                                        <w:rFonts w:hint="eastAsia"/>
                                        <w:szCs w:val="21"/>
                                      </w:rPr>
                                      <w:t>养护路面</w:t>
                                    </w:r>
                                  </w:p>
                                </w:txbxContent>
                              </wps:txbx>
                              <wps:bodyPr wrap="square" lIns="0" tIns="0" rIns="0" bIns="0" upright="1"/>
                            </wps:wsp>
                          </wpg:wgp>
                        </a:graphicData>
                      </a:graphic>
                    </wp:inline>
                  </w:drawing>
                </mc:Choice>
                <mc:Fallback>
                  <w:pict>
                    <v:group id="组合 532" o:spid="_x0000_s1026" o:spt="203" style="height:65.4pt;width:406.7pt;" coordsize="8396,1308" o:gfxdata="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">
                      <o:lock v:ext="edit" rotation="t" aspectratio="f"/>
                      <v:line id="直线 533" o:spid="_x0000_s1026" o:spt="20" style="position:absolute;left:3360;top:1061;height:1;width:695;" filled="f" stroked="t" coordsize="21600,21600" o:gfxdata="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H1bsAAADa&#10;AAAADwAAAAAAAAABACAAAAAiAAAAZHJzL2Rvd25yZXYueG1sUEsBAhQAFAAAAAgAh07iQDMvBZ47&#10;AAAAOQAAABAAAAAAAAAAAQAgAAAACgEAAGRycy9zaGFwZXhtbC54bWxQSwUGAAAAAAYABgBbAQAA&#10;tAMAAAAA&#10;">
                        <v:fill on="f" focussize="0,0"/>
                        <v:stroke color="#000000" joinstyle="round" startarrow="block" startarrowwidth="narrow" startarrowlength="long"/>
                        <v:imagedata o:title=""/>
                        <o:lock v:ext="edit" aspectratio="f"/>
                      </v:line>
                      <v:line id="直线 534" o:spid="_x0000_s1026" o:spt="20" style="position:absolute;left:1340;top:224;height:1;width:694;" filled="f" stroked="t" coordsize="21600,21600" o:gfxdata="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gMRvQAA&#10;ANo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shape id="文本框 535" o:spid="_x0000_s1026" o:spt="202" type="#_x0000_t202" style="position:absolute;left:4019;top:0;height:443;width:1621;" fillcolor="#FFFFFF" filled="t" stroked="t" coordsize="21600,21600" o:gfxdata="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IYO0vQAA&#10;ANo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w:txbxContent>
                            <w:p>
                              <w:pPr>
                                <w:spacing w:line="300" w:lineRule="exact"/>
                                <w:jc w:val="center"/>
                                <w:rPr>
                                  <w:rFonts w:hint="eastAsia"/>
                                  <w:szCs w:val="21"/>
                                </w:rPr>
                              </w:pPr>
                              <w:r>
                                <w:rPr>
                                  <w:rFonts w:hint="eastAsia"/>
                                  <w:szCs w:val="21"/>
                                </w:rPr>
                                <w:t>铺筑碎石垫层</w:t>
                              </w:r>
                            </w:p>
                          </w:txbxContent>
                        </v:textbox>
                      </v:shape>
                      <v:line id="直线 536" o:spid="_x0000_s1026" o:spt="20" style="position:absolute;left:6088;top:1045;height:1;width:695;" filled="f" stroked="t" coordsize="21600,21600" o:gfxdata="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QpE28AAAA&#10;2gAAAA8AAAAAAAAAAQAgAAAAIgAAAGRycy9kb3ducmV2LnhtbFBLAQIUABQAAAAIAIdO4kAzLwWe&#10;OwAAADkAAAAQAAAAAAAAAAEAIAAAAAsBAABkcnMvc2hhcGV4bWwueG1sUEsFBgAAAAAGAAYAWwEA&#10;ALUDAAAAAA==&#10;">
                        <v:fill on="f" focussize="0,0"/>
                        <v:stroke color="#000000" joinstyle="round" startarrow="block" startarrowwidth="narrow" startarrowlength="long"/>
                        <v:imagedata o:title=""/>
                        <o:lock v:ext="edit" aspectratio="f"/>
                      </v:line>
                      <v:line id="直线 537" o:spid="_x0000_s1026" o:spt="20" style="position:absolute;left:5625;top:207;height:1;width:695;" filled="f" stroked="t" coordsize="21600,21600" o:gfxdata="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75tlvQAA&#10;ANo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line id="直线 538" o:spid="_x0000_s1026" o:spt="20" style="position:absolute;left:3346;top:224;height:1;width:695;" filled="f" stroked="t" coordsize="21600,21600" o:gfxdata="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PQUSvQAA&#10;ANo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line id="直线 539" o:spid="_x0000_s1026" o:spt="20" style="position:absolute;left:7538;top:443;height:423;width:0;" filled="f" stroked="t" coordsize="21600,21600" o:gfxdata="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aCJvQAA&#10;ANo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shape id="文本框 540" o:spid="_x0000_s1026" o:spt="202" type="#_x0000_t202" style="position:absolute;left:6312;top:0;height:443;width:2084;" fillcolor="#FFFFFF" filled="t" stroked="t" coordsize="21600,21600" o:gfxdata="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EcW5AAAA2g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mm,0mm,0mm,0mm">
                          <w:txbxContent>
                            <w:p>
                              <w:pPr>
                                <w:spacing w:line="300" w:lineRule="exact"/>
                                <w:jc w:val="center"/>
                                <w:rPr>
                                  <w:rFonts w:hint="eastAsia"/>
                                  <w:szCs w:val="21"/>
                                </w:rPr>
                              </w:pPr>
                              <w:r>
                                <w:rPr>
                                  <w:rFonts w:hint="eastAsia"/>
                                  <w:szCs w:val="21"/>
                                </w:rPr>
                                <w:t>铺筑水泥稳定</w:t>
                              </w:r>
                              <w:r>
                                <w:rPr>
                                  <w:szCs w:val="21"/>
                                </w:rPr>
                                <w:t>碎石</w:t>
                              </w:r>
                            </w:p>
                          </w:txbxContent>
                        </v:textbox>
                      </v:shape>
                      <v:shape id="文本框 541" o:spid="_x0000_s1026" o:spt="202" type="#_x0000_t202" style="position:absolute;left:6698;top:836;height:443;width:1621;" fillcolor="#FFFFFF" filled="t" stroked="t" coordsize="21600,21600" o:gfxdata="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bRevQAA&#10;ANo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w:txbxContent>
                            <w:p>
                              <w:pPr>
                                <w:spacing w:line="340" w:lineRule="exact"/>
                                <w:jc w:val="center"/>
                                <w:rPr>
                                  <w:rFonts w:hint="eastAsia"/>
                                  <w:color w:val="000000"/>
                                  <w:szCs w:val="21"/>
                                </w:rPr>
                              </w:pPr>
                              <w:r>
                                <w:rPr>
                                  <w:rFonts w:hint="eastAsia"/>
                                  <w:color w:val="000000"/>
                                  <w:szCs w:val="21"/>
                                </w:rPr>
                                <w:t>平整</w:t>
                              </w:r>
                            </w:p>
                            <w:p>
                              <w:pPr>
                                <w:spacing w:line="300" w:lineRule="exact"/>
                                <w:ind w:firstLine="480"/>
                                <w:jc w:val="center"/>
                                <w:rPr>
                                  <w:rFonts w:hint="eastAsia"/>
                                  <w:szCs w:val="21"/>
                                </w:rPr>
                              </w:pPr>
                            </w:p>
                          </w:txbxContent>
                        </v:textbox>
                      </v:shape>
                      <v:shape id="文本框 542" o:spid="_x0000_s1026" o:spt="202" type="#_x0000_t202" style="position:absolute;left:4020;top:836;height:443;width:2083;" fillcolor="#FFFFFF" filled="t" stroked="t" coordsize="21600,21600" o:gfxdata="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79HF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w:txbxContent>
                            <w:p>
                              <w:pPr>
                                <w:spacing w:line="300" w:lineRule="exact"/>
                                <w:jc w:val="center"/>
                                <w:rPr>
                                  <w:rFonts w:hint="eastAsia"/>
                                  <w:szCs w:val="21"/>
                                </w:rPr>
                              </w:pPr>
                              <w:r>
                                <w:rPr>
                                  <w:rFonts w:hint="eastAsia"/>
                                  <w:szCs w:val="21"/>
                                </w:rPr>
                                <w:t>铺筑沥青混凝土</w:t>
                              </w:r>
                            </w:p>
                          </w:txbxContent>
                        </v:textbox>
                      </v:shape>
                      <v:shape id="文本框 543" o:spid="_x0000_s1026" o:spt="202" type="#_x0000_t202" style="position:absolute;left:2009;top:0;height:443;width:1390;" fillcolor="#FFFFFF" filled="t" stroked="t" coordsize="21600,21600" o:gfxdata="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jdF6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mm,0mm,0mm,0mm">
                          <w:txbxContent>
                            <w:p>
                              <w:pPr>
                                <w:spacing w:line="300" w:lineRule="exact"/>
                                <w:jc w:val="center"/>
                                <w:rPr>
                                  <w:rFonts w:hint="eastAsia"/>
                                  <w:szCs w:val="21"/>
                                </w:rPr>
                              </w:pPr>
                              <w:r>
                                <w:rPr>
                                  <w:rFonts w:hint="eastAsia"/>
                                  <w:szCs w:val="21"/>
                                </w:rPr>
                                <w:t>下管线</w:t>
                              </w:r>
                            </w:p>
                          </w:txbxContent>
                        </v:textbox>
                      </v:shape>
                      <v:shape id="文本框 544" o:spid="_x0000_s1026" o:spt="202" type="#_x0000_t202" style="position:absolute;left:0;top:0;height:443;width:1390;" fillcolor="#FFFFFF" filled="t" stroked="t" coordsize="21600,21600" o:gfxdata="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Qc7XugAAANs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inset="0.2mm,0.1mm,0.2mm,0.1mm">
                          <w:txbxContent>
                            <w:p>
                              <w:pPr>
                                <w:spacing w:line="300" w:lineRule="exact"/>
                                <w:jc w:val="center"/>
                                <w:rPr>
                                  <w:rFonts w:hint="eastAsia"/>
                                  <w:szCs w:val="21"/>
                                </w:rPr>
                              </w:pPr>
                              <w:r>
                                <w:rPr>
                                  <w:rFonts w:hint="eastAsia"/>
                                  <w:szCs w:val="21"/>
                                </w:rPr>
                                <w:t>清整场地</w:t>
                              </w:r>
                            </w:p>
                          </w:txbxContent>
                        </v:textbox>
                      </v:shape>
                      <v:shape id="文本框 545" o:spid="_x0000_s1026" o:spt="202" type="#_x0000_t202" style="position:absolute;left:1980;top:865;height:443;width:1390;" fillcolor="#FFFFFF" filled="t" stroked="t" coordsize="21600,21600" o:gfxdata="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1Psr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w:txbxContent>
                            <w:p>
                              <w:pPr>
                                <w:spacing w:line="300" w:lineRule="exact"/>
                                <w:jc w:val="center"/>
                                <w:rPr>
                                  <w:rFonts w:hint="eastAsia"/>
                                  <w:szCs w:val="21"/>
                                </w:rPr>
                              </w:pPr>
                              <w:r>
                                <w:rPr>
                                  <w:rFonts w:hint="eastAsia"/>
                                  <w:szCs w:val="21"/>
                                </w:rPr>
                                <w:t>养护路面</w:t>
                              </w:r>
                            </w:p>
                          </w:txbxContent>
                        </v:textbox>
                      </v:shape>
                      <w10:wrap type="none"/>
                      <w10:anchorlock/>
                    </v:group>
                  </w:pict>
                </mc:Fallback>
              </mc:AlternateContent>
            </w:r>
          </w:p>
          <w:p>
            <w:pPr>
              <w:spacing w:line="360" w:lineRule="auto"/>
              <w:ind w:firstLine="482" w:firstLineChars="200"/>
              <w:jc w:val="center"/>
              <w:rPr>
                <w:b/>
                <w:bCs/>
                <w:color w:val="auto"/>
                <w:sz w:val="24"/>
                <w:highlight w:val="none"/>
              </w:rPr>
            </w:pPr>
            <w:r>
              <w:rPr>
                <w:b/>
                <w:bCs/>
                <w:color w:val="auto"/>
                <w:sz w:val="24"/>
                <w:highlight w:val="none"/>
              </w:rPr>
              <w:t>图</w:t>
            </w:r>
            <w:r>
              <w:rPr>
                <w:rFonts w:hint="eastAsia"/>
                <w:b/>
                <w:bCs/>
                <w:color w:val="auto"/>
                <w:sz w:val="24"/>
                <w:highlight w:val="none"/>
              </w:rPr>
              <w:t>2</w:t>
            </w:r>
            <w:r>
              <w:rPr>
                <w:b/>
                <w:bCs/>
                <w:color w:val="auto"/>
                <w:sz w:val="24"/>
                <w:highlight w:val="none"/>
              </w:rPr>
              <w:t>-</w:t>
            </w:r>
            <w:r>
              <w:rPr>
                <w:rFonts w:hint="eastAsia"/>
                <w:b/>
                <w:bCs/>
                <w:color w:val="auto"/>
                <w:sz w:val="24"/>
                <w:highlight w:val="none"/>
              </w:rPr>
              <w:t>2</w:t>
            </w:r>
            <w:r>
              <w:rPr>
                <w:b/>
                <w:bCs/>
                <w:color w:val="auto"/>
                <w:sz w:val="24"/>
                <w:highlight w:val="none"/>
              </w:rPr>
              <w:t xml:space="preserve">  路面施工工艺流程图</w:t>
            </w:r>
          </w:p>
          <w:p>
            <w:pPr>
              <w:adjustRightInd w:val="0"/>
              <w:snapToGrid w:val="0"/>
              <w:spacing w:line="360" w:lineRule="auto"/>
              <w:ind w:firstLine="482" w:firstLineChars="200"/>
              <w:outlineLvl w:val="2"/>
              <w:rPr>
                <w:snapToGrid w:val="0"/>
                <w:color w:val="auto"/>
                <w:kern w:val="0"/>
                <w:sz w:val="24"/>
                <w:highlight w:val="none"/>
              </w:rPr>
            </w:pPr>
            <w:r>
              <w:rPr>
                <w:rFonts w:hint="eastAsia"/>
                <w:b/>
                <w:bCs/>
                <w:snapToGrid w:val="0"/>
                <w:color w:val="auto"/>
                <w:kern w:val="0"/>
                <w:sz w:val="24"/>
                <w:highlight w:val="none"/>
              </w:rPr>
              <w:t>3、隧道</w:t>
            </w:r>
            <w:r>
              <w:rPr>
                <w:b/>
                <w:bCs/>
                <w:snapToGrid w:val="0"/>
                <w:color w:val="auto"/>
                <w:kern w:val="0"/>
                <w:sz w:val="24"/>
                <w:highlight w:val="none"/>
              </w:rPr>
              <w:t>施工</w:t>
            </w:r>
          </w:p>
          <w:p>
            <w:pPr>
              <w:spacing w:line="360" w:lineRule="auto"/>
              <w:ind w:firstLine="480" w:firstLineChars="200"/>
              <w:jc w:val="left"/>
              <w:rPr>
                <w:rFonts w:hint="eastAsia"/>
                <w:color w:val="auto"/>
                <w:sz w:val="24"/>
                <w:highlight w:val="none"/>
              </w:rPr>
            </w:pPr>
            <w:r>
              <w:rPr>
                <w:rFonts w:hint="eastAsia"/>
                <w:color w:val="auto"/>
                <w:sz w:val="24"/>
                <w:highlight w:val="none"/>
              </w:rPr>
              <w:t>（1）既有隧道结构拆除可采用机械切割，并与相关机械设备配合施工，合理安排拆除工序，减少对围岩及未拆除结构扰动。</w:t>
            </w:r>
          </w:p>
          <w:p>
            <w:pPr>
              <w:spacing w:line="360" w:lineRule="auto"/>
              <w:ind w:firstLine="480" w:firstLineChars="200"/>
              <w:jc w:val="left"/>
              <w:rPr>
                <w:rFonts w:hint="eastAsia"/>
                <w:color w:val="auto"/>
                <w:sz w:val="24"/>
                <w:highlight w:val="none"/>
              </w:rPr>
            </w:pPr>
            <w:r>
              <w:rPr>
                <w:rFonts w:hint="eastAsia"/>
                <w:color w:val="auto"/>
                <w:sz w:val="24"/>
                <w:highlight w:val="none"/>
              </w:rPr>
              <w:t>（2）暗挖隧道全风化、强风化岩石采用机械开挖，中、微分化岩石采用静力裂解开挖。</w:t>
            </w:r>
          </w:p>
          <w:p>
            <w:pPr>
              <w:spacing w:line="360" w:lineRule="auto"/>
              <w:ind w:firstLine="480" w:firstLineChars="200"/>
              <w:jc w:val="left"/>
              <w:rPr>
                <w:rFonts w:hint="eastAsia"/>
                <w:color w:val="auto"/>
                <w:sz w:val="24"/>
                <w:highlight w:val="none"/>
              </w:rPr>
            </w:pPr>
            <w:r>
              <w:rPr>
                <w:rFonts w:hint="eastAsia"/>
                <w:color w:val="auto"/>
                <w:sz w:val="24"/>
                <w:highlight w:val="none"/>
              </w:rPr>
              <w:t>（3）隧道上层隧道托梁底部位于强风化花岗岩时，下层隧道开挖前均需打设灌注桩，施工单位应结合地质及打桩空间选择合适的设备，可采用全套管全回旋钻机，成孔施工应跳桩一次不间断地完成。</w:t>
            </w:r>
          </w:p>
          <w:p>
            <w:pPr>
              <w:spacing w:line="360" w:lineRule="auto"/>
              <w:ind w:firstLine="480" w:firstLineChars="200"/>
              <w:jc w:val="left"/>
              <w:rPr>
                <w:rFonts w:hint="eastAsia"/>
                <w:color w:val="auto"/>
                <w:sz w:val="24"/>
                <w:highlight w:val="none"/>
              </w:rPr>
            </w:pPr>
            <w:r>
              <w:rPr>
                <w:rFonts w:hint="eastAsia"/>
                <w:color w:val="auto"/>
                <w:sz w:val="24"/>
                <w:highlight w:val="none"/>
              </w:rPr>
              <w:t>（4）人行横洞施工采用全断面法。</w:t>
            </w:r>
          </w:p>
          <w:p>
            <w:pPr>
              <w:adjustRightInd w:val="0"/>
              <w:snapToGrid w:val="0"/>
              <w:spacing w:line="360" w:lineRule="auto"/>
              <w:ind w:firstLine="482" w:firstLineChars="200"/>
              <w:outlineLvl w:val="2"/>
              <w:rPr>
                <w:snapToGrid w:val="0"/>
                <w:color w:val="auto"/>
                <w:kern w:val="0"/>
                <w:sz w:val="24"/>
                <w:highlight w:val="none"/>
              </w:rPr>
            </w:pPr>
            <w:r>
              <w:rPr>
                <w:rFonts w:hint="eastAsia"/>
                <w:b/>
                <w:bCs/>
                <w:snapToGrid w:val="0"/>
                <w:color w:val="auto"/>
                <w:kern w:val="0"/>
                <w:sz w:val="24"/>
                <w:highlight w:val="none"/>
              </w:rPr>
              <w:t>4、桥梁</w:t>
            </w:r>
            <w:r>
              <w:rPr>
                <w:b/>
                <w:bCs/>
                <w:snapToGrid w:val="0"/>
                <w:color w:val="auto"/>
                <w:kern w:val="0"/>
                <w:sz w:val="24"/>
                <w:highlight w:val="none"/>
              </w:rPr>
              <w:t>施工</w:t>
            </w:r>
          </w:p>
          <w:p>
            <w:pPr>
              <w:spacing w:line="360" w:lineRule="auto"/>
              <w:ind w:firstLine="480" w:firstLineChars="200"/>
              <w:jc w:val="left"/>
              <w:rPr>
                <w:color w:val="auto"/>
                <w:sz w:val="24"/>
                <w:highlight w:val="none"/>
              </w:rPr>
            </w:pPr>
            <w:r>
              <w:rPr>
                <w:color w:val="auto"/>
                <w:sz w:val="24"/>
                <w:highlight w:val="none"/>
              </w:rPr>
              <w:t>根据项目总体布置，本项目</w:t>
            </w:r>
            <w:r>
              <w:rPr>
                <w:rFonts w:hint="eastAsia"/>
                <w:color w:val="auto"/>
                <w:sz w:val="24"/>
                <w:highlight w:val="none"/>
              </w:rPr>
              <w:t>重建九00 医院掉头匝道桥，新建铜盘高架出口匝道桥</w:t>
            </w:r>
            <w:r>
              <w:rPr>
                <w:rFonts w:hint="eastAsia" w:eastAsia="仿宋_GB2312"/>
                <w:color w:val="auto"/>
                <w:sz w:val="24"/>
                <w:highlight w:val="none"/>
              </w:rPr>
              <w:t>2</w:t>
            </w:r>
            <w:r>
              <w:rPr>
                <w:color w:val="auto"/>
                <w:sz w:val="24"/>
                <w:highlight w:val="none"/>
              </w:rPr>
              <w:t>座桥梁。</w:t>
            </w:r>
          </w:p>
          <w:p>
            <w:pPr>
              <w:spacing w:line="360" w:lineRule="auto"/>
              <w:jc w:val="left"/>
              <w:rPr>
                <w:rFonts w:hint="eastAsia"/>
                <w:color w:val="auto"/>
                <w:sz w:val="24"/>
                <w:highlight w:val="none"/>
              </w:rPr>
            </w:pPr>
            <w:r>
              <w:rPr>
                <w:color w:val="auto"/>
                <w:sz w:val="24"/>
                <w:highlight w:val="none"/>
              </w:rPr>
              <w:t>桥梁的施工包括桥梁下部施工、桥梁上部施工。桥梁结构下部施工主要包括桥梁基础、桥台及桥墩的施工。</w:t>
            </w:r>
            <w:r>
              <w:rPr>
                <w:rFonts w:hint="eastAsia"/>
                <w:color w:val="auto"/>
                <w:sz w:val="24"/>
                <w:highlight w:val="none"/>
              </w:rPr>
              <w:t>本工程上部结构采用钢箱梁结构，主梁主要采用预制吊装施工。下部结构桥墩采用单桩单柱式盖梁墩，墩柱直径1.5m，桥台采用桩接盖梁式。</w:t>
            </w:r>
          </w:p>
          <w:p>
            <w:pPr>
              <w:spacing w:line="360" w:lineRule="auto"/>
              <w:ind w:firstLine="480" w:firstLineChars="200"/>
              <w:jc w:val="left"/>
              <w:rPr>
                <w:rFonts w:hint="eastAsia"/>
                <w:color w:val="auto"/>
                <w:sz w:val="24"/>
                <w:highlight w:val="none"/>
              </w:rPr>
            </w:pPr>
            <w:r>
              <w:rPr>
                <w:rFonts w:hint="eastAsia"/>
                <w:color w:val="auto"/>
                <w:sz w:val="24"/>
                <w:highlight w:val="none"/>
              </w:rPr>
              <w:t>主桥施工工序概述：</w:t>
            </w:r>
          </w:p>
          <w:p>
            <w:pPr>
              <w:spacing w:line="360" w:lineRule="auto"/>
              <w:ind w:firstLine="480" w:firstLineChars="200"/>
              <w:jc w:val="left"/>
              <w:rPr>
                <w:rFonts w:hint="eastAsia"/>
                <w:color w:val="auto"/>
                <w:sz w:val="24"/>
                <w:highlight w:val="none"/>
              </w:rPr>
            </w:pPr>
            <w:r>
              <w:rPr>
                <w:rFonts w:hint="eastAsia"/>
                <w:color w:val="auto"/>
                <w:sz w:val="24"/>
                <w:highlight w:val="none"/>
              </w:rPr>
              <w:t>步骤一：1、搭设拆桥支架；2、原旧桥混凝土梁及附属结构拆除外运；3、下部结构盖梁、墩柱、承台、桩基（局部）拆除；4、砍桩至新建桥梁相应设计标高。</w:t>
            </w:r>
          </w:p>
          <w:p>
            <w:pPr>
              <w:spacing w:line="360" w:lineRule="auto"/>
              <w:ind w:firstLine="480" w:firstLineChars="200"/>
              <w:jc w:val="left"/>
              <w:rPr>
                <w:rFonts w:hint="eastAsia"/>
                <w:color w:val="auto"/>
                <w:sz w:val="24"/>
                <w:highlight w:val="none"/>
              </w:rPr>
            </w:pPr>
            <w:r>
              <w:rPr>
                <w:rFonts w:hint="eastAsia"/>
                <w:color w:val="auto"/>
                <w:sz w:val="24"/>
                <w:highlight w:val="none"/>
              </w:rPr>
              <w:t>步骤二：复核利用旧结构的 桥台位置。</w:t>
            </w:r>
          </w:p>
          <w:p>
            <w:pPr>
              <w:spacing w:line="360" w:lineRule="auto"/>
              <w:ind w:firstLine="480" w:firstLineChars="200"/>
              <w:jc w:val="left"/>
              <w:rPr>
                <w:rFonts w:hint="eastAsia"/>
                <w:color w:val="auto"/>
                <w:sz w:val="24"/>
                <w:highlight w:val="none"/>
              </w:rPr>
            </w:pPr>
            <w:r>
              <w:rPr>
                <w:rFonts w:hint="eastAsia"/>
                <w:color w:val="auto"/>
                <w:sz w:val="24"/>
                <w:highlight w:val="none"/>
              </w:rPr>
              <w:t>步骤三： 1、场地平整实施；2、各墩台桩基、承台、盖梁墩柱、台身施工。</w:t>
            </w:r>
          </w:p>
          <w:p>
            <w:pPr>
              <w:spacing w:line="360" w:lineRule="auto"/>
              <w:ind w:firstLine="480" w:firstLineChars="200"/>
              <w:jc w:val="left"/>
              <w:rPr>
                <w:rFonts w:hint="eastAsia"/>
                <w:color w:val="auto"/>
                <w:sz w:val="24"/>
                <w:highlight w:val="none"/>
              </w:rPr>
            </w:pPr>
            <w:r>
              <w:rPr>
                <w:rFonts w:hint="eastAsia"/>
                <w:color w:val="auto"/>
                <w:sz w:val="24"/>
                <w:highlight w:val="none"/>
              </w:rPr>
              <w:t>步骤四：钢结构临时吊装支架施工。</w:t>
            </w:r>
          </w:p>
          <w:p>
            <w:pPr>
              <w:spacing w:line="360" w:lineRule="auto"/>
              <w:ind w:firstLine="480" w:firstLineChars="200"/>
              <w:jc w:val="left"/>
              <w:rPr>
                <w:rFonts w:hint="eastAsia"/>
                <w:color w:val="auto"/>
                <w:sz w:val="24"/>
                <w:highlight w:val="none"/>
              </w:rPr>
            </w:pPr>
            <w:r>
              <w:rPr>
                <w:rFonts w:hint="eastAsia"/>
                <w:color w:val="auto"/>
                <w:sz w:val="24"/>
                <w:highlight w:val="none"/>
              </w:rPr>
              <w:t>步骤五：钢箱梁结构吊装拼接，低温合龙，合龙控制温度 15℃~20℃。</w:t>
            </w:r>
          </w:p>
          <w:p>
            <w:pPr>
              <w:spacing w:line="360" w:lineRule="auto"/>
              <w:ind w:firstLine="480" w:firstLineChars="200"/>
              <w:jc w:val="left"/>
              <w:rPr>
                <w:rFonts w:hint="eastAsia"/>
                <w:color w:val="auto"/>
                <w:highlight w:val="none"/>
              </w:rPr>
            </w:pPr>
            <w:r>
              <w:rPr>
                <w:rFonts w:hint="eastAsia"/>
                <w:color w:val="auto"/>
                <w:sz w:val="24"/>
                <w:highlight w:val="none"/>
              </w:rPr>
              <w:t>步骤六：1、施工桥面系、附属结构；2、桥头段施工；3、恢复桥下及周边绿化，桥梁完工。</w:t>
            </w:r>
          </w:p>
          <w:p>
            <w:pPr>
              <w:spacing w:line="360" w:lineRule="auto"/>
              <w:ind w:firstLine="480" w:firstLineChars="200"/>
              <w:jc w:val="left"/>
              <w:rPr>
                <w:color w:val="auto"/>
                <w:sz w:val="24"/>
                <w:highlight w:val="none"/>
              </w:rPr>
            </w:pPr>
            <w:r>
              <w:rPr>
                <w:color w:val="auto"/>
                <w:sz w:val="24"/>
                <w:highlight w:val="none"/>
              </w:rPr>
              <w:t xml:space="preserve"> 1)桥梁下部结构施工</w:t>
            </w:r>
          </w:p>
          <w:p>
            <w:pPr>
              <w:spacing w:line="360" w:lineRule="auto"/>
              <w:ind w:firstLine="480" w:firstLineChars="200"/>
              <w:jc w:val="left"/>
              <w:rPr>
                <w:color w:val="auto"/>
                <w:sz w:val="24"/>
                <w:highlight w:val="none"/>
              </w:rPr>
            </w:pPr>
            <w:r>
              <w:rPr>
                <w:color w:val="auto"/>
                <w:sz w:val="24"/>
                <w:highlight w:val="none"/>
              </w:rPr>
              <w:t>桥梁下部结构采用</w:t>
            </w:r>
            <w:r>
              <w:rPr>
                <w:rFonts w:hint="eastAsia"/>
                <w:color w:val="auto"/>
                <w:sz w:val="24"/>
                <w:highlight w:val="none"/>
              </w:rPr>
              <w:t>单桩单柱式盖梁墩，</w:t>
            </w:r>
            <w:r>
              <w:rPr>
                <w:color w:val="auto"/>
                <w:sz w:val="24"/>
                <w:highlight w:val="none"/>
              </w:rPr>
              <w:t>钻孔灌注桩基础。钻孔灌注桩基础施工工艺见图</w:t>
            </w:r>
            <w:r>
              <w:rPr>
                <w:rFonts w:hint="eastAsia"/>
                <w:color w:val="auto"/>
                <w:sz w:val="24"/>
                <w:highlight w:val="none"/>
              </w:rPr>
              <w:t>2-3</w:t>
            </w:r>
            <w:r>
              <w:rPr>
                <w:color w:val="auto"/>
                <w:sz w:val="24"/>
                <w:highlight w:val="none"/>
              </w:rPr>
              <w:t>。</w:t>
            </w:r>
          </w:p>
          <w:p>
            <w:pPr>
              <w:spacing w:line="360" w:lineRule="auto"/>
              <w:jc w:val="center"/>
              <w:rPr>
                <w:color w:val="auto"/>
                <w:sz w:val="24"/>
                <w:highlight w:val="none"/>
              </w:rPr>
            </w:pPr>
            <w:r>
              <w:rPr>
                <w:color w:val="auto"/>
                <w:sz w:val="24"/>
                <w:highlight w:val="none"/>
              </w:rPr>
              <w:drawing>
                <wp:inline distT="0" distB="0" distL="114300" distR="114300">
                  <wp:extent cx="4227830" cy="4806950"/>
                  <wp:effectExtent l="0" t="0" r="0" b="0"/>
                  <wp:docPr id="47" name="图片 1" descr="9Z`VI%8Y(M3VE{K4[`L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9Z`VI%8Y(M3VE{K4[`L7]26"/>
                          <pic:cNvPicPr>
                            <a:picLocks noChangeAspect="1"/>
                          </pic:cNvPicPr>
                        </pic:nvPicPr>
                        <pic:blipFill>
                          <a:blip r:embed="rId13"/>
                          <a:stretch>
                            <a:fillRect/>
                          </a:stretch>
                        </pic:blipFill>
                        <pic:spPr>
                          <a:xfrm>
                            <a:off x="0" y="0"/>
                            <a:ext cx="4227830" cy="4806950"/>
                          </a:xfrm>
                          <a:prstGeom prst="rect">
                            <a:avLst/>
                          </a:prstGeom>
                          <a:noFill/>
                          <a:ln>
                            <a:noFill/>
                          </a:ln>
                        </pic:spPr>
                      </pic:pic>
                    </a:graphicData>
                  </a:graphic>
                </wp:inline>
              </w:drawing>
            </w:r>
          </w:p>
          <w:p>
            <w:pPr>
              <w:spacing w:line="360" w:lineRule="auto"/>
              <w:ind w:firstLine="482" w:firstLineChars="200"/>
              <w:jc w:val="center"/>
              <w:rPr>
                <w:color w:val="auto"/>
                <w:sz w:val="24"/>
                <w:highlight w:val="none"/>
              </w:rPr>
            </w:pPr>
            <w:r>
              <w:rPr>
                <w:b/>
                <w:bCs/>
                <w:color w:val="auto"/>
                <w:sz w:val="24"/>
                <w:highlight w:val="none"/>
              </w:rPr>
              <w:t>图</w:t>
            </w:r>
            <w:r>
              <w:rPr>
                <w:rFonts w:hint="eastAsia"/>
                <w:b/>
                <w:bCs/>
                <w:color w:val="auto"/>
                <w:sz w:val="24"/>
                <w:highlight w:val="none"/>
              </w:rPr>
              <w:t>2-3</w:t>
            </w:r>
            <w:r>
              <w:rPr>
                <w:b/>
                <w:bCs/>
                <w:color w:val="auto"/>
                <w:sz w:val="24"/>
                <w:highlight w:val="none"/>
              </w:rPr>
              <w:t xml:space="preserve"> </w:t>
            </w:r>
            <w:r>
              <w:rPr>
                <w:rFonts w:hint="eastAsia"/>
                <w:b/>
                <w:bCs/>
                <w:color w:val="auto"/>
                <w:sz w:val="24"/>
                <w:highlight w:val="none"/>
              </w:rPr>
              <w:t xml:space="preserve"> </w:t>
            </w:r>
            <w:r>
              <w:rPr>
                <w:b/>
                <w:bCs/>
                <w:color w:val="auto"/>
                <w:sz w:val="24"/>
                <w:highlight w:val="none"/>
              </w:rPr>
              <w:t>桥梁钻孔灌注桩基础施工工艺流程图</w:t>
            </w:r>
          </w:p>
          <w:p>
            <w:pPr>
              <w:spacing w:line="360" w:lineRule="auto"/>
              <w:ind w:firstLine="480" w:firstLineChars="200"/>
              <w:rPr>
                <w:color w:val="auto"/>
                <w:sz w:val="24"/>
                <w:highlight w:val="none"/>
              </w:rPr>
            </w:pPr>
            <w:r>
              <w:rPr>
                <w:color w:val="auto"/>
                <w:sz w:val="24"/>
                <w:highlight w:val="none"/>
              </w:rPr>
              <w:t>钻孔采用回旋钻机成孔，泥浆护壁，按照规范要求进行钻进及清渣，检查合格后，履带吊吊钢筋笼入孔，并进行二次清孔，导管法灌注砼。在钻孔灌注桩基础施工过程中，产生的主要水污染物有：钻渣、泥浆。其中以机械钻孔及第一”、第二次清孔时所产生的泥浆(含有钻渣)对水环境影响最大。</w:t>
            </w:r>
          </w:p>
          <w:p>
            <w:pPr>
              <w:spacing w:line="360" w:lineRule="auto"/>
              <w:ind w:firstLine="480" w:firstLineChars="200"/>
              <w:rPr>
                <w:color w:val="auto"/>
                <w:sz w:val="24"/>
                <w:highlight w:val="none"/>
              </w:rPr>
            </w:pPr>
            <w:r>
              <w:rPr>
                <w:color w:val="auto"/>
                <w:sz w:val="24"/>
                <w:highlight w:val="none"/>
              </w:rPr>
              <w:t>泥浆采用泥浆池供应，循环利用。在墩位间靠近钻孔桩处设置泥浆池，泥浆池在每根桩钻孔完成后要及时清理浆池，废浆及钻渣通过管道抽运至岸边设置的沉淀池，不外排，干化后运至项目区域内其他建设项目填方，沉淀后的上清夜经检验合格后外排。桩基正常施工过程，钻渣及悬浮物泥沙的泄漏量非常少，泥浆也做到循环利用，有效回收。</w:t>
            </w:r>
          </w:p>
          <w:p>
            <w:pPr>
              <w:numPr>
                <w:ilvl w:val="0"/>
                <w:numId w:val="3"/>
              </w:numPr>
              <w:adjustRightInd w:val="0"/>
              <w:snapToGrid w:val="0"/>
              <w:spacing w:line="360" w:lineRule="auto"/>
              <w:ind w:firstLine="482" w:firstLineChars="200"/>
              <w:outlineLvl w:val="2"/>
              <w:rPr>
                <w:b/>
                <w:bCs/>
                <w:snapToGrid w:val="0"/>
                <w:color w:val="auto"/>
                <w:kern w:val="0"/>
                <w:sz w:val="24"/>
                <w:highlight w:val="none"/>
              </w:rPr>
            </w:pPr>
            <w:r>
              <w:rPr>
                <w:b/>
                <w:bCs/>
                <w:snapToGrid w:val="0"/>
                <w:color w:val="auto"/>
                <w:kern w:val="0"/>
                <w:sz w:val="24"/>
                <w:highlight w:val="none"/>
              </w:rPr>
              <w:t>管线及其他工程</w:t>
            </w:r>
          </w:p>
          <w:p>
            <w:pPr>
              <w:spacing w:line="360" w:lineRule="auto"/>
              <w:ind w:firstLine="480" w:firstLineChars="200"/>
              <w:jc w:val="left"/>
              <w:rPr>
                <w:rFonts w:hint="eastAsia"/>
                <w:color w:val="auto"/>
                <w:sz w:val="24"/>
                <w:highlight w:val="none"/>
              </w:rPr>
            </w:pPr>
            <w:r>
              <w:rPr>
                <w:rFonts w:hint="eastAsia"/>
                <w:color w:val="auto"/>
                <w:sz w:val="24"/>
                <w:highlight w:val="none"/>
              </w:rPr>
              <w:t>1）工艺流程</w:t>
            </w:r>
          </w:p>
          <w:p>
            <w:pPr>
              <w:spacing w:line="360" w:lineRule="auto"/>
              <w:ind w:firstLine="480" w:firstLineChars="200"/>
              <w:jc w:val="left"/>
              <w:rPr>
                <w:rFonts w:hint="eastAsia"/>
                <w:color w:val="auto"/>
                <w:sz w:val="24"/>
                <w:highlight w:val="none"/>
              </w:rPr>
            </w:pPr>
            <w:r>
              <w:rPr>
                <w:rFonts w:hint="eastAsia"/>
                <w:color w:val="auto"/>
                <w:sz w:val="24"/>
                <w:highlight w:val="none"/>
              </w:rPr>
              <w:t>施工放样→管沟开挖→垫层、基础施工→管道安装→管座及接口施工→管沟回填。</w:t>
            </w:r>
          </w:p>
          <w:p>
            <w:pPr>
              <w:spacing w:line="360" w:lineRule="auto"/>
              <w:ind w:firstLine="480" w:firstLineChars="200"/>
              <w:jc w:val="left"/>
              <w:rPr>
                <w:rFonts w:hint="eastAsia"/>
                <w:color w:val="auto"/>
                <w:sz w:val="24"/>
                <w:highlight w:val="none"/>
              </w:rPr>
            </w:pPr>
            <w:r>
              <w:rPr>
                <w:rFonts w:hint="eastAsia"/>
                <w:color w:val="auto"/>
                <w:sz w:val="24"/>
                <w:highlight w:val="none"/>
              </w:rPr>
              <w:t>2）施工方法</w:t>
            </w:r>
          </w:p>
          <w:p>
            <w:pPr>
              <w:spacing w:line="360" w:lineRule="auto"/>
              <w:ind w:firstLine="480" w:firstLineChars="200"/>
              <w:jc w:val="left"/>
              <w:rPr>
                <w:rFonts w:hint="eastAsia"/>
                <w:color w:val="auto"/>
                <w:sz w:val="24"/>
                <w:highlight w:val="none"/>
              </w:rPr>
            </w:pPr>
            <w:r>
              <w:rPr>
                <w:rFonts w:hint="eastAsia"/>
                <w:color w:val="auto"/>
                <w:sz w:val="24"/>
                <w:highlight w:val="none"/>
              </w:rPr>
              <w:t>施工放样：精确测量放线，做好装点固定保护；</w:t>
            </w:r>
          </w:p>
          <w:p>
            <w:pPr>
              <w:spacing w:line="360" w:lineRule="auto"/>
              <w:ind w:firstLine="480" w:firstLineChars="200"/>
              <w:jc w:val="left"/>
              <w:rPr>
                <w:rFonts w:hint="eastAsia"/>
                <w:color w:val="auto"/>
                <w:sz w:val="24"/>
                <w:highlight w:val="none"/>
              </w:rPr>
            </w:pPr>
            <w:r>
              <w:rPr>
                <w:rFonts w:hint="eastAsia"/>
                <w:color w:val="auto"/>
                <w:sz w:val="24"/>
                <w:highlight w:val="none"/>
              </w:rPr>
              <w:t>管沟开挖：先进行准确测量，机械施工，沟槽采用自然放坡。</w:t>
            </w:r>
          </w:p>
          <w:p>
            <w:pPr>
              <w:spacing w:line="360" w:lineRule="auto"/>
              <w:ind w:firstLine="480" w:firstLineChars="200"/>
              <w:jc w:val="left"/>
              <w:rPr>
                <w:rFonts w:hint="eastAsia"/>
                <w:color w:val="auto"/>
                <w:sz w:val="24"/>
                <w:highlight w:val="none"/>
              </w:rPr>
            </w:pPr>
            <w:r>
              <w:rPr>
                <w:rFonts w:hint="eastAsia"/>
                <w:color w:val="auto"/>
                <w:sz w:val="24"/>
                <w:highlight w:val="none"/>
              </w:rPr>
              <w:t>垫层、基础施工：槽底以上20cm必须用人工修整地面，槽底的松散土、大石块等要及时清除，并保持沟槽干燥，修整好地面，立即进行基础施工。沟槽形成后，在槽底面上铺20cm砂垫层，并用机械振动夯实，密实度达90%以上；</w:t>
            </w:r>
          </w:p>
          <w:p>
            <w:pPr>
              <w:spacing w:line="360" w:lineRule="auto"/>
              <w:ind w:firstLine="480" w:firstLineChars="200"/>
              <w:jc w:val="left"/>
              <w:rPr>
                <w:rFonts w:hint="eastAsia"/>
                <w:color w:val="auto"/>
                <w:sz w:val="24"/>
                <w:highlight w:val="none"/>
              </w:rPr>
            </w:pPr>
            <w:r>
              <w:rPr>
                <w:rFonts w:hint="eastAsia"/>
                <w:color w:val="auto"/>
                <w:sz w:val="24"/>
                <w:highlight w:val="none"/>
              </w:rPr>
              <w:t>管道安装：管道基础验收合格后，方可进行管道施工，管道安装前，应虚铺5-10cm的砂层，以确保腋部充填饱满，管道安装应在厂方技术人员的指导下完成；</w:t>
            </w:r>
          </w:p>
          <w:p>
            <w:pPr>
              <w:adjustRightInd w:val="0"/>
              <w:snapToGrid w:val="0"/>
              <w:spacing w:line="360" w:lineRule="auto"/>
              <w:ind w:firstLine="480" w:firstLineChars="200"/>
              <w:rPr>
                <w:color w:val="auto"/>
                <w:kern w:val="0"/>
                <w:sz w:val="24"/>
                <w:highlight w:val="none"/>
              </w:rPr>
            </w:pPr>
            <w:r>
              <w:rPr>
                <w:rFonts w:hint="eastAsia"/>
                <w:color w:val="auto"/>
                <w:sz w:val="24"/>
                <w:highlight w:val="none"/>
              </w:rPr>
              <w:t>管沟回填：管道安装回填应分区对称进行，严禁单侧回填。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710"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其他</w:t>
            </w:r>
          </w:p>
        </w:tc>
        <w:tc>
          <w:tcPr>
            <w:tcW w:w="8380" w:type="dxa"/>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无</w:t>
            </w:r>
          </w:p>
        </w:tc>
      </w:tr>
    </w:tbl>
    <w:p>
      <w:pPr>
        <w:pStyle w:val="18"/>
        <w:jc w:val="center"/>
        <w:outlineLvl w:val="0"/>
        <w:rPr>
          <w:rFonts w:ascii="黑体" w:hAnsi="黑体" w:eastAsia="黑体"/>
          <w:snapToGrid w:val="0"/>
          <w:color w:val="auto"/>
          <w:sz w:val="30"/>
          <w:szCs w:val="30"/>
          <w:highlight w:val="none"/>
        </w:rPr>
      </w:pPr>
      <w:r>
        <w:rPr>
          <w:rFonts w:eastAsia="仿宋_GB2312"/>
          <w:b/>
          <w:bCs/>
          <w:color w:val="auto"/>
          <w:highlight w:val="none"/>
        </w:rPr>
        <w:br w:type="page"/>
      </w:r>
      <w:bookmarkStart w:id="6" w:name="_Toc9012"/>
      <w:r>
        <w:rPr>
          <w:rFonts w:hint="eastAsia" w:ascii="黑体" w:hAnsi="黑体" w:eastAsia="黑体"/>
          <w:snapToGrid w:val="0"/>
          <w:color w:val="auto"/>
          <w:sz w:val="30"/>
          <w:szCs w:val="30"/>
          <w:highlight w:val="none"/>
        </w:rPr>
        <w:t>三、生态环境现状、保护目标及评价标准</w:t>
      </w:r>
      <w:bookmarkEnd w:id="6"/>
    </w:p>
    <w:tbl>
      <w:tblPr>
        <w:tblStyle w:val="23"/>
        <w:tblW w:w="915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45" w:hRule="atLeast"/>
          <w:jc w:val="center"/>
        </w:trPr>
        <w:tc>
          <w:tcPr>
            <w:tcW w:w="904"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生态环境现状</w:t>
            </w:r>
          </w:p>
        </w:tc>
        <w:tc>
          <w:tcPr>
            <w:tcW w:w="8253" w:type="dxa"/>
            <w:vAlign w:val="center"/>
          </w:tcPr>
          <w:p>
            <w:pPr>
              <w:adjustRightInd w:val="0"/>
              <w:snapToGrid w:val="0"/>
              <w:spacing w:line="360" w:lineRule="auto"/>
              <w:ind w:firstLine="482" w:firstLineChars="200"/>
              <w:jc w:val="left"/>
              <w:rPr>
                <w:rFonts w:hint="eastAsia"/>
                <w:b/>
                <w:bCs/>
                <w:color w:val="auto"/>
                <w:kern w:val="0"/>
                <w:sz w:val="24"/>
                <w:highlight w:val="none"/>
              </w:rPr>
            </w:pPr>
            <w:r>
              <w:rPr>
                <w:rFonts w:hint="eastAsia"/>
                <w:b/>
                <w:bCs/>
                <w:color w:val="auto"/>
                <w:kern w:val="0"/>
                <w:sz w:val="24"/>
                <w:highlight w:val="none"/>
              </w:rPr>
              <w:t>1、水环境</w:t>
            </w:r>
            <w:r>
              <w:rPr>
                <w:rFonts w:hint="eastAsia" w:hAnsi="宋体"/>
                <w:b/>
                <w:bCs/>
                <w:color w:val="auto"/>
                <w:sz w:val="24"/>
                <w:highlight w:val="none"/>
              </w:rPr>
              <w:t>质量现状</w:t>
            </w:r>
          </w:p>
          <w:p>
            <w:pPr>
              <w:pStyle w:val="74"/>
              <w:ind w:firstLine="480"/>
              <w:rPr>
                <w:rFonts w:hint="eastAsia"/>
                <w:snapToGrid w:val="0"/>
                <w:color w:val="auto"/>
                <w:kern w:val="0"/>
                <w:highlight w:val="none"/>
              </w:rPr>
            </w:pPr>
            <w:r>
              <w:rPr>
                <w:rFonts w:hint="eastAsia"/>
                <w:snapToGrid w:val="0"/>
                <w:color w:val="auto"/>
                <w:kern w:val="0"/>
                <w:highlight w:val="none"/>
              </w:rPr>
              <w:t>项目附近现状主要水体为梅峰河、西湖，梅峰河绝大部分段落为暗涵。是梅峰片区部队、小区和省高院片区单位、小区的排污渠。下游接西湖西侧截污渠，目前全河当污水接入污水厂。</w:t>
            </w:r>
          </w:p>
          <w:p>
            <w:pPr>
              <w:pStyle w:val="74"/>
              <w:ind w:firstLine="480"/>
              <w:rPr>
                <w:color w:val="auto"/>
                <w:highlight w:val="none"/>
              </w:rPr>
            </w:pPr>
            <w:r>
              <w:rPr>
                <w:color w:val="auto"/>
                <w:highlight w:val="none"/>
              </w:rPr>
              <w:t>根据</w:t>
            </w:r>
            <w:r>
              <w:rPr>
                <w:rFonts w:hint="eastAsia"/>
                <w:color w:val="auto"/>
                <w:highlight w:val="none"/>
              </w:rPr>
              <w:t>福建省生态环境厅</w:t>
            </w:r>
            <w:r>
              <w:rPr>
                <w:color w:val="auto"/>
                <w:highlight w:val="none"/>
                <w:lang w:val="zh-CN"/>
              </w:rPr>
              <w:t>网站公布</w:t>
            </w:r>
            <w:r>
              <w:rPr>
                <w:color w:val="auto"/>
                <w:highlight w:val="none"/>
              </w:rPr>
              <w:t>的《202</w:t>
            </w:r>
            <w:r>
              <w:rPr>
                <w:rFonts w:hint="eastAsia"/>
                <w:color w:val="auto"/>
                <w:highlight w:val="none"/>
              </w:rPr>
              <w:t>1</w:t>
            </w:r>
            <w:r>
              <w:rPr>
                <w:color w:val="auto"/>
                <w:highlight w:val="none"/>
              </w:rPr>
              <w:t>年福建省生态环境状况公报》</w:t>
            </w:r>
            <w:r>
              <w:rPr>
                <w:rFonts w:hint="eastAsia"/>
                <w:color w:val="auto"/>
                <w:highlight w:val="none"/>
              </w:rPr>
              <w:t>（2022年5月）：全省监测的19个淡水湖泊水库中，Ⅰ～Ⅲ类水质湖库18个，占94.7％；Ⅴ类水质湖库1个（福州西湖），占5.3％，主要污染指标为总磷。按综合营养状态指数评价，19个淡水湖泊水库中，中营养状态湖库17个，占89.5％；轻度富营养状态湖库2个（福州西湖、安砂水库），占10.5%。因此，西湖水质符合《地表水环境质量标准》(GB3838-2002)中V类标准</w:t>
            </w:r>
            <w:r>
              <w:rPr>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Ansi="宋体"/>
                <w:b/>
                <w:color w:val="auto"/>
                <w:sz w:val="24"/>
                <w:highlight w:val="none"/>
              </w:rPr>
            </w:pPr>
            <w:r>
              <w:rPr>
                <w:rFonts w:hint="eastAsia" w:hAnsi="宋体"/>
                <w:b/>
                <w:color w:val="auto"/>
                <w:sz w:val="24"/>
                <w:highlight w:val="none"/>
              </w:rPr>
              <w:t>2、环境空气质量现状</w:t>
            </w:r>
          </w:p>
          <w:p>
            <w:pPr>
              <w:pStyle w:val="74"/>
              <w:ind w:firstLine="480"/>
              <w:rPr>
                <w:color w:val="auto"/>
                <w:highlight w:val="none"/>
              </w:rPr>
            </w:pPr>
            <w:r>
              <w:rPr>
                <w:color w:val="auto"/>
                <w:szCs w:val="23"/>
                <w:highlight w:val="none"/>
              </w:rPr>
              <w:t>为了解本项目的大气环境现状，本评价</w:t>
            </w:r>
            <w:r>
              <w:rPr>
                <w:color w:val="auto"/>
                <w:highlight w:val="none"/>
                <w:lang w:val="zh-CN"/>
              </w:rPr>
              <w:t>引用福建省生态环境厅网站公布的</w:t>
            </w:r>
            <w:r>
              <w:rPr>
                <w:color w:val="auto"/>
                <w:highlight w:val="none"/>
              </w:rPr>
              <w:t>2022年</w:t>
            </w:r>
            <w:r>
              <w:rPr>
                <w:rFonts w:hint="eastAsia"/>
                <w:color w:val="auto"/>
                <w:highlight w:val="none"/>
              </w:rPr>
              <w:t>5</w:t>
            </w:r>
            <w:r>
              <w:rPr>
                <w:color w:val="auto"/>
                <w:highlight w:val="none"/>
              </w:rPr>
              <w:t>月福建省城市环境空气质量状况</w:t>
            </w:r>
            <w:r>
              <w:rPr>
                <w:color w:val="auto"/>
                <w:highlight w:val="none"/>
                <w:lang w:val="zh-CN"/>
              </w:rPr>
              <w:t>，福州市城区环境空气质量</w:t>
            </w:r>
            <w:r>
              <w:rPr>
                <w:rFonts w:hint="eastAsia"/>
                <w:color w:val="auto"/>
                <w:highlight w:val="none"/>
                <w:lang w:val="zh-CN"/>
              </w:rPr>
              <w:t>较好</w:t>
            </w:r>
            <w:r>
              <w:rPr>
                <w:color w:val="auto"/>
                <w:highlight w:val="none"/>
                <w:lang w:val="zh-CN"/>
              </w:rPr>
              <w:t>，能达到《环境空气质量标准》（GB3095-2012）二级标准要求</w:t>
            </w:r>
            <w:r>
              <w:rPr>
                <w:color w:val="auto"/>
                <w:highlight w:val="none"/>
              </w:rPr>
              <w:t>，监测结果详见表</w:t>
            </w:r>
            <w:r>
              <w:rPr>
                <w:rFonts w:hint="eastAsia"/>
                <w:color w:val="auto"/>
                <w:highlight w:val="none"/>
              </w:rPr>
              <w:t>3-1</w:t>
            </w:r>
            <w:r>
              <w:rPr>
                <w:color w:val="auto"/>
                <w:highlight w:val="none"/>
              </w:rPr>
              <w:t>和图</w:t>
            </w:r>
            <w:r>
              <w:rPr>
                <w:rFonts w:hint="eastAsia"/>
                <w:color w:val="auto"/>
                <w:highlight w:val="none"/>
              </w:rPr>
              <w:t>3-1</w:t>
            </w:r>
            <w:r>
              <w:rPr>
                <w:color w:val="auto"/>
                <w:highlight w:val="none"/>
              </w:rPr>
              <w:t>。</w:t>
            </w:r>
          </w:p>
          <w:p>
            <w:pPr>
              <w:pStyle w:val="75"/>
              <w:rPr>
                <w:color w:val="auto"/>
                <w:highlight w:val="none"/>
              </w:rPr>
            </w:pPr>
            <w:r>
              <w:rPr>
                <w:color w:val="auto"/>
                <w:sz w:val="24"/>
                <w:szCs w:val="24"/>
                <w:highlight w:val="none"/>
              </w:rPr>
              <w:t>表</w:t>
            </w:r>
            <w:r>
              <w:rPr>
                <w:rFonts w:hint="eastAsia"/>
                <w:color w:val="auto"/>
                <w:sz w:val="24"/>
                <w:szCs w:val="24"/>
                <w:highlight w:val="none"/>
              </w:rPr>
              <w:t>3-1</w:t>
            </w:r>
            <w:r>
              <w:rPr>
                <w:color w:val="auto"/>
                <w:sz w:val="24"/>
                <w:szCs w:val="24"/>
                <w:highlight w:val="none"/>
              </w:rPr>
              <w:t xml:space="preserve">  2020年1-12月设区城市环境空气质量情况</w:t>
            </w:r>
          </w:p>
          <w:tbl>
            <w:tblPr>
              <w:tblStyle w:val="23"/>
              <w:tblW w:w="80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47"/>
              <w:gridCol w:w="1121"/>
              <w:gridCol w:w="620"/>
              <w:gridCol w:w="650"/>
              <w:gridCol w:w="694"/>
              <w:gridCol w:w="815"/>
              <w:gridCol w:w="831"/>
              <w:gridCol w:w="862"/>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08" w:type="dxa"/>
                  <w:vAlign w:val="center"/>
                </w:tcPr>
                <w:p>
                  <w:pPr>
                    <w:pStyle w:val="69"/>
                    <w:rPr>
                      <w:color w:val="auto"/>
                      <w:highlight w:val="none"/>
                    </w:rPr>
                  </w:pPr>
                  <w:r>
                    <w:rPr>
                      <w:color w:val="auto"/>
                      <w:highlight w:val="none"/>
                    </w:rPr>
                    <w:t>城市</w:t>
                  </w:r>
                </w:p>
              </w:tc>
              <w:tc>
                <w:tcPr>
                  <w:tcW w:w="747" w:type="dxa"/>
                  <w:vAlign w:val="center"/>
                </w:tcPr>
                <w:p>
                  <w:pPr>
                    <w:pStyle w:val="69"/>
                    <w:rPr>
                      <w:color w:val="auto"/>
                      <w:highlight w:val="none"/>
                    </w:rPr>
                  </w:pPr>
                  <w:r>
                    <w:rPr>
                      <w:color w:val="auto"/>
                      <w:highlight w:val="none"/>
                    </w:rPr>
                    <w:t>综合指数</w:t>
                  </w:r>
                </w:p>
              </w:tc>
              <w:tc>
                <w:tcPr>
                  <w:tcW w:w="1121" w:type="dxa"/>
                  <w:vAlign w:val="center"/>
                </w:tcPr>
                <w:p>
                  <w:pPr>
                    <w:pStyle w:val="69"/>
                    <w:rPr>
                      <w:color w:val="auto"/>
                      <w:highlight w:val="none"/>
                    </w:rPr>
                  </w:pPr>
                  <w:r>
                    <w:rPr>
                      <w:color w:val="auto"/>
                      <w:highlight w:val="none"/>
                    </w:rPr>
                    <w:t>达标天数</w:t>
                  </w:r>
                </w:p>
                <w:p>
                  <w:pPr>
                    <w:pStyle w:val="69"/>
                    <w:rPr>
                      <w:color w:val="auto"/>
                      <w:highlight w:val="none"/>
                    </w:rPr>
                  </w:pPr>
                  <w:r>
                    <w:rPr>
                      <w:color w:val="auto"/>
                      <w:highlight w:val="none"/>
                    </w:rPr>
                    <w:t>比例（%）</w:t>
                  </w:r>
                </w:p>
              </w:tc>
              <w:tc>
                <w:tcPr>
                  <w:tcW w:w="620" w:type="dxa"/>
                  <w:vAlign w:val="center"/>
                </w:tcPr>
                <w:p>
                  <w:pPr>
                    <w:pStyle w:val="69"/>
                    <w:rPr>
                      <w:color w:val="auto"/>
                      <w:highlight w:val="none"/>
                    </w:rPr>
                  </w:pPr>
                  <w:r>
                    <w:rPr>
                      <w:color w:val="auto"/>
                      <w:highlight w:val="none"/>
                    </w:rPr>
                    <w:t>SO</w:t>
                  </w:r>
                  <w:r>
                    <w:rPr>
                      <w:color w:val="auto"/>
                      <w:highlight w:val="none"/>
                      <w:vertAlign w:val="subscript"/>
                    </w:rPr>
                    <w:t>2</w:t>
                  </w:r>
                </w:p>
              </w:tc>
              <w:tc>
                <w:tcPr>
                  <w:tcW w:w="650" w:type="dxa"/>
                  <w:vAlign w:val="center"/>
                </w:tcPr>
                <w:p>
                  <w:pPr>
                    <w:pStyle w:val="69"/>
                    <w:rPr>
                      <w:color w:val="auto"/>
                      <w:highlight w:val="none"/>
                    </w:rPr>
                  </w:pPr>
                  <w:r>
                    <w:rPr>
                      <w:color w:val="auto"/>
                      <w:highlight w:val="none"/>
                    </w:rPr>
                    <w:t>NO</w:t>
                  </w:r>
                  <w:r>
                    <w:rPr>
                      <w:color w:val="auto"/>
                      <w:highlight w:val="none"/>
                      <w:vertAlign w:val="subscript"/>
                    </w:rPr>
                    <w:t>2</w:t>
                  </w:r>
                </w:p>
              </w:tc>
              <w:tc>
                <w:tcPr>
                  <w:tcW w:w="694" w:type="dxa"/>
                  <w:vAlign w:val="center"/>
                </w:tcPr>
                <w:p>
                  <w:pPr>
                    <w:pStyle w:val="69"/>
                    <w:rPr>
                      <w:color w:val="auto"/>
                      <w:highlight w:val="none"/>
                    </w:rPr>
                  </w:pPr>
                  <w:r>
                    <w:rPr>
                      <w:color w:val="auto"/>
                      <w:highlight w:val="none"/>
                    </w:rPr>
                    <w:t>PM</w:t>
                  </w:r>
                  <w:r>
                    <w:rPr>
                      <w:color w:val="auto"/>
                      <w:highlight w:val="none"/>
                      <w:vertAlign w:val="subscript"/>
                    </w:rPr>
                    <w:t>10</w:t>
                  </w:r>
                </w:p>
              </w:tc>
              <w:tc>
                <w:tcPr>
                  <w:tcW w:w="815" w:type="dxa"/>
                  <w:vAlign w:val="center"/>
                </w:tcPr>
                <w:p>
                  <w:pPr>
                    <w:pStyle w:val="69"/>
                    <w:rPr>
                      <w:color w:val="auto"/>
                      <w:highlight w:val="none"/>
                    </w:rPr>
                  </w:pPr>
                  <w:r>
                    <w:rPr>
                      <w:color w:val="auto"/>
                      <w:highlight w:val="none"/>
                    </w:rPr>
                    <w:t>PM</w:t>
                  </w:r>
                  <w:r>
                    <w:rPr>
                      <w:color w:val="auto"/>
                      <w:highlight w:val="none"/>
                      <w:vertAlign w:val="subscript"/>
                    </w:rPr>
                    <w:t>2.5</w:t>
                  </w:r>
                </w:p>
              </w:tc>
              <w:tc>
                <w:tcPr>
                  <w:tcW w:w="831" w:type="dxa"/>
                  <w:vAlign w:val="center"/>
                </w:tcPr>
                <w:p>
                  <w:pPr>
                    <w:pStyle w:val="69"/>
                    <w:rPr>
                      <w:color w:val="auto"/>
                      <w:highlight w:val="none"/>
                    </w:rPr>
                  </w:pPr>
                  <w:r>
                    <w:rPr>
                      <w:color w:val="auto"/>
                      <w:highlight w:val="none"/>
                    </w:rPr>
                    <w:t>CO-</w:t>
                  </w:r>
                </w:p>
                <w:p>
                  <w:pPr>
                    <w:pStyle w:val="69"/>
                    <w:rPr>
                      <w:color w:val="auto"/>
                      <w:highlight w:val="none"/>
                    </w:rPr>
                  </w:pPr>
                  <w:r>
                    <w:rPr>
                      <w:color w:val="auto"/>
                      <w:highlight w:val="none"/>
                    </w:rPr>
                    <w:t>95per</w:t>
                  </w:r>
                </w:p>
              </w:tc>
              <w:tc>
                <w:tcPr>
                  <w:tcW w:w="862" w:type="dxa"/>
                  <w:vAlign w:val="center"/>
                </w:tcPr>
                <w:p>
                  <w:pPr>
                    <w:pStyle w:val="69"/>
                    <w:rPr>
                      <w:color w:val="auto"/>
                      <w:highlight w:val="none"/>
                    </w:rPr>
                  </w:pPr>
                  <w:r>
                    <w:rPr>
                      <w:color w:val="auto"/>
                      <w:highlight w:val="none"/>
                    </w:rPr>
                    <w:t>O</w:t>
                  </w:r>
                  <w:r>
                    <w:rPr>
                      <w:color w:val="auto"/>
                      <w:highlight w:val="none"/>
                      <w:vertAlign w:val="subscript"/>
                    </w:rPr>
                    <w:t>3</w:t>
                  </w:r>
                  <w:r>
                    <w:rPr>
                      <w:color w:val="auto"/>
                      <w:highlight w:val="none"/>
                    </w:rPr>
                    <w:t>_8h</w:t>
                  </w:r>
                  <w:r>
                    <w:rPr>
                      <w:color w:val="auto"/>
                      <w:highlight w:val="none"/>
                    </w:rPr>
                    <w:cr/>
                  </w:r>
                  <w:r>
                    <w:rPr>
                      <w:color w:val="auto"/>
                      <w:highlight w:val="none"/>
                    </w:rPr>
                    <w:t>90per</w:t>
                  </w:r>
                </w:p>
              </w:tc>
              <w:tc>
                <w:tcPr>
                  <w:tcW w:w="889" w:type="dxa"/>
                  <w:vAlign w:val="center"/>
                </w:tcPr>
                <w:p>
                  <w:pPr>
                    <w:pStyle w:val="69"/>
                    <w:rPr>
                      <w:color w:val="auto"/>
                      <w:highlight w:val="none"/>
                    </w:rPr>
                  </w:pPr>
                  <w:r>
                    <w:rPr>
                      <w:color w:val="auto"/>
                      <w:highlight w:val="none"/>
                    </w:rPr>
                    <w:t>首要污染物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08" w:type="dxa"/>
                  <w:vAlign w:val="center"/>
                </w:tcPr>
                <w:p>
                  <w:pPr>
                    <w:pStyle w:val="69"/>
                    <w:rPr>
                      <w:color w:val="auto"/>
                      <w:highlight w:val="none"/>
                    </w:rPr>
                  </w:pPr>
                  <w:r>
                    <w:rPr>
                      <w:color w:val="auto"/>
                      <w:highlight w:val="none"/>
                    </w:rPr>
                    <w:t>福州市</w:t>
                  </w:r>
                </w:p>
              </w:tc>
              <w:tc>
                <w:tcPr>
                  <w:tcW w:w="747" w:type="dxa"/>
                  <w:vAlign w:val="center"/>
                </w:tcPr>
                <w:p>
                  <w:pPr>
                    <w:pStyle w:val="69"/>
                    <w:rPr>
                      <w:color w:val="auto"/>
                      <w:highlight w:val="none"/>
                    </w:rPr>
                  </w:pPr>
                  <w:r>
                    <w:rPr>
                      <w:color w:val="auto"/>
                      <w:highlight w:val="none"/>
                    </w:rPr>
                    <w:t>2.37</w:t>
                  </w:r>
                </w:p>
              </w:tc>
              <w:tc>
                <w:tcPr>
                  <w:tcW w:w="1121" w:type="dxa"/>
                  <w:vAlign w:val="center"/>
                </w:tcPr>
                <w:p>
                  <w:pPr>
                    <w:pStyle w:val="69"/>
                    <w:rPr>
                      <w:color w:val="auto"/>
                      <w:highlight w:val="none"/>
                    </w:rPr>
                  </w:pPr>
                  <w:r>
                    <w:rPr>
                      <w:rFonts w:hint="eastAsia"/>
                      <w:color w:val="auto"/>
                      <w:highlight w:val="none"/>
                    </w:rPr>
                    <w:t>100</w:t>
                  </w:r>
                </w:p>
              </w:tc>
              <w:tc>
                <w:tcPr>
                  <w:tcW w:w="620" w:type="dxa"/>
                  <w:vAlign w:val="center"/>
                </w:tcPr>
                <w:p>
                  <w:pPr>
                    <w:pStyle w:val="69"/>
                    <w:rPr>
                      <w:color w:val="auto"/>
                      <w:highlight w:val="none"/>
                    </w:rPr>
                  </w:pPr>
                  <w:r>
                    <w:rPr>
                      <w:rFonts w:hint="eastAsia"/>
                      <w:color w:val="auto"/>
                      <w:highlight w:val="none"/>
                    </w:rPr>
                    <w:t>4</w:t>
                  </w:r>
                </w:p>
              </w:tc>
              <w:tc>
                <w:tcPr>
                  <w:tcW w:w="650" w:type="dxa"/>
                  <w:vAlign w:val="center"/>
                </w:tcPr>
                <w:p>
                  <w:pPr>
                    <w:pStyle w:val="69"/>
                    <w:rPr>
                      <w:color w:val="auto"/>
                      <w:highlight w:val="none"/>
                    </w:rPr>
                  </w:pPr>
                  <w:r>
                    <w:rPr>
                      <w:rFonts w:hint="eastAsia"/>
                      <w:color w:val="auto"/>
                      <w:highlight w:val="none"/>
                    </w:rPr>
                    <w:t>18</w:t>
                  </w:r>
                </w:p>
              </w:tc>
              <w:tc>
                <w:tcPr>
                  <w:tcW w:w="694" w:type="dxa"/>
                  <w:vAlign w:val="center"/>
                </w:tcPr>
                <w:p>
                  <w:pPr>
                    <w:pStyle w:val="69"/>
                    <w:rPr>
                      <w:color w:val="auto"/>
                      <w:highlight w:val="none"/>
                    </w:rPr>
                  </w:pPr>
                  <w:r>
                    <w:rPr>
                      <w:rFonts w:hint="eastAsia"/>
                      <w:color w:val="auto"/>
                      <w:highlight w:val="none"/>
                    </w:rPr>
                    <w:t>27</w:t>
                  </w:r>
                </w:p>
              </w:tc>
              <w:tc>
                <w:tcPr>
                  <w:tcW w:w="815" w:type="dxa"/>
                  <w:vAlign w:val="center"/>
                </w:tcPr>
                <w:p>
                  <w:pPr>
                    <w:pStyle w:val="69"/>
                    <w:rPr>
                      <w:color w:val="auto"/>
                      <w:highlight w:val="none"/>
                    </w:rPr>
                  </w:pPr>
                  <w:r>
                    <w:rPr>
                      <w:rFonts w:hint="eastAsia"/>
                      <w:color w:val="auto"/>
                      <w:highlight w:val="none"/>
                    </w:rPr>
                    <w:t>17</w:t>
                  </w:r>
                </w:p>
              </w:tc>
              <w:tc>
                <w:tcPr>
                  <w:tcW w:w="831" w:type="dxa"/>
                  <w:vAlign w:val="center"/>
                </w:tcPr>
                <w:p>
                  <w:pPr>
                    <w:pStyle w:val="69"/>
                    <w:rPr>
                      <w:color w:val="auto"/>
                      <w:highlight w:val="none"/>
                    </w:rPr>
                  </w:pPr>
                  <w:r>
                    <w:rPr>
                      <w:rFonts w:hint="eastAsia"/>
                      <w:color w:val="auto"/>
                      <w:highlight w:val="none"/>
                    </w:rPr>
                    <w:t>0.6</w:t>
                  </w:r>
                </w:p>
              </w:tc>
              <w:tc>
                <w:tcPr>
                  <w:tcW w:w="862" w:type="dxa"/>
                  <w:vAlign w:val="center"/>
                </w:tcPr>
                <w:p>
                  <w:pPr>
                    <w:pStyle w:val="69"/>
                    <w:rPr>
                      <w:color w:val="auto"/>
                      <w:highlight w:val="none"/>
                    </w:rPr>
                  </w:pPr>
                  <w:r>
                    <w:rPr>
                      <w:rFonts w:hint="eastAsia"/>
                      <w:color w:val="auto"/>
                      <w:highlight w:val="none"/>
                    </w:rPr>
                    <w:t>132</w:t>
                  </w:r>
                </w:p>
              </w:tc>
              <w:tc>
                <w:tcPr>
                  <w:tcW w:w="889" w:type="dxa"/>
                  <w:vAlign w:val="center"/>
                </w:tcPr>
                <w:p>
                  <w:pPr>
                    <w:pStyle w:val="69"/>
                    <w:rPr>
                      <w:color w:val="auto"/>
                      <w:highlight w:val="none"/>
                    </w:rPr>
                  </w:pPr>
                  <w:r>
                    <w:rPr>
                      <w:rFonts w:hint="eastAsia"/>
                      <w:color w:val="auto"/>
                      <w:highlight w:val="none"/>
                    </w:rPr>
                    <w:t>臭氧</w:t>
                  </w:r>
                </w:p>
              </w:tc>
            </w:tr>
          </w:tbl>
          <w:p>
            <w:pPr>
              <w:adjustRightInd w:val="0"/>
              <w:snapToGrid w:val="0"/>
              <w:spacing w:line="360" w:lineRule="auto"/>
              <w:ind w:firstLine="482" w:firstLineChars="200"/>
              <w:jc w:val="left"/>
              <w:rPr>
                <w:rFonts w:hint="eastAsia"/>
                <w:b/>
                <w:bCs/>
                <w:color w:val="auto"/>
                <w:kern w:val="0"/>
                <w:sz w:val="24"/>
                <w:highlight w:val="none"/>
              </w:rPr>
            </w:pPr>
            <w:r>
              <w:rPr>
                <w:rFonts w:hint="eastAsia"/>
                <w:b/>
                <w:bCs/>
                <w:color w:val="auto"/>
                <w:kern w:val="0"/>
                <w:sz w:val="24"/>
                <w:highlight w:val="none"/>
              </w:rPr>
              <w:t>3、声环境质量现状</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本项目道路起点、终点夜间噪声以及福建行政大学、福州九00医院总院昼间、夜间噪声均有不同程度的超标，起点、终点夜间超标量2.8~4.2dB(A)，福建行政学院、福州九00医院总院昼间超标量5.3~6.9dB(A)，夜间超标量5.9~7.4dB(A)，其余沿线设置各噪声现状监测点位均符合GB3096-2008《声环境质量标准》4a、2类标准要求。</w:t>
            </w:r>
          </w:p>
          <w:p>
            <w:pPr>
              <w:adjustRightInd w:val="0"/>
              <w:snapToGrid w:val="0"/>
              <w:spacing w:line="360" w:lineRule="auto"/>
              <w:ind w:firstLine="482" w:firstLineChars="200"/>
              <w:jc w:val="left"/>
              <w:rPr>
                <w:b/>
                <w:bCs/>
                <w:color w:val="auto"/>
                <w:kern w:val="0"/>
                <w:sz w:val="24"/>
                <w:highlight w:val="none"/>
              </w:rPr>
            </w:pPr>
            <w:r>
              <w:rPr>
                <w:rFonts w:hint="eastAsia"/>
                <w:b/>
                <w:bCs/>
                <w:color w:val="auto"/>
                <w:kern w:val="0"/>
                <w:sz w:val="24"/>
                <w:highlight w:val="none"/>
              </w:rPr>
              <w:t>4、</w:t>
            </w:r>
            <w:r>
              <w:rPr>
                <w:b/>
                <w:bCs/>
                <w:color w:val="auto"/>
                <w:kern w:val="0"/>
                <w:sz w:val="24"/>
                <w:highlight w:val="none"/>
              </w:rPr>
              <w:t>生态环境现状调查</w:t>
            </w:r>
          </w:p>
          <w:p>
            <w:pPr>
              <w:adjustRightInd w:val="0"/>
              <w:snapToGrid w:val="0"/>
              <w:spacing w:line="360" w:lineRule="auto"/>
              <w:ind w:firstLine="480" w:firstLineChars="200"/>
              <w:jc w:val="left"/>
              <w:rPr>
                <w:rFonts w:hint="eastAsia"/>
                <w:color w:val="auto"/>
                <w:kern w:val="0"/>
                <w:sz w:val="24"/>
                <w:highlight w:val="none"/>
                <w:lang w:eastAsia="zh-CN"/>
              </w:rPr>
            </w:pPr>
            <w:r>
              <w:rPr>
                <w:rFonts w:hint="eastAsia"/>
                <w:color w:val="auto"/>
                <w:kern w:val="0"/>
                <w:sz w:val="24"/>
                <w:highlight w:val="none"/>
                <w:lang w:eastAsia="zh-CN"/>
              </w:rPr>
              <w:t>（</w:t>
            </w:r>
            <w:r>
              <w:rPr>
                <w:rFonts w:hint="eastAsia"/>
                <w:color w:val="auto"/>
                <w:kern w:val="0"/>
                <w:sz w:val="24"/>
                <w:highlight w:val="none"/>
                <w:lang w:val="en-US" w:eastAsia="zh-CN"/>
              </w:rPr>
              <w:t>1</w:t>
            </w:r>
            <w:r>
              <w:rPr>
                <w:rFonts w:hint="eastAsia"/>
                <w:color w:val="auto"/>
                <w:kern w:val="0"/>
                <w:sz w:val="24"/>
                <w:highlight w:val="none"/>
                <w:lang w:eastAsia="zh-CN"/>
              </w:rPr>
              <w:t>）地形地貌</w:t>
            </w:r>
          </w:p>
          <w:p>
            <w:pPr>
              <w:adjustRightInd w:val="0"/>
              <w:snapToGrid w:val="0"/>
              <w:spacing w:line="360" w:lineRule="auto"/>
              <w:ind w:firstLine="480" w:firstLineChars="200"/>
              <w:jc w:val="left"/>
              <w:rPr>
                <w:rFonts w:hint="eastAsia"/>
                <w:color w:val="auto"/>
                <w:kern w:val="0"/>
                <w:sz w:val="24"/>
                <w:highlight w:val="none"/>
                <w:lang w:eastAsia="zh-CN"/>
              </w:rPr>
            </w:pPr>
            <w:r>
              <w:rPr>
                <w:rFonts w:hint="eastAsia"/>
                <w:color w:val="auto"/>
                <w:kern w:val="0"/>
                <w:sz w:val="24"/>
                <w:highlight w:val="none"/>
                <w:lang w:eastAsia="zh-CN"/>
              </w:rPr>
              <w:t>场地地势总体较为平坦，穿越隧道段起伏较大，现状地面标高为6. 90^ 41. 30m。场地隶属山前冲淤积平原地貌单元，临近象山隧道段K0+240^K0+540为剥蚀残山地貌单元。</w:t>
            </w:r>
          </w:p>
          <w:p>
            <w:pPr>
              <w:numPr>
                <w:ilvl w:val="0"/>
                <w:numId w:val="0"/>
              </w:numPr>
              <w:adjustRightInd w:val="0"/>
              <w:snapToGrid w:val="0"/>
              <w:spacing w:line="360" w:lineRule="auto"/>
              <w:ind w:leftChars="200"/>
              <w:jc w:val="left"/>
              <w:rPr>
                <w:rFonts w:hint="eastAsia"/>
                <w:color w:val="auto"/>
                <w:kern w:val="0"/>
                <w:sz w:val="24"/>
                <w:highlight w:val="none"/>
                <w:lang w:eastAsia="zh-CN"/>
              </w:rPr>
            </w:pPr>
            <w:r>
              <w:rPr>
                <w:rFonts w:hint="eastAsia"/>
                <w:color w:val="auto"/>
                <w:kern w:val="0"/>
                <w:sz w:val="24"/>
                <w:highlight w:val="none"/>
                <w:lang w:eastAsia="zh-CN"/>
              </w:rPr>
              <w:t>（</w:t>
            </w:r>
            <w:r>
              <w:rPr>
                <w:rFonts w:hint="eastAsia"/>
                <w:color w:val="auto"/>
                <w:kern w:val="0"/>
                <w:sz w:val="24"/>
                <w:highlight w:val="none"/>
                <w:lang w:val="en-US" w:eastAsia="zh-CN"/>
              </w:rPr>
              <w:t>2</w:t>
            </w:r>
            <w:r>
              <w:rPr>
                <w:rFonts w:hint="eastAsia"/>
                <w:color w:val="auto"/>
                <w:kern w:val="0"/>
                <w:sz w:val="24"/>
                <w:highlight w:val="none"/>
                <w:lang w:eastAsia="zh-CN"/>
              </w:rPr>
              <w:t>）地质构造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olor w:val="auto"/>
                <w:kern w:val="0"/>
                <w:sz w:val="24"/>
                <w:highlight w:val="none"/>
                <w:lang w:eastAsia="zh-CN"/>
              </w:rPr>
            </w:pPr>
            <w:r>
              <w:rPr>
                <w:rFonts w:hint="eastAsia"/>
                <w:color w:val="auto"/>
                <w:kern w:val="0"/>
                <w:sz w:val="24"/>
                <w:highlight w:val="none"/>
                <w:lang w:eastAsia="zh-CN"/>
              </w:rPr>
              <w:t>拟建工程场地处于洪山桥—西湖断裂带上。洪山桥—西湖断裂西至洪塘村北，经洪山桥、西湖、东至湖堘。</w:t>
            </w:r>
          </w:p>
          <w:p>
            <w:pPr>
              <w:adjustRightInd w:val="0"/>
              <w:snapToGrid w:val="0"/>
              <w:spacing w:line="360" w:lineRule="auto"/>
              <w:ind w:firstLine="480" w:firstLineChars="200"/>
              <w:jc w:val="left"/>
              <w:rPr>
                <w:rFonts w:hint="eastAsia"/>
                <w:color w:val="auto"/>
                <w:kern w:val="0"/>
                <w:sz w:val="24"/>
                <w:highlight w:val="none"/>
                <w:lang w:eastAsia="zh-CN"/>
              </w:rPr>
            </w:pPr>
            <w:r>
              <w:rPr>
                <w:rFonts w:hint="eastAsia"/>
                <w:color w:val="auto"/>
                <w:kern w:val="0"/>
                <w:sz w:val="24"/>
                <w:highlight w:val="none"/>
                <w:lang w:eastAsia="zh-CN"/>
              </w:rPr>
              <w:t>该断裂总体走向北东60-70度，倾向南东，倾角约70-80度。断裂带内岩石破碎，糜棱岩发育。石英颗粒定向排列，局部尚见片理构造。绿泥石化、绿帘石化普遍，断裂附近岩石破碎，节理发育。</w:t>
            </w:r>
          </w:p>
          <w:p>
            <w:pPr>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（3）场地岩土层</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据本勘揭示，场地地层分布情况自上而下可分述如下：</w:t>
            </w:r>
          </w:p>
          <w:p>
            <w:pPr>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eastAsia="zh-CN"/>
              </w:rPr>
              <w:t>1)填土层(Q</w:t>
            </w:r>
            <w:r>
              <w:rPr>
                <w:rFonts w:hint="eastAsia" w:ascii="Times New Roman" w:hAnsi="Times New Roman" w:eastAsia="宋体" w:cs="Times New Roman"/>
                <w:color w:val="auto"/>
                <w:kern w:val="0"/>
                <w:sz w:val="24"/>
                <w:highlight w:val="none"/>
                <w:vertAlign w:val="subscript"/>
                <w:lang w:val="en-US" w:eastAsia="zh-CN"/>
              </w:rPr>
              <w:t>4</w:t>
            </w:r>
            <w:r>
              <w:rPr>
                <w:rFonts w:hint="eastAsia" w:ascii="Times New Roman" w:hAnsi="Times New Roman" w:eastAsia="宋体" w:cs="Times New Roman"/>
                <w:color w:val="auto"/>
                <w:kern w:val="0"/>
                <w:sz w:val="24"/>
                <w:highlight w:val="none"/>
                <w:vertAlign w:val="superscript"/>
                <w:lang w:val="en-US" w:eastAsia="zh-CN"/>
              </w:rPr>
              <w:t>ml</w:t>
            </w:r>
            <w:r>
              <w:rPr>
                <w:rFonts w:hint="eastAsia" w:ascii="Times New Roman" w:hAnsi="Times New Roman" w:eastAsia="宋体" w:cs="Times New Roman"/>
                <w:color w:val="auto"/>
                <w:kern w:val="0"/>
                <w:sz w:val="24"/>
                <w:highlight w:val="none"/>
                <w:lang w:val="en-US" w:eastAsia="zh-CN"/>
              </w:rPr>
              <w:t>)</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&lt;1-2&gt;杂填土：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颜色较杂，主要呈灰色、灰黄色、褐黄色，稍湿~湿，稍密为主，局部松散、中密，均匀性较差，主要为人工堆填的黏性士，夹杂有碎石、砖块、砼块等建筑垃圾，局部含少量中粗砂和淤泥，硬杂质含量大于30%。堆填时间&gt;10年，大部分钻孔位于路面，表层为0. 4~ 1.3m厚的沥青混凝土层。</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本层在69个钻孔中揭示，层顶埋深0.00~4.00m (标高5. 37~35.82m)，层底埋深0.40~4.80m (标高3. 84~35.22m)，层厚0. 40~4.70m，平均厚度2.17m.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&lt;1-5&gt;杂填石：</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杂色，硬，稍密为主，局部松散、中密。主要分布在已有道路路基基础上，为路面铺垫层，以碎石块为主，岩性以花岗岩和花岗斑岩为主，中~微风化，为人工早期抛填而成，大部分稍压实~欠压实。填石粒径一般为5~30cm,最大粒径&gt;50cm，填石含量约60~90%，空隙由填(含泥)中砂及黏土充填，堆填不均匀，堆填时间&gt;10年。</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本层在16个钻孔中揭示，层顶埋深0.00~3.50m(标高5.87~17.79m)，层底埋深1.50~4.00m(标高5.34~17.09m)，层厚0.50~3.30m，平均厚度1.52m。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&lt;1-7&gt;混凝土：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灰、灰白色，为混凝土块，主要分布在现状道路上，为路基面层或隧道仰拱层。</w:t>
            </w:r>
          </w:p>
          <w:p>
            <w:pPr>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eastAsia="zh-CN"/>
              </w:rPr>
              <w:t>本层在52个钻孔中揭示，层顶埋深0.00m (标高7.22~10.73m)，层底埋深0. 40~1.30m(标高6.69~9.93m)，层厚0.4~1.3m，平均厚度0.6m。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2)长乐组海陆交互相、海相沉积层(Q</w:t>
            </w:r>
            <w:r>
              <w:rPr>
                <w:rFonts w:hint="eastAsia" w:ascii="Times New Roman" w:hAnsi="Times New Roman" w:eastAsia="宋体" w:cs="Times New Roman"/>
                <w:color w:val="auto"/>
                <w:kern w:val="0"/>
                <w:sz w:val="24"/>
                <w:highlight w:val="none"/>
                <w:vertAlign w:val="subscript"/>
                <w:lang w:eastAsia="zh-CN"/>
              </w:rPr>
              <w:t>4</w:t>
            </w:r>
            <w:r>
              <w:rPr>
                <w:rFonts w:hint="eastAsia" w:ascii="Times New Roman" w:hAnsi="Times New Roman" w:eastAsia="宋体" w:cs="Times New Roman"/>
                <w:color w:val="auto"/>
                <w:kern w:val="0"/>
                <w:sz w:val="24"/>
                <w:highlight w:val="none"/>
                <w:vertAlign w:val="superscript"/>
                <w:lang w:eastAsia="zh-CN"/>
              </w:rPr>
              <w:t>m</w:t>
            </w:r>
            <w:r>
              <w:rPr>
                <w:rFonts w:hint="eastAsia" w:ascii="Times New Roman" w:hAnsi="Times New Roman" w:eastAsia="宋体" w:cs="Times New Roman"/>
                <w:color w:val="auto"/>
                <w:kern w:val="0"/>
                <w:sz w:val="24"/>
                <w:highlight w:val="none"/>
                <w:vertAlign w:val="superscript"/>
                <w:lang w:val="en-US" w:eastAsia="zh-CN"/>
              </w:rPr>
              <w:t>c</w:t>
            </w:r>
            <w:r>
              <w:rPr>
                <w:rFonts w:hint="eastAsia" w:ascii="Times New Roman" w:hAnsi="Times New Roman" w:eastAsia="宋体" w:cs="Times New Roman"/>
                <w:color w:val="auto"/>
                <w:kern w:val="0"/>
                <w:sz w:val="24"/>
                <w:highlight w:val="none"/>
                <w:lang w:eastAsia="zh-CN"/>
              </w:rPr>
              <w:t>/Q</w:t>
            </w:r>
            <w:r>
              <w:rPr>
                <w:rFonts w:hint="eastAsia" w:ascii="Times New Roman" w:hAnsi="Times New Roman" w:eastAsia="宋体" w:cs="Times New Roman"/>
                <w:color w:val="auto"/>
                <w:kern w:val="0"/>
                <w:sz w:val="24"/>
                <w:highlight w:val="none"/>
                <w:vertAlign w:val="subscript"/>
                <w:lang w:eastAsia="zh-CN"/>
              </w:rPr>
              <w:t>4</w:t>
            </w:r>
            <w:r>
              <w:rPr>
                <w:rFonts w:hint="eastAsia" w:ascii="Times New Roman" w:hAnsi="Times New Roman" w:eastAsia="宋体" w:cs="Times New Roman"/>
                <w:color w:val="auto"/>
                <w:kern w:val="0"/>
                <w:sz w:val="24"/>
                <w:highlight w:val="none"/>
                <w:vertAlign w:val="superscript"/>
                <w:lang w:val="en-US" w:eastAsia="zh-CN"/>
              </w:rPr>
              <w:t>m</w:t>
            </w:r>
            <w:r>
              <w:rPr>
                <w:rFonts w:hint="eastAsia" w:ascii="Times New Roman" w:hAnsi="Times New Roman" w:eastAsia="宋体" w:cs="Times New Roman"/>
                <w:color w:val="auto"/>
                <w:kern w:val="0"/>
                <w:sz w:val="24"/>
                <w:highlight w:val="none"/>
                <w:lang w:eastAsia="zh-CN"/>
              </w:rPr>
              <w:t>)</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(1)海陆交互层(Q</w:t>
            </w:r>
            <w:r>
              <w:rPr>
                <w:rFonts w:hint="eastAsia" w:ascii="Times New Roman" w:hAnsi="Times New Roman" w:eastAsia="宋体" w:cs="Times New Roman"/>
                <w:color w:val="auto"/>
                <w:kern w:val="0"/>
                <w:sz w:val="24"/>
                <w:highlight w:val="none"/>
                <w:vertAlign w:val="subscript"/>
                <w:lang w:eastAsia="zh-CN"/>
              </w:rPr>
              <w:t>4</w:t>
            </w:r>
            <w:r>
              <w:rPr>
                <w:rFonts w:hint="eastAsia" w:ascii="Times New Roman" w:hAnsi="Times New Roman" w:eastAsia="宋体" w:cs="Times New Roman"/>
                <w:color w:val="auto"/>
                <w:kern w:val="0"/>
                <w:sz w:val="24"/>
                <w:highlight w:val="none"/>
                <w:lang w:eastAsia="zh-CN"/>
              </w:rPr>
              <w:t>me)</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&lt;2-1&gt;黏土：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局部为粉质黏土，呈黄褐色、灰黄色、灰色等，湿，可塑为主，局部硬塑。含铁锰结核等氧化物，局部夹少量碎石，捻面较光滑，有光泽，无摇振反应，干强度与韧性中等，黏性一般。</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本层不连续分布，厚薄变化大，属中^高压缩性土。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本层在9个钻孔中揭示，层顶埋深1.60~3.10m (标高5.52 ~6.39m),层底埋深2. 50~5.60m(标高3.37~5. 04m)，层厚0.80~2.50m，平均厚度1.56m。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(2)海积层(Q</w:t>
            </w:r>
            <w:r>
              <w:rPr>
                <w:rFonts w:hint="eastAsia" w:ascii="Times New Roman" w:hAnsi="Times New Roman" w:eastAsia="宋体" w:cs="Times New Roman"/>
                <w:color w:val="auto"/>
                <w:kern w:val="0"/>
                <w:sz w:val="24"/>
                <w:highlight w:val="none"/>
                <w:vertAlign w:val="subscript"/>
                <w:lang w:eastAsia="zh-CN"/>
              </w:rPr>
              <w:t>4</w:t>
            </w:r>
            <w:r>
              <w:rPr>
                <w:rFonts w:hint="eastAsia" w:ascii="Times New Roman" w:hAnsi="Times New Roman" w:eastAsia="宋体" w:cs="Times New Roman"/>
                <w:color w:val="auto"/>
                <w:kern w:val="0"/>
                <w:sz w:val="24"/>
                <w:highlight w:val="none"/>
                <w:vertAlign w:val="superscript"/>
                <w:lang w:val="en-US" w:eastAsia="zh-CN"/>
              </w:rPr>
              <w:t>m</w:t>
            </w:r>
            <w:r>
              <w:rPr>
                <w:rFonts w:hint="eastAsia" w:ascii="Times New Roman" w:hAnsi="Times New Roman" w:eastAsia="宋体" w:cs="Times New Roman"/>
                <w:color w:val="auto"/>
                <w:kern w:val="0"/>
                <w:sz w:val="24"/>
                <w:highlight w:val="none"/>
                <w:lang w:eastAsia="zh-CN"/>
              </w:rPr>
              <w:t>)</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&lt;2-4-1&gt;淤泥：</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局部为淤泥质土，呈深灰色，流塑，饱和，以黏粒为主，部分夹少量薄层粉细砂或混有少量砂，局部含</w:t>
            </w:r>
            <w:r>
              <w:rPr>
                <w:rFonts w:hint="eastAsia" w:cs="Times New Roman"/>
                <w:color w:val="auto"/>
                <w:kern w:val="0"/>
                <w:sz w:val="24"/>
                <w:highlight w:val="none"/>
                <w:lang w:eastAsia="zh-CN"/>
              </w:rPr>
              <w:t>腐殖</w:t>
            </w:r>
            <w:r>
              <w:rPr>
                <w:rFonts w:hint="eastAsia" w:ascii="Times New Roman" w:hAnsi="Times New Roman" w:eastAsia="宋体" w:cs="Times New Roman"/>
                <w:color w:val="auto"/>
                <w:kern w:val="0"/>
                <w:sz w:val="24"/>
                <w:highlight w:val="none"/>
                <w:lang w:eastAsia="zh-CN"/>
              </w:rPr>
              <w:t>质，有腥臭味，摇振反应慢，有光泽，捻面光滑，干强度及韧性中等，属高压缩性土。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3)东山组海积(Q</w:t>
            </w:r>
            <w:r>
              <w:rPr>
                <w:rFonts w:hint="eastAsia" w:ascii="Times New Roman" w:hAnsi="Times New Roman" w:eastAsia="宋体" w:cs="Times New Roman"/>
                <w:color w:val="auto"/>
                <w:kern w:val="0"/>
                <w:sz w:val="24"/>
                <w:highlight w:val="none"/>
                <w:vertAlign w:val="subscript"/>
                <w:lang w:eastAsia="zh-CN"/>
              </w:rPr>
              <w:t>3</w:t>
            </w:r>
            <w:r>
              <w:rPr>
                <w:rFonts w:hint="eastAsia" w:ascii="Times New Roman" w:hAnsi="Times New Roman" w:eastAsia="宋体" w:cs="Times New Roman"/>
                <w:color w:val="auto"/>
                <w:kern w:val="0"/>
                <w:sz w:val="24"/>
                <w:highlight w:val="none"/>
                <w:vertAlign w:val="superscript"/>
                <w:lang w:val="en-US" w:eastAsia="zh-CN"/>
              </w:rPr>
              <w:t>m</w:t>
            </w:r>
            <w:r>
              <w:rPr>
                <w:rFonts w:hint="eastAsia" w:ascii="Times New Roman" w:hAnsi="Times New Roman" w:eastAsia="宋体" w:cs="Times New Roman"/>
                <w:color w:val="auto"/>
                <w:kern w:val="0"/>
                <w:sz w:val="24"/>
                <w:highlight w:val="none"/>
                <w:lang w:eastAsia="zh-CN"/>
              </w:rPr>
              <w:t>)</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&lt;3-1-1&gt;粉质黏土：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局部为黏土，呈灰绿、灰黄、灰白等色，可塑为主，局部软塑、硬塑，很湿，捻面较光滑，有光泽，无摇振反应，干强度与韧性中等，黏性较好，部分粉粒含量较高，土质不均，局部含少量砂，属中~高压缩性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本层在49个钻孔中揭示，层顶埋深1.60~8.40m (标高-0. 66~7.92m)，层底埋深4. 00~27.80m (标高-18.75~5.14m)，层厚2.20~21.60m,平均厚度8.98m。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&lt;3-1-2&gt;砂质黏土：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局部为黏土，呈灰绿、灰黄、灰白等色，可塑为主，局部硬塑，很湿，含有一定量的砂粒，局部夹少量砾石，捻面不够光滑，少有光泽，无摇振反应，干强度与韧性相对较差，黏性一般，土质不均，属中</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高压缩性土。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本层在19个钻孔中揭示，层顶埋深8. 60~21.50m (标高-13.66~0.96m) ，层底埋深12.70~24.30m(标高-15.78~-3.14m)，层厚0.80~10.00m，平均厚度3.28m。.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&lt;3</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3&gt; (含泥)粗砾砂：</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呈浅黄色、浅灰色、灰黄色等，饱和，中密为主，局部稍密，主要成分为石英，粒径不均匀，.上部以粗砂为主，下部多含砾石，局部混有少量的淤泥。粒径大于0.5mm颗粒质量约占总质量的</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62.1%，泥质含量约占19.7%，级配不良，胶结程度差。砂粒的颗粒形状以亚圆形为主，局部呈棱角形。</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本层在3个钻孔中揭示，层顶埋深15. 90~18. 60m(标高-10.66~-8.46m)，层底埋深20.50~22. 00m (标高-14. 78~-12. 56m)，层厚1. 90~5. 20m,平均厚度3. 97m。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&lt;3-4-2&gt;淤泥质土：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局部为淤泥，深灰色，流塑，饱和，以黏粒为主，局部含有腐殖质，有腥臭味，摇振反应慢，有光泽，捻面光滑，干强度及韧性中等，属高压缩性土。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本层在19个钻孔中揭示，层顶埋深9. 80~ 19.10m (标高-9.45~-0. 15m) ,层底埋深13. 00~21. 50m (标高-11. 85~-4.10m)，层厚1.40~8. 00m,平均厚度3. 71mo</w:t>
            </w:r>
          </w:p>
          <w:p>
            <w:pPr>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eastAsia="zh-CN"/>
              </w:rPr>
              <w:t>4)残坡积层Q</w:t>
            </w:r>
            <w:r>
              <w:rPr>
                <w:rFonts w:hint="eastAsia" w:ascii="Times New Roman" w:hAnsi="Times New Roman" w:eastAsia="宋体" w:cs="Times New Roman"/>
                <w:color w:val="auto"/>
                <w:kern w:val="0"/>
                <w:sz w:val="24"/>
                <w:highlight w:val="none"/>
                <w:vertAlign w:val="superscript"/>
                <w:lang w:val="en-US" w:eastAsia="zh-CN"/>
              </w:rPr>
              <w:t>dl</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&lt;5</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2&gt;残积砂质黏性土(Q</w:t>
            </w:r>
            <w:r>
              <w:rPr>
                <w:rFonts w:hint="eastAsia" w:ascii="Times New Roman" w:hAnsi="Times New Roman" w:eastAsia="宋体" w:cs="Times New Roman"/>
                <w:color w:val="auto"/>
                <w:kern w:val="0"/>
                <w:sz w:val="24"/>
                <w:highlight w:val="none"/>
                <w:vertAlign w:val="superscript"/>
                <w:lang w:val="en-US" w:eastAsia="zh-CN"/>
              </w:rPr>
              <w:t>el</w:t>
            </w:r>
            <w:r>
              <w:rPr>
                <w:rFonts w:hint="eastAsia" w:ascii="Times New Roman" w:hAnsi="Times New Roman" w:eastAsia="宋体" w:cs="Times New Roman"/>
                <w:color w:val="auto"/>
                <w:kern w:val="0"/>
                <w:sz w:val="24"/>
                <w:highlight w:val="none"/>
                <w:lang w:eastAsia="zh-CN"/>
              </w:rPr>
              <w:t>) ：</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灰黄、褐黄色，可塑为主，局部硬塑，湿，含风化残留石英颗粒，岩芯呈土柱状，母岩为花岗岩、花岗斑岩，具有遇水易软化、崩解特点。摇振无反应，光泽反应光滑，干强度及韧性中等，属中~高压缩性土。</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本层在44个钻孔中揭示，层顶埋深1. 50~24.30m (标高-15.78~34. 21m)，层底埋深2. 50~35. 20m (标高-26. 38~31.51m)，层厚0.40~16.80m，平均厚度6. 09m。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5)岩石全风化带</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&lt;6-1&gt;全风化花岗岩( γ</w:t>
            </w:r>
            <w:r>
              <w:rPr>
                <w:rFonts w:hint="eastAsia" w:ascii="Times New Roman" w:hAnsi="Times New Roman" w:eastAsia="宋体" w:cs="Times New Roman"/>
                <w:color w:val="auto"/>
                <w:kern w:val="0"/>
                <w:sz w:val="24"/>
                <w:highlight w:val="none"/>
                <w:vertAlign w:val="subscript"/>
                <w:lang w:val="en-US" w:eastAsia="zh-CN"/>
              </w:rPr>
              <w:t>5</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eastAsia="zh-CN"/>
              </w:rPr>
              <w:t>) ：</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灰黄色，含大量中粗粒石英颗粒、白云母片及长石，长石大部分风化成黏土矿物，岩石风化剧烈，原岩组织结构已基本风化破坏，但尚可辨认，岩芯采取率大于80%，岩芯呈坚硬土柱状，遇水易软化、崩解。该层岩石坚硬程度属极软岩，岩体完整程度属极破碎，岩体基本质量等级属V级。</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本层在46个钻孔中揭示，层顶埋深1. 50~28.7m (标高- -20. 23~31. 22m)，层底埋深4. 80~32. 20m (标高- 23. 73~26. 92m)，层厚1. 20~10. 90m,平均厚度5. 19m.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&lt;6</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2&gt;全风化辉绿岩(β) ：</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浅绿色，母岩为辉绿岩，原岩组织结构已基本风化破坏，但尚可辨认，岩芯采取率大于80%，岩芯呈土柱状，含少量中细砂，遇水易软化、崩解。该层岩石坚硬程度属极软岩，岩体完整程度属极破碎，岩体基本质量等级属V级。</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本层在1个钻孔中揭示，层顶埋深4.80m (标高4.97m)，层底埋深9. 00m (标高0. 77m)，层厚4. 20m。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&lt;6</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3&gt;全风化花岗斑岩(γπ</w:t>
            </w:r>
            <w:r>
              <w:rPr>
                <w:rFonts w:hint="eastAsia" w:ascii="Times New Roman" w:hAnsi="Times New Roman" w:eastAsia="宋体" w:cs="Times New Roman"/>
                <w:color w:val="auto"/>
                <w:kern w:val="0"/>
                <w:sz w:val="24"/>
                <w:highlight w:val="none"/>
                <w:vertAlign w:val="subscript"/>
                <w:lang w:val="en-US" w:eastAsia="zh-CN"/>
              </w:rPr>
              <w:t>5</w:t>
            </w:r>
            <w:r>
              <w:rPr>
                <w:rFonts w:hint="eastAsia" w:ascii="Times New Roman" w:hAnsi="Times New Roman" w:eastAsia="宋体" w:cs="Times New Roman"/>
                <w:color w:val="auto"/>
                <w:kern w:val="0"/>
                <w:sz w:val="24"/>
                <w:highlight w:val="none"/>
                <w:vertAlign w:val="superscript"/>
                <w:lang w:eastAsia="zh-CN"/>
              </w:rPr>
              <w:t>3</w:t>
            </w:r>
            <w:r>
              <w:rPr>
                <w:rFonts w:hint="eastAsia" w:ascii="Times New Roman" w:hAnsi="Times New Roman" w:eastAsia="宋体" w:cs="Times New Roman"/>
                <w:color w:val="auto"/>
                <w:kern w:val="0"/>
                <w:sz w:val="24"/>
                <w:highlight w:val="none"/>
                <w:lang w:eastAsia="zh-CN"/>
              </w:rPr>
              <w:t>)：</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浅黄色，含石英颗粒、长石等，长石大部分风化成黏土矿物，岩石风化剧烈，原岩组织结构已基本风化破坏，但尚可辨认，岩芯采取率大于80%，岩芯呈土柱状，遇水易软化、崩解。该层岩石坚硬程度属极软岩，岩体完整程度属极破碎，岩体基本质量等级属V级。</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本层在8个钻孔中揭示，层顶埋深0.40~22. 20m (标高-14.31~28. 24m)，层底埋深6. 50~25. 60m (标高-17. 91~21. 44m)，层厚2. 10~6. 80m，平均厚度3. 60m。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6)岩石强风化带</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&lt;7-1&gt;强风化花岗岩(砂土状) (γ</w:t>
            </w:r>
            <w:r>
              <w:rPr>
                <w:rFonts w:hint="eastAsia" w:ascii="Times New Roman" w:hAnsi="Times New Roman" w:eastAsia="宋体" w:cs="Times New Roman"/>
                <w:color w:val="auto"/>
                <w:kern w:val="0"/>
                <w:sz w:val="24"/>
                <w:highlight w:val="none"/>
                <w:vertAlign w:val="subscript"/>
                <w:lang w:val="en-US" w:eastAsia="zh-CN"/>
              </w:rPr>
              <w:t>5</w:t>
            </w:r>
            <w:r>
              <w:rPr>
                <w:rFonts w:hint="eastAsia" w:ascii="Times New Roman" w:hAnsi="Times New Roman" w:eastAsia="宋体" w:cs="Times New Roman"/>
                <w:color w:val="auto"/>
                <w:kern w:val="0"/>
                <w:sz w:val="24"/>
                <w:highlight w:val="none"/>
                <w:vertAlign w:val="superscript"/>
                <w:lang w:eastAsia="zh-CN"/>
              </w:rPr>
              <w:t>3</w:t>
            </w:r>
            <w:r>
              <w:rPr>
                <w:rFonts w:hint="eastAsia" w:ascii="Times New Roman" w:hAnsi="Times New Roman" w:eastAsia="宋体" w:cs="Times New Roman"/>
                <w:color w:val="auto"/>
                <w:kern w:val="0"/>
                <w:sz w:val="24"/>
                <w:highlight w:val="none"/>
                <w:lang w:eastAsia="zh-CN"/>
              </w:rPr>
              <w:t>)：</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呈灰黄色，褐黃色等，较硬，稍湿，含大量中粗粒石英颗粒、白云母片及长石，风化强烈，原岩组织结构已大部分风化破坏，岩芯多呈砂土状，遇水易软化、崩解，岩芯采取率大于80%。</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本层岩石坚硬程度属极软岩，岩体完整程度属破碎，岩体基本质量等级分类属V类。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本层在51个钻孔中揭示，层顶埋深0.60~43.20m(标高-34.35~35. 22m) ,层底埋深10 00~52. 10m (标高-43. 75~13. 52m)，层厚0. 50~23.20m，平均厚度9. 31m.该层多处揭示强风化~微风化花岗岩孤石残留体，具体情况如下。</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强风化花岗岩(碎块状)孤石：</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灰黄色、灰色等，硬，稍湿，含大量石英砂颗粒、白云母片及长石，进尺有响声，岩石风化强烈，岩石结构大部分破坏，岩芯主要呈碎块状，岩块敲击易碎，岩芯采取率大于65%。岩石坚硬程度属软岩~较软岩，岩体完整程度属较破碎^破碎，岩体基本质量等级分类属IV- V类。本层在3个钻孔中揭示，层顶埋深10. 0~28. 4m (标高-20. 5~9.79m)，层底埋深10. 6~30. 3m (标高-21.8~9. 19m)，层厚0.6~4. 7m,平均厚度2. 05m。该层共进行了2组室内岩石点荷载强度试验，对12组单值结果进行统计，平均值=22. 36MPa，范围值为15. 79~ 30. 1 1MPa.中风化花岗岩孤石：</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灰白色、灰色等，含大量中粒石英颗粒、白云母片及长石，中粗粒结构，块状构造，裂隙发育，岩芯多呈块状短柱状，部分为长柱状，岩芯采取率大于80%，锤击声脆，不易击碎，结构部分破坏，原岩结构清晰可辨，岩性主要为花岗岩，中等风化。母岩为燕山晚期花岗岩。岩石坚硬程度属较硬岩，岩体完整程度分类属较破碎-较完整，岩体基本质量等级分类属II一IV类。本层在3个钻孔中揭示，层顶埋深27.3~37.9m (标高-29.05~-18.75m)，层底埋深28.7~38.4m(标高- 29. 55~- -20.15m)，层厚0.5~1. 5m,平均厚度1. 12m.该层共进行了2组饱和状态下室内岩石抗压强度试验，3组室内岩石点荷载强度试验，对22个单值结果进行统计，平均值=45. 94MPa,范围值为31. 00^ 58. 02MPa.</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微风化花岗岩孤石：</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灰白、肉红色，矿物成分为长石、石英、少量黑云母等，中粗粒结构，块状构造，岩芯以长柱状为主，部分短柱状，岩芯采取率大于90%，长度-般为10-40cm,锤击声脆，不易击碎，原岩结构清晰可辨。岩性主要为花岗岩。岩石坚硬程度属坚硬岩，岩体完整程度属较破碎' ~较完整，岩体基本质量等级分类属II~III类。本层在2个钻孔中揭示，层顶埋深27.9~41.7m (标高-32.85~-18. 57m)，层底埋深28.3~43. 2m (标高-34. 35~-18.97m)，层厚0.4~1. 5m,平均厚度0.95m。该层共进行了2组饱和状态下室内岩石抗压强度试验，对3个单值结果进行统计，平均值= 103.62MPa，范围值为97. 21 108. 30MPa.</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&lt;7-2&gt;强风化花岗岩(碎块状) (γ</w:t>
            </w:r>
            <w:r>
              <w:rPr>
                <w:rFonts w:hint="eastAsia" w:ascii="Times New Roman" w:hAnsi="Times New Roman" w:eastAsia="宋体" w:cs="Times New Roman"/>
                <w:color w:val="auto"/>
                <w:kern w:val="0"/>
                <w:sz w:val="24"/>
                <w:highlight w:val="none"/>
                <w:vertAlign w:val="subscript"/>
                <w:lang w:val="en-US" w:eastAsia="zh-CN"/>
              </w:rPr>
              <w:t>5</w:t>
            </w:r>
            <w:r>
              <w:rPr>
                <w:rFonts w:hint="eastAsia" w:ascii="Times New Roman" w:hAnsi="Times New Roman" w:eastAsia="宋体" w:cs="Times New Roman"/>
                <w:color w:val="auto"/>
                <w:kern w:val="0"/>
                <w:sz w:val="24"/>
                <w:highlight w:val="none"/>
                <w:vertAlign w:val="superscript"/>
                <w:lang w:eastAsia="zh-CN"/>
              </w:rPr>
              <w:t>3</w:t>
            </w:r>
            <w:r>
              <w:rPr>
                <w:rFonts w:hint="eastAsia" w:ascii="Times New Roman" w:hAnsi="Times New Roman" w:eastAsia="宋体" w:cs="Times New Roman"/>
                <w:color w:val="auto"/>
                <w:kern w:val="0"/>
                <w:sz w:val="24"/>
                <w:highlight w:val="none"/>
                <w:lang w:eastAsia="zh-CN"/>
              </w:rPr>
              <w:t>)：</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灰黄色、灰色等，硬，稍湿，含大量石英砂颗粒、白云母片及长石，进尺有响声，岩石风化强烈，岩石结构大部分破坏，岩芯主要呈碎块状，岩块敲击易碎，岩芯采取率大于65%。岩石坚硬程度属极软岩~较软岩，岩体完整程度属较破碎^破碎，岩体基本质量等级分类属IV- V类。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本层在33个钻孔中揭示，层顶埋深1. 80~47. 20m (标高- 38.66~13. 52m) ,层底埋深9. 20~48. 10m (标高-39. 56~11. 12m)，层厚0.40~9. 00m，平均厚度2. 98m。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&lt;7-3&gt;强风化辉绿岩(砂土状) (β)：</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灰绿、黑绿色，较硬，稍湿，含大量辉石、长石颗粒颗粒，风化强烈，原岩组织结构已大.部分破坏，母岩为辉绿岩，岩芯多呈砂土状，遇水易软化、崩解，母岩为辉绿岩，岩芯采取率大于80%。本层岩石坚硬程度属极软岩，岩体完整程度属破碎，岩体基本质量等级分类属V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本层在2个钻孔中揭示，层顶埋深9.00~9. 20m(标高0.51 ~0.77m),层底埋深12.40~ 14.20m .(标高-4.43~-2. 69m)，层厚3.20~5. 20m,平均厚度4. 20m。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&lt;7-4&gt;强风化辉绿岩(碎块状) (β) ：</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暗绿色，硬，湿，含辉石、石英、云母等，岩芯采取率大于65%，母岩地质年代为喜马拉雅期，母岩为辉绿岩，风化程度属强风化，岩石结构大部分破坏，岩芯主要呈碎块状，岩块敲击易碎。岩石坚硬程度属软岩~较软岩，岩体完整程度属较破碎~破碎，岩体基本质量等级分类属IV一V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本层在3个钻孔中揭示，层顶埋深12. 40~30. 00m (标高-20. 95~-2. 69m)，层底埋深15. 80~31. 30m (标高-22. 25~-6.09m)，层厚1. 30~3.40m,平均厚度2. 40m.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微风化辉绿岩孤石：</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灰绿、黑绿色，硬，湿，含辉石、长石颗粒，辉绿结构，块状构造，呈岩脉侵入，岩芯呈中短柱状，锤击声脆，不易击碎，原岩结构清晰可辨，厚度变化较大，岩性主要为辉绿岩，微风化，母岩地质年代为喜马拉雅期。岩石坚硬程度属坚硬岩，岩体完整程度属较破碎~较完整,岩体基本质量等级分类属III类。本层在一个钻孔中揭示，层顶埋深20. 20m (标高-20. 15m)，层底埋深30.00m(标高20.95m)，层厚0.80m。该层共进行了1组饱和状态下室内岩石抗压强度试验，对2个单值结果进行统计，平均值=124.35MPa，范围值为121. 80“126.90MPa.</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&lt;7-5&gt;强风化花岗斑岩(砂土状) ( γπ)：</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浅黄色，较硬，湿。含大量石英砂颗粒、白云母片及长石，原岩组织结构已大部分破坏，岩芯多呈砂土状，大部分矿物已明显风化，仍可见斑晶结构，岩芯采取率大于80%。母岩地质年代为燕山晚期，裂隙发育，遇水易软化、崩解。本层岩石坚硬程度属极软岩，岩体完整程度属破碎，岩体基本质量等级分类属V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本层在13个钻孔中揭示，层顶埋深0.8~34.6m (标高-25. 89~26. 05m)，层底埋深4.8~40. 6m (标高-31. 89~16. 35m)，层厚0. 6~10.8m，平均厚度4. 14m。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该层多处揭示中风化微风化花岗斑岩孤石残留体，具体情况如下。</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中凤化花岗斑岩孤石：</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浅肉红、肉红色为主，硬,主要矿物组成为钾长石、石英,斑状结构，块状构造，岩芯呈5- 20cm短柱状，岩芯采取率大于80%，锤击声脆，不易击碎，结构部分破坏，原岩结构清晰可辨，岩性主要为花岗斑岩，中等风化，为燕山晚期侵入岩脉。岩石坚硬程度属较硬岩，岩体完整程度分类属较破碎-较完整，岩体基本质量等级分类属III- IV类。本层在5个钻孔中揭示，层顶埋深1. 0~33. 1m (标高-25. 44~28.85m),层底埋深2. 4~33.8m (标高26. 14~26. 05m)，层厚0.7~2.8m。平均厚度1.62m。该层共进行了1组饱和状态下室内岩石抗压强度试验，3 组室内岩石点荷载强度试验，对19个单值结果进行统计，平均值=44. 21MPa，范围值为30. 74^ 57. 94MPa。</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微风化花岗斑岩孤石：</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浅肉红、肉红色为主，斑状结构，块状构造，岩芯采取率大于90%，岩芯呈中短柱状，锤击声脆，不易击碎，原岩结构清晰可辨，为燕山晚期侵入岩脉。岩石坚硬程度属坚硬岩，岩体完整程度属较破碎~较完整， 岩体基本质量等级分类属II ~lI类。本层在3个钻孔中揭示，层顶埋深8.0~11. 6m (标高7.16~14.81m)，层底埋深3. 97~15.0m (标高5. 66~11.41m)，层厚1.5~3. 4m,平均厚度2. 87m。该层共进行了6组饱和状态下室内岩石抗压强度试验，对8个单值结果进行统计，平均值=92.0MPa，范围值为63. 88 156. 90MPa.</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&lt;7-6&gt;强风化花岗斑岩(碎块状) (γπ) ：</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浅黄色,较硬，湿。含大量石英砂颗粒、白云母片及长石，岩石结构大部分破坏，进尺有响声，可见斑晶结构。岩芯主要呈碎块状，岩块敲击易碎，岩芯采取率大于65%。岩石坚硬程度属极软岩~较软岩，岩体完整程度属破碎^较破碎，岩体基本质量等级分类属IV一V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本层在18个钻孔中揭示，层顶埋深0. 80~38.90m (标高-30. 23 ~ 16.35m)，层底埋深2. 60~39. 90m (标高-31. 23~14. 54m)，层厚0. 50~ I0.20m，平均厚度3. 36m。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微风化花岗斑岩孤石：</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浅肉红、肉红色为主，斑状结构，块状构造，岩芯采取率大于90%，岩芯呈中短柱状，锤击声脆，不易击碎，原岩结构清晰可辨，为燕山晚期侵入岩脉。岩石坚硬程度属坚硬岩，岩体完整程度属较破碎~较完整，岩体基本质量等级分类属II ~ II类。本层在2个钻孔中揭示，层顶埋深14. 1~27.9m (标高-20. 39~-4.73m) ，层底埋深15.3~29. 3m (标高-21.79~-5.93m) ，层厚1.2~2..3m, 平均厚度1. 58m。 该层共进行了5组饱和状态下室内岩石抗压强度试验，对5个单值结果进行统计，平均值=108. 3MPa,范围值为66. 10~ 128. 75MPa.</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7)岩石中等风化带</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&lt;8-1&gt;中风化花岗岩(γ</w:t>
            </w:r>
            <w:r>
              <w:rPr>
                <w:rFonts w:hint="eastAsia" w:ascii="Times New Roman" w:hAnsi="Times New Roman" w:eastAsia="宋体" w:cs="Times New Roman"/>
                <w:color w:val="auto"/>
                <w:kern w:val="0"/>
                <w:sz w:val="24"/>
                <w:highlight w:val="none"/>
                <w:vertAlign w:val="subscript"/>
                <w:lang w:eastAsia="zh-CN"/>
              </w:rPr>
              <w:t>3</w:t>
            </w:r>
            <w:r>
              <w:rPr>
                <w:rFonts w:hint="eastAsia" w:ascii="Times New Roman" w:hAnsi="Times New Roman" w:eastAsia="宋体" w:cs="Times New Roman"/>
                <w:color w:val="auto"/>
                <w:kern w:val="0"/>
                <w:sz w:val="24"/>
                <w:highlight w:val="none"/>
                <w:lang w:eastAsia="zh-CN"/>
              </w:rPr>
              <w:t>)：</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呈灰白色、灰色等，含大量中粒石英颗粒、白云母片及长石，中粒结构，块状构造，裂隙发育，岩芯多呈块状短柱状，部分为长柱状，岩芯采取率大于80%，RQD=20~40， 锤击声脆，不易击碎，结构部分破坏，原岩结构清晰可辨，岩性主要为花岗岩，中等风化。母岩为燕山晚期花岗岩。岩石坚硬程度属较硬岩，岩体完整程度分类属较破碎-较完整，岩体基本质量等级分类属II- IV类。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本层在20个钻孔中揭示，层顶埋深11. 50~46. 80m(标高- -38. 33~ 11.12m),层底埋深12. 00~48. 00m (标高-39. 53~9. 72m)，层厚0. 50~4.10m，平均厚度1. 70m。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&lt;8-3&gt;中风化辉绿岩(β)：</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灰绿、黑绿色，硬，湿，含辉石、长石颗粒，辉绿结构，块状构造。岩芯呈5-20cm短柱状，岩芯采取率大于80%，RQD=10~30, 结构部分破坏，原岩结构清晰可辨，岩性主要为辉绿岩，中等风化，母岩地质年代为喜马拉雅期。岩石坚硬程度属较硬岩，岩体完整程度分类属较破碎—较完整，岩体基本质量等级分类属II一IV类。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本层在5个钻孔中揭示，层顶埋深10. 90~31. 30m(标高-22. 25~-0. 53m) ,层底埋深12. 00~32. 80m (标高-23. 75~-1. 63m)，层厚1.10~2. 60m，平均厚度1. 94m。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&lt;8-4&gt;中风化花岗斑岩(γπ) ：</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浅肉红、肉红色为主,硬，主要矿物组成为钾长石、石英，斑状结构，块状构造,岩芯呈5 -20cm短柱状，岩芯采取率大于80%，RQD=10~40， 锤击声脆，不易击碎，结构部分破坏，原岩结构清晰可辨，岩性主要为花岗斑岩，中等风化，为燕山晚期侵入岩脉。岩石坚硬程度属较硬岩，岩体完整程度分类属破碎-较完整，岩体基本质量等级分类属II- IV类。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本层在18个钻孔中揭示，层顶埋深3. 00~40. 60m (标高-31.89~31. 51m)，层底埋深5. 00~43. 80m (标高-35. 09~18.81m)，层厚0. 50~12. 70，平均厚度3. 04m。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8)岩石微风化带</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&lt;9-1&gt;微风化花岗岩(γ</w:t>
            </w:r>
            <w:r>
              <w:rPr>
                <w:rFonts w:hint="eastAsia" w:ascii="Times New Roman" w:hAnsi="Times New Roman" w:eastAsia="宋体" w:cs="Times New Roman"/>
                <w:color w:val="auto"/>
                <w:kern w:val="0"/>
                <w:sz w:val="24"/>
                <w:highlight w:val="none"/>
                <w:vertAlign w:val="subscript"/>
                <w:lang w:val="en-US" w:eastAsia="zh-CN"/>
              </w:rPr>
              <w:t>5</w:t>
            </w:r>
            <w:r>
              <w:rPr>
                <w:rFonts w:hint="eastAsia" w:ascii="Times New Roman" w:hAnsi="Times New Roman" w:eastAsia="宋体" w:cs="Times New Roman"/>
                <w:color w:val="auto"/>
                <w:kern w:val="0"/>
                <w:sz w:val="24"/>
                <w:highlight w:val="none"/>
                <w:vertAlign w:val="superscript"/>
                <w:lang w:eastAsia="zh-CN"/>
              </w:rPr>
              <w:t>3</w:t>
            </w:r>
            <w:r>
              <w:rPr>
                <w:rFonts w:hint="eastAsia" w:ascii="Times New Roman" w:hAnsi="Times New Roman" w:eastAsia="宋体" w:cs="Times New Roman"/>
                <w:color w:val="auto"/>
                <w:kern w:val="0"/>
                <w:sz w:val="24"/>
                <w:highlight w:val="none"/>
                <w:lang w:eastAsia="zh-CN"/>
              </w:rPr>
              <w:t>) ：</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呈灰白、肉红色，矿物成分为长石、石英、少量黑云母等，中粗粒结构，块状构造，岩芯以长柱状为主，部分短柱状，岩芯采取率大于90%，长度- - 般为10-40cm， RQD=70~ 100，锤击声脆，不易击碎，原岩结构清晰可辨。岩性主要为花岗岩。岩石坚硬程度属坚硬岩，岩体完整程度属较破碎~较完整，岩体基本质量等级分类属II ~II类。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本层在41个钻孔中揭示，层顶埋深9. 20~48.10m (标高- 39. 56~9. 72m)，层底埋深12. 50~53.30m (标高-43. 53~-1.99m)，层厚2. 20~24.00m，平均厚度6.17m。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&lt;9-3&gt;微风化辉绿岩(β)：</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灰绿、黑绿色，硬，湿，含辉石、长石颗粒，辉绿结构，块状构造，呈岩脉侵入，岩芯呈中短柱状，RQD=20- 60，锤击声脆，不易击碎，原岩结构清晰可辨，厚度变化较大，岩性主要为辉绿岩，微风化，母岩地质年代为喜马拉雅期。岩石坚硬程度属坚硬岩，岩体完整程度属较破碎~较完整，岩体基本质量等级分类属II ~II类。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本层在3个钻孔中揭示,层顶埋深12. 00~18.00m (标高-8.29~-1. 63m)，层底埋深16. 20~29. 60m (标高-19. 83~-5. 83m)，层厚4. 20~12.90m,平均厚度7. 80m。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&lt;9-4&gt;微风化花岗斑岩( γπ)：</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浅肉红、肉红色为主,斑状结构,块状构造，岩芯采取率大于90%，岩芯呈中短柱状，RQD=30~90,锤击声脆，不易击碎，原岩结构清晰可辨，为燕山晚期侵入岩脉。岩石坚硬程度属坚硬岩，岩体完整程度分类属破碎-较完整，岩体基本质量等级分类属II一IV类。</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本层在22个钻孔中揭示，层顶埋深2.60~41. 80m(标高-33. 13~ 18.81m)，层底埋深12. 10~49. 10m (标高- -34. 53~-1.67m)，层厚1. 20~31.10m，平均厚度9.11m。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在本次勘察中，以上各层基岩未揭示明显孔穴、洞穴、临空面、破碎岩体或及软弱岩层，但据原有资料和本勘调查，在K0+530^ K0+550段拟建隧道范围内存在防空洞人防工程(在平面、剖面上已绘出)，洞底标高约10.60~11.00m,洞顶标高约13. 10^ 13.75m。拟建场地各土层在垂直方向分布变化较大，均匀性较差，水平向均匀性较差，属于不均匀地基。</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eastAsia="zh-CN"/>
              </w:rPr>
              <w:t>）地下水</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场地揭示的地下水按埋藏条件包含上层滞水、潜水和承压水三种类型。其中承压水按赋存介质又可分为松散岩类孔隙承压水、基岩孔隙裂隙承压水和构造裂隙承压水。场地隶属山前冲淤积平原地貌单元，临近象山隧道段K0+320 K0+610为剥蚀残山地貌单元。山前冲淤积平原地貌单元地下水类型主要如下：</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1)上层滞水</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主要为赋存于&lt;1- 2&gt;杂填土、&lt;1-5&gt;杂填石层中，上层滞水的水位和水量随季节变化较大，.雨季上层滞水水量较丰富，枯季水量变小。补给主要为大气降水及地表径流入渗，排泄方式主要为蒸发和下渗，该层水位埋深约1.20 *3. 40m (标高约4. 29~8.36m)。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2)孔隙承压水</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主要赋存于中部&lt;3- 3&gt; (含泥)粗砾砂中，水量较丰富，主要为地下水的侧向补给，承压水头罗零标高约为2.00m。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3)基岩孔隙裂隙水</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岩孔隙水主要赋存于深部花岗岩、辉绿岩和花岗斑岩的全风化、砂土状强风化和碎块状强风化带中。全风化、砂土状强风化岩的含水性能与以上各地层中砂的形状、大小、颗粒级配及黏粒含量，以及母岩的原生、次生节理裂隙等有密切关系:碎块状强风化带中的裂隙张开和密集程度、连通及充填情况都很不均匀，所以裂隙水的埋藏、分布及水动力特征非常不均匀，主要受岩性和地质构造控制，透水性及富水性--般较弱。该层地下水的补给来源主要为含水层侧向补给和上部含水层垂直补给，具弱承压性。基岩孔隙-裂隙承压水埋藏较深，对该分区的工程影响一般。该层水位埋深约8.0</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15. 0m (标高约-10.0</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2. 0m)。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4)构造裂隙承压水</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构造裂隙水主要赋存于花岗岩、辉绿岩和花岗斑岩的中微等风化带中，由于裂隙张开和密集程度、连通及充填情况都很不均匀，所以构造裂隙水的埋藏、分布及水动力特征非常不均匀，主要受岩性和地质构造控制，补给来源主要为含水层侧向补给和上部含水层垂直补给，具承压性。该分区的构造裂隙承压水埋藏一般较深， 对本工程影响-般。该层水位埋深约8.0^ 15. 0m(标高约-10.0~-2.0m)。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该地貌单位测得地下水初见水位埋深多在1.50^3.90m(标高4.39~7.90m)，地下水稳定水位埋深约1. 20^ 3.40m (标高约4. 29~8.36m)。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据调查，场地地下水水位的年变化幅度约1. 50~2. 50m，近3~5年最高水位标高约8.50m,场地历史地下水最高水位标高约9. 20m。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K0+320</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 xml:space="preserve"> K0+610剥蚀残山地貌单元地下水类型主要如下：</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1)上层滞水</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主要为赋存于&lt;1-2&gt;杂填土、&lt;1-5&gt; 杂填石层中，上层滞 水的水位和水量随季节变化较大，雨季.上层滞水水量较丰富，枯季水量变小。补给主要为大气降水及地表径流入渗，排泄方式主要为蒸发和下渗，该层水位埋深约1.30 3.60m (标高约7. 54~8.37m)。</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2)基岩孔隙裂隙水</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岩孔隙水主要赋存于深部花岗岩、辉绿岩和花岗斑岩的全风化、砂土状强风化和碎块状强风化带中。全风化、砂土状强风化岩的含水性能与以上各地层中砂的形状、大小、颗粒级配及黏粒含量，以及母岩的原生、次生节理裂隙等有密切关系;碎块状强风化带中的裂隙张开和密集程度、连通及充填情况都很不均匀，所以裂隙水的埋藏、分布及水动力特征非常不均匀，主要受岩性和地质构造控制，透水性及富水性一般较弱。该层地下水的补给来源主要为含水层侧向补给和上部含水层垂直补给，具弱承压性。该层水位埋深约1. 30^ 20.20m (标高约7. 54~23. 41m)。基岩孔隙-裂隙承压水埋藏较浅，对本工程影响较大。</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3)构造裂隙承压水</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构造裂隙水主要赋存于花岗岩、辉绿岩和花岗斑岩的中-微等风化带中，由于裂隙张开和密集程度、连通及充填情况都很不均匀，所以构造裂隙水的埋藏、分布及水动力特征非常不均匀，主要受岩性和地质构造控制，补给来源主要为含水层侧向补给和上部含水层垂直补给，具承压性。线路在该段从中风化、微风化基岩中穿越，且受沿脉侵入影响，岩体内发育有多条节理裂隙密集带和构造破碎带，透水性强，构造裂隙承压水受远处和近处的山体上方降雨下渗补给，雨季水量大，并对隧道开挖产生直接和较大影响。</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综上，勘察区内,地下水位变化主要受气候的控制，每年4~7月份为雨季，大气降水丰沛，是地下水的补给期，其水位会明显上升，而10月~次年3月为地下水的消耗期，地下水位随之下降，年变化幅度3.00~4.00m, 地表水与上层滞水存在-定的水力联系，下部承压水与基岩裂隙水水力联系较强。</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本次勘察外业期间，K0+320^ K0+610受地形变化较大，初见水位和稳定水位也变化加大，测得地下水初见水位埋深多在1.50^ 20.50m (标高约7.20~23. 10m)，地下水稳定水位埋深约1. 30</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20.20m (标高约7. 54~23. 41m) 。</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据调查，场地地下水水位的年变化幅度约3. 00~8. 00m。由于场地地势变化较大，近3~5年最高地下水位埋深一般在1.10 10.00m (标高8.00</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25.00m)间不等，场地历史地下水最高水位埋深一般在0.90 ~7. 50m (8. 20</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28.00m)间不等。</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场地内各岩土层的含水性、透水性分述如下:杂填土、杂填石土质结构松散，均匀性差，富水性较差，透水性较好，属弱-中等透水层：&lt;2- 1&gt;粘土、&lt;3-1-1&gt;粉质粘土、&lt;3-1-2&gt;砂质粘土透水性、含水性弱，属弱透水含水层，弱含水层：&lt;2-4-1&gt;淤泥、&lt;3-4-2&gt;淤泥质土，为不透水层，相对隔水层：&lt;3-3&gt; (含泥)粗砾砂，强透水性，富水性好，为强含水层，强透水层：风化岩及残积土中的网状孔隙裂隙水及下部基岩构造裂隙水，其渗透性、富水性与基岩的裂隙发育程度及连通性有关，其透水性及富水性一般，属弱</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eastAsia="zh-CN"/>
              </w:rPr>
              <w:t>中等透水层，局部岩体破碎，节理裂隙发育地段水量可能成倍增加。</w:t>
            </w:r>
          </w:p>
          <w:p>
            <w:pPr>
              <w:adjustRightInd w:val="0"/>
              <w:snapToGrid w:val="0"/>
              <w:spacing w:line="360" w:lineRule="auto"/>
              <w:ind w:firstLine="420" w:firstLineChars="200"/>
              <w:jc w:val="left"/>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）植被、动物</w:t>
            </w:r>
          </w:p>
          <w:p>
            <w:pPr>
              <w:adjustRightInd w:val="0"/>
              <w:snapToGrid w:val="0"/>
              <w:spacing w:line="360" w:lineRule="auto"/>
              <w:ind w:firstLine="480" w:firstLineChars="200"/>
              <w:jc w:val="left"/>
              <w:rPr>
                <w:rFonts w:ascii="宋体" w:hAnsi="宋体" w:cs="宋体"/>
                <w:color w:val="auto"/>
                <w:kern w:val="0"/>
                <w:szCs w:val="21"/>
                <w:highlight w:val="none"/>
              </w:rPr>
            </w:pPr>
            <w:r>
              <w:rPr>
                <w:rFonts w:hint="eastAsia"/>
                <w:color w:val="auto"/>
                <w:kern w:val="0"/>
                <w:sz w:val="24"/>
                <w:highlight w:val="none"/>
              </w:rPr>
              <w:t>本项目永久占地面积56840m</w:t>
            </w:r>
            <w:r>
              <w:rPr>
                <w:rFonts w:hint="eastAsia"/>
                <w:color w:val="auto"/>
                <w:kern w:val="0"/>
                <w:sz w:val="24"/>
                <w:highlight w:val="none"/>
                <w:vertAlign w:val="superscript"/>
              </w:rPr>
              <w:t>2</w:t>
            </w:r>
            <w:r>
              <w:rPr>
                <w:rFonts w:hint="eastAsia"/>
                <w:color w:val="auto"/>
                <w:kern w:val="0"/>
                <w:sz w:val="24"/>
                <w:highlight w:val="none"/>
              </w:rPr>
              <w:t>，占地类型为交通运输用地、林地、园地及其他用地，林地为现状象山隧道山顶林地，该部分林地保留不进行建设。项目区域</w:t>
            </w:r>
            <w:r>
              <w:rPr>
                <w:color w:val="auto"/>
                <w:kern w:val="0"/>
                <w:sz w:val="24"/>
                <w:highlight w:val="none"/>
              </w:rPr>
              <w:t>主要植被为</w:t>
            </w:r>
            <w:r>
              <w:rPr>
                <w:rFonts w:hint="eastAsia"/>
                <w:color w:val="auto"/>
                <w:kern w:val="0"/>
                <w:sz w:val="24"/>
                <w:highlight w:val="none"/>
              </w:rPr>
              <w:t>绿化树种（乔木、香樟等），左海公园、西湖公园以乡土树种为主，均为该地区常见种类。根据调查，项目沿线西湖公园内25棵古树，主要为榕树、柠檬桉、龙眼、重阳木、秋枫；梦山路福州熊猫世界入口斜坡处有1颗古榕树，均属于鼓楼区二级古树名木，均不在项目红线范围内。</w:t>
            </w:r>
            <w:r>
              <w:rPr>
                <w:color w:val="auto"/>
                <w:kern w:val="0"/>
                <w:sz w:val="24"/>
                <w:highlight w:val="none"/>
              </w:rPr>
              <w:t>评价区域内无珍稀濒危物种、自然保护区等生态敏感目标，主要为常见的蛙类、鸟类</w:t>
            </w:r>
            <w:r>
              <w:rPr>
                <w:rFonts w:hint="eastAsia"/>
                <w:color w:val="auto"/>
                <w:kern w:val="0"/>
                <w:sz w:val="24"/>
                <w:highlight w:val="none"/>
              </w:rPr>
              <w:t>、</w:t>
            </w:r>
            <w:r>
              <w:rPr>
                <w:color w:val="auto"/>
                <w:kern w:val="0"/>
                <w:sz w:val="24"/>
                <w:highlight w:val="none"/>
              </w:rPr>
              <w:t>昆虫类</w:t>
            </w:r>
            <w:r>
              <w:rPr>
                <w:rFonts w:hint="eastAsia"/>
                <w:color w:val="auto"/>
                <w:kern w:val="0"/>
                <w:sz w:val="24"/>
                <w:highlight w:val="none"/>
              </w:rPr>
              <w:t>和鱼类</w:t>
            </w:r>
            <w:r>
              <w:rPr>
                <w:color w:val="auto"/>
                <w:kern w:val="0"/>
                <w:sz w:val="24"/>
                <w:highlight w:val="none"/>
              </w:rPr>
              <w:t>。调查区域没有发现国家重点保护的野生动植物</w:t>
            </w:r>
            <w:r>
              <w:rPr>
                <w:rFonts w:hint="eastAsia"/>
                <w:color w:val="auto"/>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04" w:type="dxa"/>
            <w:vAlign w:val="center"/>
          </w:tcPr>
          <w:p>
            <w:pPr>
              <w:adjustRightInd w:val="0"/>
              <w:snapToGrid w:val="0"/>
              <w:jc w:val="center"/>
              <w:rPr>
                <w:rFonts w:ascii="宋体" w:hAnsi="宋体" w:cs="宋体"/>
                <w:color w:val="auto"/>
                <w:kern w:val="0"/>
                <w:szCs w:val="21"/>
                <w:highlight w:val="none"/>
              </w:rPr>
            </w:pPr>
            <w:r>
              <w:rPr>
                <w:rFonts w:hint="eastAsia" w:ascii="宋体" w:hAnsi="宋体"/>
                <w:bCs/>
                <w:color w:val="auto"/>
                <w:szCs w:val="21"/>
                <w:highlight w:val="none"/>
              </w:rPr>
              <w:t>与项目有关的原有环境污染和生态破坏问题</w:t>
            </w:r>
          </w:p>
        </w:tc>
        <w:tc>
          <w:tcPr>
            <w:tcW w:w="8253" w:type="dxa"/>
            <w:vAlign w:val="center"/>
          </w:tcPr>
          <w:p>
            <w:pPr>
              <w:adjustRightInd w:val="0"/>
              <w:snapToGrid w:val="0"/>
              <w:spacing w:line="360" w:lineRule="auto"/>
              <w:ind w:firstLine="480" w:firstLineChars="200"/>
              <w:rPr>
                <w:rFonts w:hint="eastAsia"/>
                <w:color w:val="auto"/>
                <w:sz w:val="24"/>
                <w:highlight w:val="none"/>
                <w:lang w:val="zh-CN"/>
              </w:rPr>
            </w:pPr>
            <w:r>
              <w:rPr>
                <w:rFonts w:hint="eastAsia"/>
                <w:color w:val="auto"/>
                <w:sz w:val="24"/>
                <w:highlight w:val="none"/>
                <w:lang w:val="zh-CN"/>
              </w:rPr>
              <w:t>象山隧道建于1994年，1997年进行了象山隧道病害整治施工，由于历史原因，未履行环境影响评价、竣工环境保护验收手续。</w:t>
            </w:r>
          </w:p>
          <w:p>
            <w:pPr>
              <w:adjustRightInd w:val="0"/>
              <w:snapToGrid w:val="0"/>
              <w:spacing w:line="360" w:lineRule="auto"/>
              <w:ind w:firstLine="480" w:firstLineChars="200"/>
              <w:rPr>
                <w:rFonts w:hint="eastAsia" w:ascii="宋体" w:hAnsi="宋体" w:cs="宋体"/>
                <w:color w:val="auto"/>
                <w:kern w:val="0"/>
                <w:szCs w:val="21"/>
                <w:highlight w:val="none"/>
              </w:rPr>
            </w:pPr>
            <w:r>
              <w:rPr>
                <w:rFonts w:hint="eastAsia"/>
                <w:color w:val="auto"/>
                <w:sz w:val="24"/>
                <w:highlight w:val="none"/>
                <w:lang w:val="zh-CN"/>
              </w:rPr>
              <w:t>现状道路象山隧道、西二环北路交通流量大，道路现状服务水平较差，通行能力小，经常出现堵车现象，驾驶人员鸣笛现象普遍，导致距离较近的</w:t>
            </w:r>
            <w:r>
              <w:rPr>
                <w:rFonts w:hint="eastAsia"/>
                <w:color w:val="auto"/>
                <w:sz w:val="24"/>
                <w:highlight w:val="none"/>
              </w:rPr>
              <w:t>声环境保护目标</w:t>
            </w:r>
            <w:r>
              <w:rPr>
                <w:rFonts w:hint="eastAsia"/>
                <w:color w:val="auto"/>
                <w:sz w:val="24"/>
                <w:highlight w:val="none"/>
                <w:lang w:val="zh-CN"/>
              </w:rPr>
              <w:t>声环境质量较差；现状部分路面有破损，车辆通行颠簸也会产生噪声和扬尘，影响周边</w:t>
            </w:r>
            <w:r>
              <w:rPr>
                <w:rFonts w:hint="eastAsia"/>
                <w:color w:val="auto"/>
                <w:sz w:val="24"/>
                <w:highlight w:val="none"/>
              </w:rPr>
              <w:t>声环境保护目标</w:t>
            </w:r>
            <w:r>
              <w:rPr>
                <w:rFonts w:hint="eastAsia"/>
                <w:color w:val="auto"/>
                <w:sz w:val="24"/>
                <w:highlight w:val="none"/>
                <w:lang w:val="zh-CN"/>
              </w:rPr>
              <w:t>。项目起点、终点以及沿线部分声环境保护目标噪声监测值不满足《声环境质量标准》（GB3096-2008）中的 2、4a类标准要求。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08" w:hRule="atLeast"/>
          <w:jc w:val="center"/>
        </w:trPr>
        <w:tc>
          <w:tcPr>
            <w:tcW w:w="904" w:type="dxa"/>
            <w:vAlign w:val="center"/>
          </w:tcPr>
          <w:p>
            <w:pPr>
              <w:adjustRightInd w:val="0"/>
              <w:snapToGrid w:val="0"/>
              <w:jc w:val="center"/>
              <w:rPr>
                <w:rFonts w:hint="eastAsia" w:ascii="宋体" w:hAnsi="宋体"/>
                <w:bCs/>
                <w:color w:val="auto"/>
                <w:szCs w:val="21"/>
                <w:highlight w:val="none"/>
              </w:rPr>
            </w:pPr>
            <w:r>
              <w:rPr>
                <w:rFonts w:hint="eastAsia" w:ascii="宋体" w:hAnsi="宋体"/>
                <w:bCs/>
                <w:color w:val="auto"/>
                <w:szCs w:val="21"/>
                <w:highlight w:val="none"/>
              </w:rPr>
              <w:t>生态环境保护目标</w:t>
            </w:r>
          </w:p>
        </w:tc>
        <w:tc>
          <w:tcPr>
            <w:tcW w:w="8253" w:type="dxa"/>
            <w:vAlign w:val="center"/>
          </w:tcPr>
          <w:p>
            <w:pPr>
              <w:adjustRightInd w:val="0"/>
              <w:snapToGrid w:val="0"/>
              <w:spacing w:line="360" w:lineRule="auto"/>
              <w:ind w:firstLine="480" w:firstLineChars="200"/>
              <w:rPr>
                <w:color w:val="auto"/>
                <w:sz w:val="24"/>
                <w:highlight w:val="none"/>
              </w:rPr>
            </w:pPr>
            <w:r>
              <w:rPr>
                <w:rFonts w:hint="eastAsia"/>
                <w:color w:val="auto"/>
                <w:sz w:val="24"/>
                <w:highlight w:val="none"/>
                <w:lang w:val="zh-CN"/>
              </w:rPr>
              <w:t>本工程不涉及自然保护区、风景名胜区、饮用水水源保护区等环境敏感区。</w:t>
            </w:r>
            <w:r>
              <w:rPr>
                <w:rFonts w:hint="eastAsia"/>
                <w:color w:val="auto"/>
                <w:sz w:val="24"/>
                <w:highlight w:val="none"/>
              </w:rPr>
              <w:t>项目位于城市建成区，以居住、办公为主，沿线地块大部分已开发完成。</w:t>
            </w:r>
          </w:p>
          <w:p>
            <w:pPr>
              <w:adjustRightInd w:val="0"/>
              <w:snapToGrid w:val="0"/>
              <w:spacing w:line="360" w:lineRule="auto"/>
              <w:ind w:firstLine="482" w:firstLineChars="200"/>
              <w:jc w:val="left"/>
              <w:rPr>
                <w:rFonts w:hint="eastAsia"/>
                <w:b/>
                <w:bCs/>
                <w:color w:val="auto"/>
                <w:kern w:val="0"/>
                <w:sz w:val="24"/>
                <w:highlight w:val="none"/>
                <w:lang w:val="zh-CN"/>
              </w:rPr>
            </w:pPr>
            <w:r>
              <w:rPr>
                <w:rFonts w:hint="eastAsia"/>
                <w:b/>
                <w:bCs/>
                <w:color w:val="auto"/>
                <w:kern w:val="0"/>
                <w:sz w:val="24"/>
                <w:highlight w:val="none"/>
                <w:lang w:val="zh-CN"/>
              </w:rPr>
              <w:t>1、水环境保护目标</w:t>
            </w:r>
          </w:p>
          <w:p>
            <w:pPr>
              <w:adjustRightInd w:val="0"/>
              <w:snapToGrid w:val="0"/>
              <w:spacing w:line="360" w:lineRule="auto"/>
              <w:ind w:firstLine="480" w:firstLineChars="200"/>
              <w:rPr>
                <w:rFonts w:hint="eastAsia"/>
                <w:color w:val="auto"/>
                <w:sz w:val="24"/>
                <w:highlight w:val="none"/>
                <w:lang w:val="zh-CN"/>
              </w:rPr>
            </w:pPr>
            <w:r>
              <w:rPr>
                <w:rFonts w:hint="eastAsia"/>
                <w:color w:val="auto"/>
                <w:sz w:val="24"/>
                <w:highlight w:val="none"/>
                <w:lang w:val="zh-CN"/>
              </w:rPr>
              <w:t>水环境的主要保护目标为</w:t>
            </w:r>
            <w:r>
              <w:rPr>
                <w:rFonts w:hint="eastAsia"/>
                <w:color w:val="auto"/>
                <w:sz w:val="24"/>
                <w:highlight w:val="none"/>
              </w:rPr>
              <w:t>梅峰河</w:t>
            </w:r>
            <w:r>
              <w:rPr>
                <w:rFonts w:hint="eastAsia"/>
                <w:color w:val="auto"/>
                <w:sz w:val="24"/>
                <w:highlight w:val="none"/>
                <w:lang w:val="zh-CN"/>
              </w:rPr>
              <w:t>、</w:t>
            </w:r>
            <w:r>
              <w:rPr>
                <w:rFonts w:hint="eastAsia"/>
                <w:color w:val="auto"/>
                <w:sz w:val="24"/>
                <w:highlight w:val="none"/>
              </w:rPr>
              <w:t>西湖</w:t>
            </w:r>
            <w:r>
              <w:rPr>
                <w:rFonts w:hint="eastAsia"/>
                <w:color w:val="auto"/>
                <w:sz w:val="24"/>
                <w:highlight w:val="none"/>
                <w:lang w:val="zh-CN"/>
              </w:rPr>
              <w:t>，主导功能为一般景观水体，水质要求为V类水质。</w:t>
            </w:r>
          </w:p>
          <w:p>
            <w:pPr>
              <w:adjustRightInd w:val="0"/>
              <w:snapToGrid w:val="0"/>
              <w:spacing w:line="360" w:lineRule="auto"/>
              <w:ind w:firstLine="482" w:firstLineChars="200"/>
              <w:jc w:val="left"/>
              <w:rPr>
                <w:rFonts w:hint="eastAsia"/>
                <w:b/>
                <w:bCs/>
                <w:color w:val="auto"/>
                <w:kern w:val="0"/>
                <w:sz w:val="24"/>
                <w:highlight w:val="none"/>
                <w:lang w:val="zh-CN"/>
              </w:rPr>
            </w:pPr>
            <w:r>
              <w:rPr>
                <w:rFonts w:hint="eastAsia"/>
                <w:b/>
                <w:bCs/>
                <w:color w:val="auto"/>
                <w:kern w:val="0"/>
                <w:sz w:val="24"/>
                <w:highlight w:val="none"/>
                <w:lang w:val="zh-CN"/>
              </w:rPr>
              <w:t>2、声环境、环境空气目标</w:t>
            </w:r>
          </w:p>
          <w:p>
            <w:pPr>
              <w:adjustRightInd w:val="0"/>
              <w:snapToGrid w:val="0"/>
              <w:spacing w:line="360" w:lineRule="auto"/>
              <w:ind w:firstLine="480" w:firstLineChars="200"/>
              <w:rPr>
                <w:color w:val="auto"/>
                <w:kern w:val="0"/>
                <w:sz w:val="24"/>
                <w:highlight w:val="none"/>
              </w:rPr>
            </w:pPr>
            <w:r>
              <w:rPr>
                <w:rFonts w:hint="eastAsia"/>
                <w:color w:val="auto"/>
                <w:sz w:val="24"/>
                <w:highlight w:val="none"/>
                <w:lang w:val="zh-CN"/>
              </w:rPr>
              <w:t>工程营运期的主要保护对象是工程沿线的</w:t>
            </w:r>
            <w:r>
              <w:rPr>
                <w:rFonts w:hint="eastAsia"/>
                <w:color w:val="auto"/>
                <w:sz w:val="24"/>
                <w:highlight w:val="none"/>
              </w:rPr>
              <w:t>小区、</w:t>
            </w:r>
            <w:r>
              <w:rPr>
                <w:rFonts w:hint="eastAsia"/>
                <w:color w:val="auto"/>
                <w:sz w:val="24"/>
                <w:highlight w:val="none"/>
                <w:lang w:val="zh-CN"/>
              </w:rPr>
              <w:t>学校、</w:t>
            </w:r>
            <w:r>
              <w:rPr>
                <w:rFonts w:hint="eastAsia"/>
                <w:color w:val="auto"/>
                <w:sz w:val="24"/>
                <w:highlight w:val="none"/>
              </w:rPr>
              <w:t>医院</w:t>
            </w:r>
            <w:r>
              <w:rPr>
                <w:rFonts w:hint="eastAsia"/>
                <w:color w:val="auto"/>
                <w:sz w:val="24"/>
                <w:highlight w:val="none"/>
                <w:lang w:val="zh-CN"/>
              </w:rPr>
              <w:t>，根据对工程所在区域实地勘察和调查，工程沿线两侧噪声、空气敏感点共</w:t>
            </w:r>
            <w:r>
              <w:rPr>
                <w:rFonts w:hint="eastAsia"/>
                <w:color w:val="auto"/>
                <w:sz w:val="24"/>
                <w:highlight w:val="none"/>
              </w:rPr>
              <w:t>30</w:t>
            </w:r>
            <w:r>
              <w:rPr>
                <w:rFonts w:hint="eastAsia"/>
                <w:color w:val="auto"/>
                <w:sz w:val="24"/>
                <w:highlight w:val="none"/>
                <w:lang w:val="zh-CN"/>
              </w:rPr>
              <w:t>处，具体见表 3</w:t>
            </w:r>
            <w:r>
              <w:rPr>
                <w:rFonts w:hint="eastAsia"/>
                <w:color w:val="auto"/>
                <w:sz w:val="24"/>
                <w:highlight w:val="none"/>
              </w:rPr>
              <w:t>-3，</w:t>
            </w:r>
            <w:r>
              <w:rPr>
                <w:rFonts w:hint="eastAsia"/>
                <w:color w:val="auto"/>
                <w:kern w:val="0"/>
                <w:sz w:val="24"/>
                <w:highlight w:val="none"/>
              </w:rPr>
              <w:t>声环境保护目标示意图见附图</w:t>
            </w:r>
            <w:r>
              <w:rPr>
                <w:rFonts w:hint="eastAsia"/>
                <w:color w:val="auto"/>
                <w:kern w:val="0"/>
                <w:sz w:val="24"/>
                <w:highlight w:val="none"/>
                <w:lang w:val="en-US" w:eastAsia="zh-CN"/>
              </w:rPr>
              <w:t>8</w:t>
            </w:r>
            <w:r>
              <w:rPr>
                <w:rFonts w:hint="eastAsia"/>
                <w:color w:val="auto"/>
                <w:kern w:val="0"/>
                <w:sz w:val="24"/>
                <w:highlight w:val="none"/>
              </w:rPr>
              <w:t>。</w:t>
            </w:r>
          </w:p>
          <w:p>
            <w:pPr>
              <w:adjustRightInd w:val="0"/>
              <w:snapToGrid w:val="0"/>
              <w:spacing w:line="360" w:lineRule="auto"/>
              <w:ind w:firstLine="482" w:firstLineChars="200"/>
              <w:jc w:val="left"/>
              <w:rPr>
                <w:rFonts w:hint="eastAsia"/>
                <w:b/>
                <w:bCs/>
                <w:color w:val="auto"/>
                <w:kern w:val="0"/>
                <w:sz w:val="24"/>
                <w:highlight w:val="none"/>
                <w:lang w:val="zh-CN"/>
              </w:rPr>
            </w:pPr>
            <w:r>
              <w:rPr>
                <w:rFonts w:hint="eastAsia"/>
                <w:b/>
                <w:bCs/>
                <w:color w:val="auto"/>
                <w:kern w:val="0"/>
                <w:sz w:val="24"/>
                <w:highlight w:val="none"/>
                <w:lang w:val="zh-CN"/>
              </w:rPr>
              <w:t xml:space="preserve"> 3、生态环境保护目标</w:t>
            </w:r>
          </w:p>
          <w:p>
            <w:pPr>
              <w:adjustRightInd w:val="0"/>
              <w:snapToGrid w:val="0"/>
              <w:spacing w:line="360" w:lineRule="auto"/>
              <w:ind w:firstLine="480" w:firstLineChars="200"/>
              <w:rPr>
                <w:color w:val="auto"/>
                <w:sz w:val="24"/>
                <w:highlight w:val="none"/>
              </w:rPr>
            </w:pPr>
            <w:r>
              <w:rPr>
                <w:rFonts w:hint="eastAsia"/>
                <w:color w:val="auto"/>
                <w:sz w:val="24"/>
                <w:highlight w:val="none"/>
                <w:lang w:val="zh-CN"/>
              </w:rPr>
              <w:t>生态环境重点保护目标为</w:t>
            </w:r>
            <w:r>
              <w:rPr>
                <w:rFonts w:hint="eastAsia"/>
                <w:color w:val="auto"/>
                <w:sz w:val="24"/>
                <w:highlight w:val="none"/>
              </w:rPr>
              <w:t>西湖公园25棵古树，主要为榕树、柠檬桉、龙眼、重阳木、秋枫；梦山路福州熊猫世界入口斜坡处有1颗古榕树，</w:t>
            </w:r>
            <w:r>
              <w:rPr>
                <w:rFonts w:hint="eastAsia"/>
                <w:color w:val="auto"/>
                <w:kern w:val="0"/>
                <w:sz w:val="24"/>
                <w:highlight w:val="none"/>
              </w:rPr>
              <w:t>均属于鼓楼区二级古树名木。</w:t>
            </w:r>
          </w:p>
        </w:tc>
      </w:tr>
    </w:tbl>
    <w:p>
      <w:pPr>
        <w:pStyle w:val="18"/>
        <w:adjustRightInd w:val="0"/>
        <w:snapToGrid w:val="0"/>
        <w:spacing w:before="0" w:beforeAutospacing="0" w:after="0" w:afterAutospacing="0" w:line="14" w:lineRule="auto"/>
        <w:jc w:val="center"/>
        <w:rPr>
          <w:rFonts w:hint="eastAsia" w:ascii="黑体" w:hAnsi="黑体" w:eastAsia="黑体"/>
          <w:snapToGrid w:val="0"/>
          <w:color w:val="auto"/>
          <w:kern w:val="2"/>
          <w:sz w:val="36"/>
          <w:szCs w:val="36"/>
          <w:highlight w:val="none"/>
        </w:rPr>
      </w:pPr>
      <w:r>
        <w:rPr>
          <w:rFonts w:hint="eastAsia" w:ascii="黑体" w:hAnsi="黑体" w:eastAsia="黑体"/>
          <w:snapToGrid w:val="0"/>
          <w:color w:val="auto"/>
          <w:kern w:val="2"/>
          <w:sz w:val="36"/>
          <w:szCs w:val="36"/>
          <w:highlight w:val="none"/>
        </w:rPr>
        <w:t>《》</w:t>
      </w:r>
    </w:p>
    <w:p>
      <w:pPr>
        <w:pStyle w:val="18"/>
        <w:jc w:val="center"/>
        <w:rPr>
          <w:rFonts w:ascii="黑体" w:hAnsi="黑体" w:eastAsia="黑体"/>
          <w:snapToGrid w:val="0"/>
          <w:color w:val="auto"/>
          <w:kern w:val="2"/>
          <w:sz w:val="36"/>
          <w:szCs w:val="36"/>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tbl>
      <w:tblPr>
        <w:tblStyle w:val="23"/>
        <w:tblW w:w="207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0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5" w:hRule="atLeast"/>
          <w:jc w:val="center"/>
        </w:trPr>
        <w:tc>
          <w:tcPr>
            <w:tcW w:w="666" w:type="dxa"/>
            <w:vAlign w:val="center"/>
          </w:tcPr>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生态环境保护目标</w:t>
            </w:r>
          </w:p>
        </w:tc>
        <w:tc>
          <w:tcPr>
            <w:tcW w:w="20063" w:type="dxa"/>
            <w:vAlign w:val="center"/>
          </w:tcPr>
          <w:p>
            <w:pPr>
              <w:pStyle w:val="9"/>
              <w:widowControl w:val="0"/>
              <w:spacing w:before="0" w:after="0" w:line="240" w:lineRule="auto"/>
              <w:jc w:val="center"/>
              <w:rPr>
                <w:rFonts w:hint="eastAsia"/>
                <w:b/>
                <w:color w:val="auto"/>
                <w:sz w:val="24"/>
                <w:szCs w:val="24"/>
                <w:highlight w:val="none"/>
                <w:lang w:val="zh-CN"/>
              </w:rPr>
            </w:pPr>
            <w:r>
              <w:rPr>
                <w:rFonts w:hint="eastAsia"/>
                <w:b/>
                <w:color w:val="auto"/>
                <w:sz w:val="24"/>
                <w:szCs w:val="24"/>
                <w:highlight w:val="none"/>
                <w:lang w:val="zh-CN"/>
              </w:rPr>
              <w:t>表</w:t>
            </w:r>
            <w:r>
              <w:rPr>
                <w:rFonts w:hint="eastAsia"/>
                <w:b/>
                <w:color w:val="auto"/>
                <w:sz w:val="24"/>
                <w:szCs w:val="24"/>
                <w:highlight w:val="none"/>
              </w:rPr>
              <w:t>3-3 环境空气、</w:t>
            </w:r>
            <w:r>
              <w:rPr>
                <w:rFonts w:hint="eastAsia"/>
                <w:b/>
                <w:color w:val="auto"/>
                <w:sz w:val="24"/>
                <w:szCs w:val="24"/>
                <w:highlight w:val="none"/>
                <w:lang w:val="zh-CN"/>
              </w:rPr>
              <w:t>声环境保护目标调查一览表</w:t>
            </w:r>
          </w:p>
          <w:tbl>
            <w:tblPr>
              <w:tblStyle w:val="23"/>
              <w:tblW w:w="1957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
              <w:gridCol w:w="577"/>
              <w:gridCol w:w="788"/>
              <w:gridCol w:w="1481"/>
              <w:gridCol w:w="1706"/>
              <w:gridCol w:w="901"/>
              <w:gridCol w:w="655"/>
              <w:gridCol w:w="1894"/>
              <w:gridCol w:w="881"/>
              <w:gridCol w:w="833"/>
              <w:gridCol w:w="691"/>
              <w:gridCol w:w="737"/>
              <w:gridCol w:w="2072"/>
              <w:gridCol w:w="3150"/>
              <w:gridCol w:w="2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21" w:hRule="atLeast"/>
                <w:tblHeader/>
                <w:jc w:val="center"/>
              </w:trPr>
              <w:tc>
                <w:tcPr>
                  <w:tcW w:w="505" w:type="dxa"/>
                  <w:vMerge w:val="restart"/>
                  <w:vAlign w:val="center"/>
                </w:tcPr>
                <w:p>
                  <w:pPr>
                    <w:adjustRightInd w:val="0"/>
                    <w:snapToGrid w:val="0"/>
                    <w:jc w:val="center"/>
                    <w:rPr>
                      <w:bCs/>
                      <w:color w:val="auto"/>
                      <w:szCs w:val="21"/>
                      <w:highlight w:val="none"/>
                    </w:rPr>
                  </w:pPr>
                  <w:r>
                    <w:rPr>
                      <w:bCs/>
                      <w:color w:val="auto"/>
                      <w:szCs w:val="21"/>
                      <w:highlight w:val="none"/>
                    </w:rPr>
                    <w:t>序号</w:t>
                  </w:r>
                  <w:r>
                    <w:rPr>
                      <w:rFonts w:hint="eastAsia"/>
                      <w:b/>
                      <w:color w:val="auto"/>
                      <w:szCs w:val="21"/>
                      <w:highlight w:val="none"/>
                    </w:rPr>
                    <w:t>21</w:t>
                  </w:r>
                </w:p>
              </w:tc>
              <w:tc>
                <w:tcPr>
                  <w:tcW w:w="1365" w:type="dxa"/>
                  <w:gridSpan w:val="2"/>
                  <w:vMerge w:val="restart"/>
                  <w:vAlign w:val="center"/>
                </w:tcPr>
                <w:p>
                  <w:pPr>
                    <w:adjustRightInd w:val="0"/>
                    <w:snapToGrid w:val="0"/>
                    <w:jc w:val="center"/>
                    <w:rPr>
                      <w:bCs/>
                      <w:color w:val="auto"/>
                      <w:szCs w:val="21"/>
                      <w:highlight w:val="none"/>
                    </w:rPr>
                  </w:pPr>
                  <w:r>
                    <w:rPr>
                      <w:bCs/>
                      <w:color w:val="auto"/>
                      <w:szCs w:val="21"/>
                      <w:highlight w:val="none"/>
                    </w:rPr>
                    <w:t>环境保护目标名称</w:t>
                  </w:r>
                </w:p>
              </w:tc>
              <w:tc>
                <w:tcPr>
                  <w:tcW w:w="1481" w:type="dxa"/>
                  <w:vMerge w:val="restart"/>
                  <w:vAlign w:val="center"/>
                </w:tcPr>
                <w:p>
                  <w:pPr>
                    <w:adjustRightInd w:val="0"/>
                    <w:snapToGrid w:val="0"/>
                    <w:jc w:val="center"/>
                    <w:rPr>
                      <w:bCs/>
                      <w:color w:val="auto"/>
                      <w:szCs w:val="21"/>
                      <w:highlight w:val="none"/>
                    </w:rPr>
                  </w:pPr>
                  <w:r>
                    <w:rPr>
                      <w:bCs/>
                      <w:color w:val="auto"/>
                      <w:szCs w:val="21"/>
                      <w:highlight w:val="none"/>
                    </w:rPr>
                    <w:t>所在路段</w:t>
                  </w:r>
                </w:p>
              </w:tc>
              <w:tc>
                <w:tcPr>
                  <w:tcW w:w="1706" w:type="dxa"/>
                  <w:vMerge w:val="restart"/>
                  <w:vAlign w:val="center"/>
                </w:tcPr>
                <w:p>
                  <w:pPr>
                    <w:adjustRightInd w:val="0"/>
                    <w:snapToGrid w:val="0"/>
                    <w:jc w:val="center"/>
                    <w:rPr>
                      <w:bCs/>
                      <w:color w:val="auto"/>
                      <w:szCs w:val="21"/>
                      <w:highlight w:val="none"/>
                    </w:rPr>
                  </w:pPr>
                  <w:r>
                    <w:rPr>
                      <w:bCs/>
                      <w:color w:val="auto"/>
                      <w:szCs w:val="21"/>
                      <w:highlight w:val="none"/>
                    </w:rPr>
                    <w:t>里程</w:t>
                  </w:r>
                </w:p>
                <w:p>
                  <w:pPr>
                    <w:adjustRightInd w:val="0"/>
                    <w:snapToGrid w:val="0"/>
                    <w:jc w:val="center"/>
                    <w:rPr>
                      <w:bCs/>
                      <w:color w:val="auto"/>
                      <w:szCs w:val="21"/>
                      <w:highlight w:val="none"/>
                    </w:rPr>
                  </w:pPr>
                  <w:r>
                    <w:rPr>
                      <w:bCs/>
                      <w:color w:val="auto"/>
                      <w:szCs w:val="21"/>
                      <w:highlight w:val="none"/>
                    </w:rPr>
                    <w:t>范围</w:t>
                  </w:r>
                </w:p>
              </w:tc>
              <w:tc>
                <w:tcPr>
                  <w:tcW w:w="901" w:type="dxa"/>
                  <w:vMerge w:val="restart"/>
                  <w:vAlign w:val="center"/>
                </w:tcPr>
                <w:p>
                  <w:pPr>
                    <w:adjustRightInd w:val="0"/>
                    <w:snapToGrid w:val="0"/>
                    <w:jc w:val="center"/>
                    <w:rPr>
                      <w:bCs/>
                      <w:color w:val="auto"/>
                      <w:szCs w:val="21"/>
                      <w:highlight w:val="none"/>
                    </w:rPr>
                  </w:pPr>
                  <w:r>
                    <w:rPr>
                      <w:bCs/>
                      <w:color w:val="auto"/>
                      <w:szCs w:val="21"/>
                      <w:highlight w:val="none"/>
                    </w:rPr>
                    <w:t>线路</w:t>
                  </w:r>
                </w:p>
                <w:p>
                  <w:pPr>
                    <w:adjustRightInd w:val="0"/>
                    <w:snapToGrid w:val="0"/>
                    <w:jc w:val="center"/>
                    <w:rPr>
                      <w:bCs/>
                      <w:color w:val="auto"/>
                      <w:szCs w:val="21"/>
                      <w:highlight w:val="none"/>
                    </w:rPr>
                  </w:pPr>
                  <w:r>
                    <w:rPr>
                      <w:bCs/>
                      <w:color w:val="auto"/>
                      <w:szCs w:val="21"/>
                      <w:highlight w:val="none"/>
                    </w:rPr>
                    <w:t>形式</w:t>
                  </w:r>
                </w:p>
              </w:tc>
              <w:tc>
                <w:tcPr>
                  <w:tcW w:w="655" w:type="dxa"/>
                  <w:vMerge w:val="restart"/>
                  <w:vAlign w:val="center"/>
                </w:tcPr>
                <w:p>
                  <w:pPr>
                    <w:adjustRightInd w:val="0"/>
                    <w:snapToGrid w:val="0"/>
                    <w:jc w:val="center"/>
                    <w:rPr>
                      <w:bCs/>
                      <w:color w:val="auto"/>
                      <w:szCs w:val="21"/>
                      <w:highlight w:val="none"/>
                    </w:rPr>
                  </w:pPr>
                  <w:r>
                    <w:rPr>
                      <w:bCs/>
                      <w:color w:val="auto"/>
                      <w:szCs w:val="21"/>
                      <w:highlight w:val="none"/>
                    </w:rPr>
                    <w:t>方位</w:t>
                  </w:r>
                </w:p>
              </w:tc>
              <w:tc>
                <w:tcPr>
                  <w:tcW w:w="1894" w:type="dxa"/>
                  <w:vMerge w:val="restart"/>
                  <w:vAlign w:val="center"/>
                </w:tcPr>
                <w:p>
                  <w:pPr>
                    <w:adjustRightInd w:val="0"/>
                    <w:snapToGrid w:val="0"/>
                    <w:jc w:val="center"/>
                    <w:rPr>
                      <w:color w:val="auto"/>
                      <w:szCs w:val="21"/>
                      <w:highlight w:val="none"/>
                    </w:rPr>
                  </w:pPr>
                  <w:r>
                    <w:rPr>
                      <w:color w:val="auto"/>
                      <w:szCs w:val="21"/>
                      <w:highlight w:val="none"/>
                    </w:rPr>
                    <w:t>声环境保护目标预测点与路面高差/m</w:t>
                  </w:r>
                </w:p>
                <w:p>
                  <w:pPr>
                    <w:adjustRightInd w:val="0"/>
                    <w:snapToGrid w:val="0"/>
                    <w:jc w:val="center"/>
                    <w:rPr>
                      <w:rFonts w:hint="eastAsia"/>
                      <w:color w:val="auto"/>
                      <w:szCs w:val="21"/>
                      <w:highlight w:val="none"/>
                    </w:rPr>
                  </w:pPr>
                  <w:r>
                    <w:rPr>
                      <w:rFonts w:hint="eastAsia"/>
                      <w:color w:val="auto"/>
                      <w:szCs w:val="21"/>
                      <w:highlight w:val="none"/>
                    </w:rPr>
                    <w:t>（与辅路路面高差计）</w:t>
                  </w:r>
                </w:p>
              </w:tc>
              <w:tc>
                <w:tcPr>
                  <w:tcW w:w="881" w:type="dxa"/>
                  <w:vMerge w:val="restart"/>
                  <w:vAlign w:val="center"/>
                </w:tcPr>
                <w:p>
                  <w:pPr>
                    <w:adjustRightInd w:val="0"/>
                    <w:snapToGrid w:val="0"/>
                    <w:jc w:val="center"/>
                    <w:rPr>
                      <w:color w:val="auto"/>
                      <w:szCs w:val="21"/>
                      <w:highlight w:val="none"/>
                    </w:rPr>
                  </w:pPr>
                  <w:r>
                    <w:rPr>
                      <w:color w:val="auto"/>
                      <w:szCs w:val="21"/>
                      <w:highlight w:val="none"/>
                    </w:rPr>
                    <w:t>距道路边界(红线)距离/m</w:t>
                  </w:r>
                </w:p>
              </w:tc>
              <w:tc>
                <w:tcPr>
                  <w:tcW w:w="833" w:type="dxa"/>
                  <w:vMerge w:val="restart"/>
                  <w:vAlign w:val="center"/>
                </w:tcPr>
                <w:p>
                  <w:pPr>
                    <w:adjustRightInd w:val="0"/>
                    <w:snapToGrid w:val="0"/>
                    <w:jc w:val="center"/>
                    <w:rPr>
                      <w:bCs/>
                      <w:color w:val="auto"/>
                      <w:szCs w:val="21"/>
                      <w:highlight w:val="none"/>
                    </w:rPr>
                  </w:pPr>
                  <w:r>
                    <w:rPr>
                      <w:color w:val="auto"/>
                      <w:szCs w:val="21"/>
                      <w:highlight w:val="none"/>
                    </w:rPr>
                    <w:t>距离道路中心线距离/m</w:t>
                  </w:r>
                </w:p>
              </w:tc>
              <w:tc>
                <w:tcPr>
                  <w:tcW w:w="1428" w:type="dxa"/>
                  <w:gridSpan w:val="2"/>
                  <w:vAlign w:val="center"/>
                </w:tcPr>
                <w:p>
                  <w:pPr>
                    <w:adjustRightInd w:val="0"/>
                    <w:snapToGrid w:val="0"/>
                    <w:jc w:val="center"/>
                    <w:rPr>
                      <w:bCs/>
                      <w:color w:val="auto"/>
                      <w:szCs w:val="21"/>
                      <w:highlight w:val="none"/>
                    </w:rPr>
                  </w:pPr>
                  <w:r>
                    <w:rPr>
                      <w:bCs/>
                      <w:color w:val="auto"/>
                      <w:szCs w:val="21"/>
                      <w:highlight w:val="none"/>
                    </w:rPr>
                    <w:t>不同功能区户数</w:t>
                  </w:r>
                </w:p>
              </w:tc>
              <w:tc>
                <w:tcPr>
                  <w:tcW w:w="2072" w:type="dxa"/>
                  <w:vMerge w:val="restart"/>
                  <w:tcMar>
                    <w:left w:w="28" w:type="dxa"/>
                    <w:right w:w="28" w:type="dxa"/>
                  </w:tcMar>
                  <w:vAlign w:val="center"/>
                </w:tcPr>
                <w:p>
                  <w:pPr>
                    <w:adjustRightInd w:val="0"/>
                    <w:snapToGrid w:val="0"/>
                    <w:jc w:val="center"/>
                    <w:rPr>
                      <w:bCs/>
                      <w:color w:val="auto"/>
                      <w:szCs w:val="21"/>
                      <w:highlight w:val="none"/>
                    </w:rPr>
                  </w:pPr>
                  <w:r>
                    <w:rPr>
                      <w:bCs/>
                      <w:color w:val="auto"/>
                      <w:szCs w:val="21"/>
                      <w:highlight w:val="none"/>
                    </w:rPr>
                    <w:t>环境保护目标情况说明</w:t>
                  </w:r>
                </w:p>
              </w:tc>
              <w:tc>
                <w:tcPr>
                  <w:tcW w:w="5858" w:type="dxa"/>
                  <w:gridSpan w:val="2"/>
                  <w:vMerge w:val="restart"/>
                  <w:tcMar>
                    <w:left w:w="28" w:type="dxa"/>
                    <w:right w:w="28" w:type="dxa"/>
                  </w:tcMar>
                  <w:vAlign w:val="center"/>
                </w:tcPr>
                <w:p>
                  <w:pPr>
                    <w:adjustRightInd w:val="0"/>
                    <w:snapToGrid w:val="0"/>
                    <w:jc w:val="center"/>
                    <w:rPr>
                      <w:bCs/>
                      <w:color w:val="auto"/>
                      <w:szCs w:val="21"/>
                      <w:highlight w:val="none"/>
                    </w:rPr>
                  </w:pPr>
                  <w:r>
                    <w:rPr>
                      <w:rFonts w:hint="eastAsia"/>
                      <w:color w:val="auto"/>
                      <w:szCs w:val="21"/>
                      <w:highlight w:val="none"/>
                    </w:rPr>
                    <w:t>与本项目的空间位置关系及现状照片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21" w:hRule="atLeast"/>
                <w:tblHeader/>
                <w:jc w:val="center"/>
              </w:trPr>
              <w:tc>
                <w:tcPr>
                  <w:tcW w:w="505" w:type="dxa"/>
                  <w:vMerge w:val="continue"/>
                  <w:vAlign w:val="center"/>
                </w:tcPr>
                <w:p>
                  <w:pPr>
                    <w:adjustRightInd w:val="0"/>
                    <w:snapToGrid w:val="0"/>
                    <w:jc w:val="center"/>
                    <w:rPr>
                      <w:color w:val="auto"/>
                      <w:szCs w:val="21"/>
                      <w:highlight w:val="none"/>
                    </w:rPr>
                  </w:pPr>
                </w:p>
              </w:tc>
              <w:tc>
                <w:tcPr>
                  <w:tcW w:w="1365" w:type="dxa"/>
                  <w:gridSpan w:val="2"/>
                  <w:vMerge w:val="continue"/>
                  <w:vAlign w:val="center"/>
                </w:tcPr>
                <w:p>
                  <w:pPr>
                    <w:adjustRightInd w:val="0"/>
                    <w:snapToGrid w:val="0"/>
                    <w:jc w:val="center"/>
                    <w:rPr>
                      <w:color w:val="auto"/>
                      <w:szCs w:val="21"/>
                      <w:highlight w:val="none"/>
                    </w:rPr>
                  </w:pPr>
                </w:p>
              </w:tc>
              <w:tc>
                <w:tcPr>
                  <w:tcW w:w="1481" w:type="dxa"/>
                  <w:vMerge w:val="continue"/>
                  <w:vAlign w:val="center"/>
                </w:tcPr>
                <w:p>
                  <w:pPr>
                    <w:adjustRightInd w:val="0"/>
                    <w:snapToGrid w:val="0"/>
                    <w:jc w:val="center"/>
                    <w:rPr>
                      <w:color w:val="auto"/>
                      <w:szCs w:val="21"/>
                      <w:highlight w:val="none"/>
                    </w:rPr>
                  </w:pPr>
                </w:p>
              </w:tc>
              <w:tc>
                <w:tcPr>
                  <w:tcW w:w="1706" w:type="dxa"/>
                  <w:vMerge w:val="continue"/>
                  <w:vAlign w:val="center"/>
                </w:tcPr>
                <w:p>
                  <w:pPr>
                    <w:adjustRightInd w:val="0"/>
                    <w:snapToGrid w:val="0"/>
                    <w:jc w:val="center"/>
                    <w:rPr>
                      <w:color w:val="auto"/>
                      <w:szCs w:val="21"/>
                      <w:highlight w:val="none"/>
                    </w:rPr>
                  </w:pPr>
                </w:p>
              </w:tc>
              <w:tc>
                <w:tcPr>
                  <w:tcW w:w="901" w:type="dxa"/>
                  <w:vMerge w:val="continue"/>
                  <w:vAlign w:val="center"/>
                </w:tcPr>
                <w:p>
                  <w:pPr>
                    <w:adjustRightInd w:val="0"/>
                    <w:snapToGrid w:val="0"/>
                    <w:jc w:val="center"/>
                    <w:rPr>
                      <w:color w:val="auto"/>
                      <w:szCs w:val="21"/>
                      <w:highlight w:val="none"/>
                    </w:rPr>
                  </w:pPr>
                </w:p>
              </w:tc>
              <w:tc>
                <w:tcPr>
                  <w:tcW w:w="655" w:type="dxa"/>
                  <w:vMerge w:val="continue"/>
                  <w:vAlign w:val="center"/>
                </w:tcPr>
                <w:p>
                  <w:pPr>
                    <w:adjustRightInd w:val="0"/>
                    <w:snapToGrid w:val="0"/>
                    <w:jc w:val="center"/>
                    <w:rPr>
                      <w:color w:val="auto"/>
                      <w:szCs w:val="21"/>
                      <w:highlight w:val="none"/>
                    </w:rPr>
                  </w:pPr>
                </w:p>
              </w:tc>
              <w:tc>
                <w:tcPr>
                  <w:tcW w:w="1894" w:type="dxa"/>
                  <w:vMerge w:val="continue"/>
                  <w:vAlign w:val="center"/>
                </w:tcPr>
                <w:p>
                  <w:pPr>
                    <w:adjustRightInd w:val="0"/>
                    <w:snapToGrid w:val="0"/>
                    <w:jc w:val="center"/>
                    <w:rPr>
                      <w:color w:val="auto"/>
                      <w:szCs w:val="21"/>
                      <w:highlight w:val="none"/>
                    </w:rPr>
                  </w:pPr>
                </w:p>
              </w:tc>
              <w:tc>
                <w:tcPr>
                  <w:tcW w:w="881" w:type="dxa"/>
                  <w:vMerge w:val="continue"/>
                  <w:vAlign w:val="center"/>
                </w:tcPr>
                <w:p>
                  <w:pPr>
                    <w:adjustRightInd w:val="0"/>
                    <w:snapToGrid w:val="0"/>
                    <w:jc w:val="center"/>
                    <w:rPr>
                      <w:color w:val="auto"/>
                      <w:szCs w:val="21"/>
                      <w:highlight w:val="none"/>
                    </w:rPr>
                  </w:pPr>
                </w:p>
              </w:tc>
              <w:tc>
                <w:tcPr>
                  <w:tcW w:w="833" w:type="dxa"/>
                  <w:vMerge w:val="continue"/>
                  <w:vAlign w:val="center"/>
                </w:tcPr>
                <w:p>
                  <w:pPr>
                    <w:adjustRightInd w:val="0"/>
                    <w:snapToGrid w:val="0"/>
                    <w:jc w:val="center"/>
                    <w:rPr>
                      <w:color w:val="auto"/>
                      <w:szCs w:val="21"/>
                      <w:highlight w:val="none"/>
                    </w:rPr>
                  </w:pPr>
                </w:p>
              </w:tc>
              <w:tc>
                <w:tcPr>
                  <w:tcW w:w="691" w:type="dxa"/>
                  <w:vAlign w:val="center"/>
                </w:tcPr>
                <w:p>
                  <w:pPr>
                    <w:adjustRightInd w:val="0"/>
                    <w:snapToGrid w:val="0"/>
                    <w:jc w:val="center"/>
                    <w:rPr>
                      <w:bCs/>
                      <w:color w:val="auto"/>
                      <w:szCs w:val="21"/>
                      <w:highlight w:val="none"/>
                    </w:rPr>
                  </w:pPr>
                  <w:r>
                    <w:rPr>
                      <w:bCs/>
                      <w:color w:val="auto"/>
                      <w:szCs w:val="21"/>
                      <w:highlight w:val="none"/>
                    </w:rPr>
                    <w:t>4a类</w:t>
                  </w:r>
                </w:p>
              </w:tc>
              <w:tc>
                <w:tcPr>
                  <w:tcW w:w="737" w:type="dxa"/>
                  <w:vAlign w:val="center"/>
                </w:tcPr>
                <w:p>
                  <w:pPr>
                    <w:adjustRightInd w:val="0"/>
                    <w:snapToGrid w:val="0"/>
                    <w:jc w:val="center"/>
                    <w:rPr>
                      <w:bCs/>
                      <w:color w:val="auto"/>
                      <w:szCs w:val="21"/>
                      <w:highlight w:val="none"/>
                    </w:rPr>
                  </w:pPr>
                  <w:r>
                    <w:rPr>
                      <w:bCs/>
                      <w:color w:val="auto"/>
                      <w:szCs w:val="21"/>
                      <w:highlight w:val="none"/>
                    </w:rPr>
                    <w:t>2类</w:t>
                  </w:r>
                </w:p>
              </w:tc>
              <w:tc>
                <w:tcPr>
                  <w:tcW w:w="2072" w:type="dxa"/>
                  <w:vMerge w:val="continue"/>
                  <w:tcMar>
                    <w:left w:w="28" w:type="dxa"/>
                    <w:right w:w="28" w:type="dxa"/>
                  </w:tcMar>
                  <w:vAlign w:val="center"/>
                </w:tcPr>
                <w:p>
                  <w:pPr>
                    <w:adjustRightInd w:val="0"/>
                    <w:snapToGrid w:val="0"/>
                    <w:jc w:val="center"/>
                    <w:rPr>
                      <w:bCs/>
                      <w:color w:val="auto"/>
                      <w:szCs w:val="21"/>
                      <w:highlight w:val="none"/>
                    </w:rPr>
                  </w:pPr>
                </w:p>
              </w:tc>
              <w:tc>
                <w:tcPr>
                  <w:tcW w:w="5858" w:type="dxa"/>
                  <w:gridSpan w:val="2"/>
                  <w:vMerge w:val="continue"/>
                  <w:tcMar>
                    <w:left w:w="28" w:type="dxa"/>
                    <w:right w:w="28" w:type="dxa"/>
                  </w:tcMar>
                  <w:vAlign w:val="center"/>
                </w:tcPr>
                <w:p>
                  <w:pPr>
                    <w:adjustRightInd w:val="0"/>
                    <w:snapToGrid w:val="0"/>
                    <w:jc w:val="center"/>
                    <w:rPr>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7" w:hRule="atLeast"/>
                <w:jc w:val="center"/>
              </w:trPr>
              <w:tc>
                <w:tcPr>
                  <w:tcW w:w="19579" w:type="dxa"/>
                  <w:gridSpan w:val="15"/>
                  <w:vAlign w:val="center"/>
                </w:tcPr>
                <w:p>
                  <w:pPr>
                    <w:adjustRightInd w:val="0"/>
                    <w:snapToGrid w:val="0"/>
                    <w:spacing w:before="120" w:beforeLines="50" w:after="120" w:afterLines="50"/>
                    <w:jc w:val="center"/>
                    <w:rPr>
                      <w:color w:val="auto"/>
                      <w:highlight w:val="none"/>
                    </w:rPr>
                  </w:pPr>
                  <w:r>
                    <w:rPr>
                      <w:rFonts w:hint="eastAsia"/>
                      <w:color w:val="auto"/>
                      <w:highlight w:val="none"/>
                    </w:rPr>
                    <w:t>环境空气、声环境保护目标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7" w:hRule="atLeast"/>
                <w:jc w:val="center"/>
              </w:trPr>
              <w:tc>
                <w:tcPr>
                  <w:tcW w:w="505" w:type="dxa"/>
                  <w:vAlign w:val="center"/>
                </w:tcPr>
                <w:p>
                  <w:pPr>
                    <w:adjustRightInd w:val="0"/>
                    <w:snapToGrid w:val="0"/>
                    <w:jc w:val="center"/>
                    <w:rPr>
                      <w:b/>
                      <w:color w:val="auto"/>
                      <w:szCs w:val="21"/>
                      <w:highlight w:val="none"/>
                    </w:rPr>
                  </w:pPr>
                  <w:r>
                    <w:rPr>
                      <w:b/>
                      <w:color w:val="auto"/>
                      <w:szCs w:val="21"/>
                      <w:highlight w:val="none"/>
                    </w:rPr>
                    <w:t>1</w:t>
                  </w:r>
                </w:p>
              </w:tc>
              <w:tc>
                <w:tcPr>
                  <w:tcW w:w="1365" w:type="dxa"/>
                  <w:gridSpan w:val="2"/>
                  <w:vAlign w:val="center"/>
                </w:tcPr>
                <w:p>
                  <w:pPr>
                    <w:adjustRightInd w:val="0"/>
                    <w:snapToGrid w:val="0"/>
                    <w:jc w:val="center"/>
                    <w:rPr>
                      <w:rFonts w:hint="eastAsia"/>
                      <w:color w:val="auto"/>
                      <w:szCs w:val="21"/>
                      <w:highlight w:val="none"/>
                    </w:rPr>
                  </w:pPr>
                  <w:r>
                    <w:rPr>
                      <w:rFonts w:hint="eastAsia"/>
                      <w:color w:val="auto"/>
                      <w:szCs w:val="21"/>
                      <w:highlight w:val="none"/>
                    </w:rPr>
                    <w:t>荣侨新村</w:t>
                  </w:r>
                </w:p>
              </w:tc>
              <w:tc>
                <w:tcPr>
                  <w:tcW w:w="1481" w:type="dxa"/>
                  <w:vAlign w:val="center"/>
                </w:tcPr>
                <w:p>
                  <w:pPr>
                    <w:pStyle w:val="69"/>
                    <w:adjustRightInd w:val="0"/>
                    <w:snapToGrid w:val="0"/>
                    <w:rPr>
                      <w:rFonts w:hint="eastAsia"/>
                      <w:color w:val="auto"/>
                      <w:highlight w:val="none"/>
                    </w:rPr>
                  </w:pPr>
                  <w:r>
                    <w:rPr>
                      <w:rFonts w:hint="eastAsia"/>
                      <w:color w:val="auto"/>
                      <w:highlight w:val="none"/>
                    </w:rPr>
                    <w:t>北梦山路天桥段</w:t>
                  </w:r>
                </w:p>
              </w:tc>
              <w:tc>
                <w:tcPr>
                  <w:tcW w:w="1706" w:type="dxa"/>
                  <w:vAlign w:val="center"/>
                </w:tcPr>
                <w:p>
                  <w:pPr>
                    <w:adjustRightInd w:val="0"/>
                    <w:snapToGrid w:val="0"/>
                    <w:jc w:val="center"/>
                    <w:rPr>
                      <w:color w:val="auto"/>
                      <w:szCs w:val="21"/>
                      <w:highlight w:val="none"/>
                    </w:rPr>
                  </w:pPr>
                  <w:r>
                    <w:rPr>
                      <w:rFonts w:hint="eastAsia"/>
                      <w:color w:val="auto"/>
                      <w:szCs w:val="21"/>
                      <w:highlight w:val="none"/>
                    </w:rPr>
                    <w:t>红线范围外</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平地</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SW</w:t>
                  </w:r>
                </w:p>
              </w:tc>
              <w:tc>
                <w:tcPr>
                  <w:tcW w:w="1894" w:type="dxa"/>
                  <w:vAlign w:val="center"/>
                </w:tcPr>
                <w:p>
                  <w:pPr>
                    <w:adjustRightInd w:val="0"/>
                    <w:snapToGrid w:val="0"/>
                    <w:jc w:val="center"/>
                    <w:rPr>
                      <w:bCs/>
                      <w:color w:val="auto"/>
                      <w:szCs w:val="21"/>
                      <w:highlight w:val="none"/>
                    </w:rPr>
                  </w:pPr>
                  <w:r>
                    <w:rPr>
                      <w:rFonts w:hint="eastAsia"/>
                      <w:bCs/>
                      <w:color w:val="auto"/>
                      <w:szCs w:val="21"/>
                      <w:highlight w:val="none"/>
                    </w:rPr>
                    <w:t>0</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172</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172</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77</w:t>
                  </w:r>
                </w:p>
              </w:tc>
              <w:tc>
                <w:tcPr>
                  <w:tcW w:w="737" w:type="dxa"/>
                  <w:vAlign w:val="center"/>
                </w:tcPr>
                <w:p>
                  <w:pPr>
                    <w:adjustRightInd w:val="0"/>
                    <w:snapToGrid w:val="0"/>
                    <w:jc w:val="center"/>
                    <w:rPr>
                      <w:color w:val="auto"/>
                      <w:szCs w:val="21"/>
                      <w:highlight w:val="none"/>
                    </w:rPr>
                  </w:pPr>
                  <w:r>
                    <w:rPr>
                      <w:color w:val="auto"/>
                      <w:szCs w:val="21"/>
                      <w:highlight w:val="none"/>
                    </w:rPr>
                    <w:t>0</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w:t>
                  </w:r>
                  <w:r>
                    <w:rPr>
                      <w:color w:val="auto"/>
                      <w:szCs w:val="21"/>
                      <w:highlight w:val="none"/>
                    </w:rPr>
                    <w:t>砖混结构，</w:t>
                  </w:r>
                  <w:r>
                    <w:rPr>
                      <w:rFonts w:hint="eastAsia"/>
                      <w:color w:val="auto"/>
                      <w:szCs w:val="21"/>
                      <w:highlight w:val="none"/>
                    </w:rPr>
                    <w:t>6~13</w:t>
                  </w:r>
                  <w:r>
                    <w:rPr>
                      <w:color w:val="auto"/>
                      <w:szCs w:val="21"/>
                      <w:highlight w:val="none"/>
                    </w:rPr>
                    <w:t>层；房屋多侧向道路。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rFonts w:hint="eastAsia"/>
                      <w:b/>
                      <w:color w:val="auto"/>
                      <w:szCs w:val="21"/>
                      <w:highlight w:val="none"/>
                    </w:rPr>
                  </w:pPr>
                  <w:r>
                    <w:rPr>
                      <w:rFonts w:hint="eastAsia"/>
                      <w:b/>
                      <w:color w:val="auto"/>
                      <w:szCs w:val="21"/>
                      <w:highlight w:val="none"/>
                    </w:rPr>
                    <w:t>2</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光华楼</w:t>
                  </w:r>
                </w:p>
              </w:tc>
              <w:tc>
                <w:tcPr>
                  <w:tcW w:w="1481" w:type="dxa"/>
                  <w:vAlign w:val="center"/>
                </w:tcPr>
                <w:p>
                  <w:pPr>
                    <w:pStyle w:val="69"/>
                    <w:adjustRightInd w:val="0"/>
                    <w:snapToGrid w:val="0"/>
                    <w:rPr>
                      <w:color w:val="auto"/>
                      <w:highlight w:val="none"/>
                    </w:rPr>
                  </w:pPr>
                  <w:r>
                    <w:rPr>
                      <w:rFonts w:hint="eastAsia"/>
                      <w:color w:val="auto"/>
                      <w:highlight w:val="none"/>
                    </w:rPr>
                    <w:t>北梦山路天桥段</w:t>
                  </w:r>
                </w:p>
              </w:tc>
              <w:tc>
                <w:tcPr>
                  <w:tcW w:w="1706" w:type="dxa"/>
                  <w:vAlign w:val="center"/>
                </w:tcPr>
                <w:p>
                  <w:pPr>
                    <w:adjustRightInd w:val="0"/>
                    <w:snapToGrid w:val="0"/>
                    <w:jc w:val="center"/>
                    <w:rPr>
                      <w:color w:val="auto"/>
                      <w:highlight w:val="none"/>
                    </w:rPr>
                  </w:pPr>
                  <w:r>
                    <w:rPr>
                      <w:rFonts w:hint="eastAsia"/>
                      <w:color w:val="auto"/>
                      <w:szCs w:val="21"/>
                      <w:highlight w:val="none"/>
                    </w:rPr>
                    <w:t>红线范围外</w:t>
                  </w:r>
                </w:p>
              </w:tc>
              <w:tc>
                <w:tcPr>
                  <w:tcW w:w="901" w:type="dxa"/>
                  <w:vAlign w:val="center"/>
                </w:tcPr>
                <w:p>
                  <w:pPr>
                    <w:adjustRightInd w:val="0"/>
                    <w:snapToGrid w:val="0"/>
                    <w:jc w:val="center"/>
                    <w:rPr>
                      <w:color w:val="auto"/>
                      <w:szCs w:val="21"/>
                      <w:highlight w:val="none"/>
                    </w:rPr>
                  </w:pPr>
                  <w:r>
                    <w:rPr>
                      <w:rFonts w:hint="eastAsia"/>
                      <w:color w:val="auto"/>
                      <w:szCs w:val="21"/>
                      <w:highlight w:val="none"/>
                    </w:rPr>
                    <w:t>平地</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SW</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0</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86</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87</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30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42</w:t>
                  </w:r>
                </w:p>
              </w:tc>
              <w:tc>
                <w:tcPr>
                  <w:tcW w:w="2072" w:type="dxa"/>
                  <w:tcMar>
                    <w:left w:w="28" w:type="dxa"/>
                    <w:right w:w="28" w:type="dxa"/>
                  </w:tcMar>
                  <w:vAlign w:val="center"/>
                </w:tcPr>
                <w:p>
                  <w:pPr>
                    <w:adjustRightInd w:val="0"/>
                    <w:snapToGrid w:val="0"/>
                    <w:jc w:val="center"/>
                    <w:rPr>
                      <w:rFonts w:hint="eastAsia"/>
                      <w:color w:val="auto"/>
                      <w:szCs w:val="21"/>
                      <w:highlight w:val="none"/>
                    </w:rPr>
                  </w:pPr>
                  <w:r>
                    <w:rPr>
                      <w:rFonts w:hint="eastAsia"/>
                      <w:color w:val="auto"/>
                      <w:szCs w:val="21"/>
                      <w:highlight w:val="none"/>
                    </w:rPr>
                    <w:t>住宅小区，</w:t>
                  </w:r>
                  <w:r>
                    <w:rPr>
                      <w:color w:val="auto"/>
                      <w:szCs w:val="21"/>
                      <w:highlight w:val="none"/>
                    </w:rPr>
                    <w:t>砖混结构，</w:t>
                  </w:r>
                  <w:r>
                    <w:rPr>
                      <w:rFonts w:hint="eastAsia"/>
                      <w:color w:val="auto"/>
                      <w:szCs w:val="21"/>
                      <w:highlight w:val="none"/>
                    </w:rPr>
                    <w:t>6</w:t>
                  </w:r>
                  <w:r>
                    <w:rPr>
                      <w:color w:val="auto"/>
                      <w:szCs w:val="21"/>
                      <w:highlight w:val="none"/>
                    </w:rPr>
                    <w:t>层；房屋多侧向道路。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rFonts w:hint="eastAsia"/>
                      <w:b/>
                      <w:color w:val="auto"/>
                      <w:szCs w:val="21"/>
                      <w:highlight w:val="none"/>
                    </w:rPr>
                  </w:pPr>
                  <w:r>
                    <w:rPr>
                      <w:rFonts w:hint="eastAsia"/>
                      <w:b/>
                      <w:color w:val="auto"/>
                      <w:szCs w:val="21"/>
                      <w:highlight w:val="none"/>
                    </w:rPr>
                    <w:t>3</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西凤社区</w:t>
                  </w:r>
                </w:p>
              </w:tc>
              <w:tc>
                <w:tcPr>
                  <w:tcW w:w="1481" w:type="dxa"/>
                  <w:vAlign w:val="center"/>
                </w:tcPr>
                <w:p>
                  <w:pPr>
                    <w:pStyle w:val="69"/>
                    <w:adjustRightInd w:val="0"/>
                    <w:snapToGrid w:val="0"/>
                    <w:rPr>
                      <w:color w:val="auto"/>
                      <w:highlight w:val="none"/>
                    </w:rPr>
                  </w:pPr>
                  <w:r>
                    <w:rPr>
                      <w:rFonts w:hint="eastAsia"/>
                      <w:color w:val="auto"/>
                      <w:highlight w:val="none"/>
                    </w:rPr>
                    <w:t>北梦山路天桥段</w:t>
                  </w:r>
                </w:p>
              </w:tc>
              <w:tc>
                <w:tcPr>
                  <w:tcW w:w="1706" w:type="dxa"/>
                  <w:vAlign w:val="center"/>
                </w:tcPr>
                <w:p>
                  <w:pPr>
                    <w:adjustRightInd w:val="0"/>
                    <w:snapToGrid w:val="0"/>
                    <w:jc w:val="center"/>
                    <w:rPr>
                      <w:color w:val="auto"/>
                      <w:highlight w:val="none"/>
                    </w:rPr>
                  </w:pPr>
                  <w:r>
                    <w:rPr>
                      <w:rFonts w:hint="eastAsia"/>
                      <w:color w:val="auto"/>
                      <w:szCs w:val="21"/>
                      <w:highlight w:val="none"/>
                    </w:rPr>
                    <w:t>红线范围外</w:t>
                  </w:r>
                </w:p>
              </w:tc>
              <w:tc>
                <w:tcPr>
                  <w:tcW w:w="901" w:type="dxa"/>
                  <w:vAlign w:val="center"/>
                </w:tcPr>
                <w:p>
                  <w:pPr>
                    <w:adjustRightInd w:val="0"/>
                    <w:snapToGrid w:val="0"/>
                    <w:jc w:val="center"/>
                    <w:rPr>
                      <w:color w:val="auto"/>
                      <w:szCs w:val="21"/>
                      <w:highlight w:val="none"/>
                    </w:rPr>
                  </w:pPr>
                  <w:r>
                    <w:rPr>
                      <w:rFonts w:hint="eastAsia"/>
                      <w:color w:val="auto"/>
                      <w:szCs w:val="21"/>
                      <w:highlight w:val="none"/>
                    </w:rPr>
                    <w:t>平地</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SW</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0</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22</w:t>
                  </w:r>
                </w:p>
              </w:tc>
              <w:tc>
                <w:tcPr>
                  <w:tcW w:w="833"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61</w:t>
                  </w:r>
                </w:p>
              </w:tc>
              <w:tc>
                <w:tcPr>
                  <w:tcW w:w="691"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737"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rPr>
                    <w:t>2</w:t>
                  </w:r>
                  <w:r>
                    <w:rPr>
                      <w:rFonts w:hint="eastAsia"/>
                      <w:color w:val="auto"/>
                      <w:szCs w:val="21"/>
                      <w:highlight w:val="none"/>
                      <w:lang w:val="en-US" w:eastAsia="zh-CN"/>
                    </w:rPr>
                    <w:t>30</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w:t>
                  </w:r>
                  <w:r>
                    <w:rPr>
                      <w:color w:val="auto"/>
                      <w:szCs w:val="21"/>
                      <w:highlight w:val="none"/>
                    </w:rPr>
                    <w:t>砖混结构，</w:t>
                  </w:r>
                  <w:r>
                    <w:rPr>
                      <w:rFonts w:hint="eastAsia"/>
                      <w:color w:val="auto"/>
                      <w:szCs w:val="21"/>
                      <w:highlight w:val="none"/>
                    </w:rPr>
                    <w:t>2~8</w:t>
                  </w:r>
                  <w:r>
                    <w:rPr>
                      <w:color w:val="auto"/>
                      <w:szCs w:val="21"/>
                      <w:highlight w:val="none"/>
                    </w:rPr>
                    <w:t>层；</w:t>
                  </w:r>
                  <w:r>
                    <w:rPr>
                      <w:rFonts w:hint="eastAsia"/>
                      <w:color w:val="auto"/>
                      <w:szCs w:val="21"/>
                      <w:highlight w:val="none"/>
                    </w:rPr>
                    <w:t>仅1栋楼面向道路一侧</w:t>
                  </w:r>
                  <w:r>
                    <w:rPr>
                      <w:color w:val="auto"/>
                      <w:szCs w:val="21"/>
                      <w:highlight w:val="none"/>
                    </w:rPr>
                    <w:t>。</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rFonts w:hint="eastAsia"/>
                      <w:b/>
                      <w:color w:val="auto"/>
                      <w:szCs w:val="21"/>
                      <w:highlight w:val="none"/>
                    </w:rPr>
                  </w:pPr>
                  <w:r>
                    <w:rPr>
                      <w:rFonts w:hint="eastAsia"/>
                      <w:b/>
                      <w:color w:val="auto"/>
                      <w:szCs w:val="21"/>
                      <w:highlight w:val="none"/>
                    </w:rPr>
                    <w:t>4</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光荣新村</w:t>
                  </w:r>
                </w:p>
              </w:tc>
              <w:tc>
                <w:tcPr>
                  <w:tcW w:w="1481" w:type="dxa"/>
                  <w:vAlign w:val="center"/>
                </w:tcPr>
                <w:p>
                  <w:pPr>
                    <w:pStyle w:val="69"/>
                    <w:adjustRightInd w:val="0"/>
                    <w:snapToGrid w:val="0"/>
                    <w:rPr>
                      <w:color w:val="auto"/>
                      <w:highlight w:val="none"/>
                    </w:rPr>
                  </w:pPr>
                  <w:r>
                    <w:rPr>
                      <w:rFonts w:hint="eastAsia"/>
                      <w:color w:val="auto"/>
                      <w:highlight w:val="none"/>
                    </w:rPr>
                    <w:t>北梦山路天桥段</w:t>
                  </w:r>
                </w:p>
              </w:tc>
              <w:tc>
                <w:tcPr>
                  <w:tcW w:w="1706" w:type="dxa"/>
                  <w:vAlign w:val="center"/>
                </w:tcPr>
                <w:p>
                  <w:pPr>
                    <w:adjustRightInd w:val="0"/>
                    <w:snapToGrid w:val="0"/>
                    <w:jc w:val="center"/>
                    <w:rPr>
                      <w:color w:val="auto"/>
                      <w:highlight w:val="none"/>
                    </w:rPr>
                  </w:pPr>
                  <w:r>
                    <w:rPr>
                      <w:rFonts w:hint="eastAsia"/>
                      <w:color w:val="auto"/>
                      <w:szCs w:val="21"/>
                      <w:highlight w:val="none"/>
                    </w:rPr>
                    <w:t>红线范围外</w:t>
                  </w:r>
                </w:p>
              </w:tc>
              <w:tc>
                <w:tcPr>
                  <w:tcW w:w="901" w:type="dxa"/>
                  <w:vAlign w:val="center"/>
                </w:tcPr>
                <w:p>
                  <w:pPr>
                    <w:adjustRightInd w:val="0"/>
                    <w:snapToGrid w:val="0"/>
                    <w:jc w:val="center"/>
                    <w:rPr>
                      <w:color w:val="auto"/>
                      <w:szCs w:val="21"/>
                      <w:highlight w:val="none"/>
                    </w:rPr>
                  </w:pPr>
                  <w:r>
                    <w:rPr>
                      <w:rFonts w:hint="eastAsia"/>
                      <w:color w:val="auto"/>
                      <w:szCs w:val="21"/>
                      <w:highlight w:val="none"/>
                    </w:rPr>
                    <w:t>平地</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SE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0</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147</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157</w:t>
                  </w:r>
                </w:p>
              </w:tc>
              <w:tc>
                <w:tcPr>
                  <w:tcW w:w="691" w:type="dxa"/>
                  <w:vAlign w:val="center"/>
                </w:tcPr>
                <w:p>
                  <w:pPr>
                    <w:adjustRightInd w:val="0"/>
                    <w:snapToGrid w:val="0"/>
                    <w:jc w:val="center"/>
                    <w:rPr>
                      <w:rFonts w:hint="eastAsia"/>
                      <w:color w:val="auto"/>
                      <w:szCs w:val="21"/>
                      <w:highlight w:val="none"/>
                    </w:rPr>
                  </w:pPr>
                  <w:r>
                    <w:rPr>
                      <w:rFonts w:hint="eastAsia"/>
                      <w:color w:val="auto"/>
                      <w:szCs w:val="21"/>
                      <w:highlight w:val="none"/>
                    </w:rPr>
                    <w:t>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222</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w:t>
                  </w:r>
                  <w:r>
                    <w:rPr>
                      <w:color w:val="auto"/>
                      <w:szCs w:val="21"/>
                      <w:highlight w:val="none"/>
                    </w:rPr>
                    <w:t>砖混结构，</w:t>
                  </w:r>
                  <w:r>
                    <w:rPr>
                      <w:rFonts w:hint="eastAsia"/>
                      <w:color w:val="auto"/>
                      <w:szCs w:val="21"/>
                      <w:highlight w:val="none"/>
                    </w:rPr>
                    <w:t>6</w:t>
                  </w:r>
                  <w:r>
                    <w:rPr>
                      <w:color w:val="auto"/>
                      <w:szCs w:val="21"/>
                      <w:highlight w:val="none"/>
                    </w:rPr>
                    <w:t>层；</w:t>
                  </w:r>
                  <w:r>
                    <w:rPr>
                      <w:rFonts w:hint="eastAsia"/>
                      <w:color w:val="auto"/>
                      <w:szCs w:val="21"/>
                      <w:highlight w:val="none"/>
                    </w:rPr>
                    <w:t>不面向道路</w:t>
                  </w:r>
                  <w:r>
                    <w:rPr>
                      <w:color w:val="auto"/>
                      <w:szCs w:val="21"/>
                      <w:highlight w:val="none"/>
                    </w:rPr>
                    <w:t>。</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rFonts w:hint="eastAsia"/>
                      <w:b/>
                      <w:color w:val="auto"/>
                      <w:szCs w:val="21"/>
                      <w:highlight w:val="none"/>
                    </w:rPr>
                  </w:pPr>
                  <w:r>
                    <w:rPr>
                      <w:rFonts w:hint="eastAsia"/>
                      <w:b/>
                      <w:color w:val="auto"/>
                      <w:szCs w:val="21"/>
                      <w:highlight w:val="none"/>
                    </w:rPr>
                    <w:t>5</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梦山新村</w:t>
                  </w:r>
                </w:p>
              </w:tc>
              <w:tc>
                <w:tcPr>
                  <w:tcW w:w="1481" w:type="dxa"/>
                  <w:vAlign w:val="center"/>
                </w:tcPr>
                <w:p>
                  <w:pPr>
                    <w:pStyle w:val="69"/>
                    <w:adjustRightInd w:val="0"/>
                    <w:snapToGrid w:val="0"/>
                    <w:rPr>
                      <w:color w:val="auto"/>
                      <w:highlight w:val="none"/>
                    </w:rPr>
                  </w:pPr>
                  <w:r>
                    <w:rPr>
                      <w:rFonts w:hint="eastAsia"/>
                      <w:color w:val="auto"/>
                      <w:highlight w:val="none"/>
                    </w:rPr>
                    <w:t>北梦山路天桥段</w:t>
                  </w:r>
                </w:p>
              </w:tc>
              <w:tc>
                <w:tcPr>
                  <w:tcW w:w="1706" w:type="dxa"/>
                  <w:vAlign w:val="center"/>
                </w:tcPr>
                <w:p>
                  <w:pPr>
                    <w:adjustRightInd w:val="0"/>
                    <w:snapToGrid w:val="0"/>
                    <w:jc w:val="center"/>
                    <w:rPr>
                      <w:color w:val="auto"/>
                      <w:highlight w:val="none"/>
                    </w:rPr>
                  </w:pPr>
                  <w:r>
                    <w:rPr>
                      <w:rFonts w:hint="eastAsia"/>
                      <w:color w:val="auto"/>
                      <w:szCs w:val="21"/>
                      <w:highlight w:val="none"/>
                    </w:rPr>
                    <w:t>红线范围外</w:t>
                  </w:r>
                </w:p>
              </w:tc>
              <w:tc>
                <w:tcPr>
                  <w:tcW w:w="901" w:type="dxa"/>
                  <w:vAlign w:val="center"/>
                </w:tcPr>
                <w:p>
                  <w:pPr>
                    <w:adjustRightInd w:val="0"/>
                    <w:snapToGrid w:val="0"/>
                    <w:jc w:val="center"/>
                    <w:rPr>
                      <w:color w:val="auto"/>
                      <w:szCs w:val="21"/>
                      <w:highlight w:val="none"/>
                    </w:rPr>
                  </w:pPr>
                  <w:r>
                    <w:rPr>
                      <w:rFonts w:hint="eastAsia"/>
                      <w:color w:val="auto"/>
                      <w:szCs w:val="21"/>
                      <w:highlight w:val="none"/>
                    </w:rPr>
                    <w:t>平地</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SE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0</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132</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148</w:t>
                  </w:r>
                </w:p>
              </w:tc>
              <w:tc>
                <w:tcPr>
                  <w:tcW w:w="691" w:type="dxa"/>
                  <w:vAlign w:val="center"/>
                </w:tcPr>
                <w:p>
                  <w:pPr>
                    <w:adjustRightInd w:val="0"/>
                    <w:snapToGrid w:val="0"/>
                    <w:jc w:val="center"/>
                    <w:rPr>
                      <w:rFonts w:hint="eastAsia"/>
                      <w:color w:val="auto"/>
                      <w:szCs w:val="21"/>
                      <w:highlight w:val="none"/>
                    </w:rPr>
                  </w:pPr>
                  <w:r>
                    <w:rPr>
                      <w:rFonts w:hint="eastAsia"/>
                      <w:color w:val="auto"/>
                      <w:szCs w:val="21"/>
                      <w:highlight w:val="none"/>
                    </w:rPr>
                    <w:t>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320</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w:t>
                  </w:r>
                  <w:r>
                    <w:rPr>
                      <w:color w:val="auto"/>
                      <w:szCs w:val="21"/>
                      <w:highlight w:val="none"/>
                    </w:rPr>
                    <w:t>砖混结构，</w:t>
                  </w:r>
                  <w:r>
                    <w:rPr>
                      <w:rFonts w:hint="eastAsia"/>
                      <w:color w:val="auto"/>
                      <w:szCs w:val="21"/>
                      <w:highlight w:val="none"/>
                    </w:rPr>
                    <w:t>9</w:t>
                  </w:r>
                  <w:r>
                    <w:rPr>
                      <w:color w:val="auto"/>
                      <w:szCs w:val="21"/>
                      <w:highlight w:val="none"/>
                    </w:rPr>
                    <w:t>层；</w:t>
                  </w:r>
                  <w:r>
                    <w:rPr>
                      <w:rFonts w:hint="eastAsia"/>
                      <w:color w:val="auto"/>
                      <w:szCs w:val="21"/>
                      <w:highlight w:val="none"/>
                    </w:rPr>
                    <w:t>不面向道路</w:t>
                  </w:r>
                  <w:r>
                    <w:rPr>
                      <w:color w:val="auto"/>
                      <w:szCs w:val="21"/>
                      <w:highlight w:val="none"/>
                    </w:rPr>
                    <w:t>。</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6</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福州熊猫世界（停业）</w:t>
                  </w:r>
                </w:p>
              </w:tc>
              <w:tc>
                <w:tcPr>
                  <w:tcW w:w="1481" w:type="dxa"/>
                  <w:vAlign w:val="center"/>
                </w:tcPr>
                <w:p>
                  <w:pPr>
                    <w:pStyle w:val="69"/>
                    <w:adjustRightInd w:val="0"/>
                    <w:snapToGrid w:val="0"/>
                    <w:rPr>
                      <w:rFonts w:hint="eastAsia"/>
                      <w:color w:val="auto"/>
                      <w:highlight w:val="none"/>
                    </w:rPr>
                  </w:pPr>
                  <w:r>
                    <w:rPr>
                      <w:rFonts w:hint="eastAsia"/>
                      <w:color w:val="auto"/>
                      <w:highlight w:val="none"/>
                    </w:rPr>
                    <w:t>北梦山路天桥段</w:t>
                  </w:r>
                </w:p>
              </w:tc>
              <w:tc>
                <w:tcPr>
                  <w:tcW w:w="1706" w:type="dxa"/>
                  <w:vAlign w:val="center"/>
                </w:tcPr>
                <w:p>
                  <w:pPr>
                    <w:adjustRightInd w:val="0"/>
                    <w:snapToGrid w:val="0"/>
                    <w:jc w:val="center"/>
                    <w:rPr>
                      <w:color w:val="auto"/>
                      <w:szCs w:val="21"/>
                      <w:highlight w:val="none"/>
                    </w:rPr>
                  </w:pPr>
                  <w:r>
                    <w:rPr>
                      <w:rFonts w:hint="eastAsia"/>
                      <w:color w:val="auto"/>
                      <w:szCs w:val="21"/>
                      <w:highlight w:val="none"/>
                    </w:rPr>
                    <w:t>红线范围外~K0+20</w:t>
                  </w:r>
                </w:p>
              </w:tc>
              <w:tc>
                <w:tcPr>
                  <w:tcW w:w="901" w:type="dxa"/>
                  <w:vAlign w:val="center"/>
                </w:tcPr>
                <w:p>
                  <w:pPr>
                    <w:adjustRightInd w:val="0"/>
                    <w:snapToGrid w:val="0"/>
                    <w:jc w:val="center"/>
                    <w:rPr>
                      <w:color w:val="auto"/>
                      <w:szCs w:val="21"/>
                      <w:highlight w:val="none"/>
                    </w:rPr>
                  </w:pPr>
                  <w:r>
                    <w:rPr>
                      <w:rFonts w:hint="eastAsia"/>
                      <w:color w:val="auto"/>
                      <w:szCs w:val="21"/>
                      <w:highlight w:val="none"/>
                    </w:rPr>
                    <w:t>平地</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SE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0</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90</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114</w:t>
                  </w:r>
                </w:p>
              </w:tc>
              <w:tc>
                <w:tcPr>
                  <w:tcW w:w="691"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737"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2072" w:type="dxa"/>
                  <w:tcMar>
                    <w:left w:w="28" w:type="dxa"/>
                    <w:right w:w="28" w:type="dxa"/>
                  </w:tcMar>
                  <w:vAlign w:val="center"/>
                </w:tcPr>
                <w:p>
                  <w:pPr>
                    <w:adjustRightInd w:val="0"/>
                    <w:snapToGrid w:val="0"/>
                    <w:jc w:val="center"/>
                    <w:rPr>
                      <w:rFonts w:hint="eastAsia"/>
                      <w:color w:val="auto"/>
                      <w:szCs w:val="21"/>
                      <w:highlight w:val="none"/>
                    </w:rPr>
                  </w:pPr>
                  <w:r>
                    <w:rPr>
                      <w:rFonts w:hint="eastAsia"/>
                      <w:color w:val="auto"/>
                      <w:szCs w:val="21"/>
                      <w:highlight w:val="none"/>
                    </w:rPr>
                    <w:t>景区，现阶段为停业状态，景区内动物已迁移</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rFonts w:hint="eastAsia"/>
                      <w:b/>
                      <w:color w:val="auto"/>
                      <w:szCs w:val="21"/>
                      <w:highlight w:val="none"/>
                    </w:rPr>
                  </w:pPr>
                  <w:r>
                    <w:rPr>
                      <w:rFonts w:hint="eastAsia"/>
                      <w:b/>
                      <w:color w:val="auto"/>
                      <w:szCs w:val="21"/>
                      <w:highlight w:val="none"/>
                    </w:rPr>
                    <w:t>7</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大梦山小区</w:t>
                  </w:r>
                </w:p>
              </w:tc>
              <w:tc>
                <w:tcPr>
                  <w:tcW w:w="1481" w:type="dxa"/>
                  <w:vAlign w:val="center"/>
                </w:tcPr>
                <w:p>
                  <w:pPr>
                    <w:pStyle w:val="69"/>
                    <w:adjustRightInd w:val="0"/>
                    <w:snapToGrid w:val="0"/>
                    <w:rPr>
                      <w:rFonts w:hint="eastAsia"/>
                      <w:color w:val="auto"/>
                      <w:highlight w:val="none"/>
                    </w:rPr>
                  </w:pPr>
                  <w:r>
                    <w:rPr>
                      <w:rFonts w:hint="eastAsia"/>
                      <w:color w:val="auto"/>
                      <w:highlight w:val="none"/>
                    </w:rPr>
                    <w:t>北梦山路天桥段</w:t>
                  </w:r>
                </w:p>
              </w:tc>
              <w:tc>
                <w:tcPr>
                  <w:tcW w:w="1706" w:type="dxa"/>
                  <w:vAlign w:val="center"/>
                </w:tcPr>
                <w:p>
                  <w:pPr>
                    <w:adjustRightInd w:val="0"/>
                    <w:snapToGrid w:val="0"/>
                    <w:jc w:val="center"/>
                    <w:rPr>
                      <w:color w:val="auto"/>
                      <w:szCs w:val="21"/>
                      <w:highlight w:val="none"/>
                    </w:rPr>
                  </w:pPr>
                  <w:r>
                    <w:rPr>
                      <w:rFonts w:hint="eastAsia"/>
                      <w:color w:val="auto"/>
                      <w:szCs w:val="21"/>
                      <w:highlight w:val="none"/>
                    </w:rPr>
                    <w:t>红线范围外~K0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平地</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SE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0</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2</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26</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141</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141</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w:t>
                  </w:r>
                  <w:r>
                    <w:rPr>
                      <w:color w:val="auto"/>
                      <w:szCs w:val="21"/>
                      <w:highlight w:val="none"/>
                    </w:rPr>
                    <w:t>砖混结构，</w:t>
                  </w:r>
                  <w:r>
                    <w:rPr>
                      <w:rFonts w:hint="eastAsia"/>
                      <w:color w:val="auto"/>
                      <w:szCs w:val="21"/>
                      <w:highlight w:val="none"/>
                    </w:rPr>
                    <w:t>7~11</w:t>
                  </w:r>
                  <w:r>
                    <w:rPr>
                      <w:color w:val="auto"/>
                      <w:szCs w:val="21"/>
                      <w:highlight w:val="none"/>
                    </w:rPr>
                    <w:t>层；房屋多侧向道路。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rFonts w:hint="eastAsia"/>
                      <w:b/>
                      <w:color w:val="auto"/>
                      <w:szCs w:val="21"/>
                      <w:highlight w:val="none"/>
                    </w:rPr>
                  </w:pPr>
                  <w:r>
                    <w:rPr>
                      <w:rFonts w:hint="eastAsia"/>
                      <w:b/>
                      <w:color w:val="auto"/>
                      <w:szCs w:val="21"/>
                      <w:highlight w:val="none"/>
                    </w:rPr>
                    <w:t>8</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湖滨新城</w:t>
                  </w:r>
                </w:p>
              </w:tc>
              <w:tc>
                <w:tcPr>
                  <w:tcW w:w="1481" w:type="dxa"/>
                  <w:vAlign w:val="center"/>
                </w:tcPr>
                <w:p>
                  <w:pPr>
                    <w:pStyle w:val="69"/>
                    <w:adjustRightInd w:val="0"/>
                    <w:snapToGrid w:val="0"/>
                    <w:rPr>
                      <w:color w:val="auto"/>
                      <w:highlight w:val="none"/>
                    </w:rPr>
                  </w:pPr>
                  <w:r>
                    <w:rPr>
                      <w:rFonts w:hint="eastAsia"/>
                      <w:color w:val="auto"/>
                      <w:highlight w:val="none"/>
                    </w:rPr>
                    <w:t>北梦山路天桥段、隧道南侧U槽路段</w:t>
                  </w:r>
                </w:p>
              </w:tc>
              <w:tc>
                <w:tcPr>
                  <w:tcW w:w="1706" w:type="dxa"/>
                  <w:vAlign w:val="center"/>
                </w:tcPr>
                <w:p>
                  <w:pPr>
                    <w:adjustRightInd w:val="0"/>
                    <w:snapToGrid w:val="0"/>
                    <w:jc w:val="center"/>
                    <w:rPr>
                      <w:color w:val="auto"/>
                      <w:szCs w:val="21"/>
                      <w:highlight w:val="none"/>
                    </w:rPr>
                  </w:pPr>
                  <w:r>
                    <w:rPr>
                      <w:rFonts w:hint="eastAsia"/>
                      <w:color w:val="auto"/>
                      <w:szCs w:val="21"/>
                      <w:highlight w:val="none"/>
                    </w:rPr>
                    <w:t>K0+20~K0+240</w:t>
                  </w:r>
                </w:p>
              </w:tc>
              <w:tc>
                <w:tcPr>
                  <w:tcW w:w="901"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rPr>
                    <w:t>平</w:t>
                  </w:r>
                  <w:r>
                    <w:rPr>
                      <w:rFonts w:hint="eastAsia"/>
                      <w:color w:val="auto"/>
                      <w:szCs w:val="21"/>
                      <w:highlight w:val="none"/>
                      <w:lang w:val="en-US" w:eastAsia="zh-CN"/>
                    </w:rPr>
                    <w:t>地、路堑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上层辅路：-2.35~0.15</w:t>
                  </w:r>
                </w:p>
                <w:p>
                  <w:pPr>
                    <w:adjustRightInd w:val="0"/>
                    <w:snapToGrid w:val="0"/>
                    <w:jc w:val="center"/>
                    <w:rPr>
                      <w:rFonts w:hint="eastAsia"/>
                      <w:bCs/>
                      <w:color w:val="auto"/>
                      <w:szCs w:val="21"/>
                      <w:highlight w:val="none"/>
                    </w:rPr>
                  </w:pPr>
                  <w:r>
                    <w:rPr>
                      <w:rFonts w:hint="eastAsia"/>
                      <w:bCs/>
                      <w:color w:val="auto"/>
                      <w:szCs w:val="21"/>
                      <w:highlight w:val="none"/>
                    </w:rPr>
                    <w:t>下层主路：3.81~7.07</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79</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98</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1011</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w:t>
                  </w:r>
                  <w:r>
                    <w:rPr>
                      <w:color w:val="auto"/>
                      <w:szCs w:val="21"/>
                      <w:highlight w:val="none"/>
                    </w:rPr>
                    <w:t>砖混结构，</w:t>
                  </w:r>
                  <w:r>
                    <w:rPr>
                      <w:rFonts w:hint="eastAsia"/>
                      <w:color w:val="auto"/>
                      <w:szCs w:val="21"/>
                      <w:highlight w:val="none"/>
                    </w:rPr>
                    <w:t>7~21</w:t>
                  </w:r>
                  <w:r>
                    <w:rPr>
                      <w:color w:val="auto"/>
                      <w:szCs w:val="21"/>
                      <w:highlight w:val="none"/>
                    </w:rPr>
                    <w:t>层；</w:t>
                  </w:r>
                  <w:r>
                    <w:rPr>
                      <w:rFonts w:hint="eastAsia"/>
                      <w:color w:val="auto"/>
                      <w:szCs w:val="21"/>
                      <w:highlight w:val="none"/>
                    </w:rPr>
                    <w:t>不面向道路</w:t>
                  </w:r>
                  <w:r>
                    <w:rPr>
                      <w:color w:val="auto"/>
                      <w:szCs w:val="21"/>
                      <w:highlight w:val="none"/>
                    </w:rPr>
                    <w:t>。</w:t>
                  </w:r>
                </w:p>
              </w:tc>
              <w:tc>
                <w:tcPr>
                  <w:tcW w:w="3150" w:type="dxa"/>
                  <w:tcMar>
                    <w:left w:w="28" w:type="dxa"/>
                    <w:right w:w="28" w:type="dxa"/>
                  </w:tcMar>
                  <w:vAlign w:val="center"/>
                </w:tcPr>
                <w:p>
                  <w:pPr>
                    <w:adjustRightInd w:val="0"/>
                    <w:snapToGrid w:val="0"/>
                    <w:spacing w:before="120" w:beforeLines="50" w:after="120" w:afterLines="50"/>
                    <w:jc w:val="center"/>
                    <w:rPr>
                      <w:rFonts w:hint="eastAsia" w:eastAsia="宋体"/>
                      <w:color w:val="auto"/>
                      <w:szCs w:val="21"/>
                      <w:highlight w:val="none"/>
                      <w:lang w:eastAsia="zh-CN"/>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rFonts w:hint="eastAsia"/>
                      <w:b/>
                      <w:color w:val="auto"/>
                      <w:szCs w:val="21"/>
                      <w:highlight w:val="none"/>
                    </w:rPr>
                  </w:pPr>
                  <w:r>
                    <w:rPr>
                      <w:rFonts w:hint="eastAsia"/>
                      <w:b/>
                      <w:color w:val="auto"/>
                      <w:szCs w:val="21"/>
                      <w:highlight w:val="none"/>
                    </w:rPr>
                    <w:t>9</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福州西湖国际学校</w:t>
                  </w:r>
                </w:p>
              </w:tc>
              <w:tc>
                <w:tcPr>
                  <w:tcW w:w="1481" w:type="dxa"/>
                  <w:vAlign w:val="center"/>
                </w:tcPr>
                <w:p>
                  <w:pPr>
                    <w:pStyle w:val="69"/>
                    <w:adjustRightInd w:val="0"/>
                    <w:snapToGrid w:val="0"/>
                    <w:rPr>
                      <w:rFonts w:hint="eastAsia"/>
                      <w:color w:val="auto"/>
                      <w:highlight w:val="none"/>
                    </w:rPr>
                  </w:pPr>
                  <w:r>
                    <w:rPr>
                      <w:rFonts w:hint="eastAsia"/>
                      <w:color w:val="auto"/>
                      <w:highlight w:val="none"/>
                    </w:rPr>
                    <w:t>北梦山路天桥段、隧道南侧U槽路段</w:t>
                  </w:r>
                </w:p>
              </w:tc>
              <w:tc>
                <w:tcPr>
                  <w:tcW w:w="1706" w:type="dxa"/>
                  <w:vAlign w:val="center"/>
                </w:tcPr>
                <w:p>
                  <w:pPr>
                    <w:adjustRightInd w:val="0"/>
                    <w:snapToGrid w:val="0"/>
                    <w:jc w:val="center"/>
                    <w:rPr>
                      <w:color w:val="auto"/>
                      <w:szCs w:val="21"/>
                      <w:highlight w:val="none"/>
                    </w:rPr>
                  </w:pPr>
                  <w:r>
                    <w:rPr>
                      <w:rFonts w:hint="eastAsia"/>
                      <w:color w:val="auto"/>
                      <w:szCs w:val="21"/>
                      <w:highlight w:val="none"/>
                    </w:rPr>
                    <w:t>K0+20~K0+60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平地</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rPr>
                    <w:t>上层辅路：-</w:t>
                  </w:r>
                  <w:r>
                    <w:rPr>
                      <w:rFonts w:hint="eastAsia"/>
                      <w:bCs/>
                      <w:color w:val="auto"/>
                      <w:szCs w:val="21"/>
                      <w:highlight w:val="none"/>
                      <w:lang w:val="en-US" w:eastAsia="zh-CN"/>
                    </w:rPr>
                    <w:t>0.74</w:t>
                  </w:r>
                  <w:r>
                    <w:rPr>
                      <w:rFonts w:hint="eastAsia"/>
                      <w:bCs/>
                      <w:color w:val="auto"/>
                      <w:szCs w:val="21"/>
                      <w:highlight w:val="none"/>
                    </w:rPr>
                    <w:t>~</w:t>
                  </w:r>
                  <w:r>
                    <w:rPr>
                      <w:rFonts w:hint="eastAsia"/>
                      <w:bCs/>
                      <w:color w:val="auto"/>
                      <w:szCs w:val="21"/>
                      <w:highlight w:val="none"/>
                      <w:lang w:val="en-US" w:eastAsia="zh-CN"/>
                    </w:rPr>
                    <w:t>7.22</w:t>
                  </w:r>
                </w:p>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rPr>
                    <w:t>下层主路：</w:t>
                  </w:r>
                  <w:r>
                    <w:rPr>
                      <w:rFonts w:hint="eastAsia"/>
                      <w:bCs/>
                      <w:color w:val="auto"/>
                      <w:szCs w:val="21"/>
                      <w:highlight w:val="none"/>
                      <w:lang w:val="en-US" w:eastAsia="zh-CN"/>
                    </w:rPr>
                    <w:t>-0.35~2.29</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190</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209</w:t>
                  </w:r>
                </w:p>
              </w:tc>
              <w:tc>
                <w:tcPr>
                  <w:tcW w:w="691" w:type="dxa"/>
                  <w:vAlign w:val="center"/>
                </w:tcPr>
                <w:p>
                  <w:pPr>
                    <w:adjustRightInd w:val="0"/>
                    <w:snapToGrid w:val="0"/>
                    <w:jc w:val="center"/>
                    <w:rPr>
                      <w:rFonts w:hint="eastAsia"/>
                      <w:color w:val="auto"/>
                      <w:szCs w:val="21"/>
                      <w:highlight w:val="none"/>
                    </w:rPr>
                  </w:pPr>
                  <w:r>
                    <w:rPr>
                      <w:rFonts w:hint="eastAsia"/>
                      <w:color w:val="auto"/>
                      <w:szCs w:val="21"/>
                      <w:highlight w:val="none"/>
                    </w:rPr>
                    <w:t>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师生约400人</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学校，钢筋混凝土结构，5~6层；不面向道路。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10</w:t>
                  </w:r>
                </w:p>
              </w:tc>
              <w:tc>
                <w:tcPr>
                  <w:tcW w:w="1365" w:type="dxa"/>
                  <w:gridSpan w:val="2"/>
                  <w:vAlign w:val="center"/>
                </w:tcPr>
                <w:p>
                  <w:pPr>
                    <w:adjustRightInd w:val="0"/>
                    <w:snapToGrid w:val="0"/>
                    <w:jc w:val="center"/>
                    <w:rPr>
                      <w:color w:val="auto"/>
                      <w:kern w:val="0"/>
                      <w:szCs w:val="21"/>
                      <w:highlight w:val="none"/>
                    </w:rPr>
                  </w:pPr>
                  <w:r>
                    <w:rPr>
                      <w:rFonts w:hint="eastAsia"/>
                      <w:color w:val="auto"/>
                      <w:kern w:val="0"/>
                      <w:szCs w:val="21"/>
                      <w:highlight w:val="none"/>
                    </w:rPr>
                    <w:t>九00医院总院</w:t>
                  </w:r>
                </w:p>
              </w:tc>
              <w:tc>
                <w:tcPr>
                  <w:tcW w:w="1481" w:type="dxa"/>
                  <w:vAlign w:val="center"/>
                </w:tcPr>
                <w:p>
                  <w:pPr>
                    <w:pStyle w:val="69"/>
                    <w:adjustRightInd w:val="0"/>
                    <w:snapToGrid w:val="0"/>
                    <w:rPr>
                      <w:rFonts w:hint="eastAsia"/>
                      <w:color w:val="auto"/>
                      <w:highlight w:val="none"/>
                    </w:rPr>
                  </w:pPr>
                  <w:r>
                    <w:rPr>
                      <w:rFonts w:hint="eastAsia"/>
                      <w:color w:val="auto"/>
                      <w:highlight w:val="none"/>
                    </w:rPr>
                    <w:t>北梦山路天桥段、隧道南侧U槽路段</w:t>
                  </w:r>
                </w:p>
              </w:tc>
              <w:tc>
                <w:tcPr>
                  <w:tcW w:w="1706" w:type="dxa"/>
                  <w:vAlign w:val="center"/>
                </w:tcPr>
                <w:p>
                  <w:pPr>
                    <w:adjustRightInd w:val="0"/>
                    <w:snapToGrid w:val="0"/>
                    <w:jc w:val="center"/>
                    <w:rPr>
                      <w:color w:val="auto"/>
                      <w:szCs w:val="21"/>
                      <w:highlight w:val="none"/>
                    </w:rPr>
                  </w:pPr>
                  <w:r>
                    <w:rPr>
                      <w:rFonts w:hint="eastAsia"/>
                      <w:color w:val="auto"/>
                      <w:szCs w:val="21"/>
                      <w:highlight w:val="none"/>
                    </w:rPr>
                    <w:t>红线范围外~K0+400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W</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上层辅路：-2.59~0.81</w:t>
                  </w:r>
                </w:p>
                <w:p>
                  <w:pPr>
                    <w:adjustRightInd w:val="0"/>
                    <w:snapToGrid w:val="0"/>
                    <w:jc w:val="center"/>
                    <w:rPr>
                      <w:rFonts w:hint="eastAsia" w:eastAsia="宋体"/>
                      <w:bCs/>
                      <w:color w:val="auto"/>
                      <w:szCs w:val="21"/>
                      <w:highlight w:val="none"/>
                      <w:lang w:eastAsia="zh-CN"/>
                    </w:rPr>
                  </w:pPr>
                  <w:r>
                    <w:rPr>
                      <w:rFonts w:hint="eastAsia"/>
                      <w:bCs/>
                      <w:color w:val="auto"/>
                      <w:szCs w:val="21"/>
                      <w:highlight w:val="none"/>
                    </w:rPr>
                    <w:t>下层主路：-2.36~2.21</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2</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26</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w:t>
                  </w:r>
                </w:p>
              </w:tc>
              <w:tc>
                <w:tcPr>
                  <w:tcW w:w="737"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2072" w:type="dxa"/>
                  <w:tcMar>
                    <w:left w:w="28" w:type="dxa"/>
                    <w:right w:w="28" w:type="dxa"/>
                  </w:tcMar>
                  <w:vAlign w:val="center"/>
                </w:tcPr>
                <w:p>
                  <w:pPr>
                    <w:adjustRightInd w:val="0"/>
                    <w:snapToGrid w:val="0"/>
                    <w:jc w:val="center"/>
                    <w:rPr>
                      <w:rFonts w:hint="eastAsia"/>
                      <w:color w:val="auto"/>
                      <w:szCs w:val="21"/>
                      <w:highlight w:val="none"/>
                    </w:rPr>
                  </w:pPr>
                  <w:r>
                    <w:rPr>
                      <w:rFonts w:hint="eastAsia"/>
                      <w:color w:val="auto"/>
                      <w:szCs w:val="21"/>
                      <w:highlight w:val="none"/>
                    </w:rPr>
                    <w:t>医院，钢筋混凝土结构，4~16层，</w:t>
                  </w:r>
                  <w:r>
                    <w:rPr>
                      <w:color w:val="auto"/>
                      <w:szCs w:val="21"/>
                      <w:highlight w:val="none"/>
                    </w:rPr>
                    <w:t>多</w:t>
                  </w:r>
                  <w:r>
                    <w:rPr>
                      <w:rFonts w:hint="eastAsia"/>
                      <w:color w:val="auto"/>
                      <w:szCs w:val="21"/>
                      <w:highlight w:val="none"/>
                    </w:rPr>
                    <w:t>栋楼</w:t>
                  </w:r>
                  <w:r>
                    <w:rPr>
                      <w:color w:val="auto"/>
                      <w:szCs w:val="21"/>
                      <w:highlight w:val="none"/>
                    </w:rPr>
                    <w:t>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11</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象山公寓</w:t>
                  </w:r>
                </w:p>
              </w:tc>
              <w:tc>
                <w:tcPr>
                  <w:tcW w:w="1481" w:type="dxa"/>
                  <w:vAlign w:val="center"/>
                </w:tcPr>
                <w:p>
                  <w:pPr>
                    <w:pStyle w:val="69"/>
                    <w:adjustRightInd w:val="0"/>
                    <w:snapToGrid w:val="0"/>
                    <w:rPr>
                      <w:rFonts w:hint="eastAsia"/>
                      <w:color w:val="auto"/>
                      <w:highlight w:val="none"/>
                    </w:rPr>
                  </w:pPr>
                  <w:r>
                    <w:rPr>
                      <w:rFonts w:hint="eastAsia"/>
                      <w:color w:val="auto"/>
                      <w:highlight w:val="none"/>
                    </w:rPr>
                    <w:t>北梦山路天桥段、隧道南侧U槽路段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K0+60~K0+240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上层辅路：-0.63~1.55</w:t>
                  </w:r>
                </w:p>
                <w:p>
                  <w:pPr>
                    <w:adjustRightInd w:val="0"/>
                    <w:snapToGrid w:val="0"/>
                    <w:jc w:val="center"/>
                    <w:rPr>
                      <w:rFonts w:hint="eastAsia"/>
                      <w:bCs/>
                      <w:color w:val="auto"/>
                      <w:szCs w:val="21"/>
                      <w:highlight w:val="none"/>
                    </w:rPr>
                  </w:pPr>
                  <w:r>
                    <w:rPr>
                      <w:rFonts w:hint="eastAsia"/>
                      <w:bCs/>
                      <w:color w:val="auto"/>
                      <w:szCs w:val="21"/>
                      <w:highlight w:val="none"/>
                    </w:rPr>
                    <w:t>下层主路：-0.24~2.88</w:t>
                  </w:r>
                </w:p>
                <w:p>
                  <w:pPr>
                    <w:adjustRightInd w:val="0"/>
                    <w:snapToGrid w:val="0"/>
                    <w:jc w:val="center"/>
                    <w:rPr>
                      <w:bCs/>
                      <w:color w:val="auto"/>
                      <w:szCs w:val="21"/>
                      <w:highlight w:val="none"/>
                    </w:rPr>
                  </w:pPr>
                  <w:r>
                    <w:rPr>
                      <w:rFonts w:hint="eastAsia"/>
                      <w:bCs/>
                      <w:color w:val="auto"/>
                      <w:szCs w:val="21"/>
                      <w:highlight w:val="none"/>
                    </w:rPr>
                    <w:t>掉头匝道：-3.67~1.4</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3</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27</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325</w:t>
                  </w:r>
                </w:p>
              </w:tc>
              <w:tc>
                <w:tcPr>
                  <w:tcW w:w="737" w:type="dxa"/>
                  <w:vAlign w:val="center"/>
                </w:tcPr>
                <w:p>
                  <w:pPr>
                    <w:adjustRightInd w:val="0"/>
                    <w:snapToGrid w:val="0"/>
                    <w:jc w:val="center"/>
                    <w:rPr>
                      <w:rFonts w:hint="eastAsia"/>
                      <w:color w:val="auto"/>
                      <w:szCs w:val="21"/>
                      <w:highlight w:val="none"/>
                    </w:rPr>
                  </w:pPr>
                  <w:r>
                    <w:rPr>
                      <w:rFonts w:hint="eastAsia"/>
                      <w:color w:val="auto"/>
                      <w:szCs w:val="21"/>
                      <w:highlight w:val="none"/>
                    </w:rPr>
                    <w:t>0</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w:t>
                  </w:r>
                  <w:r>
                    <w:rPr>
                      <w:color w:val="auto"/>
                      <w:szCs w:val="21"/>
                      <w:highlight w:val="none"/>
                    </w:rPr>
                    <w:t>砖混结构，</w:t>
                  </w:r>
                  <w:r>
                    <w:rPr>
                      <w:rFonts w:hint="eastAsia"/>
                      <w:color w:val="auto"/>
                      <w:szCs w:val="21"/>
                      <w:highlight w:val="none"/>
                    </w:rPr>
                    <w:t>8</w:t>
                  </w:r>
                  <w:r>
                    <w:rPr>
                      <w:color w:val="auto"/>
                      <w:szCs w:val="21"/>
                      <w:highlight w:val="none"/>
                    </w:rPr>
                    <w:t>层；房屋多侧向道路。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12</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东方苑</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隧道南侧U槽路段、隧道南侧箱型路段</w:t>
                  </w:r>
                </w:p>
              </w:tc>
              <w:tc>
                <w:tcPr>
                  <w:tcW w:w="1706" w:type="dxa"/>
                  <w:vAlign w:val="center"/>
                </w:tcPr>
                <w:p>
                  <w:pPr>
                    <w:adjustRightInd w:val="0"/>
                    <w:snapToGrid w:val="0"/>
                    <w:jc w:val="center"/>
                    <w:rPr>
                      <w:color w:val="auto"/>
                      <w:szCs w:val="21"/>
                      <w:highlight w:val="none"/>
                    </w:rPr>
                  </w:pPr>
                  <w:r>
                    <w:rPr>
                      <w:rFonts w:hint="eastAsia"/>
                      <w:color w:val="auto"/>
                      <w:szCs w:val="21"/>
                      <w:highlight w:val="none"/>
                    </w:rPr>
                    <w:t>K0+160~K0+320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W</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上层辅路：-1.47~3.05</w:t>
                  </w:r>
                </w:p>
                <w:p>
                  <w:pPr>
                    <w:adjustRightInd w:val="0"/>
                    <w:snapToGrid w:val="0"/>
                    <w:jc w:val="center"/>
                    <w:rPr>
                      <w:rFonts w:hint="eastAsia"/>
                      <w:bCs/>
                      <w:color w:val="auto"/>
                      <w:szCs w:val="21"/>
                      <w:highlight w:val="none"/>
                    </w:rPr>
                  </w:pPr>
                  <w:r>
                    <w:rPr>
                      <w:rFonts w:hint="eastAsia"/>
                      <w:bCs/>
                      <w:color w:val="auto"/>
                      <w:szCs w:val="21"/>
                      <w:highlight w:val="none"/>
                    </w:rPr>
                    <w:t>下层主路：1.42~8.35</w:t>
                  </w:r>
                </w:p>
                <w:p>
                  <w:pPr>
                    <w:adjustRightInd w:val="0"/>
                    <w:snapToGrid w:val="0"/>
                    <w:jc w:val="center"/>
                    <w:rPr>
                      <w:bCs/>
                      <w:color w:val="auto"/>
                      <w:szCs w:val="21"/>
                      <w:highlight w:val="none"/>
                    </w:rPr>
                  </w:pPr>
                  <w:r>
                    <w:rPr>
                      <w:rFonts w:hint="eastAsia"/>
                      <w:bCs/>
                      <w:color w:val="auto"/>
                      <w:szCs w:val="21"/>
                      <w:highlight w:val="none"/>
                    </w:rPr>
                    <w:t>掉头匝道：-7.49~2.7</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7</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31</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267</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53</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住宅小区，钢筋混凝土</w:t>
                  </w:r>
                  <w:r>
                    <w:rPr>
                      <w:color w:val="auto"/>
                      <w:szCs w:val="21"/>
                      <w:highlight w:val="none"/>
                    </w:rPr>
                    <w:t>结构，</w:t>
                  </w:r>
                  <w:r>
                    <w:rPr>
                      <w:rFonts w:hint="eastAsia"/>
                      <w:color w:val="auto"/>
                      <w:szCs w:val="21"/>
                      <w:highlight w:val="none"/>
                    </w:rPr>
                    <w:t>18层</w:t>
                  </w:r>
                  <w:r>
                    <w:rPr>
                      <w:color w:val="auto"/>
                      <w:szCs w:val="21"/>
                      <w:highlight w:val="none"/>
                    </w:rPr>
                    <w:t>；房屋多侧向道路。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13</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山水公寓小区</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隧道南侧U槽路段、隧道南侧箱型路段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K0+240~K0+320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上层辅路：-0.92~2.99</w:t>
                  </w:r>
                </w:p>
                <w:p>
                  <w:pPr>
                    <w:adjustRightInd w:val="0"/>
                    <w:snapToGrid w:val="0"/>
                    <w:jc w:val="center"/>
                    <w:rPr>
                      <w:rFonts w:hint="eastAsia"/>
                      <w:bCs/>
                      <w:color w:val="auto"/>
                      <w:szCs w:val="21"/>
                      <w:highlight w:val="none"/>
                    </w:rPr>
                  </w:pPr>
                  <w:r>
                    <w:rPr>
                      <w:rFonts w:hint="eastAsia"/>
                      <w:bCs/>
                      <w:color w:val="auto"/>
                      <w:szCs w:val="21"/>
                      <w:highlight w:val="none"/>
                    </w:rPr>
                    <w:t>下层主路：5.02~6.99</w:t>
                  </w:r>
                </w:p>
                <w:p>
                  <w:pPr>
                    <w:adjustRightInd w:val="0"/>
                    <w:snapToGrid w:val="0"/>
                    <w:jc w:val="center"/>
                    <w:rPr>
                      <w:bCs/>
                      <w:color w:val="auto"/>
                      <w:szCs w:val="21"/>
                      <w:highlight w:val="none"/>
                    </w:rPr>
                  </w:pPr>
                  <w:r>
                    <w:rPr>
                      <w:rFonts w:hint="eastAsia"/>
                      <w:bCs/>
                      <w:color w:val="auto"/>
                      <w:szCs w:val="21"/>
                      <w:highlight w:val="none"/>
                    </w:rPr>
                    <w:t>掉头匝道：-7.41~-3.1</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3</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27</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304</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150</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住宅小区，钢筋混凝土</w:t>
                  </w:r>
                  <w:r>
                    <w:rPr>
                      <w:color w:val="auto"/>
                      <w:szCs w:val="21"/>
                      <w:highlight w:val="none"/>
                    </w:rPr>
                    <w:t>结构，</w:t>
                  </w:r>
                  <w:r>
                    <w:rPr>
                      <w:rFonts w:hint="eastAsia"/>
                      <w:color w:val="auto"/>
                      <w:szCs w:val="21"/>
                      <w:highlight w:val="none"/>
                    </w:rPr>
                    <w:t>15~17层</w:t>
                  </w:r>
                  <w:r>
                    <w:rPr>
                      <w:color w:val="auto"/>
                      <w:szCs w:val="21"/>
                      <w:highlight w:val="none"/>
                    </w:rPr>
                    <w:t>；房屋多侧向道路。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14</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双安城</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隧道南侧U槽路段、隧道南侧箱型路段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K0+220~K0+320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上层辅路：-3.13~-0.1</w:t>
                  </w:r>
                </w:p>
                <w:p>
                  <w:pPr>
                    <w:adjustRightInd w:val="0"/>
                    <w:snapToGrid w:val="0"/>
                    <w:jc w:val="center"/>
                    <w:rPr>
                      <w:rFonts w:hint="eastAsia"/>
                      <w:bCs/>
                      <w:color w:val="auto"/>
                      <w:szCs w:val="21"/>
                      <w:highlight w:val="none"/>
                    </w:rPr>
                  </w:pPr>
                  <w:r>
                    <w:rPr>
                      <w:rFonts w:hint="eastAsia"/>
                      <w:bCs/>
                      <w:color w:val="auto"/>
                      <w:szCs w:val="21"/>
                      <w:highlight w:val="none"/>
                    </w:rPr>
                    <w:t>下层主路：2.81~7.04</w:t>
                  </w:r>
                </w:p>
                <w:p>
                  <w:pPr>
                    <w:adjustRightInd w:val="0"/>
                    <w:snapToGrid w:val="0"/>
                    <w:jc w:val="center"/>
                    <w:rPr>
                      <w:color w:val="auto"/>
                      <w:highlight w:val="none"/>
                    </w:rPr>
                  </w:pPr>
                  <w:r>
                    <w:rPr>
                      <w:rFonts w:hint="eastAsia"/>
                      <w:bCs/>
                      <w:color w:val="auto"/>
                      <w:szCs w:val="21"/>
                      <w:highlight w:val="none"/>
                    </w:rPr>
                    <w:t>掉头匝道：-9.62~-3.1</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52</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76</w:t>
                  </w:r>
                </w:p>
              </w:tc>
              <w:tc>
                <w:tcPr>
                  <w:tcW w:w="691" w:type="dxa"/>
                  <w:vAlign w:val="center"/>
                </w:tcPr>
                <w:p>
                  <w:pPr>
                    <w:adjustRightInd w:val="0"/>
                    <w:snapToGrid w:val="0"/>
                    <w:jc w:val="center"/>
                    <w:rPr>
                      <w:rFonts w:hint="eastAsia"/>
                      <w:color w:val="auto"/>
                      <w:szCs w:val="21"/>
                      <w:highlight w:val="none"/>
                    </w:rPr>
                  </w:pPr>
                  <w:r>
                    <w:rPr>
                      <w:rFonts w:hint="eastAsia"/>
                      <w:color w:val="auto"/>
                      <w:szCs w:val="21"/>
                      <w:highlight w:val="none"/>
                    </w:rPr>
                    <w:t>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480</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住宅小区，钢筋混凝土</w:t>
                  </w:r>
                  <w:r>
                    <w:rPr>
                      <w:color w:val="auto"/>
                      <w:szCs w:val="21"/>
                      <w:highlight w:val="none"/>
                    </w:rPr>
                    <w:t>结构，</w:t>
                  </w:r>
                  <w:r>
                    <w:rPr>
                      <w:rFonts w:hint="eastAsia"/>
                      <w:color w:val="auto"/>
                      <w:szCs w:val="21"/>
                      <w:highlight w:val="none"/>
                    </w:rPr>
                    <w:t>8~16层</w:t>
                  </w:r>
                  <w:r>
                    <w:rPr>
                      <w:color w:val="auto"/>
                      <w:szCs w:val="21"/>
                      <w:highlight w:val="none"/>
                    </w:rPr>
                    <w:t>；房屋多侧向道路。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15</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职业病防治院</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隧道南侧箱型路段、双层隧道路段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K0+320~K0+440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default"/>
                      <w:color w:val="auto"/>
                      <w:highlight w:val="none"/>
                      <w:lang w:val="en-US" w:eastAsia="zh-CN"/>
                    </w:rPr>
                  </w:pPr>
                  <w:r>
                    <w:rPr>
                      <w:rFonts w:hint="eastAsia"/>
                      <w:bCs/>
                      <w:color w:val="auto"/>
                      <w:szCs w:val="21"/>
                      <w:highlight w:val="none"/>
                    </w:rPr>
                    <w:t>上层辅路：</w:t>
                  </w:r>
                  <w:r>
                    <w:rPr>
                      <w:rFonts w:hint="eastAsia"/>
                      <w:bCs/>
                      <w:color w:val="auto"/>
                      <w:szCs w:val="21"/>
                      <w:highlight w:val="none"/>
                      <w:lang w:val="en-US" w:eastAsia="zh-CN"/>
                    </w:rPr>
                    <w:t>1.53~22.9</w:t>
                  </w:r>
                </w:p>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eastAsia="zh-CN"/>
                    </w:rPr>
                    <w:t>下层主路：</w:t>
                  </w:r>
                  <w:r>
                    <w:rPr>
                      <w:rFonts w:hint="eastAsia"/>
                      <w:bCs/>
                      <w:color w:val="auto"/>
                      <w:szCs w:val="21"/>
                      <w:highlight w:val="none"/>
                      <w:lang w:val="en-US" w:eastAsia="zh-CN"/>
                    </w:rPr>
                    <w:t>8.98~31.26</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2</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26</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w:t>
                  </w:r>
                </w:p>
              </w:tc>
              <w:tc>
                <w:tcPr>
                  <w:tcW w:w="737"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2072" w:type="dxa"/>
                  <w:tcMar>
                    <w:left w:w="28" w:type="dxa"/>
                    <w:right w:w="28" w:type="dxa"/>
                  </w:tcMar>
                  <w:vAlign w:val="center"/>
                </w:tcPr>
                <w:p>
                  <w:pPr>
                    <w:adjustRightInd w:val="0"/>
                    <w:snapToGrid w:val="0"/>
                    <w:jc w:val="center"/>
                    <w:rPr>
                      <w:rFonts w:hint="eastAsia"/>
                      <w:color w:val="auto"/>
                      <w:szCs w:val="21"/>
                      <w:highlight w:val="none"/>
                    </w:rPr>
                  </w:pPr>
                  <w:r>
                    <w:rPr>
                      <w:rFonts w:hint="eastAsia"/>
                      <w:color w:val="auto"/>
                      <w:szCs w:val="21"/>
                      <w:highlight w:val="none"/>
                    </w:rPr>
                    <w:t>医院，钢筋混凝土</w:t>
                  </w:r>
                  <w:r>
                    <w:rPr>
                      <w:color w:val="auto"/>
                      <w:szCs w:val="21"/>
                      <w:highlight w:val="none"/>
                    </w:rPr>
                    <w:t>结构</w:t>
                  </w:r>
                  <w:r>
                    <w:rPr>
                      <w:rFonts w:hint="eastAsia"/>
                      <w:color w:val="auto"/>
                      <w:szCs w:val="21"/>
                      <w:highlight w:val="none"/>
                    </w:rPr>
                    <w:t>、砖木结构，6~8层</w:t>
                  </w:r>
                  <w:r>
                    <w:rPr>
                      <w:color w:val="auto"/>
                      <w:szCs w:val="21"/>
                      <w:highlight w:val="none"/>
                    </w:rPr>
                    <w:t>；多侧向道路。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16</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九龙山庄</w:t>
                  </w:r>
                </w:p>
              </w:tc>
              <w:tc>
                <w:tcPr>
                  <w:tcW w:w="1481" w:type="dxa"/>
                  <w:vAlign w:val="center"/>
                </w:tcPr>
                <w:p>
                  <w:pPr>
                    <w:pStyle w:val="69"/>
                    <w:adjustRightInd w:val="0"/>
                    <w:snapToGrid w:val="0"/>
                    <w:rPr>
                      <w:rFonts w:hint="eastAsia"/>
                      <w:color w:val="auto"/>
                      <w:highlight w:val="none"/>
                    </w:rPr>
                  </w:pPr>
                  <w:r>
                    <w:rPr>
                      <w:rFonts w:hint="eastAsia"/>
                      <w:color w:val="auto"/>
                      <w:highlight w:val="none"/>
                    </w:rPr>
                    <w:t>双层隧道路段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K0+440~K0+520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上层辅路：3.77~20.97</w:t>
                  </w:r>
                </w:p>
                <w:p>
                  <w:pPr>
                    <w:adjustRightInd w:val="0"/>
                    <w:snapToGrid w:val="0"/>
                    <w:jc w:val="center"/>
                    <w:rPr>
                      <w:rFonts w:hint="eastAsia" w:eastAsia="宋体"/>
                      <w:bCs/>
                      <w:color w:val="auto"/>
                      <w:szCs w:val="21"/>
                      <w:highlight w:val="none"/>
                      <w:lang w:eastAsia="zh-CN"/>
                    </w:rPr>
                  </w:pPr>
                  <w:r>
                    <w:rPr>
                      <w:rFonts w:hint="eastAsia"/>
                      <w:bCs/>
                      <w:color w:val="auto"/>
                      <w:szCs w:val="21"/>
                      <w:highlight w:val="none"/>
                    </w:rPr>
                    <w:t>下层主路：28.45~29.01</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14</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38</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38</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78</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住宅小区，砖混</w:t>
                  </w:r>
                  <w:r>
                    <w:rPr>
                      <w:color w:val="auto"/>
                      <w:szCs w:val="21"/>
                      <w:highlight w:val="none"/>
                    </w:rPr>
                    <w:t>结构，</w:t>
                  </w:r>
                  <w:r>
                    <w:rPr>
                      <w:rFonts w:hint="eastAsia"/>
                      <w:color w:val="auto"/>
                      <w:szCs w:val="21"/>
                      <w:highlight w:val="none"/>
                    </w:rPr>
                    <w:t>7层</w:t>
                  </w:r>
                  <w:r>
                    <w:rPr>
                      <w:color w:val="auto"/>
                      <w:szCs w:val="21"/>
                      <w:highlight w:val="none"/>
                    </w:rPr>
                    <w:t>；房屋多侧向道路。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17</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西湖别墅</w:t>
                  </w:r>
                </w:p>
              </w:tc>
              <w:tc>
                <w:tcPr>
                  <w:tcW w:w="1481" w:type="dxa"/>
                  <w:vAlign w:val="center"/>
                </w:tcPr>
                <w:p>
                  <w:pPr>
                    <w:pStyle w:val="69"/>
                    <w:adjustRightInd w:val="0"/>
                    <w:snapToGrid w:val="0"/>
                    <w:rPr>
                      <w:rFonts w:hint="eastAsia"/>
                      <w:color w:val="auto"/>
                      <w:highlight w:val="none"/>
                    </w:rPr>
                  </w:pPr>
                  <w:r>
                    <w:rPr>
                      <w:rFonts w:hint="eastAsia"/>
                      <w:color w:val="auto"/>
                      <w:highlight w:val="none"/>
                    </w:rPr>
                    <w:t>双层隧道路段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K0+500~K0+570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上层辅路：4.02~15.13</w:t>
                  </w:r>
                </w:p>
                <w:p>
                  <w:pPr>
                    <w:adjustRightInd w:val="0"/>
                    <w:snapToGrid w:val="0"/>
                    <w:jc w:val="center"/>
                    <w:rPr>
                      <w:rFonts w:hint="eastAsia" w:eastAsia="宋体"/>
                      <w:bCs/>
                      <w:color w:val="auto"/>
                      <w:szCs w:val="21"/>
                      <w:highlight w:val="none"/>
                      <w:lang w:eastAsia="zh-CN"/>
                    </w:rPr>
                  </w:pPr>
                  <w:r>
                    <w:rPr>
                      <w:rFonts w:hint="eastAsia"/>
                      <w:bCs/>
                      <w:color w:val="auto"/>
                      <w:szCs w:val="21"/>
                      <w:highlight w:val="none"/>
                    </w:rPr>
                    <w:t>下层主路：22.5~25.48</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14</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38</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142</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426</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住宅小区，砖混</w:t>
                  </w:r>
                  <w:r>
                    <w:rPr>
                      <w:color w:val="auto"/>
                      <w:szCs w:val="21"/>
                      <w:highlight w:val="none"/>
                    </w:rPr>
                    <w:t>结构，</w:t>
                  </w:r>
                  <w:r>
                    <w:rPr>
                      <w:rFonts w:hint="eastAsia"/>
                      <w:color w:val="auto"/>
                      <w:szCs w:val="21"/>
                      <w:highlight w:val="none"/>
                    </w:rPr>
                    <w:t>6层</w:t>
                  </w:r>
                  <w:r>
                    <w:rPr>
                      <w:color w:val="auto"/>
                      <w:szCs w:val="21"/>
                      <w:highlight w:val="none"/>
                    </w:rPr>
                    <w:t>；房屋多侧向道路。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18</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西山张真人殿</w:t>
                  </w:r>
                </w:p>
              </w:tc>
              <w:tc>
                <w:tcPr>
                  <w:tcW w:w="1481" w:type="dxa"/>
                  <w:vAlign w:val="center"/>
                </w:tcPr>
                <w:p>
                  <w:pPr>
                    <w:pStyle w:val="69"/>
                    <w:adjustRightInd w:val="0"/>
                    <w:snapToGrid w:val="0"/>
                    <w:rPr>
                      <w:rFonts w:hint="eastAsia"/>
                      <w:color w:val="auto"/>
                      <w:highlight w:val="none"/>
                    </w:rPr>
                  </w:pPr>
                  <w:r>
                    <w:rPr>
                      <w:rFonts w:hint="eastAsia"/>
                      <w:color w:val="auto"/>
                      <w:highlight w:val="none"/>
                    </w:rPr>
                    <w:t>双层隧道路段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K0+400~K0+480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W</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上层辅路：17.5</w:t>
                  </w:r>
                </w:p>
                <w:p>
                  <w:pPr>
                    <w:adjustRightInd w:val="0"/>
                    <w:snapToGrid w:val="0"/>
                    <w:jc w:val="center"/>
                    <w:rPr>
                      <w:rFonts w:hint="eastAsia" w:eastAsia="宋体"/>
                      <w:bCs/>
                      <w:color w:val="auto"/>
                      <w:szCs w:val="21"/>
                      <w:highlight w:val="none"/>
                      <w:lang w:eastAsia="zh-CN"/>
                    </w:rPr>
                  </w:pPr>
                  <w:r>
                    <w:rPr>
                      <w:rFonts w:hint="eastAsia"/>
                      <w:bCs/>
                      <w:color w:val="auto"/>
                      <w:szCs w:val="21"/>
                      <w:highlight w:val="none"/>
                    </w:rPr>
                    <w:t>下层主路：25</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8</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32</w:t>
                  </w:r>
                </w:p>
              </w:tc>
              <w:tc>
                <w:tcPr>
                  <w:tcW w:w="691"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737"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2072" w:type="dxa"/>
                  <w:tcMar>
                    <w:left w:w="28" w:type="dxa"/>
                    <w:right w:w="28" w:type="dxa"/>
                  </w:tcMar>
                  <w:vAlign w:val="center"/>
                </w:tcPr>
                <w:p>
                  <w:pPr>
                    <w:adjustRightInd w:val="0"/>
                    <w:snapToGrid w:val="0"/>
                    <w:jc w:val="center"/>
                    <w:rPr>
                      <w:rFonts w:hint="eastAsia"/>
                      <w:color w:val="auto"/>
                      <w:szCs w:val="21"/>
                      <w:highlight w:val="none"/>
                    </w:rPr>
                  </w:pPr>
                  <w:r>
                    <w:rPr>
                      <w:rFonts w:hint="eastAsia"/>
                      <w:color w:val="auto"/>
                      <w:szCs w:val="21"/>
                      <w:highlight w:val="none"/>
                    </w:rPr>
                    <w:t>寺庙，砖混</w:t>
                  </w:r>
                  <w:r>
                    <w:rPr>
                      <w:color w:val="auto"/>
                      <w:szCs w:val="21"/>
                      <w:highlight w:val="none"/>
                    </w:rPr>
                    <w:t>结构，</w:t>
                  </w:r>
                  <w:r>
                    <w:rPr>
                      <w:rFonts w:hint="eastAsia"/>
                      <w:color w:val="auto"/>
                      <w:szCs w:val="21"/>
                      <w:highlight w:val="none"/>
                    </w:rPr>
                    <w:t>2层</w:t>
                  </w:r>
                  <w:r>
                    <w:rPr>
                      <w:color w:val="auto"/>
                      <w:szCs w:val="21"/>
                      <w:highlight w:val="none"/>
                    </w:rPr>
                    <w:t>。</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5" w:hRule="atLeast"/>
                <w:jc w:val="center"/>
              </w:trPr>
              <w:tc>
                <w:tcPr>
                  <w:tcW w:w="505" w:type="dxa"/>
                  <w:vMerge w:val="restart"/>
                  <w:vAlign w:val="center"/>
                </w:tcPr>
                <w:p>
                  <w:pPr>
                    <w:adjustRightInd w:val="0"/>
                    <w:snapToGrid w:val="0"/>
                    <w:jc w:val="center"/>
                    <w:rPr>
                      <w:b/>
                      <w:color w:val="auto"/>
                      <w:szCs w:val="21"/>
                      <w:highlight w:val="none"/>
                    </w:rPr>
                  </w:pPr>
                  <w:r>
                    <w:rPr>
                      <w:rFonts w:hint="eastAsia"/>
                      <w:b/>
                      <w:color w:val="auto"/>
                      <w:szCs w:val="21"/>
                      <w:highlight w:val="none"/>
                    </w:rPr>
                    <w:t>19</w:t>
                  </w:r>
                </w:p>
              </w:tc>
              <w:tc>
                <w:tcPr>
                  <w:tcW w:w="577" w:type="dxa"/>
                  <w:vMerge w:val="restart"/>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伊斯兰圣墓</w:t>
                  </w:r>
                </w:p>
              </w:tc>
              <w:tc>
                <w:tcPr>
                  <w:tcW w:w="788"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本体</w:t>
                  </w:r>
                </w:p>
              </w:tc>
              <w:tc>
                <w:tcPr>
                  <w:tcW w:w="1481" w:type="dxa"/>
                  <w:vMerge w:val="restart"/>
                  <w:vAlign w:val="center"/>
                </w:tcPr>
                <w:p>
                  <w:pPr>
                    <w:pStyle w:val="69"/>
                    <w:adjustRightInd w:val="0"/>
                    <w:snapToGrid w:val="0"/>
                    <w:rPr>
                      <w:rFonts w:hint="eastAsia"/>
                      <w:color w:val="auto"/>
                      <w:highlight w:val="none"/>
                    </w:rPr>
                  </w:pPr>
                  <w:r>
                    <w:rPr>
                      <w:rFonts w:hint="eastAsia"/>
                      <w:color w:val="auto"/>
                      <w:highlight w:val="none"/>
                    </w:rPr>
                    <w:t>双层隧道路段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K0+580~K0+600</w:t>
                  </w:r>
                </w:p>
              </w:tc>
              <w:tc>
                <w:tcPr>
                  <w:tcW w:w="901" w:type="dxa"/>
                  <w:vAlign w:val="center"/>
                </w:tcPr>
                <w:p>
                  <w:pPr>
                    <w:adjustRightInd w:val="0"/>
                    <w:snapToGrid w:val="0"/>
                    <w:jc w:val="center"/>
                    <w:rPr>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W</w:t>
                  </w:r>
                </w:p>
              </w:tc>
              <w:tc>
                <w:tcPr>
                  <w:tcW w:w="1894" w:type="dxa"/>
                  <w:vMerge w:val="restart"/>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上层辅路：-2~22</w:t>
                  </w:r>
                </w:p>
                <w:p>
                  <w:pPr>
                    <w:adjustRightInd w:val="0"/>
                    <w:snapToGrid w:val="0"/>
                    <w:jc w:val="center"/>
                    <w:rPr>
                      <w:rFonts w:hint="eastAsia" w:eastAsia="宋体"/>
                      <w:bCs/>
                      <w:color w:val="auto"/>
                      <w:szCs w:val="21"/>
                      <w:highlight w:val="none"/>
                      <w:lang w:eastAsia="zh-CN"/>
                    </w:rPr>
                  </w:pPr>
                  <w:r>
                    <w:rPr>
                      <w:rFonts w:hint="eastAsia"/>
                      <w:bCs/>
                      <w:color w:val="auto"/>
                      <w:szCs w:val="21"/>
                      <w:highlight w:val="none"/>
                    </w:rPr>
                    <w:t>下层主路：5.5~29.5</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57</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81</w:t>
                  </w:r>
                </w:p>
              </w:tc>
              <w:tc>
                <w:tcPr>
                  <w:tcW w:w="691"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737"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2072" w:type="dxa"/>
                  <w:vMerge w:val="restart"/>
                  <w:tcMar>
                    <w:left w:w="28" w:type="dxa"/>
                    <w:right w:w="28" w:type="dxa"/>
                  </w:tcMar>
                  <w:vAlign w:val="center"/>
                </w:tcPr>
                <w:p>
                  <w:pPr>
                    <w:adjustRightInd w:val="0"/>
                    <w:snapToGrid w:val="0"/>
                    <w:jc w:val="center"/>
                    <w:rPr>
                      <w:rFonts w:hint="eastAsia"/>
                      <w:color w:val="auto"/>
                      <w:szCs w:val="21"/>
                      <w:highlight w:val="none"/>
                    </w:rPr>
                  </w:pPr>
                  <w:r>
                    <w:rPr>
                      <w:rFonts w:hint="eastAsia"/>
                      <w:color w:val="auto"/>
                      <w:szCs w:val="21"/>
                      <w:highlight w:val="none"/>
                    </w:rPr>
                    <w:t>市级文物保护单位</w:t>
                  </w:r>
                </w:p>
              </w:tc>
              <w:tc>
                <w:tcPr>
                  <w:tcW w:w="3150" w:type="dxa"/>
                  <w:vMerge w:val="restart"/>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vMerge w:val="restart"/>
                  <w:tcMar>
                    <w:left w:w="28" w:type="dxa"/>
                    <w:right w:w="28" w:type="dxa"/>
                  </w:tcMar>
                  <w:vAlign w:val="center"/>
                </w:tcPr>
                <w:p>
                  <w:pPr>
                    <w:adjustRightInd w:val="0"/>
                    <w:snapToGrid w:val="0"/>
                    <w:spacing w:before="120" w:beforeLines="50" w:after="120" w:afterLines="5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4" w:hRule="atLeast"/>
                <w:jc w:val="center"/>
              </w:trPr>
              <w:tc>
                <w:tcPr>
                  <w:tcW w:w="505" w:type="dxa"/>
                  <w:vMerge w:val="continue"/>
                  <w:vAlign w:val="center"/>
                </w:tcPr>
                <w:p>
                  <w:pPr>
                    <w:adjustRightInd w:val="0"/>
                    <w:snapToGrid w:val="0"/>
                    <w:jc w:val="center"/>
                    <w:rPr>
                      <w:rFonts w:hint="eastAsia"/>
                      <w:b/>
                      <w:color w:val="auto"/>
                      <w:szCs w:val="21"/>
                      <w:highlight w:val="none"/>
                    </w:rPr>
                  </w:pPr>
                </w:p>
              </w:tc>
              <w:tc>
                <w:tcPr>
                  <w:tcW w:w="577" w:type="dxa"/>
                  <w:vMerge w:val="continue"/>
                  <w:vAlign w:val="center"/>
                </w:tcPr>
                <w:p>
                  <w:pPr>
                    <w:adjustRightInd w:val="0"/>
                    <w:snapToGrid w:val="0"/>
                    <w:jc w:val="center"/>
                    <w:rPr>
                      <w:rFonts w:hint="eastAsia"/>
                      <w:color w:val="auto"/>
                      <w:kern w:val="0"/>
                      <w:szCs w:val="21"/>
                      <w:highlight w:val="none"/>
                    </w:rPr>
                  </w:pPr>
                </w:p>
              </w:tc>
              <w:tc>
                <w:tcPr>
                  <w:tcW w:w="788"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保护范围</w:t>
                  </w:r>
                </w:p>
              </w:tc>
              <w:tc>
                <w:tcPr>
                  <w:tcW w:w="1481" w:type="dxa"/>
                  <w:vMerge w:val="continue"/>
                  <w:vAlign w:val="center"/>
                </w:tcPr>
                <w:p>
                  <w:pPr>
                    <w:pStyle w:val="69"/>
                    <w:adjustRightInd w:val="0"/>
                    <w:snapToGrid w:val="0"/>
                    <w:rPr>
                      <w:rFonts w:hint="eastAsia"/>
                      <w:color w:val="auto"/>
                      <w:highlight w:val="none"/>
                    </w:rPr>
                  </w:pP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K0+420~K0+640</w:t>
                  </w:r>
                </w:p>
              </w:tc>
              <w:tc>
                <w:tcPr>
                  <w:tcW w:w="901" w:type="dxa"/>
                  <w:vAlign w:val="center"/>
                </w:tcPr>
                <w:p>
                  <w:pPr>
                    <w:adjustRightInd w:val="0"/>
                    <w:snapToGrid w:val="0"/>
                    <w:jc w:val="center"/>
                    <w:rPr>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W</w:t>
                  </w:r>
                </w:p>
              </w:tc>
              <w:tc>
                <w:tcPr>
                  <w:tcW w:w="1894" w:type="dxa"/>
                  <w:vMerge w:val="continue"/>
                  <w:vAlign w:val="center"/>
                </w:tcPr>
                <w:p>
                  <w:pPr>
                    <w:adjustRightInd w:val="0"/>
                    <w:snapToGrid w:val="0"/>
                    <w:jc w:val="center"/>
                    <w:rPr>
                      <w:rFonts w:hint="eastAsia" w:eastAsia="宋体"/>
                      <w:bCs/>
                      <w:color w:val="auto"/>
                      <w:szCs w:val="21"/>
                      <w:highlight w:val="none"/>
                      <w:lang w:eastAsia="zh-CN"/>
                    </w:rPr>
                  </w:pPr>
                </w:p>
              </w:tc>
              <w:tc>
                <w:tcPr>
                  <w:tcW w:w="881" w:type="dxa"/>
                  <w:vAlign w:val="center"/>
                </w:tcPr>
                <w:p>
                  <w:pPr>
                    <w:adjustRightInd w:val="0"/>
                    <w:snapToGrid w:val="0"/>
                    <w:jc w:val="center"/>
                    <w:rPr>
                      <w:color w:val="auto"/>
                      <w:szCs w:val="21"/>
                      <w:highlight w:val="none"/>
                    </w:rPr>
                  </w:pPr>
                  <w:r>
                    <w:rPr>
                      <w:rFonts w:hint="eastAsia"/>
                      <w:color w:val="auto"/>
                      <w:szCs w:val="21"/>
                      <w:highlight w:val="none"/>
                    </w:rPr>
                    <w:t>位于项目红线内</w:t>
                  </w:r>
                </w:p>
              </w:tc>
              <w:tc>
                <w:tcPr>
                  <w:tcW w:w="833" w:type="dxa"/>
                  <w:vAlign w:val="center"/>
                </w:tcPr>
                <w:p>
                  <w:pPr>
                    <w:adjustRightInd w:val="0"/>
                    <w:snapToGrid w:val="0"/>
                    <w:jc w:val="center"/>
                    <w:rPr>
                      <w:rFonts w:hint="eastAsia"/>
                      <w:color w:val="auto"/>
                      <w:szCs w:val="21"/>
                      <w:highlight w:val="none"/>
                    </w:rPr>
                  </w:pPr>
                  <w:r>
                    <w:rPr>
                      <w:rFonts w:hint="eastAsia"/>
                      <w:color w:val="auto"/>
                      <w:szCs w:val="21"/>
                      <w:highlight w:val="none"/>
                    </w:rPr>
                    <w:t>位于项目红线内</w:t>
                  </w:r>
                </w:p>
              </w:tc>
              <w:tc>
                <w:tcPr>
                  <w:tcW w:w="691"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737"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2072" w:type="dxa"/>
                  <w:vMerge w:val="continue"/>
                  <w:tcMar>
                    <w:left w:w="28" w:type="dxa"/>
                    <w:right w:w="28" w:type="dxa"/>
                  </w:tcMar>
                  <w:vAlign w:val="center"/>
                </w:tcPr>
                <w:p>
                  <w:pPr>
                    <w:adjustRightInd w:val="0"/>
                    <w:snapToGrid w:val="0"/>
                    <w:jc w:val="center"/>
                    <w:rPr>
                      <w:rFonts w:hint="eastAsia"/>
                      <w:color w:val="auto"/>
                      <w:szCs w:val="21"/>
                      <w:highlight w:val="none"/>
                    </w:rPr>
                  </w:pPr>
                </w:p>
              </w:tc>
              <w:tc>
                <w:tcPr>
                  <w:tcW w:w="3150" w:type="dxa"/>
                  <w:vMerge w:val="continue"/>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vMerge w:val="continue"/>
                  <w:tcMar>
                    <w:left w:w="28" w:type="dxa"/>
                    <w:right w:w="28" w:type="dxa"/>
                  </w:tcMar>
                  <w:vAlign w:val="center"/>
                </w:tcPr>
                <w:p>
                  <w:pPr>
                    <w:adjustRightInd w:val="0"/>
                    <w:snapToGrid w:val="0"/>
                    <w:spacing w:before="120" w:beforeLines="50" w:after="120" w:afterLines="5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5" w:hRule="atLeast"/>
                <w:jc w:val="center"/>
              </w:trPr>
              <w:tc>
                <w:tcPr>
                  <w:tcW w:w="505" w:type="dxa"/>
                  <w:vMerge w:val="continue"/>
                  <w:vAlign w:val="center"/>
                </w:tcPr>
                <w:p>
                  <w:pPr>
                    <w:adjustRightInd w:val="0"/>
                    <w:snapToGrid w:val="0"/>
                    <w:jc w:val="center"/>
                    <w:rPr>
                      <w:rFonts w:hint="eastAsia"/>
                      <w:b/>
                      <w:color w:val="auto"/>
                      <w:szCs w:val="21"/>
                      <w:highlight w:val="none"/>
                    </w:rPr>
                  </w:pPr>
                </w:p>
              </w:tc>
              <w:tc>
                <w:tcPr>
                  <w:tcW w:w="577" w:type="dxa"/>
                  <w:vMerge w:val="continue"/>
                  <w:vAlign w:val="center"/>
                </w:tcPr>
                <w:p>
                  <w:pPr>
                    <w:adjustRightInd w:val="0"/>
                    <w:snapToGrid w:val="0"/>
                    <w:jc w:val="center"/>
                    <w:rPr>
                      <w:rFonts w:hint="eastAsia"/>
                      <w:color w:val="auto"/>
                      <w:kern w:val="0"/>
                      <w:szCs w:val="21"/>
                      <w:highlight w:val="none"/>
                    </w:rPr>
                  </w:pPr>
                </w:p>
              </w:tc>
              <w:tc>
                <w:tcPr>
                  <w:tcW w:w="788"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建设控制地带</w:t>
                  </w:r>
                </w:p>
              </w:tc>
              <w:tc>
                <w:tcPr>
                  <w:tcW w:w="1481" w:type="dxa"/>
                  <w:vMerge w:val="continue"/>
                  <w:vAlign w:val="center"/>
                </w:tcPr>
                <w:p>
                  <w:pPr>
                    <w:pStyle w:val="69"/>
                    <w:adjustRightInd w:val="0"/>
                    <w:snapToGrid w:val="0"/>
                    <w:rPr>
                      <w:rFonts w:hint="eastAsia"/>
                      <w:color w:val="auto"/>
                      <w:highlight w:val="none"/>
                    </w:rPr>
                  </w:pP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K0+4200~K0+660</w:t>
                  </w:r>
                </w:p>
              </w:tc>
              <w:tc>
                <w:tcPr>
                  <w:tcW w:w="901" w:type="dxa"/>
                  <w:vAlign w:val="center"/>
                </w:tcPr>
                <w:p>
                  <w:pPr>
                    <w:adjustRightInd w:val="0"/>
                    <w:snapToGrid w:val="0"/>
                    <w:jc w:val="center"/>
                    <w:rPr>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W</w:t>
                  </w:r>
                </w:p>
              </w:tc>
              <w:tc>
                <w:tcPr>
                  <w:tcW w:w="1894" w:type="dxa"/>
                  <w:vMerge w:val="continue"/>
                  <w:vAlign w:val="center"/>
                </w:tcPr>
                <w:p>
                  <w:pPr>
                    <w:adjustRightInd w:val="0"/>
                    <w:snapToGrid w:val="0"/>
                    <w:jc w:val="center"/>
                    <w:rPr>
                      <w:rFonts w:hint="eastAsia" w:eastAsia="宋体"/>
                      <w:bCs/>
                      <w:color w:val="auto"/>
                      <w:szCs w:val="21"/>
                      <w:highlight w:val="none"/>
                      <w:lang w:eastAsia="zh-CN"/>
                    </w:rPr>
                  </w:pPr>
                </w:p>
              </w:tc>
              <w:tc>
                <w:tcPr>
                  <w:tcW w:w="881" w:type="dxa"/>
                  <w:vAlign w:val="center"/>
                </w:tcPr>
                <w:p>
                  <w:pPr>
                    <w:adjustRightInd w:val="0"/>
                    <w:snapToGrid w:val="0"/>
                    <w:jc w:val="center"/>
                    <w:rPr>
                      <w:color w:val="auto"/>
                      <w:szCs w:val="21"/>
                      <w:highlight w:val="none"/>
                    </w:rPr>
                  </w:pPr>
                  <w:r>
                    <w:rPr>
                      <w:rFonts w:hint="eastAsia"/>
                      <w:color w:val="auto"/>
                      <w:szCs w:val="21"/>
                      <w:highlight w:val="none"/>
                    </w:rPr>
                    <w:t>位于项目红线内</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位于项目红线内</w:t>
                  </w:r>
                </w:p>
              </w:tc>
              <w:tc>
                <w:tcPr>
                  <w:tcW w:w="691"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737"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2072" w:type="dxa"/>
                  <w:vMerge w:val="continue"/>
                  <w:tcMar>
                    <w:left w:w="28" w:type="dxa"/>
                    <w:right w:w="28" w:type="dxa"/>
                  </w:tcMar>
                  <w:vAlign w:val="center"/>
                </w:tcPr>
                <w:p>
                  <w:pPr>
                    <w:adjustRightInd w:val="0"/>
                    <w:snapToGrid w:val="0"/>
                    <w:jc w:val="center"/>
                    <w:rPr>
                      <w:rFonts w:hint="eastAsia"/>
                      <w:color w:val="auto"/>
                      <w:szCs w:val="21"/>
                      <w:highlight w:val="none"/>
                    </w:rPr>
                  </w:pPr>
                </w:p>
              </w:tc>
              <w:tc>
                <w:tcPr>
                  <w:tcW w:w="3150" w:type="dxa"/>
                  <w:vMerge w:val="continue"/>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vMerge w:val="continue"/>
                  <w:tcMar>
                    <w:left w:w="28" w:type="dxa"/>
                    <w:right w:w="28" w:type="dxa"/>
                  </w:tcMar>
                  <w:vAlign w:val="center"/>
                </w:tcPr>
                <w:p>
                  <w:pPr>
                    <w:adjustRightInd w:val="0"/>
                    <w:snapToGrid w:val="0"/>
                    <w:spacing w:before="120" w:beforeLines="50" w:after="120" w:afterLines="5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20</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福建省司法大楼</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隧道北侧箱型路段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K0+570~K0+620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上层辅路：-1.58~2.99</w:t>
                  </w:r>
                </w:p>
                <w:p>
                  <w:pPr>
                    <w:adjustRightInd w:val="0"/>
                    <w:snapToGrid w:val="0"/>
                    <w:jc w:val="center"/>
                    <w:rPr>
                      <w:rFonts w:hint="eastAsia" w:eastAsia="宋体"/>
                      <w:bCs/>
                      <w:color w:val="auto"/>
                      <w:szCs w:val="21"/>
                      <w:highlight w:val="none"/>
                      <w:lang w:eastAsia="zh-CN"/>
                    </w:rPr>
                  </w:pPr>
                  <w:r>
                    <w:rPr>
                      <w:rFonts w:hint="eastAsia"/>
                      <w:bCs/>
                      <w:color w:val="auto"/>
                      <w:szCs w:val="21"/>
                      <w:highlight w:val="none"/>
                    </w:rPr>
                    <w:t>下层主路：5.96~8.81</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10</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34</w:t>
                  </w:r>
                </w:p>
              </w:tc>
              <w:tc>
                <w:tcPr>
                  <w:tcW w:w="691" w:type="dxa"/>
                  <w:vAlign w:val="center"/>
                </w:tcPr>
                <w:p>
                  <w:pPr>
                    <w:adjustRightInd w:val="0"/>
                    <w:snapToGrid w:val="0"/>
                    <w:jc w:val="center"/>
                    <w:rPr>
                      <w:color w:val="auto"/>
                      <w:szCs w:val="21"/>
                      <w:highlight w:val="none"/>
                    </w:rPr>
                  </w:pPr>
                </w:p>
              </w:tc>
              <w:tc>
                <w:tcPr>
                  <w:tcW w:w="737" w:type="dxa"/>
                  <w:vAlign w:val="center"/>
                </w:tcPr>
                <w:p>
                  <w:pPr>
                    <w:adjustRightInd w:val="0"/>
                    <w:snapToGrid w:val="0"/>
                    <w:jc w:val="center"/>
                    <w:rPr>
                      <w:color w:val="auto"/>
                      <w:szCs w:val="21"/>
                      <w:highlight w:val="none"/>
                    </w:rPr>
                  </w:pPr>
                  <w:r>
                    <w:rPr>
                      <w:rFonts w:hint="eastAsia"/>
                      <w:color w:val="auto"/>
                      <w:szCs w:val="21"/>
                      <w:highlight w:val="none"/>
                      <w:lang w:val="en-US" w:eastAsia="zh-CN"/>
                    </w:rPr>
                    <w:t>100</w:t>
                  </w:r>
                  <w:r>
                    <w:rPr>
                      <w:rFonts w:hint="eastAsia"/>
                      <w:color w:val="auto"/>
                      <w:szCs w:val="21"/>
                      <w:highlight w:val="none"/>
                    </w:rPr>
                    <w:t>人</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政府机构，钢筋混凝土结构，17层，面向道路一侧。</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21</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梅峰井边新村</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隧道北侧箱型路段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K0+620~K0+680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 w:val="0"/>
                      <w:bCs/>
                      <w:color w:val="auto"/>
                      <w:szCs w:val="21"/>
                      <w:highlight w:val="none"/>
                    </w:rPr>
                  </w:pPr>
                  <w:r>
                    <w:rPr>
                      <w:rFonts w:hint="eastAsia"/>
                      <w:b w:val="0"/>
                      <w:bCs/>
                      <w:color w:val="auto"/>
                      <w:szCs w:val="21"/>
                      <w:highlight w:val="none"/>
                    </w:rPr>
                    <w:t>上层辅路：-1.43~2.99</w:t>
                  </w:r>
                </w:p>
                <w:p>
                  <w:pPr>
                    <w:adjustRightInd w:val="0"/>
                    <w:snapToGrid w:val="0"/>
                    <w:jc w:val="center"/>
                    <w:rPr>
                      <w:rFonts w:hint="eastAsia" w:eastAsia="宋体"/>
                      <w:bCs/>
                      <w:color w:val="auto"/>
                      <w:szCs w:val="21"/>
                      <w:highlight w:val="none"/>
                      <w:lang w:eastAsia="zh-CN"/>
                    </w:rPr>
                  </w:pPr>
                  <w:r>
                    <w:rPr>
                      <w:rFonts w:hint="eastAsia"/>
                      <w:b w:val="0"/>
                      <w:bCs/>
                      <w:color w:val="auto"/>
                      <w:szCs w:val="21"/>
                      <w:highlight w:val="none"/>
                    </w:rPr>
                    <w:t>下层主路：6.41~7.41</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10</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34</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57</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58</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住宅小区，砖混</w:t>
                  </w:r>
                  <w:r>
                    <w:rPr>
                      <w:color w:val="auto"/>
                      <w:szCs w:val="21"/>
                      <w:highlight w:val="none"/>
                    </w:rPr>
                    <w:t>结构，</w:t>
                  </w:r>
                  <w:r>
                    <w:rPr>
                      <w:rFonts w:hint="eastAsia"/>
                      <w:color w:val="auto"/>
                      <w:szCs w:val="21"/>
                      <w:highlight w:val="none"/>
                    </w:rPr>
                    <w:t>5层</w:t>
                  </w:r>
                  <w:r>
                    <w:rPr>
                      <w:color w:val="auto"/>
                      <w:szCs w:val="21"/>
                      <w:highlight w:val="none"/>
                    </w:rPr>
                    <w:t>；房屋多侧向道路。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22</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山海观花园新城</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隧道北侧箱型路段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K0+600~K0+720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W</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二环匝道：0.22~2.56</w:t>
                  </w:r>
                </w:p>
                <w:p>
                  <w:pPr>
                    <w:adjustRightInd w:val="0"/>
                    <w:snapToGrid w:val="0"/>
                    <w:jc w:val="center"/>
                    <w:rPr>
                      <w:rFonts w:hint="eastAsia"/>
                      <w:bCs/>
                      <w:color w:val="auto"/>
                      <w:szCs w:val="21"/>
                      <w:highlight w:val="none"/>
                    </w:rPr>
                  </w:pPr>
                  <w:r>
                    <w:rPr>
                      <w:rFonts w:hint="eastAsia"/>
                      <w:bCs/>
                      <w:color w:val="auto"/>
                      <w:szCs w:val="21"/>
                      <w:highlight w:val="none"/>
                    </w:rPr>
                    <w:t>上层辅路：0.2~1.82</w:t>
                  </w:r>
                </w:p>
                <w:p>
                  <w:pPr>
                    <w:adjustRightInd w:val="0"/>
                    <w:snapToGrid w:val="0"/>
                    <w:jc w:val="center"/>
                    <w:rPr>
                      <w:rFonts w:hint="eastAsia" w:eastAsia="宋体"/>
                      <w:bCs/>
                      <w:color w:val="auto"/>
                      <w:szCs w:val="21"/>
                      <w:highlight w:val="none"/>
                      <w:lang w:eastAsia="zh-CN"/>
                    </w:rPr>
                  </w:pPr>
                  <w:r>
                    <w:rPr>
                      <w:rFonts w:hint="eastAsia"/>
                      <w:bCs/>
                      <w:color w:val="auto"/>
                      <w:szCs w:val="21"/>
                      <w:highlight w:val="none"/>
                    </w:rPr>
                    <w:t>下层主路：1.3~5.56</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2</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26</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150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350</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住宅小区，钢筋混凝土</w:t>
                  </w:r>
                  <w:r>
                    <w:rPr>
                      <w:color w:val="auto"/>
                      <w:szCs w:val="21"/>
                      <w:highlight w:val="none"/>
                    </w:rPr>
                    <w:t>结构，</w:t>
                  </w:r>
                  <w:r>
                    <w:rPr>
                      <w:rFonts w:hint="eastAsia"/>
                      <w:color w:val="auto"/>
                      <w:szCs w:val="21"/>
                      <w:highlight w:val="none"/>
                    </w:rPr>
                    <w:t>7~22层</w:t>
                  </w:r>
                  <w:r>
                    <w:rPr>
                      <w:color w:val="auto"/>
                      <w:szCs w:val="21"/>
                      <w:highlight w:val="none"/>
                    </w:rPr>
                    <w:t>；房屋多侧向道路。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23</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福建行政学校（梅峰校区）</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隧道北侧U槽路段</w:t>
                  </w:r>
                </w:p>
              </w:tc>
              <w:tc>
                <w:tcPr>
                  <w:tcW w:w="1706" w:type="dxa"/>
                  <w:vAlign w:val="center"/>
                </w:tcPr>
                <w:p>
                  <w:pPr>
                    <w:adjustRightInd w:val="0"/>
                    <w:snapToGrid w:val="0"/>
                    <w:jc w:val="center"/>
                    <w:rPr>
                      <w:color w:val="auto"/>
                      <w:szCs w:val="21"/>
                      <w:highlight w:val="none"/>
                    </w:rPr>
                  </w:pPr>
                  <w:r>
                    <w:rPr>
                      <w:rFonts w:hint="eastAsia"/>
                      <w:color w:val="auto"/>
                      <w:szCs w:val="21"/>
                      <w:highlight w:val="none"/>
                    </w:rPr>
                    <w:t>K0+720~K0+800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W</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二环匝道：-0.06~2.16</w:t>
                  </w:r>
                </w:p>
                <w:p>
                  <w:pPr>
                    <w:adjustRightInd w:val="0"/>
                    <w:snapToGrid w:val="0"/>
                    <w:jc w:val="center"/>
                    <w:rPr>
                      <w:rFonts w:hint="eastAsia"/>
                      <w:bCs/>
                      <w:color w:val="auto"/>
                      <w:szCs w:val="21"/>
                      <w:highlight w:val="none"/>
                    </w:rPr>
                  </w:pPr>
                  <w:r>
                    <w:rPr>
                      <w:rFonts w:hint="eastAsia"/>
                      <w:bCs/>
                      <w:color w:val="auto"/>
                      <w:szCs w:val="21"/>
                      <w:highlight w:val="none"/>
                    </w:rPr>
                    <w:t>上层辅路：0.2~1.82</w:t>
                  </w:r>
                </w:p>
                <w:p>
                  <w:pPr>
                    <w:adjustRightInd w:val="0"/>
                    <w:snapToGrid w:val="0"/>
                    <w:jc w:val="center"/>
                    <w:rPr>
                      <w:rFonts w:hint="eastAsia" w:eastAsia="宋体"/>
                      <w:bCs/>
                      <w:color w:val="auto"/>
                      <w:szCs w:val="21"/>
                      <w:highlight w:val="none"/>
                      <w:lang w:eastAsia="zh-CN"/>
                    </w:rPr>
                  </w:pPr>
                  <w:r>
                    <w:rPr>
                      <w:rFonts w:hint="eastAsia"/>
                      <w:bCs/>
                      <w:color w:val="auto"/>
                      <w:szCs w:val="21"/>
                      <w:highlight w:val="none"/>
                    </w:rPr>
                    <w:t>下层主路：5.56~7.22</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5</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29</w:t>
                  </w:r>
                </w:p>
              </w:tc>
              <w:tc>
                <w:tcPr>
                  <w:tcW w:w="691" w:type="dxa"/>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师生约200人</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学校，钢筋混凝土</w:t>
                  </w:r>
                  <w:r>
                    <w:rPr>
                      <w:color w:val="auto"/>
                      <w:szCs w:val="21"/>
                      <w:highlight w:val="none"/>
                    </w:rPr>
                    <w:t>结构，</w:t>
                  </w:r>
                  <w:r>
                    <w:rPr>
                      <w:rFonts w:hint="eastAsia"/>
                      <w:color w:val="auto"/>
                      <w:szCs w:val="21"/>
                      <w:highlight w:val="none"/>
                    </w:rPr>
                    <w:t>4~13层</w:t>
                  </w:r>
                  <w:r>
                    <w:rPr>
                      <w:color w:val="auto"/>
                      <w:szCs w:val="21"/>
                      <w:highlight w:val="none"/>
                    </w:rPr>
                    <w:t>；多侧向道路。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24</w:t>
                  </w:r>
                </w:p>
              </w:tc>
              <w:tc>
                <w:tcPr>
                  <w:tcW w:w="1365" w:type="dxa"/>
                  <w:gridSpan w:val="2"/>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rPr>
                    <w:t>福建省档案馆</w:t>
                  </w:r>
                  <w:r>
                    <w:rPr>
                      <w:rFonts w:hint="eastAsia"/>
                      <w:color w:val="auto"/>
                      <w:kern w:val="0"/>
                      <w:szCs w:val="21"/>
                      <w:highlight w:val="none"/>
                      <w:lang w:eastAsia="zh-CN"/>
                    </w:rPr>
                    <w:t>（</w:t>
                  </w:r>
                  <w:r>
                    <w:rPr>
                      <w:rFonts w:hint="eastAsia"/>
                      <w:color w:val="auto"/>
                      <w:kern w:val="0"/>
                      <w:szCs w:val="21"/>
                      <w:highlight w:val="none"/>
                      <w:lang w:val="en-US" w:eastAsia="zh-CN"/>
                    </w:rPr>
                    <w:t>后库）</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隧道北侧U槽路段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K0+720~K0+800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路堑</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W</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二环匝道：-0.06~2.16</w:t>
                  </w:r>
                </w:p>
                <w:p>
                  <w:pPr>
                    <w:adjustRightInd w:val="0"/>
                    <w:snapToGrid w:val="0"/>
                    <w:jc w:val="center"/>
                    <w:rPr>
                      <w:rFonts w:hint="eastAsia"/>
                      <w:bCs/>
                      <w:color w:val="auto"/>
                      <w:szCs w:val="21"/>
                      <w:highlight w:val="none"/>
                    </w:rPr>
                  </w:pPr>
                  <w:r>
                    <w:rPr>
                      <w:rFonts w:hint="eastAsia"/>
                      <w:bCs/>
                      <w:color w:val="auto"/>
                      <w:szCs w:val="21"/>
                      <w:highlight w:val="none"/>
                    </w:rPr>
                    <w:t>上层辅路：0.2~1.82</w:t>
                  </w:r>
                </w:p>
                <w:p>
                  <w:pPr>
                    <w:adjustRightInd w:val="0"/>
                    <w:snapToGrid w:val="0"/>
                    <w:jc w:val="center"/>
                    <w:rPr>
                      <w:rFonts w:hint="eastAsia" w:eastAsia="宋体"/>
                      <w:bCs/>
                      <w:color w:val="auto"/>
                      <w:szCs w:val="21"/>
                      <w:highlight w:val="none"/>
                      <w:lang w:eastAsia="zh-CN"/>
                    </w:rPr>
                  </w:pPr>
                  <w:r>
                    <w:rPr>
                      <w:rFonts w:hint="eastAsia"/>
                      <w:bCs/>
                      <w:color w:val="auto"/>
                      <w:szCs w:val="21"/>
                      <w:highlight w:val="none"/>
                    </w:rPr>
                    <w:t>下层主路：5.56~7.22</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60</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84</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20人</w:t>
                  </w:r>
                </w:p>
              </w:tc>
              <w:tc>
                <w:tcPr>
                  <w:tcW w:w="2072" w:type="dxa"/>
                  <w:tcMar>
                    <w:left w:w="28" w:type="dxa"/>
                    <w:right w:w="28" w:type="dxa"/>
                  </w:tcMar>
                  <w:vAlign w:val="center"/>
                </w:tcPr>
                <w:p>
                  <w:pPr>
                    <w:adjustRightInd w:val="0"/>
                    <w:snapToGrid w:val="0"/>
                    <w:jc w:val="center"/>
                    <w:rPr>
                      <w:rFonts w:hint="eastAsia"/>
                      <w:color w:val="auto"/>
                      <w:szCs w:val="21"/>
                      <w:highlight w:val="none"/>
                    </w:rPr>
                  </w:pPr>
                  <w:r>
                    <w:rPr>
                      <w:rFonts w:hint="eastAsia"/>
                      <w:color w:val="auto"/>
                      <w:szCs w:val="21"/>
                      <w:highlight w:val="none"/>
                    </w:rPr>
                    <w:t>事业单位，钢筋混凝土</w:t>
                  </w:r>
                  <w:r>
                    <w:rPr>
                      <w:color w:val="auto"/>
                      <w:szCs w:val="21"/>
                      <w:highlight w:val="none"/>
                    </w:rPr>
                    <w:t>结构，</w:t>
                  </w:r>
                  <w:r>
                    <w:rPr>
                      <w:rFonts w:hint="eastAsia"/>
                      <w:color w:val="auto"/>
                      <w:szCs w:val="21"/>
                      <w:highlight w:val="none"/>
                    </w:rPr>
                    <w:t>4~6层</w:t>
                  </w:r>
                  <w:r>
                    <w:rPr>
                      <w:color w:val="auto"/>
                      <w:szCs w:val="21"/>
                      <w:highlight w:val="none"/>
                    </w:rPr>
                    <w:t>；</w:t>
                  </w:r>
                  <w:r>
                    <w:rPr>
                      <w:rFonts w:hint="eastAsia"/>
                      <w:color w:val="auto"/>
                      <w:szCs w:val="21"/>
                      <w:highlight w:val="none"/>
                    </w:rPr>
                    <w:t>不面向道路</w:t>
                  </w:r>
                  <w:r>
                    <w:rPr>
                      <w:color w:val="auto"/>
                      <w:szCs w:val="21"/>
                      <w:highlight w:val="none"/>
                    </w:rPr>
                    <w:t>。</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25</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西湖公园</w:t>
                  </w:r>
                </w:p>
              </w:tc>
              <w:tc>
                <w:tcPr>
                  <w:tcW w:w="1481" w:type="dxa"/>
                  <w:vAlign w:val="center"/>
                </w:tcPr>
                <w:p>
                  <w:pPr>
                    <w:pStyle w:val="69"/>
                    <w:adjustRightInd w:val="0"/>
                    <w:snapToGrid w:val="0"/>
                    <w:rPr>
                      <w:rFonts w:hint="eastAsia"/>
                      <w:color w:val="auto"/>
                      <w:highlight w:val="none"/>
                    </w:rPr>
                  </w:pPr>
                  <w:r>
                    <w:rPr>
                      <w:rFonts w:hint="eastAsia"/>
                      <w:color w:val="auto"/>
                      <w:highlight w:val="none"/>
                    </w:rPr>
                    <w:t>双层隧道路段、</w:t>
                  </w:r>
                </w:p>
                <w:p>
                  <w:pPr>
                    <w:pStyle w:val="69"/>
                    <w:adjustRightInd w:val="0"/>
                    <w:snapToGrid w:val="0"/>
                    <w:rPr>
                      <w:rFonts w:hint="eastAsia"/>
                      <w:color w:val="auto"/>
                      <w:highlight w:val="none"/>
                    </w:rPr>
                  </w:pPr>
                  <w:r>
                    <w:rPr>
                      <w:rFonts w:hint="eastAsia"/>
                      <w:color w:val="auto"/>
                      <w:highlight w:val="none"/>
                    </w:rPr>
                    <w:t>隧道</w:t>
                  </w:r>
                  <w:r>
                    <w:rPr>
                      <w:rFonts w:hint="eastAsia"/>
                      <w:color w:val="auto"/>
                      <w:highlight w:val="none"/>
                      <w:lang w:val="en-US" w:eastAsia="zh-CN"/>
                    </w:rPr>
                    <w:t>南</w:t>
                  </w:r>
                  <w:r>
                    <w:rPr>
                      <w:rFonts w:hint="eastAsia"/>
                      <w:color w:val="auto"/>
                      <w:highlight w:val="none"/>
                    </w:rPr>
                    <w:t>侧箱型路段、隧道</w:t>
                  </w:r>
                  <w:r>
                    <w:rPr>
                      <w:rFonts w:hint="eastAsia"/>
                      <w:color w:val="auto"/>
                      <w:highlight w:val="none"/>
                      <w:lang w:val="en-US" w:eastAsia="zh-CN"/>
                    </w:rPr>
                    <w:t>南</w:t>
                  </w:r>
                  <w:r>
                    <w:rPr>
                      <w:rFonts w:hint="eastAsia"/>
                      <w:color w:val="auto"/>
                      <w:highlight w:val="none"/>
                    </w:rPr>
                    <w:t>侧U槽路段</w:t>
                  </w:r>
                </w:p>
              </w:tc>
              <w:tc>
                <w:tcPr>
                  <w:tcW w:w="1706" w:type="dxa"/>
                  <w:vAlign w:val="center"/>
                </w:tcPr>
                <w:p>
                  <w:pPr>
                    <w:adjustRightInd w:val="0"/>
                    <w:snapToGrid w:val="0"/>
                    <w:jc w:val="center"/>
                    <w:rPr>
                      <w:color w:val="auto"/>
                      <w:szCs w:val="21"/>
                      <w:highlight w:val="none"/>
                    </w:rPr>
                  </w:pPr>
                  <w:r>
                    <w:rPr>
                      <w:rFonts w:hint="eastAsia"/>
                      <w:color w:val="auto"/>
                      <w:szCs w:val="21"/>
                      <w:highlight w:val="none"/>
                    </w:rPr>
                    <w:t>红线范围外~K0+900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平地、路堑、桥梁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color w:val="auto"/>
                      <w:highlight w:val="none"/>
                    </w:rPr>
                    <w:t>上</w:t>
                  </w:r>
                  <w:r>
                    <w:rPr>
                      <w:rFonts w:hint="eastAsia"/>
                      <w:bCs/>
                      <w:color w:val="auto"/>
                      <w:szCs w:val="21"/>
                      <w:highlight w:val="none"/>
                    </w:rPr>
                    <w:t>层辅路：-5.5~1.47</w:t>
                  </w:r>
                </w:p>
                <w:p>
                  <w:pPr>
                    <w:adjustRightInd w:val="0"/>
                    <w:snapToGrid w:val="0"/>
                    <w:jc w:val="center"/>
                    <w:rPr>
                      <w:rFonts w:hint="eastAsia"/>
                      <w:bCs/>
                      <w:color w:val="auto"/>
                      <w:szCs w:val="21"/>
                      <w:highlight w:val="none"/>
                    </w:rPr>
                  </w:pPr>
                  <w:r>
                    <w:rPr>
                      <w:rFonts w:hint="eastAsia"/>
                      <w:bCs/>
                      <w:color w:val="auto"/>
                      <w:szCs w:val="21"/>
                      <w:highlight w:val="none"/>
                    </w:rPr>
                    <w:t>下层主路：-4.85~7.0</w:t>
                  </w:r>
                </w:p>
                <w:p>
                  <w:pPr>
                    <w:adjustRightInd w:val="0"/>
                    <w:snapToGrid w:val="0"/>
                    <w:jc w:val="center"/>
                    <w:rPr>
                      <w:rFonts w:hint="eastAsia"/>
                      <w:color w:val="auto"/>
                      <w:highlight w:val="none"/>
                    </w:rPr>
                  </w:pPr>
                  <w:r>
                    <w:rPr>
                      <w:rFonts w:hint="eastAsia"/>
                      <w:bCs/>
                      <w:color w:val="auto"/>
                      <w:szCs w:val="21"/>
                      <w:highlight w:val="none"/>
                    </w:rPr>
                    <w:t>掉头匝道：-10.13~-0.2</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1</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25</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w:t>
                  </w:r>
                </w:p>
              </w:tc>
              <w:tc>
                <w:tcPr>
                  <w:tcW w:w="737"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2072" w:type="dxa"/>
                  <w:tcMar>
                    <w:left w:w="28" w:type="dxa"/>
                    <w:right w:w="28" w:type="dxa"/>
                  </w:tcMar>
                  <w:vAlign w:val="center"/>
                </w:tcPr>
                <w:p>
                  <w:pPr>
                    <w:adjustRightInd w:val="0"/>
                    <w:snapToGrid w:val="0"/>
                    <w:jc w:val="center"/>
                    <w:rPr>
                      <w:rFonts w:hint="eastAsia"/>
                      <w:color w:val="auto"/>
                      <w:szCs w:val="21"/>
                      <w:highlight w:val="none"/>
                    </w:rPr>
                  </w:pPr>
                  <w:r>
                    <w:rPr>
                      <w:rFonts w:hint="eastAsia"/>
                      <w:color w:val="auto"/>
                      <w:szCs w:val="21"/>
                      <w:highlight w:val="none"/>
                    </w:rPr>
                    <w:t>公园</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26</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左海公园</w:t>
                  </w:r>
                </w:p>
              </w:tc>
              <w:tc>
                <w:tcPr>
                  <w:tcW w:w="1481" w:type="dxa"/>
                  <w:vAlign w:val="center"/>
                </w:tcPr>
                <w:p>
                  <w:pPr>
                    <w:pStyle w:val="69"/>
                    <w:adjustRightInd w:val="0"/>
                    <w:snapToGrid w:val="0"/>
                    <w:rPr>
                      <w:rFonts w:hint="eastAsia"/>
                      <w:color w:val="auto"/>
                      <w:highlight w:val="none"/>
                    </w:rPr>
                  </w:pPr>
                  <w:r>
                    <w:rPr>
                      <w:rFonts w:hint="eastAsia"/>
                      <w:color w:val="auto"/>
                      <w:highlight w:val="none"/>
                    </w:rPr>
                    <w:t>双层隧道路段、</w:t>
                  </w:r>
                </w:p>
                <w:p>
                  <w:pPr>
                    <w:pStyle w:val="69"/>
                    <w:adjustRightInd w:val="0"/>
                    <w:snapToGrid w:val="0"/>
                    <w:rPr>
                      <w:rFonts w:hint="eastAsia"/>
                      <w:color w:val="auto"/>
                      <w:highlight w:val="none"/>
                    </w:rPr>
                  </w:pPr>
                  <w:r>
                    <w:rPr>
                      <w:rFonts w:hint="eastAsia"/>
                      <w:color w:val="auto"/>
                      <w:highlight w:val="none"/>
                    </w:rPr>
                    <w:t>隧道北侧箱型路段、隧道北侧U槽路段、隧道北侧高架段</w:t>
                  </w:r>
                </w:p>
              </w:tc>
              <w:tc>
                <w:tcPr>
                  <w:tcW w:w="1706" w:type="dxa"/>
                  <w:vAlign w:val="center"/>
                </w:tcPr>
                <w:p>
                  <w:pPr>
                    <w:adjustRightInd w:val="0"/>
                    <w:snapToGrid w:val="0"/>
                    <w:jc w:val="center"/>
                    <w:rPr>
                      <w:color w:val="auto"/>
                      <w:szCs w:val="21"/>
                      <w:highlight w:val="none"/>
                    </w:rPr>
                  </w:pPr>
                  <w:r>
                    <w:rPr>
                      <w:rFonts w:hint="eastAsia"/>
                      <w:color w:val="auto"/>
                      <w:szCs w:val="21"/>
                      <w:highlight w:val="none"/>
                    </w:rPr>
                    <w:t>K0+300~红线范围外</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平地、路堑、桥梁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二环匝道：-2.6~1.15</w:t>
                  </w:r>
                </w:p>
                <w:p>
                  <w:pPr>
                    <w:adjustRightInd w:val="0"/>
                    <w:snapToGrid w:val="0"/>
                    <w:jc w:val="center"/>
                    <w:rPr>
                      <w:rFonts w:hint="eastAsia"/>
                      <w:bCs/>
                      <w:color w:val="auto"/>
                      <w:szCs w:val="21"/>
                      <w:highlight w:val="none"/>
                    </w:rPr>
                  </w:pPr>
                  <w:r>
                    <w:rPr>
                      <w:rFonts w:hint="eastAsia"/>
                      <w:bCs/>
                      <w:color w:val="auto"/>
                      <w:szCs w:val="21"/>
                      <w:highlight w:val="none"/>
                    </w:rPr>
                    <w:t>二环高架：-7.27~-0.22</w:t>
                  </w:r>
                </w:p>
                <w:p>
                  <w:pPr>
                    <w:adjustRightInd w:val="0"/>
                    <w:snapToGrid w:val="0"/>
                    <w:jc w:val="center"/>
                    <w:rPr>
                      <w:rFonts w:hint="eastAsia"/>
                      <w:bCs/>
                      <w:color w:val="auto"/>
                      <w:szCs w:val="21"/>
                      <w:highlight w:val="none"/>
                    </w:rPr>
                  </w:pPr>
                  <w:r>
                    <w:rPr>
                      <w:rFonts w:hint="eastAsia"/>
                      <w:bCs/>
                      <w:color w:val="auto"/>
                      <w:szCs w:val="21"/>
                      <w:highlight w:val="none"/>
                    </w:rPr>
                    <w:t>上层辅路：-4.12~1.12</w:t>
                  </w:r>
                </w:p>
                <w:p>
                  <w:pPr>
                    <w:adjustRightInd w:val="0"/>
                    <w:snapToGrid w:val="0"/>
                    <w:jc w:val="center"/>
                    <w:rPr>
                      <w:bCs/>
                      <w:color w:val="auto"/>
                      <w:szCs w:val="21"/>
                      <w:highlight w:val="none"/>
                    </w:rPr>
                  </w:pPr>
                  <w:r>
                    <w:rPr>
                      <w:rFonts w:hint="eastAsia"/>
                      <w:bCs/>
                      <w:color w:val="auto"/>
                      <w:szCs w:val="21"/>
                      <w:highlight w:val="none"/>
                    </w:rPr>
                    <w:t>下层主路：-0.22~6.7</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1</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25</w:t>
                  </w:r>
                </w:p>
              </w:tc>
              <w:tc>
                <w:tcPr>
                  <w:tcW w:w="691"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737" w:type="dxa"/>
                  <w:vAlign w:val="center"/>
                </w:tcPr>
                <w:p>
                  <w:pPr>
                    <w:adjustRightInd w:val="0"/>
                    <w:snapToGrid w:val="0"/>
                    <w:jc w:val="center"/>
                    <w:rPr>
                      <w:rFonts w:hint="eastAsia"/>
                      <w:color w:val="auto"/>
                      <w:szCs w:val="21"/>
                      <w:highlight w:val="none"/>
                    </w:rPr>
                  </w:pPr>
                  <w:r>
                    <w:rPr>
                      <w:rFonts w:hint="eastAsia"/>
                      <w:color w:val="auto"/>
                      <w:szCs w:val="21"/>
                      <w:highlight w:val="none"/>
                    </w:rPr>
                    <w:t>/</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公园</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27</w:t>
                  </w:r>
                </w:p>
              </w:tc>
              <w:tc>
                <w:tcPr>
                  <w:tcW w:w="1365" w:type="dxa"/>
                  <w:gridSpan w:val="2"/>
                  <w:vAlign w:val="center"/>
                </w:tcPr>
                <w:p>
                  <w:pPr>
                    <w:adjustRightInd w:val="0"/>
                    <w:snapToGrid w:val="0"/>
                    <w:jc w:val="center"/>
                    <w:rPr>
                      <w:color w:val="auto"/>
                      <w:kern w:val="0"/>
                      <w:szCs w:val="21"/>
                      <w:highlight w:val="none"/>
                    </w:rPr>
                  </w:pPr>
                  <w:r>
                    <w:rPr>
                      <w:rFonts w:hint="eastAsia"/>
                      <w:color w:val="auto"/>
                      <w:kern w:val="0"/>
                      <w:szCs w:val="21"/>
                      <w:highlight w:val="none"/>
                    </w:rPr>
                    <w:t>梅海园2期</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隧道北侧高架段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K0+700~K0+920</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平地、桥梁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二环匝道：-2.35~0.96</w:t>
                  </w:r>
                </w:p>
                <w:p>
                  <w:pPr>
                    <w:adjustRightInd w:val="0"/>
                    <w:snapToGrid w:val="0"/>
                    <w:jc w:val="center"/>
                    <w:rPr>
                      <w:rFonts w:hint="eastAsia"/>
                      <w:bCs/>
                      <w:color w:val="auto"/>
                      <w:szCs w:val="21"/>
                      <w:highlight w:val="none"/>
                    </w:rPr>
                  </w:pPr>
                  <w:r>
                    <w:rPr>
                      <w:rFonts w:hint="eastAsia"/>
                      <w:bCs/>
                      <w:color w:val="auto"/>
                      <w:szCs w:val="21"/>
                      <w:highlight w:val="none"/>
                    </w:rPr>
                    <w:t>二环高架：-4.5~-0.6</w:t>
                  </w:r>
                </w:p>
                <w:p>
                  <w:pPr>
                    <w:adjustRightInd w:val="0"/>
                    <w:snapToGrid w:val="0"/>
                    <w:jc w:val="center"/>
                    <w:rPr>
                      <w:bCs/>
                      <w:color w:val="auto"/>
                      <w:szCs w:val="21"/>
                      <w:highlight w:val="none"/>
                    </w:rPr>
                  </w:pPr>
                  <w:r>
                    <w:rPr>
                      <w:rFonts w:hint="eastAsia"/>
                      <w:bCs/>
                      <w:color w:val="auto"/>
                      <w:szCs w:val="21"/>
                      <w:highlight w:val="none"/>
                    </w:rPr>
                    <w:t>辅路：-0.39~0.78</w:t>
                  </w:r>
                </w:p>
              </w:tc>
              <w:tc>
                <w:tcPr>
                  <w:tcW w:w="881" w:type="dxa"/>
                  <w:vAlign w:val="center"/>
                </w:tcPr>
                <w:p>
                  <w:pPr>
                    <w:adjustRightInd w:val="0"/>
                    <w:snapToGrid w:val="0"/>
                    <w:jc w:val="center"/>
                    <w:rPr>
                      <w:rFonts w:hint="eastAsia"/>
                      <w:color w:val="auto"/>
                      <w:szCs w:val="21"/>
                      <w:highlight w:val="none"/>
                    </w:rPr>
                  </w:pPr>
                  <w:r>
                    <w:rPr>
                      <w:rFonts w:hint="eastAsia"/>
                      <w:color w:val="auto"/>
                      <w:szCs w:val="21"/>
                      <w:highlight w:val="none"/>
                    </w:rPr>
                    <w:t>5</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29</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156</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780</w:t>
                  </w:r>
                </w:p>
              </w:tc>
              <w:tc>
                <w:tcPr>
                  <w:tcW w:w="2072" w:type="dxa"/>
                  <w:tcMar>
                    <w:left w:w="28" w:type="dxa"/>
                    <w:right w:w="28" w:type="dxa"/>
                  </w:tcMar>
                  <w:vAlign w:val="center"/>
                </w:tcPr>
                <w:p>
                  <w:pPr>
                    <w:adjustRightInd w:val="0"/>
                    <w:snapToGrid w:val="0"/>
                    <w:jc w:val="center"/>
                    <w:rPr>
                      <w:rFonts w:hint="eastAsia"/>
                      <w:color w:val="auto"/>
                      <w:szCs w:val="21"/>
                      <w:highlight w:val="none"/>
                    </w:rPr>
                  </w:pPr>
                  <w:r>
                    <w:rPr>
                      <w:rFonts w:hint="eastAsia"/>
                      <w:color w:val="auto"/>
                      <w:szCs w:val="21"/>
                      <w:highlight w:val="none"/>
                    </w:rPr>
                    <w:t>住宅小区，钢筋混凝土</w:t>
                  </w:r>
                  <w:r>
                    <w:rPr>
                      <w:color w:val="auto"/>
                      <w:szCs w:val="21"/>
                      <w:highlight w:val="none"/>
                    </w:rPr>
                    <w:t>结构，</w:t>
                  </w:r>
                  <w:r>
                    <w:rPr>
                      <w:rFonts w:hint="eastAsia"/>
                      <w:color w:val="auto"/>
                      <w:szCs w:val="21"/>
                      <w:highlight w:val="none"/>
                    </w:rPr>
                    <w:t>6~15层</w:t>
                  </w:r>
                  <w:r>
                    <w:rPr>
                      <w:color w:val="auto"/>
                      <w:szCs w:val="21"/>
                      <w:highlight w:val="none"/>
                    </w:rPr>
                    <w:t>；房屋多侧向道路。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28</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融侨花园（III区）</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隧道北侧高架段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K0+960~红线范围外</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平地、桥梁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E</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二环高架：-6.72~-5.93</w:t>
                  </w:r>
                </w:p>
                <w:p>
                  <w:pPr>
                    <w:adjustRightInd w:val="0"/>
                    <w:snapToGrid w:val="0"/>
                    <w:jc w:val="center"/>
                    <w:rPr>
                      <w:bCs/>
                      <w:color w:val="auto"/>
                      <w:szCs w:val="21"/>
                      <w:highlight w:val="none"/>
                    </w:rPr>
                  </w:pPr>
                  <w:r>
                    <w:rPr>
                      <w:rFonts w:hint="eastAsia"/>
                      <w:bCs/>
                      <w:color w:val="auto"/>
                      <w:szCs w:val="21"/>
                      <w:highlight w:val="none"/>
                    </w:rPr>
                    <w:t>辅路：-0.04~0.38</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26</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50</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70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483</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住宅小区，钢筋混凝土</w:t>
                  </w:r>
                  <w:r>
                    <w:rPr>
                      <w:color w:val="auto"/>
                      <w:szCs w:val="21"/>
                      <w:highlight w:val="none"/>
                    </w:rPr>
                    <w:t>结构，</w:t>
                  </w:r>
                  <w:r>
                    <w:rPr>
                      <w:rFonts w:hint="eastAsia"/>
                      <w:color w:val="auto"/>
                      <w:szCs w:val="21"/>
                      <w:highlight w:val="none"/>
                    </w:rPr>
                    <w:t>7~9层</w:t>
                  </w:r>
                  <w:r>
                    <w:rPr>
                      <w:color w:val="auto"/>
                      <w:szCs w:val="21"/>
                      <w:highlight w:val="none"/>
                    </w:rPr>
                    <w:t>；房屋多侧向道路。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29</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福建省高级人民法院</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隧道北侧高架段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红线范围外</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平地、桥梁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NW</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二环高架：-5.9~-4.8</w:t>
                  </w:r>
                </w:p>
                <w:p>
                  <w:pPr>
                    <w:adjustRightInd w:val="0"/>
                    <w:snapToGrid w:val="0"/>
                    <w:jc w:val="center"/>
                    <w:rPr>
                      <w:bCs/>
                      <w:color w:val="auto"/>
                      <w:szCs w:val="21"/>
                      <w:highlight w:val="none"/>
                    </w:rPr>
                  </w:pPr>
                  <w:r>
                    <w:rPr>
                      <w:rFonts w:hint="eastAsia"/>
                      <w:bCs/>
                      <w:color w:val="auto"/>
                      <w:szCs w:val="21"/>
                      <w:highlight w:val="none"/>
                    </w:rPr>
                    <w:t>辅路：0.19~0.58</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28</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46</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50人</w:t>
                  </w:r>
                </w:p>
              </w:tc>
              <w:tc>
                <w:tcPr>
                  <w:tcW w:w="2072" w:type="dxa"/>
                  <w:tcMar>
                    <w:left w:w="28" w:type="dxa"/>
                    <w:right w:w="28" w:type="dxa"/>
                  </w:tcMar>
                  <w:vAlign w:val="center"/>
                </w:tcPr>
                <w:p>
                  <w:pPr>
                    <w:adjustRightInd w:val="0"/>
                    <w:snapToGrid w:val="0"/>
                    <w:jc w:val="center"/>
                    <w:rPr>
                      <w:rFonts w:hint="eastAsia"/>
                      <w:color w:val="auto"/>
                      <w:szCs w:val="21"/>
                      <w:highlight w:val="none"/>
                    </w:rPr>
                  </w:pPr>
                  <w:r>
                    <w:rPr>
                      <w:rFonts w:hint="eastAsia"/>
                      <w:color w:val="auto"/>
                      <w:szCs w:val="21"/>
                      <w:highlight w:val="none"/>
                    </w:rPr>
                    <w:t>政府机构，钢筋混凝土</w:t>
                  </w:r>
                  <w:r>
                    <w:rPr>
                      <w:color w:val="auto"/>
                      <w:szCs w:val="21"/>
                      <w:highlight w:val="none"/>
                    </w:rPr>
                    <w:t>结构，</w:t>
                  </w:r>
                  <w:r>
                    <w:rPr>
                      <w:rFonts w:hint="eastAsia"/>
                      <w:color w:val="auto"/>
                      <w:szCs w:val="21"/>
                      <w:highlight w:val="none"/>
                    </w:rPr>
                    <w:t>6~10层</w:t>
                  </w:r>
                  <w:r>
                    <w:rPr>
                      <w:color w:val="auto"/>
                      <w:szCs w:val="21"/>
                      <w:highlight w:val="none"/>
                    </w:rPr>
                    <w:t>；多侧向道路。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0" w:hRule="atLeast"/>
                <w:jc w:val="center"/>
              </w:trPr>
              <w:tc>
                <w:tcPr>
                  <w:tcW w:w="505" w:type="dxa"/>
                  <w:vAlign w:val="center"/>
                </w:tcPr>
                <w:p>
                  <w:pPr>
                    <w:adjustRightInd w:val="0"/>
                    <w:snapToGrid w:val="0"/>
                    <w:jc w:val="center"/>
                    <w:rPr>
                      <w:b/>
                      <w:color w:val="auto"/>
                      <w:szCs w:val="21"/>
                      <w:highlight w:val="none"/>
                    </w:rPr>
                  </w:pPr>
                  <w:r>
                    <w:rPr>
                      <w:rFonts w:hint="eastAsia"/>
                      <w:b/>
                      <w:color w:val="auto"/>
                      <w:szCs w:val="21"/>
                      <w:highlight w:val="none"/>
                    </w:rPr>
                    <w:t>30</w:t>
                  </w:r>
                </w:p>
              </w:tc>
              <w:tc>
                <w:tcPr>
                  <w:tcW w:w="1365" w:type="dxa"/>
                  <w:gridSpan w:val="2"/>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省公安厅宿舍</w:t>
                  </w:r>
                </w:p>
              </w:tc>
              <w:tc>
                <w:tcPr>
                  <w:tcW w:w="1481" w:type="dxa"/>
                  <w:vAlign w:val="center"/>
                </w:tcPr>
                <w:p>
                  <w:pPr>
                    <w:pStyle w:val="69"/>
                    <w:adjustRightInd w:val="0"/>
                    <w:snapToGrid w:val="0"/>
                    <w:rPr>
                      <w:rFonts w:hint="eastAsia"/>
                      <w:color w:val="auto"/>
                      <w:highlight w:val="none"/>
                    </w:rPr>
                  </w:pPr>
                  <w:r>
                    <w:rPr>
                      <w:rFonts w:hint="eastAsia"/>
                      <w:color w:val="auto"/>
                      <w:highlight w:val="none"/>
                    </w:rPr>
                    <w:t>隧道北侧高架段</w:t>
                  </w:r>
                </w:p>
              </w:tc>
              <w:tc>
                <w:tcPr>
                  <w:tcW w:w="1706" w:type="dxa"/>
                  <w:vAlign w:val="center"/>
                </w:tcPr>
                <w:p>
                  <w:pPr>
                    <w:adjustRightInd w:val="0"/>
                    <w:snapToGrid w:val="0"/>
                    <w:jc w:val="center"/>
                    <w:rPr>
                      <w:rFonts w:hint="eastAsia"/>
                      <w:color w:val="auto"/>
                      <w:szCs w:val="21"/>
                      <w:highlight w:val="none"/>
                    </w:rPr>
                  </w:pPr>
                  <w:r>
                    <w:rPr>
                      <w:rFonts w:hint="eastAsia"/>
                      <w:color w:val="auto"/>
                      <w:szCs w:val="21"/>
                      <w:highlight w:val="none"/>
                    </w:rPr>
                    <w:t>红线范围外</w:t>
                  </w:r>
                </w:p>
              </w:tc>
              <w:tc>
                <w:tcPr>
                  <w:tcW w:w="901" w:type="dxa"/>
                  <w:vAlign w:val="center"/>
                </w:tcPr>
                <w:p>
                  <w:pPr>
                    <w:adjustRightInd w:val="0"/>
                    <w:snapToGrid w:val="0"/>
                    <w:jc w:val="center"/>
                    <w:rPr>
                      <w:rFonts w:hint="eastAsia"/>
                      <w:color w:val="auto"/>
                      <w:szCs w:val="21"/>
                      <w:highlight w:val="none"/>
                    </w:rPr>
                  </w:pPr>
                  <w:r>
                    <w:rPr>
                      <w:rFonts w:hint="eastAsia"/>
                      <w:color w:val="auto"/>
                      <w:szCs w:val="21"/>
                      <w:highlight w:val="none"/>
                    </w:rPr>
                    <w:t>平地、桥梁</w:t>
                  </w:r>
                </w:p>
              </w:tc>
              <w:tc>
                <w:tcPr>
                  <w:tcW w:w="655" w:type="dxa"/>
                  <w:vAlign w:val="center"/>
                </w:tcPr>
                <w:p>
                  <w:pPr>
                    <w:adjustRightInd w:val="0"/>
                    <w:snapToGrid w:val="0"/>
                    <w:jc w:val="center"/>
                    <w:rPr>
                      <w:color w:val="auto"/>
                      <w:szCs w:val="21"/>
                      <w:highlight w:val="none"/>
                    </w:rPr>
                  </w:pPr>
                  <w:r>
                    <w:rPr>
                      <w:rFonts w:hint="eastAsia"/>
                      <w:color w:val="auto"/>
                      <w:szCs w:val="21"/>
                      <w:highlight w:val="none"/>
                    </w:rPr>
                    <w:t>NW</w:t>
                  </w:r>
                </w:p>
              </w:tc>
              <w:tc>
                <w:tcPr>
                  <w:tcW w:w="1894" w:type="dxa"/>
                  <w:vAlign w:val="center"/>
                </w:tcPr>
                <w:p>
                  <w:pPr>
                    <w:adjustRightInd w:val="0"/>
                    <w:snapToGrid w:val="0"/>
                    <w:jc w:val="center"/>
                    <w:rPr>
                      <w:rFonts w:hint="eastAsia"/>
                      <w:bCs/>
                      <w:color w:val="auto"/>
                      <w:szCs w:val="21"/>
                      <w:highlight w:val="none"/>
                    </w:rPr>
                  </w:pPr>
                  <w:r>
                    <w:rPr>
                      <w:rFonts w:hint="eastAsia"/>
                      <w:bCs/>
                      <w:color w:val="auto"/>
                      <w:szCs w:val="21"/>
                      <w:highlight w:val="none"/>
                    </w:rPr>
                    <w:t>二环高架：-5.3~-4.1</w:t>
                  </w:r>
                </w:p>
                <w:p>
                  <w:pPr>
                    <w:adjustRightInd w:val="0"/>
                    <w:snapToGrid w:val="0"/>
                    <w:jc w:val="center"/>
                    <w:rPr>
                      <w:bCs/>
                      <w:color w:val="auto"/>
                      <w:szCs w:val="21"/>
                      <w:highlight w:val="none"/>
                    </w:rPr>
                  </w:pPr>
                  <w:r>
                    <w:rPr>
                      <w:rFonts w:hint="eastAsia"/>
                      <w:bCs/>
                      <w:color w:val="auto"/>
                      <w:szCs w:val="21"/>
                      <w:highlight w:val="none"/>
                    </w:rPr>
                    <w:t>辅路：0.1~0.8</w:t>
                  </w:r>
                </w:p>
              </w:tc>
              <w:tc>
                <w:tcPr>
                  <w:tcW w:w="881" w:type="dxa"/>
                  <w:vAlign w:val="center"/>
                </w:tcPr>
                <w:p>
                  <w:pPr>
                    <w:adjustRightInd w:val="0"/>
                    <w:snapToGrid w:val="0"/>
                    <w:jc w:val="center"/>
                    <w:rPr>
                      <w:color w:val="auto"/>
                      <w:szCs w:val="21"/>
                      <w:highlight w:val="none"/>
                    </w:rPr>
                  </w:pPr>
                  <w:r>
                    <w:rPr>
                      <w:rFonts w:hint="eastAsia"/>
                      <w:color w:val="auto"/>
                      <w:szCs w:val="21"/>
                      <w:highlight w:val="none"/>
                    </w:rPr>
                    <w:t>106</w:t>
                  </w:r>
                </w:p>
              </w:tc>
              <w:tc>
                <w:tcPr>
                  <w:tcW w:w="833" w:type="dxa"/>
                  <w:vAlign w:val="center"/>
                </w:tcPr>
                <w:p>
                  <w:pPr>
                    <w:adjustRightInd w:val="0"/>
                    <w:snapToGrid w:val="0"/>
                    <w:jc w:val="center"/>
                    <w:rPr>
                      <w:color w:val="auto"/>
                      <w:szCs w:val="21"/>
                      <w:highlight w:val="none"/>
                    </w:rPr>
                  </w:pPr>
                  <w:r>
                    <w:rPr>
                      <w:rFonts w:hint="eastAsia"/>
                      <w:color w:val="auto"/>
                      <w:szCs w:val="21"/>
                      <w:highlight w:val="none"/>
                    </w:rPr>
                    <w:t>110</w:t>
                  </w:r>
                </w:p>
              </w:tc>
              <w:tc>
                <w:tcPr>
                  <w:tcW w:w="691" w:type="dxa"/>
                  <w:vAlign w:val="center"/>
                </w:tcPr>
                <w:p>
                  <w:pPr>
                    <w:adjustRightInd w:val="0"/>
                    <w:snapToGrid w:val="0"/>
                    <w:jc w:val="center"/>
                    <w:rPr>
                      <w:color w:val="auto"/>
                      <w:szCs w:val="21"/>
                      <w:highlight w:val="none"/>
                    </w:rPr>
                  </w:pPr>
                  <w:r>
                    <w:rPr>
                      <w:rFonts w:hint="eastAsia"/>
                      <w:color w:val="auto"/>
                      <w:szCs w:val="21"/>
                      <w:highlight w:val="none"/>
                    </w:rPr>
                    <w:t>0</w:t>
                  </w:r>
                </w:p>
              </w:tc>
              <w:tc>
                <w:tcPr>
                  <w:tcW w:w="737" w:type="dxa"/>
                  <w:vAlign w:val="center"/>
                </w:tcPr>
                <w:p>
                  <w:pPr>
                    <w:adjustRightInd w:val="0"/>
                    <w:snapToGrid w:val="0"/>
                    <w:jc w:val="center"/>
                    <w:rPr>
                      <w:color w:val="auto"/>
                      <w:szCs w:val="21"/>
                      <w:highlight w:val="none"/>
                    </w:rPr>
                  </w:pPr>
                  <w:r>
                    <w:rPr>
                      <w:rFonts w:hint="eastAsia"/>
                      <w:color w:val="auto"/>
                      <w:szCs w:val="21"/>
                      <w:highlight w:val="none"/>
                    </w:rPr>
                    <w:t>250</w:t>
                  </w:r>
                </w:p>
              </w:tc>
              <w:tc>
                <w:tcPr>
                  <w:tcW w:w="2072" w:type="dxa"/>
                  <w:tcMar>
                    <w:left w:w="28" w:type="dxa"/>
                    <w:right w:w="28" w:type="dxa"/>
                  </w:tcMar>
                  <w:vAlign w:val="center"/>
                </w:tcPr>
                <w:p>
                  <w:pPr>
                    <w:adjustRightInd w:val="0"/>
                    <w:snapToGrid w:val="0"/>
                    <w:jc w:val="center"/>
                    <w:rPr>
                      <w:color w:val="auto"/>
                      <w:szCs w:val="21"/>
                      <w:highlight w:val="none"/>
                    </w:rPr>
                  </w:pPr>
                  <w:r>
                    <w:rPr>
                      <w:rFonts w:hint="eastAsia"/>
                      <w:color w:val="auto"/>
                      <w:szCs w:val="21"/>
                      <w:highlight w:val="none"/>
                    </w:rPr>
                    <w:t>住宅小区，砖混</w:t>
                  </w:r>
                  <w:r>
                    <w:rPr>
                      <w:color w:val="auto"/>
                      <w:szCs w:val="21"/>
                      <w:highlight w:val="none"/>
                    </w:rPr>
                    <w:t>结构，</w:t>
                  </w:r>
                  <w:r>
                    <w:rPr>
                      <w:rFonts w:hint="eastAsia"/>
                      <w:color w:val="auto"/>
                      <w:szCs w:val="21"/>
                      <w:highlight w:val="none"/>
                    </w:rPr>
                    <w:t>7层</w:t>
                  </w:r>
                  <w:r>
                    <w:rPr>
                      <w:color w:val="auto"/>
                      <w:szCs w:val="21"/>
                      <w:highlight w:val="none"/>
                    </w:rPr>
                    <w:t>；房屋多侧向道路。</w:t>
                  </w:r>
                </w:p>
              </w:tc>
              <w:tc>
                <w:tcPr>
                  <w:tcW w:w="3150"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c>
                <w:tcPr>
                  <w:tcW w:w="2708" w:type="dxa"/>
                  <w:tcMar>
                    <w:left w:w="28" w:type="dxa"/>
                    <w:right w:w="28" w:type="dxa"/>
                  </w:tcMar>
                  <w:vAlign w:val="center"/>
                </w:tcPr>
                <w:p>
                  <w:pPr>
                    <w:adjustRightInd w:val="0"/>
                    <w:snapToGrid w:val="0"/>
                    <w:spacing w:before="120" w:beforeLines="50" w:after="120" w:afterLines="50"/>
                    <w:jc w:val="center"/>
                    <w:rPr>
                      <w:rFonts w:hint="eastAsia"/>
                      <w:color w:val="auto"/>
                      <w:szCs w:val="21"/>
                      <w:highlight w:val="none"/>
                    </w:rPr>
                  </w:pPr>
                </w:p>
              </w:tc>
            </w:tr>
          </w:tbl>
          <w:p>
            <w:pPr>
              <w:adjustRightInd w:val="0"/>
              <w:snapToGrid w:val="0"/>
              <w:rPr>
                <w:rFonts w:ascii="宋体" w:hAnsi="宋体" w:cs="宋体"/>
                <w:color w:val="auto"/>
                <w:kern w:val="0"/>
                <w:szCs w:val="21"/>
                <w:highlight w:val="none"/>
              </w:rPr>
            </w:pPr>
          </w:p>
        </w:tc>
      </w:tr>
    </w:tbl>
    <w:p>
      <w:pPr>
        <w:pStyle w:val="18"/>
        <w:jc w:val="center"/>
        <w:rPr>
          <w:rFonts w:ascii="黑体" w:hAnsi="黑体" w:eastAsia="黑体"/>
          <w:snapToGrid w:val="0"/>
          <w:color w:val="auto"/>
          <w:kern w:val="2"/>
          <w:sz w:val="36"/>
          <w:szCs w:val="36"/>
          <w:highlight w:val="none"/>
        </w:rPr>
        <w:sectPr>
          <w:pgSz w:w="23757" w:h="16783"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pPr>
    </w:p>
    <w:tbl>
      <w:tblPr>
        <w:tblStyle w:val="23"/>
        <w:tblW w:w="915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904" w:type="dxa"/>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评价</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标准</w:t>
            </w:r>
          </w:p>
        </w:tc>
        <w:tc>
          <w:tcPr>
            <w:tcW w:w="8253" w:type="dxa"/>
            <w:vAlign w:val="center"/>
          </w:tcPr>
          <w:p>
            <w:pPr>
              <w:adjustRightInd w:val="0"/>
              <w:snapToGrid w:val="0"/>
              <w:spacing w:line="360" w:lineRule="auto"/>
              <w:ind w:firstLine="482" w:firstLineChars="200"/>
              <w:outlineLvl w:val="2"/>
              <w:rPr>
                <w:rFonts w:hint="eastAsia"/>
                <w:b/>
                <w:bCs/>
                <w:snapToGrid w:val="0"/>
                <w:color w:val="auto"/>
                <w:kern w:val="0"/>
                <w:sz w:val="24"/>
                <w:highlight w:val="none"/>
              </w:rPr>
            </w:pPr>
            <w:r>
              <w:rPr>
                <w:rFonts w:hint="eastAsia"/>
                <w:b/>
                <w:bCs/>
                <w:snapToGrid w:val="0"/>
                <w:color w:val="auto"/>
                <w:kern w:val="0"/>
                <w:sz w:val="24"/>
                <w:highlight w:val="none"/>
              </w:rPr>
              <w:t>1、环境功能区划及环境质量标准</w:t>
            </w:r>
          </w:p>
          <w:p>
            <w:pPr>
              <w:adjustRightInd w:val="0"/>
              <w:snapToGrid w:val="0"/>
              <w:spacing w:line="360" w:lineRule="auto"/>
              <w:ind w:firstLine="482" w:firstLineChars="200"/>
              <w:outlineLvl w:val="2"/>
              <w:rPr>
                <w:rFonts w:hint="eastAsia"/>
                <w:snapToGrid w:val="0"/>
                <w:color w:val="auto"/>
                <w:kern w:val="0"/>
                <w:sz w:val="24"/>
                <w:highlight w:val="none"/>
              </w:rPr>
            </w:pPr>
            <w:r>
              <w:rPr>
                <w:rFonts w:hint="eastAsia"/>
                <w:b/>
                <w:bCs/>
                <w:snapToGrid w:val="0"/>
                <w:color w:val="auto"/>
                <w:kern w:val="0"/>
                <w:sz w:val="24"/>
                <w:highlight w:val="none"/>
              </w:rPr>
              <w:t>（1） 水环境</w:t>
            </w:r>
          </w:p>
          <w:p>
            <w:pPr>
              <w:adjustRightInd w:val="0"/>
              <w:snapToGrid w:val="0"/>
              <w:spacing w:line="360" w:lineRule="auto"/>
              <w:ind w:firstLine="480" w:firstLineChars="200"/>
              <w:outlineLvl w:val="2"/>
              <w:rPr>
                <w:rFonts w:hint="eastAsia"/>
                <w:snapToGrid w:val="0"/>
                <w:color w:val="auto"/>
                <w:kern w:val="0"/>
                <w:sz w:val="24"/>
                <w:highlight w:val="none"/>
              </w:rPr>
            </w:pPr>
            <w:r>
              <w:rPr>
                <w:rFonts w:hint="eastAsia"/>
                <w:snapToGrid w:val="0"/>
                <w:color w:val="auto"/>
                <w:kern w:val="0"/>
                <w:sz w:val="24"/>
                <w:highlight w:val="none"/>
              </w:rPr>
              <w:t>本项目位于福州市鼓楼区，项目附近主要水体为西湖和梅峰河，根据《福建省人民政府关于福州市地表水环境功能区划定方案的批复》(闽政文[2006]133号)福州市区内河河网全河段（含西湖）水体主要功能为一般景观用水，属于地表水V类区，水质执行《地表水环境质量标准》(GB3838-2002) V类标准。</w:t>
            </w:r>
          </w:p>
          <w:p>
            <w:pPr>
              <w:pStyle w:val="44"/>
              <w:spacing w:before="0"/>
              <w:ind w:firstLine="482"/>
              <w:jc w:val="right"/>
              <w:rPr>
                <w:rFonts w:eastAsia="宋体"/>
                <w:b/>
                <w:bCs/>
                <w:color w:val="auto"/>
                <w:highlight w:val="none"/>
              </w:rPr>
            </w:pPr>
            <w:r>
              <w:rPr>
                <w:rFonts w:eastAsia="宋体"/>
                <w:b/>
                <w:bCs/>
                <w:color w:val="auto"/>
                <w:highlight w:val="none"/>
              </w:rPr>
              <w:t>表3-</w:t>
            </w:r>
            <w:r>
              <w:rPr>
                <w:rFonts w:hint="eastAsia" w:eastAsia="宋体"/>
                <w:b/>
                <w:bCs/>
                <w:color w:val="auto"/>
                <w:highlight w:val="none"/>
              </w:rPr>
              <w:t>4</w:t>
            </w:r>
            <w:r>
              <w:rPr>
                <w:rFonts w:eastAsia="宋体"/>
                <w:b/>
                <w:bCs/>
                <w:color w:val="auto"/>
                <w:highlight w:val="none"/>
              </w:rPr>
              <w:t xml:space="preserve">  《地表水环境质量标准》(GB3838-2002)摘录   单位：mg/L</w:t>
            </w:r>
          </w:p>
          <w:tbl>
            <w:tblPr>
              <w:tblStyle w:val="23"/>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1117"/>
              <w:gridCol w:w="1466"/>
              <w:gridCol w:w="1466"/>
              <w:gridCol w:w="1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2230" w:type="dxa"/>
                  <w:vAlign w:val="center"/>
                </w:tcPr>
                <w:p>
                  <w:pPr>
                    <w:ind w:firstLine="420"/>
                    <w:jc w:val="center"/>
                    <w:rPr>
                      <w:color w:val="auto"/>
                      <w:szCs w:val="21"/>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-97155</wp:posOffset>
                            </wp:positionH>
                            <wp:positionV relativeFrom="paragraph">
                              <wp:posOffset>5080</wp:posOffset>
                            </wp:positionV>
                            <wp:extent cx="1685925" cy="342900"/>
                            <wp:effectExtent l="0" t="0" r="0" b="0"/>
                            <wp:wrapNone/>
                            <wp:docPr id="17" name="直线 1415"/>
                            <wp:cNvGraphicFramePr/>
                            <a:graphic xmlns:a="http://schemas.openxmlformats.org/drawingml/2006/main">
                              <a:graphicData uri="http://schemas.microsoft.com/office/word/2010/wordprocessingShape">
                                <wps:wsp>
                                  <wps:cNvCnPr/>
                                  <wps:spPr>
                                    <a:xfrm>
                                      <a:off x="0" y="0"/>
                                      <a:ext cx="1685925" cy="34290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15" o:spid="_x0000_s1026" o:spt="20" style="position:absolute;left:0pt;margin-left:-7.65pt;margin-top:0.4pt;height:27pt;width:132.75pt;z-index:251663360;mso-width-relative:page;mso-height-relative:page;" filled="f" stroked="t" coordsize="21600,21600" o:gfxdata="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Gly6nUAAAABwEAAA8AAAAAAAAAAQAg&#10;AAAAIgAAAGRycy9kb3ducmV2LnhtbFBLAQIUABQAAAAIAIdO4kBxagqe2QEAAJYDAAAOAAAAAAAA&#10;AAEAIAAAACMBAABkcnMvZTJvRG9jLnhtbFBLBQYAAAAABgAGAFkBAABuBQAAAAA=&#10;">
                            <v:fill on="f" focussize="0,0"/>
                            <v:stroke weight="0.5pt" color="#000000" joinstyle="round"/>
                            <v:imagedata o:title=""/>
                            <o:lock v:ext="edit" aspectratio="f"/>
                          </v:line>
                        </w:pict>
                      </mc:Fallback>
                    </mc:AlternateContent>
                  </w:r>
                  <w:r>
                    <w:rPr>
                      <w:color w:val="auto"/>
                      <w:szCs w:val="21"/>
                      <w:highlight w:val="none"/>
                    </w:rPr>
                    <w:t xml:space="preserve">        项目</w:t>
                  </w:r>
                </w:p>
                <w:p>
                  <w:pPr>
                    <w:rPr>
                      <w:color w:val="auto"/>
                      <w:szCs w:val="21"/>
                      <w:highlight w:val="none"/>
                    </w:rPr>
                  </w:pPr>
                  <w:r>
                    <w:rPr>
                      <w:color w:val="auto"/>
                      <w:szCs w:val="21"/>
                      <w:highlight w:val="none"/>
                    </w:rPr>
                    <w:t>标准分类</w:t>
                  </w:r>
                </w:p>
              </w:tc>
              <w:tc>
                <w:tcPr>
                  <w:tcW w:w="1117" w:type="dxa"/>
                  <w:vAlign w:val="center"/>
                </w:tcPr>
                <w:p>
                  <w:pPr>
                    <w:jc w:val="center"/>
                    <w:rPr>
                      <w:color w:val="auto"/>
                      <w:szCs w:val="21"/>
                      <w:highlight w:val="none"/>
                    </w:rPr>
                  </w:pPr>
                  <w:r>
                    <w:rPr>
                      <w:color w:val="auto"/>
                      <w:szCs w:val="21"/>
                      <w:highlight w:val="none"/>
                    </w:rPr>
                    <w:t>pH</w:t>
                  </w:r>
                </w:p>
              </w:tc>
              <w:tc>
                <w:tcPr>
                  <w:tcW w:w="1466" w:type="dxa"/>
                  <w:vAlign w:val="center"/>
                </w:tcPr>
                <w:p>
                  <w:pPr>
                    <w:jc w:val="center"/>
                    <w:rPr>
                      <w:color w:val="auto"/>
                      <w:szCs w:val="21"/>
                      <w:highlight w:val="none"/>
                    </w:rPr>
                  </w:pPr>
                  <w:r>
                    <w:rPr>
                      <w:color w:val="auto"/>
                      <w:szCs w:val="21"/>
                      <w:highlight w:val="none"/>
                    </w:rPr>
                    <w:t>COD</w:t>
                  </w:r>
                </w:p>
              </w:tc>
              <w:tc>
                <w:tcPr>
                  <w:tcW w:w="1466" w:type="dxa"/>
                  <w:vAlign w:val="center"/>
                </w:tcPr>
                <w:p>
                  <w:pPr>
                    <w:jc w:val="center"/>
                    <w:rPr>
                      <w:color w:val="auto"/>
                      <w:szCs w:val="21"/>
                      <w:highlight w:val="none"/>
                    </w:rPr>
                  </w:pPr>
                  <w:r>
                    <w:rPr>
                      <w:color w:val="auto"/>
                      <w:szCs w:val="21"/>
                      <w:highlight w:val="none"/>
                    </w:rPr>
                    <w:t>BOD</w:t>
                  </w:r>
                  <w:r>
                    <w:rPr>
                      <w:color w:val="auto"/>
                      <w:szCs w:val="21"/>
                      <w:highlight w:val="none"/>
                      <w:vertAlign w:val="subscript"/>
                    </w:rPr>
                    <w:t>5</w:t>
                  </w:r>
                </w:p>
              </w:tc>
              <w:tc>
                <w:tcPr>
                  <w:tcW w:w="1658" w:type="dxa"/>
                  <w:vAlign w:val="center"/>
                </w:tcPr>
                <w:p>
                  <w:pPr>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2230" w:type="dxa"/>
                  <w:vAlign w:val="center"/>
                </w:tcPr>
                <w:p>
                  <w:pPr>
                    <w:jc w:val="center"/>
                    <w:rPr>
                      <w:color w:val="auto"/>
                      <w:szCs w:val="21"/>
                      <w:highlight w:val="none"/>
                    </w:rPr>
                  </w:pPr>
                  <w:r>
                    <w:rPr>
                      <w:rFonts w:hint="eastAsia"/>
                      <w:color w:val="auto"/>
                      <w:szCs w:val="21"/>
                      <w:highlight w:val="none"/>
                    </w:rPr>
                    <w:t>V类</w:t>
                  </w:r>
                </w:p>
              </w:tc>
              <w:tc>
                <w:tcPr>
                  <w:tcW w:w="1117" w:type="dxa"/>
                  <w:vAlign w:val="center"/>
                </w:tcPr>
                <w:p>
                  <w:pPr>
                    <w:jc w:val="center"/>
                    <w:rPr>
                      <w:color w:val="auto"/>
                      <w:szCs w:val="21"/>
                      <w:highlight w:val="none"/>
                    </w:rPr>
                  </w:pPr>
                  <w:r>
                    <w:rPr>
                      <w:color w:val="auto"/>
                      <w:szCs w:val="21"/>
                      <w:highlight w:val="none"/>
                    </w:rPr>
                    <w:t>6～9</w:t>
                  </w:r>
                </w:p>
              </w:tc>
              <w:tc>
                <w:tcPr>
                  <w:tcW w:w="1466" w:type="dxa"/>
                  <w:vAlign w:val="center"/>
                </w:tcPr>
                <w:p>
                  <w:pPr>
                    <w:jc w:val="center"/>
                    <w:rPr>
                      <w:color w:val="auto"/>
                      <w:szCs w:val="21"/>
                      <w:highlight w:val="none"/>
                    </w:rPr>
                  </w:pPr>
                  <w:r>
                    <w:rPr>
                      <w:color w:val="auto"/>
                      <w:szCs w:val="21"/>
                      <w:highlight w:val="none"/>
                    </w:rPr>
                    <w:t>≤</w:t>
                  </w:r>
                  <w:r>
                    <w:rPr>
                      <w:rFonts w:hint="eastAsia"/>
                      <w:color w:val="auto"/>
                      <w:szCs w:val="21"/>
                      <w:highlight w:val="none"/>
                    </w:rPr>
                    <w:t>40</w:t>
                  </w:r>
                </w:p>
              </w:tc>
              <w:tc>
                <w:tcPr>
                  <w:tcW w:w="1466" w:type="dxa"/>
                  <w:vAlign w:val="center"/>
                </w:tcPr>
                <w:p>
                  <w:pPr>
                    <w:jc w:val="center"/>
                    <w:rPr>
                      <w:color w:val="auto"/>
                      <w:szCs w:val="21"/>
                      <w:highlight w:val="none"/>
                    </w:rPr>
                  </w:pPr>
                  <w:r>
                    <w:rPr>
                      <w:color w:val="auto"/>
                      <w:szCs w:val="21"/>
                      <w:highlight w:val="none"/>
                    </w:rPr>
                    <w:t>≤</w:t>
                  </w:r>
                  <w:r>
                    <w:rPr>
                      <w:rFonts w:hint="eastAsia"/>
                      <w:color w:val="auto"/>
                      <w:szCs w:val="21"/>
                      <w:highlight w:val="none"/>
                    </w:rPr>
                    <w:t>10</w:t>
                  </w:r>
                </w:p>
              </w:tc>
              <w:tc>
                <w:tcPr>
                  <w:tcW w:w="1658" w:type="dxa"/>
                  <w:vAlign w:val="center"/>
                </w:tcPr>
                <w:p>
                  <w:pPr>
                    <w:jc w:val="center"/>
                    <w:rPr>
                      <w:color w:val="auto"/>
                      <w:szCs w:val="21"/>
                      <w:highlight w:val="none"/>
                    </w:rPr>
                  </w:pPr>
                  <w:r>
                    <w:rPr>
                      <w:color w:val="auto"/>
                      <w:szCs w:val="21"/>
                      <w:highlight w:val="none"/>
                    </w:rPr>
                    <w:t>≤</w:t>
                  </w:r>
                  <w:r>
                    <w:rPr>
                      <w:rFonts w:hint="eastAsia"/>
                      <w:color w:val="auto"/>
                      <w:szCs w:val="21"/>
                      <w:highlight w:val="none"/>
                    </w:rPr>
                    <w:t>2.0</w:t>
                  </w:r>
                </w:p>
              </w:tc>
            </w:tr>
          </w:tbl>
          <w:p>
            <w:pPr>
              <w:adjustRightInd w:val="0"/>
              <w:snapToGrid w:val="0"/>
              <w:spacing w:line="360" w:lineRule="auto"/>
              <w:ind w:firstLine="482" w:firstLineChars="200"/>
              <w:outlineLvl w:val="2"/>
              <w:rPr>
                <w:b/>
                <w:bCs/>
                <w:snapToGrid w:val="0"/>
                <w:color w:val="auto"/>
                <w:kern w:val="0"/>
                <w:sz w:val="24"/>
                <w:highlight w:val="none"/>
              </w:rPr>
            </w:pPr>
            <w:r>
              <w:rPr>
                <w:b/>
                <w:bCs/>
                <w:snapToGrid w:val="0"/>
                <w:color w:val="auto"/>
                <w:kern w:val="0"/>
                <w:sz w:val="24"/>
                <w:highlight w:val="none"/>
              </w:rPr>
              <w:t>（2）环境空气</w:t>
            </w:r>
          </w:p>
          <w:p>
            <w:pPr>
              <w:adjustRightInd w:val="0"/>
              <w:snapToGrid w:val="0"/>
              <w:spacing w:line="360" w:lineRule="auto"/>
              <w:ind w:firstLine="480" w:firstLineChars="200"/>
              <w:outlineLvl w:val="2"/>
              <w:rPr>
                <w:snapToGrid w:val="0"/>
                <w:color w:val="auto"/>
                <w:kern w:val="0"/>
                <w:sz w:val="24"/>
                <w:highlight w:val="none"/>
              </w:rPr>
            </w:pPr>
            <w:r>
              <w:rPr>
                <w:snapToGrid w:val="0"/>
                <w:color w:val="auto"/>
                <w:kern w:val="0"/>
                <w:sz w:val="24"/>
                <w:highlight w:val="none"/>
              </w:rPr>
              <w:t>本项目位于</w:t>
            </w:r>
            <w:r>
              <w:rPr>
                <w:rFonts w:hint="eastAsia"/>
                <w:snapToGrid w:val="0"/>
                <w:color w:val="auto"/>
                <w:kern w:val="0"/>
                <w:sz w:val="24"/>
                <w:highlight w:val="none"/>
              </w:rPr>
              <w:t>福州市鼓楼区，</w:t>
            </w:r>
            <w:r>
              <w:rPr>
                <w:snapToGrid w:val="0"/>
                <w:color w:val="auto"/>
                <w:kern w:val="0"/>
                <w:sz w:val="24"/>
                <w:highlight w:val="none"/>
              </w:rPr>
              <w:t>根据福州市人民政府（榕政综[2014]30号）正式批复实施的《福州市环境空气质量功能区划（报批稿）》的规定，项目所在区域环境空气功能区划为二类区，环境空气执行GB3095-2012《环境空气质量标准》及其修改单中的二级标准。详见表3-</w:t>
            </w:r>
            <w:r>
              <w:rPr>
                <w:rFonts w:hint="eastAsia"/>
                <w:snapToGrid w:val="0"/>
                <w:color w:val="auto"/>
                <w:kern w:val="0"/>
                <w:sz w:val="24"/>
                <w:highlight w:val="none"/>
              </w:rPr>
              <w:t>5</w:t>
            </w:r>
            <w:r>
              <w:rPr>
                <w:snapToGrid w:val="0"/>
                <w:color w:val="auto"/>
                <w:kern w:val="0"/>
                <w:sz w:val="24"/>
                <w:highlight w:val="none"/>
              </w:rPr>
              <w:t>。</w:t>
            </w:r>
          </w:p>
          <w:p>
            <w:pPr>
              <w:ind w:firstLine="480"/>
              <w:jc w:val="center"/>
              <w:rPr>
                <w:color w:val="auto"/>
                <w:sz w:val="24"/>
                <w:highlight w:val="none"/>
              </w:rPr>
            </w:pPr>
            <w:r>
              <w:rPr>
                <w:b/>
                <w:bCs/>
                <w:color w:val="auto"/>
                <w:sz w:val="24"/>
                <w:highlight w:val="none"/>
              </w:rPr>
              <w:t>表3-</w:t>
            </w:r>
            <w:r>
              <w:rPr>
                <w:rFonts w:hint="eastAsia"/>
                <w:b/>
                <w:bCs/>
                <w:color w:val="auto"/>
                <w:sz w:val="24"/>
                <w:highlight w:val="none"/>
              </w:rPr>
              <w:t>5</w:t>
            </w:r>
            <w:r>
              <w:rPr>
                <w:b/>
                <w:bCs/>
                <w:color w:val="auto"/>
                <w:sz w:val="24"/>
                <w:highlight w:val="none"/>
              </w:rPr>
              <w:t xml:space="preserve"> 《环境空气质量标准》(GB3095-2012)及其修改单二级标准值</w:t>
            </w:r>
          </w:p>
          <w:tbl>
            <w:tblPr>
              <w:tblStyle w:val="23"/>
              <w:tblW w:w="79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2333"/>
              <w:gridCol w:w="32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restart"/>
                  <w:vAlign w:val="center"/>
                </w:tcPr>
                <w:p>
                  <w:pPr>
                    <w:pStyle w:val="59"/>
                    <w:rPr>
                      <w:color w:val="auto"/>
                      <w:highlight w:val="none"/>
                    </w:rPr>
                  </w:pPr>
                  <w:r>
                    <w:rPr>
                      <w:color w:val="auto"/>
                      <w:highlight w:val="none"/>
                    </w:rPr>
                    <w:t>污染物名称</w:t>
                  </w:r>
                </w:p>
              </w:tc>
              <w:tc>
                <w:tcPr>
                  <w:tcW w:w="2333" w:type="dxa"/>
                  <w:vMerge w:val="restart"/>
                  <w:vAlign w:val="center"/>
                </w:tcPr>
                <w:p>
                  <w:pPr>
                    <w:pStyle w:val="59"/>
                    <w:rPr>
                      <w:color w:val="auto"/>
                      <w:highlight w:val="none"/>
                    </w:rPr>
                  </w:pPr>
                  <w:r>
                    <w:rPr>
                      <w:color w:val="auto"/>
                      <w:highlight w:val="none"/>
                    </w:rPr>
                    <w:t>取值时间</w:t>
                  </w:r>
                </w:p>
              </w:tc>
              <w:tc>
                <w:tcPr>
                  <w:tcW w:w="3270" w:type="dxa"/>
                  <w:vAlign w:val="center"/>
                </w:tcPr>
                <w:p>
                  <w:pPr>
                    <w:pStyle w:val="59"/>
                    <w:rPr>
                      <w:color w:val="auto"/>
                      <w:highlight w:val="none"/>
                    </w:rPr>
                  </w:pPr>
                  <w:r>
                    <w:rPr>
                      <w:color w:val="auto"/>
                      <w:highlight w:val="none"/>
                    </w:rPr>
                    <w:t>浓度限值（mg/m</w:t>
                  </w:r>
                  <w:r>
                    <w:rPr>
                      <w:color w:val="auto"/>
                      <w:highlight w:val="none"/>
                      <w:vertAlign w:val="superscript"/>
                    </w:rPr>
                    <w:t>3</w:t>
                  </w: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continue"/>
                  <w:vAlign w:val="center"/>
                </w:tcPr>
                <w:p>
                  <w:pPr>
                    <w:pStyle w:val="59"/>
                    <w:rPr>
                      <w:color w:val="auto"/>
                      <w:highlight w:val="none"/>
                    </w:rPr>
                  </w:pPr>
                </w:p>
              </w:tc>
              <w:tc>
                <w:tcPr>
                  <w:tcW w:w="2333" w:type="dxa"/>
                  <w:vMerge w:val="continue"/>
                  <w:vAlign w:val="center"/>
                </w:tcPr>
                <w:p>
                  <w:pPr>
                    <w:pStyle w:val="59"/>
                    <w:rPr>
                      <w:color w:val="auto"/>
                      <w:highlight w:val="none"/>
                    </w:rPr>
                  </w:pPr>
                </w:p>
              </w:tc>
              <w:tc>
                <w:tcPr>
                  <w:tcW w:w="3270" w:type="dxa"/>
                  <w:vAlign w:val="center"/>
                </w:tcPr>
                <w:p>
                  <w:pPr>
                    <w:pStyle w:val="59"/>
                    <w:rPr>
                      <w:color w:val="auto"/>
                      <w:highlight w:val="none"/>
                    </w:rPr>
                  </w:pPr>
                  <w:r>
                    <w:rPr>
                      <w:color w:val="auto"/>
                      <w:highlight w:val="none"/>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restart"/>
                  <w:vAlign w:val="center"/>
                </w:tcPr>
                <w:p>
                  <w:pPr>
                    <w:pStyle w:val="59"/>
                    <w:rPr>
                      <w:color w:val="auto"/>
                      <w:highlight w:val="none"/>
                    </w:rPr>
                  </w:pPr>
                  <w:r>
                    <w:rPr>
                      <w:color w:val="auto"/>
                      <w:highlight w:val="none"/>
                    </w:rPr>
                    <w:t>PM</w:t>
                  </w:r>
                  <w:r>
                    <w:rPr>
                      <w:color w:val="auto"/>
                      <w:highlight w:val="none"/>
                      <w:vertAlign w:val="subscript"/>
                    </w:rPr>
                    <w:t>10</w:t>
                  </w:r>
                </w:p>
              </w:tc>
              <w:tc>
                <w:tcPr>
                  <w:tcW w:w="2333" w:type="dxa"/>
                  <w:vAlign w:val="center"/>
                </w:tcPr>
                <w:p>
                  <w:pPr>
                    <w:pStyle w:val="59"/>
                    <w:rPr>
                      <w:color w:val="auto"/>
                      <w:highlight w:val="none"/>
                    </w:rPr>
                  </w:pPr>
                  <w:r>
                    <w:rPr>
                      <w:color w:val="auto"/>
                      <w:highlight w:val="none"/>
                    </w:rPr>
                    <w:t>年平均值</w:t>
                  </w:r>
                </w:p>
              </w:tc>
              <w:tc>
                <w:tcPr>
                  <w:tcW w:w="3270" w:type="dxa"/>
                  <w:vAlign w:val="center"/>
                </w:tcPr>
                <w:p>
                  <w:pPr>
                    <w:pStyle w:val="59"/>
                    <w:rPr>
                      <w:color w:val="auto"/>
                      <w:highlight w:val="none"/>
                    </w:rPr>
                  </w:pPr>
                  <w:r>
                    <w:rPr>
                      <w:color w:val="auto"/>
                      <w:highlight w:val="none"/>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continue"/>
                  <w:vAlign w:val="center"/>
                </w:tcPr>
                <w:p>
                  <w:pPr>
                    <w:pStyle w:val="59"/>
                    <w:rPr>
                      <w:color w:val="auto"/>
                      <w:highlight w:val="none"/>
                    </w:rPr>
                  </w:pPr>
                </w:p>
              </w:tc>
              <w:tc>
                <w:tcPr>
                  <w:tcW w:w="2333" w:type="dxa"/>
                  <w:vAlign w:val="center"/>
                </w:tcPr>
                <w:p>
                  <w:pPr>
                    <w:pStyle w:val="59"/>
                    <w:rPr>
                      <w:color w:val="auto"/>
                      <w:highlight w:val="none"/>
                    </w:rPr>
                  </w:pPr>
                  <w:r>
                    <w:rPr>
                      <w:color w:val="auto"/>
                      <w:highlight w:val="none"/>
                    </w:rPr>
                    <w:t>24小时平均值</w:t>
                  </w:r>
                </w:p>
              </w:tc>
              <w:tc>
                <w:tcPr>
                  <w:tcW w:w="3270" w:type="dxa"/>
                  <w:vAlign w:val="center"/>
                </w:tcPr>
                <w:p>
                  <w:pPr>
                    <w:pStyle w:val="59"/>
                    <w:rPr>
                      <w:color w:val="auto"/>
                      <w:highlight w:val="none"/>
                    </w:rPr>
                  </w:pPr>
                  <w:r>
                    <w:rPr>
                      <w:color w:val="auto"/>
                      <w:highlight w:val="none"/>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restart"/>
                  <w:vAlign w:val="center"/>
                </w:tcPr>
                <w:p>
                  <w:pPr>
                    <w:pStyle w:val="59"/>
                    <w:rPr>
                      <w:color w:val="auto"/>
                      <w:highlight w:val="none"/>
                    </w:rPr>
                  </w:pPr>
                  <w:r>
                    <w:rPr>
                      <w:color w:val="auto"/>
                      <w:highlight w:val="none"/>
                    </w:rPr>
                    <w:t>NO</w:t>
                  </w:r>
                  <w:r>
                    <w:rPr>
                      <w:color w:val="auto"/>
                      <w:highlight w:val="none"/>
                      <w:vertAlign w:val="subscript"/>
                    </w:rPr>
                    <w:t>2</w:t>
                  </w:r>
                </w:p>
              </w:tc>
              <w:tc>
                <w:tcPr>
                  <w:tcW w:w="2333" w:type="dxa"/>
                  <w:vAlign w:val="center"/>
                </w:tcPr>
                <w:p>
                  <w:pPr>
                    <w:pStyle w:val="59"/>
                    <w:rPr>
                      <w:color w:val="auto"/>
                      <w:highlight w:val="none"/>
                    </w:rPr>
                  </w:pPr>
                  <w:r>
                    <w:rPr>
                      <w:color w:val="auto"/>
                      <w:highlight w:val="none"/>
                    </w:rPr>
                    <w:t>年平均值</w:t>
                  </w:r>
                </w:p>
              </w:tc>
              <w:tc>
                <w:tcPr>
                  <w:tcW w:w="3270" w:type="dxa"/>
                  <w:vAlign w:val="center"/>
                </w:tcPr>
                <w:p>
                  <w:pPr>
                    <w:pStyle w:val="59"/>
                    <w:rPr>
                      <w:color w:val="auto"/>
                      <w:highlight w:val="none"/>
                    </w:rPr>
                  </w:pPr>
                  <w:r>
                    <w:rPr>
                      <w:color w:val="auto"/>
                      <w:highlight w:val="none"/>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continue"/>
                  <w:vAlign w:val="center"/>
                </w:tcPr>
                <w:p>
                  <w:pPr>
                    <w:pStyle w:val="59"/>
                    <w:rPr>
                      <w:color w:val="auto"/>
                      <w:highlight w:val="none"/>
                    </w:rPr>
                  </w:pPr>
                </w:p>
              </w:tc>
              <w:tc>
                <w:tcPr>
                  <w:tcW w:w="2333" w:type="dxa"/>
                  <w:vAlign w:val="center"/>
                </w:tcPr>
                <w:p>
                  <w:pPr>
                    <w:pStyle w:val="59"/>
                    <w:rPr>
                      <w:color w:val="auto"/>
                      <w:highlight w:val="none"/>
                    </w:rPr>
                  </w:pPr>
                  <w:r>
                    <w:rPr>
                      <w:color w:val="auto"/>
                      <w:highlight w:val="none"/>
                    </w:rPr>
                    <w:t>24小时平均值</w:t>
                  </w:r>
                </w:p>
              </w:tc>
              <w:tc>
                <w:tcPr>
                  <w:tcW w:w="3270" w:type="dxa"/>
                  <w:vAlign w:val="center"/>
                </w:tcPr>
                <w:p>
                  <w:pPr>
                    <w:pStyle w:val="59"/>
                    <w:rPr>
                      <w:color w:val="auto"/>
                      <w:highlight w:val="none"/>
                    </w:rPr>
                  </w:pPr>
                  <w:r>
                    <w:rPr>
                      <w:color w:val="auto"/>
                      <w:highlight w:val="none"/>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continue"/>
                  <w:vAlign w:val="center"/>
                </w:tcPr>
                <w:p>
                  <w:pPr>
                    <w:pStyle w:val="59"/>
                    <w:rPr>
                      <w:color w:val="auto"/>
                      <w:highlight w:val="none"/>
                    </w:rPr>
                  </w:pPr>
                </w:p>
              </w:tc>
              <w:tc>
                <w:tcPr>
                  <w:tcW w:w="2333" w:type="dxa"/>
                  <w:vAlign w:val="center"/>
                </w:tcPr>
                <w:p>
                  <w:pPr>
                    <w:pStyle w:val="59"/>
                    <w:rPr>
                      <w:color w:val="auto"/>
                      <w:highlight w:val="none"/>
                    </w:rPr>
                  </w:pPr>
                  <w:r>
                    <w:rPr>
                      <w:color w:val="auto"/>
                      <w:highlight w:val="none"/>
                    </w:rPr>
                    <w:t>1小时平均值</w:t>
                  </w:r>
                </w:p>
              </w:tc>
              <w:tc>
                <w:tcPr>
                  <w:tcW w:w="3270" w:type="dxa"/>
                  <w:vAlign w:val="center"/>
                </w:tcPr>
                <w:p>
                  <w:pPr>
                    <w:pStyle w:val="59"/>
                    <w:rPr>
                      <w:color w:val="auto"/>
                      <w:highlight w:val="none"/>
                    </w:rPr>
                  </w:pPr>
                  <w:r>
                    <w:rPr>
                      <w:color w:val="auto"/>
                      <w:highlight w:val="none"/>
                    </w:rPr>
                    <w:t>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restart"/>
                  <w:vAlign w:val="center"/>
                </w:tcPr>
                <w:p>
                  <w:pPr>
                    <w:pStyle w:val="59"/>
                    <w:rPr>
                      <w:color w:val="auto"/>
                      <w:highlight w:val="none"/>
                    </w:rPr>
                  </w:pPr>
                  <w:r>
                    <w:rPr>
                      <w:color w:val="auto"/>
                      <w:highlight w:val="none"/>
                    </w:rPr>
                    <w:t>SO</w:t>
                  </w:r>
                  <w:r>
                    <w:rPr>
                      <w:color w:val="auto"/>
                      <w:highlight w:val="none"/>
                      <w:vertAlign w:val="subscript"/>
                    </w:rPr>
                    <w:t>2</w:t>
                  </w:r>
                </w:p>
              </w:tc>
              <w:tc>
                <w:tcPr>
                  <w:tcW w:w="2333" w:type="dxa"/>
                  <w:vAlign w:val="center"/>
                </w:tcPr>
                <w:p>
                  <w:pPr>
                    <w:pStyle w:val="59"/>
                    <w:rPr>
                      <w:color w:val="auto"/>
                      <w:highlight w:val="none"/>
                    </w:rPr>
                  </w:pPr>
                  <w:r>
                    <w:rPr>
                      <w:color w:val="auto"/>
                      <w:highlight w:val="none"/>
                    </w:rPr>
                    <w:t>年平均值</w:t>
                  </w:r>
                </w:p>
              </w:tc>
              <w:tc>
                <w:tcPr>
                  <w:tcW w:w="3270" w:type="dxa"/>
                  <w:vAlign w:val="center"/>
                </w:tcPr>
                <w:p>
                  <w:pPr>
                    <w:pStyle w:val="59"/>
                    <w:rPr>
                      <w:color w:val="auto"/>
                      <w:highlight w:val="none"/>
                    </w:rPr>
                  </w:pPr>
                  <w:r>
                    <w:rPr>
                      <w:color w:val="auto"/>
                      <w:highlight w:val="none"/>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continue"/>
                  <w:vAlign w:val="center"/>
                </w:tcPr>
                <w:p>
                  <w:pPr>
                    <w:pStyle w:val="59"/>
                    <w:rPr>
                      <w:color w:val="auto"/>
                      <w:sz w:val="24"/>
                      <w:highlight w:val="none"/>
                    </w:rPr>
                  </w:pPr>
                </w:p>
              </w:tc>
              <w:tc>
                <w:tcPr>
                  <w:tcW w:w="2333" w:type="dxa"/>
                  <w:vAlign w:val="center"/>
                </w:tcPr>
                <w:p>
                  <w:pPr>
                    <w:pStyle w:val="59"/>
                    <w:rPr>
                      <w:color w:val="auto"/>
                      <w:highlight w:val="none"/>
                    </w:rPr>
                  </w:pPr>
                  <w:r>
                    <w:rPr>
                      <w:color w:val="auto"/>
                      <w:highlight w:val="none"/>
                    </w:rPr>
                    <w:t>24小时平均值</w:t>
                  </w:r>
                </w:p>
              </w:tc>
              <w:tc>
                <w:tcPr>
                  <w:tcW w:w="3270" w:type="dxa"/>
                  <w:vAlign w:val="center"/>
                </w:tcPr>
                <w:p>
                  <w:pPr>
                    <w:pStyle w:val="59"/>
                    <w:rPr>
                      <w:color w:val="auto"/>
                      <w:highlight w:val="none"/>
                    </w:rPr>
                  </w:pPr>
                  <w:r>
                    <w:rPr>
                      <w:color w:val="auto"/>
                      <w:highlight w:val="none"/>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continue"/>
                  <w:vAlign w:val="center"/>
                </w:tcPr>
                <w:p>
                  <w:pPr>
                    <w:pStyle w:val="59"/>
                    <w:rPr>
                      <w:color w:val="auto"/>
                      <w:highlight w:val="none"/>
                    </w:rPr>
                  </w:pPr>
                </w:p>
              </w:tc>
              <w:tc>
                <w:tcPr>
                  <w:tcW w:w="2333" w:type="dxa"/>
                  <w:vAlign w:val="center"/>
                </w:tcPr>
                <w:p>
                  <w:pPr>
                    <w:pStyle w:val="59"/>
                    <w:rPr>
                      <w:color w:val="auto"/>
                      <w:highlight w:val="none"/>
                    </w:rPr>
                  </w:pPr>
                  <w:r>
                    <w:rPr>
                      <w:color w:val="auto"/>
                      <w:highlight w:val="none"/>
                    </w:rPr>
                    <w:t>1小时平均</w:t>
                  </w:r>
                </w:p>
              </w:tc>
              <w:tc>
                <w:tcPr>
                  <w:tcW w:w="3270" w:type="dxa"/>
                  <w:vAlign w:val="center"/>
                </w:tcPr>
                <w:p>
                  <w:pPr>
                    <w:pStyle w:val="59"/>
                    <w:rPr>
                      <w:color w:val="auto"/>
                      <w:highlight w:val="none"/>
                    </w:rPr>
                  </w:pPr>
                  <w:r>
                    <w:rPr>
                      <w:color w:val="auto"/>
                      <w:highlight w:val="none"/>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restart"/>
                  <w:vAlign w:val="center"/>
                </w:tcPr>
                <w:p>
                  <w:pPr>
                    <w:pStyle w:val="59"/>
                    <w:rPr>
                      <w:color w:val="auto"/>
                      <w:highlight w:val="none"/>
                    </w:rPr>
                  </w:pPr>
                  <w:r>
                    <w:rPr>
                      <w:color w:val="auto"/>
                      <w:highlight w:val="none"/>
                    </w:rPr>
                    <w:t>CO</w:t>
                  </w:r>
                </w:p>
              </w:tc>
              <w:tc>
                <w:tcPr>
                  <w:tcW w:w="2333" w:type="dxa"/>
                  <w:vAlign w:val="center"/>
                </w:tcPr>
                <w:p>
                  <w:pPr>
                    <w:pStyle w:val="59"/>
                    <w:rPr>
                      <w:color w:val="auto"/>
                      <w:highlight w:val="none"/>
                    </w:rPr>
                  </w:pPr>
                  <w:r>
                    <w:rPr>
                      <w:color w:val="auto"/>
                      <w:highlight w:val="none"/>
                    </w:rPr>
                    <w:t>24小时平均值</w:t>
                  </w:r>
                </w:p>
              </w:tc>
              <w:tc>
                <w:tcPr>
                  <w:tcW w:w="3270" w:type="dxa"/>
                  <w:vAlign w:val="center"/>
                </w:tcPr>
                <w:p>
                  <w:pPr>
                    <w:pStyle w:val="59"/>
                    <w:rPr>
                      <w:color w:val="auto"/>
                      <w:highlight w:val="none"/>
                    </w:rPr>
                  </w:pPr>
                  <w:r>
                    <w:rPr>
                      <w:color w:val="auto"/>
                      <w:highlight w:val="none"/>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2334" w:type="dxa"/>
                  <w:vMerge w:val="continue"/>
                  <w:vAlign w:val="center"/>
                </w:tcPr>
                <w:p>
                  <w:pPr>
                    <w:pStyle w:val="59"/>
                    <w:rPr>
                      <w:color w:val="auto"/>
                      <w:highlight w:val="none"/>
                    </w:rPr>
                  </w:pPr>
                </w:p>
              </w:tc>
              <w:tc>
                <w:tcPr>
                  <w:tcW w:w="2333" w:type="dxa"/>
                  <w:vAlign w:val="center"/>
                </w:tcPr>
                <w:p>
                  <w:pPr>
                    <w:pStyle w:val="59"/>
                    <w:rPr>
                      <w:color w:val="auto"/>
                      <w:highlight w:val="none"/>
                    </w:rPr>
                  </w:pPr>
                  <w:r>
                    <w:rPr>
                      <w:color w:val="auto"/>
                      <w:highlight w:val="none"/>
                    </w:rPr>
                    <w:t>1小时平均值</w:t>
                  </w:r>
                </w:p>
              </w:tc>
              <w:tc>
                <w:tcPr>
                  <w:tcW w:w="3270" w:type="dxa"/>
                  <w:vAlign w:val="center"/>
                </w:tcPr>
                <w:p>
                  <w:pPr>
                    <w:pStyle w:val="59"/>
                    <w:rPr>
                      <w:color w:val="auto"/>
                      <w:highlight w:val="none"/>
                    </w:rPr>
                  </w:pPr>
                  <w:r>
                    <w:rPr>
                      <w:color w:val="auto"/>
                      <w:highlight w:val="none"/>
                    </w:rPr>
                    <w:t>10.00</w:t>
                  </w:r>
                </w:p>
              </w:tc>
            </w:tr>
          </w:tbl>
          <w:p>
            <w:pPr>
              <w:adjustRightInd w:val="0"/>
              <w:snapToGrid w:val="0"/>
              <w:spacing w:line="360" w:lineRule="auto"/>
              <w:ind w:firstLine="482" w:firstLineChars="200"/>
              <w:outlineLvl w:val="2"/>
              <w:rPr>
                <w:b/>
                <w:bCs/>
                <w:snapToGrid w:val="0"/>
                <w:color w:val="auto"/>
                <w:kern w:val="0"/>
                <w:sz w:val="24"/>
                <w:highlight w:val="none"/>
              </w:rPr>
            </w:pPr>
            <w:r>
              <w:rPr>
                <w:b/>
                <w:bCs/>
                <w:snapToGrid w:val="0"/>
                <w:color w:val="auto"/>
                <w:kern w:val="0"/>
                <w:sz w:val="24"/>
                <w:highlight w:val="none"/>
              </w:rPr>
              <w:t>（3）声环境</w:t>
            </w:r>
          </w:p>
          <w:p>
            <w:pPr>
              <w:spacing w:line="360" w:lineRule="auto"/>
              <w:ind w:firstLine="480" w:firstLineChars="200"/>
              <w:rPr>
                <w:color w:val="auto"/>
                <w:sz w:val="24"/>
                <w:highlight w:val="none"/>
              </w:rPr>
            </w:pPr>
            <w:r>
              <w:rPr>
                <w:color w:val="auto"/>
                <w:sz w:val="24"/>
                <w:highlight w:val="none"/>
              </w:rPr>
              <w:t>本项目道路等级为</w:t>
            </w:r>
            <w:r>
              <w:rPr>
                <w:rFonts w:hint="eastAsia"/>
                <w:color w:val="auto"/>
                <w:sz w:val="24"/>
                <w:highlight w:val="none"/>
              </w:rPr>
              <w:t>城市主干路</w:t>
            </w:r>
            <w:r>
              <w:rPr>
                <w:color w:val="auto"/>
                <w:sz w:val="24"/>
                <w:highlight w:val="none"/>
              </w:rPr>
              <w:t>，根据GB/T15190-2014《声环境功能区划分技术规范》，项目建成通车后，当临街建筑低于三层楼房时，道路边界外35m+5m（本项目选取</w:t>
            </w:r>
            <w:r>
              <w:rPr>
                <w:rFonts w:hint="eastAsia"/>
                <w:color w:val="auto"/>
                <w:sz w:val="24"/>
                <w:highlight w:val="none"/>
              </w:rPr>
              <w:t>35</w:t>
            </w:r>
            <w:r>
              <w:rPr>
                <w:color w:val="auto"/>
                <w:sz w:val="24"/>
                <w:highlight w:val="none"/>
              </w:rPr>
              <w:t>m）内的区域划分为4a类声环境功能区；当临街建筑高于三层楼房以上(含三层)时，将临街建筑面向交通干线一侧至交通干线边界线的区域定为4a类声环境功能区。</w:t>
            </w:r>
          </w:p>
          <w:p>
            <w:pPr>
              <w:adjustRightInd w:val="0"/>
              <w:snapToGrid w:val="0"/>
              <w:spacing w:line="360" w:lineRule="auto"/>
              <w:ind w:firstLine="480" w:firstLineChars="200"/>
              <w:outlineLvl w:val="2"/>
              <w:rPr>
                <w:snapToGrid w:val="0"/>
                <w:color w:val="auto"/>
                <w:kern w:val="0"/>
                <w:sz w:val="24"/>
                <w:highlight w:val="none"/>
              </w:rPr>
            </w:pPr>
            <w:r>
              <w:rPr>
                <w:rFonts w:hint="eastAsia"/>
                <w:snapToGrid w:val="0"/>
                <w:color w:val="auto"/>
                <w:kern w:val="0"/>
                <w:sz w:val="24"/>
                <w:highlight w:val="none"/>
                <w:lang w:eastAsia="zh-CN"/>
              </w:rPr>
              <w:t>根据《福州市声功能区划图》，工程沿线评价区域声环境功能分区划分为</w:t>
            </w:r>
            <w:r>
              <w:rPr>
                <w:snapToGrid w:val="0"/>
                <w:color w:val="auto"/>
                <w:kern w:val="0"/>
                <w:sz w:val="24"/>
                <w:highlight w:val="none"/>
              </w:rPr>
              <w:t>为2类区</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4类区</w:t>
            </w:r>
            <w:r>
              <w:rPr>
                <w:snapToGrid w:val="0"/>
                <w:color w:val="auto"/>
                <w:kern w:val="0"/>
                <w:sz w:val="24"/>
                <w:highlight w:val="none"/>
              </w:rPr>
              <w:t>，</w:t>
            </w:r>
            <w:r>
              <w:rPr>
                <w:rFonts w:hint="eastAsia"/>
                <w:snapToGrid w:val="0"/>
                <w:color w:val="auto"/>
                <w:kern w:val="0"/>
                <w:sz w:val="24"/>
                <w:highlight w:val="none"/>
              </w:rPr>
              <w:t>声环境质量分别</w:t>
            </w:r>
            <w:r>
              <w:rPr>
                <w:snapToGrid w:val="0"/>
                <w:color w:val="auto"/>
                <w:kern w:val="0"/>
                <w:sz w:val="24"/>
                <w:highlight w:val="none"/>
              </w:rPr>
              <w:t>执行《声环境质量标准》（GB3096-2008）中2类</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4类</w:t>
            </w:r>
            <w:r>
              <w:rPr>
                <w:snapToGrid w:val="0"/>
                <w:color w:val="auto"/>
                <w:kern w:val="0"/>
                <w:sz w:val="24"/>
                <w:highlight w:val="none"/>
              </w:rPr>
              <w:t>标准。</w:t>
            </w:r>
          </w:p>
          <w:p>
            <w:pPr>
              <w:adjustRightInd w:val="0"/>
              <w:snapToGrid w:val="0"/>
              <w:spacing w:line="360" w:lineRule="auto"/>
              <w:ind w:firstLine="480" w:firstLineChars="200"/>
              <w:outlineLvl w:val="2"/>
              <w:rPr>
                <w:snapToGrid w:val="0"/>
                <w:color w:val="auto"/>
                <w:kern w:val="0"/>
                <w:sz w:val="24"/>
                <w:highlight w:val="none"/>
              </w:rPr>
            </w:pPr>
            <w:r>
              <w:rPr>
                <w:color w:val="auto"/>
                <w:sz w:val="24"/>
                <w:highlight w:val="none"/>
              </w:rPr>
              <w:t>因此在本项目道路边界外200m评价范围内，本项目边界外</w:t>
            </w:r>
            <w:r>
              <w:rPr>
                <w:rFonts w:hint="eastAsia"/>
                <w:color w:val="auto"/>
                <w:sz w:val="24"/>
                <w:highlight w:val="none"/>
              </w:rPr>
              <w:t>35m</w:t>
            </w:r>
            <w:r>
              <w:rPr>
                <w:color w:val="auto"/>
                <w:sz w:val="24"/>
                <w:highlight w:val="none"/>
              </w:rPr>
              <w:t>内区域、高于三层楼房以上（含三层）的临街建筑面向道路一侧至边界线的区域执行4a类标准，其他区域执行2类标准</w:t>
            </w:r>
            <w:r>
              <w:rPr>
                <w:snapToGrid w:val="0"/>
                <w:color w:val="auto"/>
                <w:kern w:val="0"/>
                <w:sz w:val="24"/>
                <w:highlight w:val="none"/>
              </w:rPr>
              <w:t>。具体标准执行见下表。</w:t>
            </w:r>
          </w:p>
          <w:tbl>
            <w:tblPr>
              <w:tblStyle w:val="23"/>
              <w:tblpPr w:leftFromText="180" w:rightFromText="180" w:vertAnchor="text" w:horzAnchor="page" w:tblpXSpec="center" w:tblpY="312"/>
              <w:tblOverlap w:val="never"/>
              <w:tblW w:w="7937"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647"/>
              <w:gridCol w:w="2644"/>
              <w:gridCol w:w="264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647" w:type="dxa"/>
                  <w:vAlign w:val="center"/>
                </w:tcPr>
                <w:p>
                  <w:pPr>
                    <w:jc w:val="center"/>
                    <w:rPr>
                      <w:color w:val="auto"/>
                      <w:szCs w:val="21"/>
                      <w:highlight w:val="none"/>
                    </w:rPr>
                  </w:pPr>
                  <w:r>
                    <w:rPr>
                      <w:bCs/>
                      <w:color w:val="auto"/>
                      <w:szCs w:val="21"/>
                      <w:highlight w:val="none"/>
                    </w:rPr>
                    <w:t>类别</w:t>
                  </w:r>
                </w:p>
              </w:tc>
              <w:tc>
                <w:tcPr>
                  <w:tcW w:w="2644" w:type="dxa"/>
                  <w:vAlign w:val="center"/>
                </w:tcPr>
                <w:p>
                  <w:pPr>
                    <w:keepNext/>
                    <w:jc w:val="center"/>
                    <w:rPr>
                      <w:bCs/>
                      <w:color w:val="auto"/>
                      <w:szCs w:val="21"/>
                      <w:highlight w:val="none"/>
                    </w:rPr>
                  </w:pPr>
                  <w:r>
                    <w:rPr>
                      <w:bCs/>
                      <w:color w:val="auto"/>
                      <w:szCs w:val="21"/>
                      <w:highlight w:val="none"/>
                    </w:rPr>
                    <w:t>昼间</w:t>
                  </w:r>
                </w:p>
              </w:tc>
              <w:tc>
                <w:tcPr>
                  <w:tcW w:w="2646" w:type="dxa"/>
                  <w:vAlign w:val="center"/>
                </w:tcPr>
                <w:p>
                  <w:pPr>
                    <w:keepNext/>
                    <w:jc w:val="center"/>
                    <w:rPr>
                      <w:bCs/>
                      <w:color w:val="auto"/>
                      <w:szCs w:val="21"/>
                      <w:highlight w:val="none"/>
                    </w:rPr>
                  </w:pPr>
                  <w:r>
                    <w:rPr>
                      <w:bCs/>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647" w:type="dxa"/>
                  <w:vAlign w:val="center"/>
                </w:tcPr>
                <w:p>
                  <w:pPr>
                    <w:jc w:val="center"/>
                    <w:rPr>
                      <w:bCs/>
                      <w:color w:val="auto"/>
                      <w:szCs w:val="21"/>
                      <w:highlight w:val="none"/>
                    </w:rPr>
                  </w:pPr>
                  <w:r>
                    <w:rPr>
                      <w:bCs/>
                      <w:color w:val="auto"/>
                      <w:szCs w:val="21"/>
                      <w:highlight w:val="none"/>
                    </w:rPr>
                    <w:t>2类</w:t>
                  </w:r>
                </w:p>
              </w:tc>
              <w:tc>
                <w:tcPr>
                  <w:tcW w:w="2644" w:type="dxa"/>
                  <w:vAlign w:val="center"/>
                </w:tcPr>
                <w:p>
                  <w:pPr>
                    <w:keepNext/>
                    <w:jc w:val="center"/>
                    <w:rPr>
                      <w:bCs/>
                      <w:color w:val="auto"/>
                      <w:szCs w:val="21"/>
                      <w:highlight w:val="none"/>
                    </w:rPr>
                  </w:pPr>
                  <w:r>
                    <w:rPr>
                      <w:bCs/>
                      <w:color w:val="auto"/>
                      <w:szCs w:val="21"/>
                      <w:highlight w:val="none"/>
                    </w:rPr>
                    <w:t>60</w:t>
                  </w:r>
                </w:p>
              </w:tc>
              <w:tc>
                <w:tcPr>
                  <w:tcW w:w="2646" w:type="dxa"/>
                  <w:vAlign w:val="center"/>
                </w:tcPr>
                <w:p>
                  <w:pPr>
                    <w:keepNext/>
                    <w:jc w:val="center"/>
                    <w:rPr>
                      <w:bCs/>
                      <w:color w:val="auto"/>
                      <w:szCs w:val="21"/>
                      <w:highlight w:val="none"/>
                    </w:rPr>
                  </w:pPr>
                  <w:r>
                    <w:rPr>
                      <w:bCs/>
                      <w:color w:val="auto"/>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647" w:type="dxa"/>
                  <w:vAlign w:val="center"/>
                </w:tcPr>
                <w:p>
                  <w:pPr>
                    <w:jc w:val="center"/>
                    <w:rPr>
                      <w:bCs/>
                      <w:color w:val="auto"/>
                      <w:szCs w:val="21"/>
                      <w:highlight w:val="none"/>
                    </w:rPr>
                  </w:pPr>
                  <w:r>
                    <w:rPr>
                      <w:bCs/>
                      <w:color w:val="auto"/>
                      <w:szCs w:val="21"/>
                      <w:highlight w:val="none"/>
                    </w:rPr>
                    <w:t>4a类</w:t>
                  </w:r>
                </w:p>
              </w:tc>
              <w:tc>
                <w:tcPr>
                  <w:tcW w:w="2644" w:type="dxa"/>
                  <w:vAlign w:val="center"/>
                </w:tcPr>
                <w:p>
                  <w:pPr>
                    <w:keepNext/>
                    <w:jc w:val="center"/>
                    <w:rPr>
                      <w:bCs/>
                      <w:color w:val="auto"/>
                      <w:szCs w:val="21"/>
                      <w:highlight w:val="none"/>
                    </w:rPr>
                  </w:pPr>
                  <w:r>
                    <w:rPr>
                      <w:bCs/>
                      <w:color w:val="auto"/>
                      <w:szCs w:val="21"/>
                      <w:highlight w:val="none"/>
                    </w:rPr>
                    <w:t>70</w:t>
                  </w:r>
                </w:p>
              </w:tc>
              <w:tc>
                <w:tcPr>
                  <w:tcW w:w="2646" w:type="dxa"/>
                  <w:vAlign w:val="center"/>
                </w:tcPr>
                <w:p>
                  <w:pPr>
                    <w:keepNext/>
                    <w:jc w:val="center"/>
                    <w:rPr>
                      <w:bCs/>
                      <w:color w:val="auto"/>
                      <w:szCs w:val="21"/>
                      <w:highlight w:val="none"/>
                    </w:rPr>
                  </w:pPr>
                  <w:r>
                    <w:rPr>
                      <w:bCs/>
                      <w:color w:val="auto"/>
                      <w:szCs w:val="21"/>
                      <w:highlight w:val="none"/>
                    </w:rPr>
                    <w:t>55</w:t>
                  </w:r>
                </w:p>
              </w:tc>
            </w:tr>
          </w:tbl>
          <w:p>
            <w:pPr>
              <w:ind w:firstLine="480"/>
              <w:jc w:val="right"/>
              <w:rPr>
                <w:b/>
                <w:bCs/>
                <w:color w:val="auto"/>
                <w:sz w:val="24"/>
                <w:highlight w:val="none"/>
              </w:rPr>
            </w:pPr>
            <w:r>
              <w:rPr>
                <w:b/>
                <w:bCs/>
                <w:color w:val="auto"/>
                <w:sz w:val="24"/>
                <w:highlight w:val="none"/>
              </w:rPr>
              <w:t>表3-</w:t>
            </w:r>
            <w:r>
              <w:rPr>
                <w:rFonts w:hint="eastAsia"/>
                <w:b/>
                <w:bCs/>
                <w:color w:val="auto"/>
                <w:sz w:val="24"/>
                <w:highlight w:val="none"/>
              </w:rPr>
              <w:t>6</w:t>
            </w:r>
            <w:r>
              <w:rPr>
                <w:b/>
                <w:bCs/>
                <w:color w:val="auto"/>
                <w:sz w:val="24"/>
                <w:highlight w:val="none"/>
              </w:rPr>
              <w:t xml:space="preserve">  《声环境质量标准》（GB3096-2008）标准   单位：dB(A)</w:t>
            </w:r>
          </w:p>
          <w:p>
            <w:pPr>
              <w:adjustRightInd w:val="0"/>
              <w:snapToGrid w:val="0"/>
              <w:spacing w:line="360" w:lineRule="auto"/>
              <w:ind w:firstLine="482" w:firstLineChars="200"/>
              <w:outlineLvl w:val="2"/>
              <w:rPr>
                <w:b/>
                <w:bCs/>
                <w:color w:val="auto"/>
                <w:sz w:val="24"/>
                <w:highlight w:val="none"/>
              </w:rPr>
            </w:pPr>
            <w:r>
              <w:rPr>
                <w:b/>
                <w:bCs/>
                <w:color w:val="auto"/>
                <w:sz w:val="24"/>
                <w:highlight w:val="none"/>
              </w:rPr>
              <w:t>2、污染物排放标准</w:t>
            </w:r>
          </w:p>
          <w:p>
            <w:pPr>
              <w:adjustRightInd w:val="0"/>
              <w:snapToGrid w:val="0"/>
              <w:spacing w:line="360" w:lineRule="auto"/>
              <w:ind w:firstLine="482" w:firstLineChars="200"/>
              <w:outlineLvl w:val="2"/>
              <w:rPr>
                <w:rFonts w:hint="eastAsia"/>
                <w:color w:val="auto"/>
                <w:sz w:val="24"/>
                <w:highlight w:val="none"/>
              </w:rPr>
            </w:pPr>
            <w:r>
              <w:rPr>
                <w:rFonts w:hint="eastAsia"/>
                <w:b/>
                <w:bCs/>
                <w:color w:val="auto"/>
                <w:sz w:val="24"/>
                <w:highlight w:val="none"/>
              </w:rPr>
              <w:t>（1）污水排放标准</w:t>
            </w:r>
          </w:p>
          <w:p>
            <w:pPr>
              <w:adjustRightInd w:val="0"/>
              <w:snapToGrid w:val="0"/>
              <w:spacing w:line="360" w:lineRule="auto"/>
              <w:ind w:firstLine="480" w:firstLineChars="200"/>
              <w:outlineLvl w:val="2"/>
              <w:rPr>
                <w:rFonts w:hint="eastAsia"/>
                <w:color w:val="auto"/>
                <w:sz w:val="24"/>
                <w:highlight w:val="none"/>
              </w:rPr>
            </w:pPr>
            <w:r>
              <w:rPr>
                <w:rFonts w:hint="eastAsia"/>
                <w:color w:val="auto"/>
                <w:sz w:val="24"/>
                <w:highlight w:val="none"/>
              </w:rPr>
              <w:t>项目施工期机械设备冲洗和施工车辆冲洗废水经隔油沉淀处理后，回用于施工用水，不外排；施工人员临时用房就近租用当地居民民房，生活污水依托当地现有污水处理系统。</w:t>
            </w:r>
          </w:p>
          <w:p>
            <w:pPr>
              <w:adjustRightInd w:val="0"/>
              <w:snapToGrid w:val="0"/>
              <w:spacing w:line="360" w:lineRule="auto"/>
              <w:ind w:firstLine="482" w:firstLineChars="200"/>
              <w:outlineLvl w:val="2"/>
              <w:rPr>
                <w:rFonts w:hint="eastAsia"/>
                <w:b/>
                <w:bCs/>
                <w:color w:val="auto"/>
                <w:sz w:val="24"/>
                <w:highlight w:val="none"/>
              </w:rPr>
            </w:pPr>
            <w:r>
              <w:rPr>
                <w:rFonts w:hint="eastAsia"/>
                <w:b/>
                <w:bCs/>
                <w:color w:val="auto"/>
                <w:sz w:val="24"/>
                <w:highlight w:val="none"/>
              </w:rPr>
              <w:t>（2）大气排放标准</w:t>
            </w:r>
          </w:p>
          <w:p>
            <w:pPr>
              <w:adjustRightInd w:val="0"/>
              <w:snapToGrid w:val="0"/>
              <w:spacing w:line="360" w:lineRule="auto"/>
              <w:ind w:firstLine="480" w:firstLineChars="200"/>
              <w:outlineLvl w:val="2"/>
              <w:rPr>
                <w:rFonts w:hint="eastAsia"/>
                <w:color w:val="auto"/>
                <w:sz w:val="24"/>
                <w:highlight w:val="none"/>
              </w:rPr>
            </w:pPr>
            <w:r>
              <w:rPr>
                <w:rFonts w:hint="eastAsia"/>
                <w:color w:val="auto"/>
                <w:sz w:val="24"/>
                <w:highlight w:val="none"/>
              </w:rPr>
              <w:t>项目施工期大气污染物排放执行《大气污染物综合排放标准》（GB16297-1996）中表2中无组织排放监控浓度限值，执行见表3-7。</w:t>
            </w:r>
          </w:p>
          <w:p>
            <w:pPr>
              <w:ind w:firstLine="480"/>
              <w:jc w:val="right"/>
              <w:rPr>
                <w:b/>
                <w:bCs/>
                <w:color w:val="auto"/>
                <w:highlight w:val="none"/>
              </w:rPr>
            </w:pPr>
            <w:r>
              <w:rPr>
                <w:b/>
                <w:bCs/>
                <w:color w:val="auto"/>
                <w:sz w:val="24"/>
                <w:highlight w:val="none"/>
              </w:rPr>
              <w:t>表3-</w:t>
            </w:r>
            <w:r>
              <w:rPr>
                <w:rFonts w:hint="eastAsia"/>
                <w:b/>
                <w:bCs/>
                <w:color w:val="auto"/>
                <w:sz w:val="24"/>
                <w:highlight w:val="none"/>
              </w:rPr>
              <w:t>7</w:t>
            </w:r>
            <w:r>
              <w:rPr>
                <w:b/>
                <w:bCs/>
                <w:color w:val="auto"/>
                <w:sz w:val="24"/>
                <w:highlight w:val="none"/>
              </w:rPr>
              <w:t xml:space="preserve">  《大气污染物综合排放标准》（GB16297-1996）表2（摘录）</w:t>
            </w:r>
          </w:p>
          <w:tbl>
            <w:tblPr>
              <w:tblStyle w:val="23"/>
              <w:tblW w:w="7937"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16"/>
              <w:gridCol w:w="2298"/>
              <w:gridCol w:w="352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34" w:hRule="atLeast"/>
                <w:jc w:val="center"/>
              </w:trPr>
              <w:tc>
                <w:tcPr>
                  <w:tcW w:w="2116" w:type="dxa"/>
                  <w:vAlign w:val="center"/>
                </w:tcPr>
                <w:p>
                  <w:pPr>
                    <w:jc w:val="center"/>
                    <w:rPr>
                      <w:bCs/>
                      <w:color w:val="auto"/>
                      <w:szCs w:val="21"/>
                      <w:highlight w:val="none"/>
                    </w:rPr>
                  </w:pPr>
                  <w:r>
                    <w:rPr>
                      <w:bCs/>
                      <w:color w:val="auto"/>
                      <w:szCs w:val="21"/>
                      <w:highlight w:val="none"/>
                    </w:rPr>
                    <w:t>污染物名称</w:t>
                  </w:r>
                </w:p>
              </w:tc>
              <w:tc>
                <w:tcPr>
                  <w:tcW w:w="2298" w:type="dxa"/>
                  <w:vAlign w:val="center"/>
                </w:tcPr>
                <w:p>
                  <w:pPr>
                    <w:jc w:val="center"/>
                    <w:rPr>
                      <w:bCs/>
                      <w:color w:val="auto"/>
                      <w:szCs w:val="21"/>
                      <w:highlight w:val="none"/>
                    </w:rPr>
                  </w:pPr>
                  <w:r>
                    <w:rPr>
                      <w:bCs/>
                      <w:color w:val="auto"/>
                      <w:szCs w:val="21"/>
                      <w:highlight w:val="none"/>
                    </w:rPr>
                    <w:t>监控点</w:t>
                  </w:r>
                </w:p>
              </w:tc>
              <w:tc>
                <w:tcPr>
                  <w:tcW w:w="3523" w:type="dxa"/>
                  <w:vAlign w:val="center"/>
                </w:tcPr>
                <w:p>
                  <w:pPr>
                    <w:jc w:val="center"/>
                    <w:rPr>
                      <w:bCs/>
                      <w:color w:val="auto"/>
                      <w:szCs w:val="21"/>
                      <w:highlight w:val="none"/>
                    </w:rPr>
                  </w:pPr>
                  <w:r>
                    <w:rPr>
                      <w:bCs/>
                      <w:color w:val="auto"/>
                      <w:szCs w:val="21"/>
                      <w:highlight w:val="none"/>
                    </w:rPr>
                    <w:t>无组织排放监控浓度限值（mg/m</w:t>
                  </w:r>
                  <w:r>
                    <w:rPr>
                      <w:bCs/>
                      <w:color w:val="auto"/>
                      <w:szCs w:val="21"/>
                      <w:highlight w:val="none"/>
                      <w:vertAlign w:val="superscript"/>
                    </w:rPr>
                    <w:t>3</w:t>
                  </w:r>
                  <w:r>
                    <w:rPr>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54" w:hRule="atLeast"/>
                <w:jc w:val="center"/>
              </w:trPr>
              <w:tc>
                <w:tcPr>
                  <w:tcW w:w="2116" w:type="dxa"/>
                  <w:vAlign w:val="center"/>
                </w:tcPr>
                <w:p>
                  <w:pPr>
                    <w:jc w:val="center"/>
                    <w:rPr>
                      <w:color w:val="auto"/>
                      <w:szCs w:val="21"/>
                      <w:highlight w:val="none"/>
                    </w:rPr>
                  </w:pPr>
                  <w:r>
                    <w:rPr>
                      <w:color w:val="auto"/>
                      <w:szCs w:val="21"/>
                      <w:highlight w:val="none"/>
                    </w:rPr>
                    <w:t>颗粒物</w:t>
                  </w:r>
                </w:p>
              </w:tc>
              <w:tc>
                <w:tcPr>
                  <w:tcW w:w="2298" w:type="dxa"/>
                  <w:vAlign w:val="center"/>
                </w:tcPr>
                <w:p>
                  <w:pPr>
                    <w:jc w:val="center"/>
                    <w:rPr>
                      <w:color w:val="auto"/>
                      <w:szCs w:val="21"/>
                      <w:highlight w:val="none"/>
                    </w:rPr>
                  </w:pPr>
                  <w:r>
                    <w:rPr>
                      <w:color w:val="auto"/>
                      <w:szCs w:val="21"/>
                      <w:highlight w:val="none"/>
                    </w:rPr>
                    <w:t>周界外浓度最高点</w:t>
                  </w:r>
                </w:p>
              </w:tc>
              <w:tc>
                <w:tcPr>
                  <w:tcW w:w="3523" w:type="dxa"/>
                  <w:vAlign w:val="center"/>
                </w:tcPr>
                <w:p>
                  <w:pPr>
                    <w:jc w:val="center"/>
                    <w:rPr>
                      <w:color w:val="auto"/>
                      <w:szCs w:val="21"/>
                      <w:highlight w:val="none"/>
                    </w:rPr>
                  </w:pPr>
                  <w:r>
                    <w:rPr>
                      <w:color w:val="auto"/>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54" w:hRule="atLeast"/>
                <w:jc w:val="center"/>
              </w:trPr>
              <w:tc>
                <w:tcPr>
                  <w:tcW w:w="2116" w:type="dxa"/>
                  <w:vAlign w:val="center"/>
                </w:tcPr>
                <w:p>
                  <w:pPr>
                    <w:jc w:val="center"/>
                    <w:rPr>
                      <w:rFonts w:hint="eastAsia"/>
                      <w:color w:val="auto"/>
                      <w:szCs w:val="21"/>
                      <w:highlight w:val="none"/>
                    </w:rPr>
                  </w:pPr>
                  <w:r>
                    <w:rPr>
                      <w:rFonts w:hint="eastAsia"/>
                      <w:color w:val="auto"/>
                      <w:szCs w:val="21"/>
                      <w:highlight w:val="none"/>
                    </w:rPr>
                    <w:t>沥青烟</w:t>
                  </w:r>
                </w:p>
              </w:tc>
              <w:tc>
                <w:tcPr>
                  <w:tcW w:w="2298" w:type="dxa"/>
                  <w:vAlign w:val="center"/>
                </w:tcPr>
                <w:p>
                  <w:pPr>
                    <w:jc w:val="center"/>
                    <w:rPr>
                      <w:rFonts w:hint="eastAsia"/>
                      <w:color w:val="auto"/>
                      <w:szCs w:val="21"/>
                      <w:highlight w:val="none"/>
                    </w:rPr>
                  </w:pPr>
                  <w:r>
                    <w:rPr>
                      <w:rFonts w:hint="eastAsia"/>
                      <w:color w:val="auto"/>
                      <w:szCs w:val="21"/>
                      <w:highlight w:val="none"/>
                    </w:rPr>
                    <w:t>/</w:t>
                  </w:r>
                </w:p>
              </w:tc>
              <w:tc>
                <w:tcPr>
                  <w:tcW w:w="3523" w:type="dxa"/>
                  <w:vAlign w:val="center"/>
                </w:tcPr>
                <w:p>
                  <w:pPr>
                    <w:jc w:val="center"/>
                    <w:rPr>
                      <w:color w:val="auto"/>
                      <w:szCs w:val="21"/>
                      <w:highlight w:val="none"/>
                    </w:rPr>
                  </w:pPr>
                  <w:r>
                    <w:rPr>
                      <w:rFonts w:hint="eastAsia"/>
                      <w:color w:val="auto"/>
                      <w:szCs w:val="21"/>
                      <w:highlight w:val="none"/>
                    </w:rPr>
                    <w:t>生产设备不得有明显的无组织排放存在</w:t>
                  </w:r>
                </w:p>
              </w:tc>
            </w:tr>
          </w:tbl>
          <w:p>
            <w:pPr>
              <w:adjustRightInd w:val="0"/>
              <w:snapToGrid w:val="0"/>
              <w:spacing w:line="360" w:lineRule="auto"/>
              <w:ind w:firstLine="482" w:firstLineChars="200"/>
              <w:outlineLvl w:val="2"/>
              <w:rPr>
                <w:b/>
                <w:bCs/>
                <w:color w:val="auto"/>
                <w:sz w:val="24"/>
                <w:highlight w:val="none"/>
              </w:rPr>
            </w:pPr>
            <w:r>
              <w:rPr>
                <w:b/>
                <w:bCs/>
                <w:color w:val="auto"/>
                <w:sz w:val="24"/>
                <w:highlight w:val="none"/>
              </w:rPr>
              <w:t>（3）噪声排放标准</w:t>
            </w:r>
          </w:p>
          <w:p>
            <w:pPr>
              <w:adjustRightInd w:val="0"/>
              <w:snapToGrid w:val="0"/>
              <w:spacing w:line="360" w:lineRule="auto"/>
              <w:ind w:firstLine="480" w:firstLineChars="200"/>
              <w:outlineLvl w:val="2"/>
              <w:rPr>
                <w:color w:val="auto"/>
                <w:sz w:val="24"/>
                <w:highlight w:val="none"/>
              </w:rPr>
            </w:pPr>
            <w:r>
              <w:rPr>
                <w:color w:val="auto"/>
                <w:sz w:val="24"/>
                <w:highlight w:val="none"/>
              </w:rPr>
              <w:t>施工期，噪声排放执行《建筑施工场界环境噪声排放标准》（GB12523-2011)中的标准限值。</w:t>
            </w:r>
          </w:p>
          <w:p>
            <w:pPr>
              <w:ind w:firstLine="480"/>
              <w:jc w:val="right"/>
              <w:rPr>
                <w:b/>
                <w:bCs/>
                <w:color w:val="auto"/>
                <w:sz w:val="24"/>
                <w:highlight w:val="none"/>
              </w:rPr>
            </w:pPr>
            <w:r>
              <w:rPr>
                <w:b/>
                <w:bCs/>
                <w:color w:val="auto"/>
                <w:sz w:val="24"/>
                <w:highlight w:val="none"/>
              </w:rPr>
              <w:t>表3-</w:t>
            </w:r>
            <w:r>
              <w:rPr>
                <w:rFonts w:hint="eastAsia"/>
                <w:b/>
                <w:bCs/>
                <w:color w:val="auto"/>
                <w:sz w:val="24"/>
                <w:highlight w:val="none"/>
              </w:rPr>
              <w:t>8</w:t>
            </w:r>
            <w:r>
              <w:rPr>
                <w:b/>
                <w:bCs/>
                <w:color w:val="auto"/>
                <w:sz w:val="24"/>
                <w:highlight w:val="none"/>
              </w:rPr>
              <w:t xml:space="preserve">   项目噪声排放标准               单位：dB(A)</w:t>
            </w:r>
          </w:p>
          <w:tbl>
            <w:tblPr>
              <w:tblStyle w:val="23"/>
              <w:tblW w:w="7959"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655"/>
              <w:gridCol w:w="2650"/>
              <w:gridCol w:w="265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34" w:hRule="atLeast"/>
                <w:jc w:val="center"/>
              </w:trPr>
              <w:tc>
                <w:tcPr>
                  <w:tcW w:w="2655" w:type="dxa"/>
                  <w:vAlign w:val="center"/>
                </w:tcPr>
                <w:p>
                  <w:pPr>
                    <w:ind w:firstLine="420"/>
                    <w:jc w:val="center"/>
                    <w:rPr>
                      <w:color w:val="auto"/>
                      <w:szCs w:val="21"/>
                      <w:highlight w:val="none"/>
                    </w:rPr>
                  </w:pPr>
                  <w:r>
                    <w:rPr>
                      <w:bCs/>
                      <w:color w:val="auto"/>
                      <w:szCs w:val="21"/>
                      <w:highlight w:val="none"/>
                    </w:rPr>
                    <w:t>执行标准</w:t>
                  </w:r>
                </w:p>
              </w:tc>
              <w:tc>
                <w:tcPr>
                  <w:tcW w:w="2650" w:type="dxa"/>
                  <w:vAlign w:val="center"/>
                </w:tcPr>
                <w:p>
                  <w:pPr>
                    <w:keepNext/>
                    <w:ind w:firstLine="420"/>
                    <w:jc w:val="center"/>
                    <w:rPr>
                      <w:bCs/>
                      <w:color w:val="auto"/>
                      <w:szCs w:val="21"/>
                      <w:highlight w:val="none"/>
                    </w:rPr>
                  </w:pPr>
                  <w:r>
                    <w:rPr>
                      <w:bCs/>
                      <w:color w:val="auto"/>
                      <w:szCs w:val="21"/>
                      <w:highlight w:val="none"/>
                    </w:rPr>
                    <w:t>昼间</w:t>
                  </w:r>
                </w:p>
              </w:tc>
              <w:tc>
                <w:tcPr>
                  <w:tcW w:w="2654" w:type="dxa"/>
                  <w:vAlign w:val="center"/>
                </w:tcPr>
                <w:p>
                  <w:pPr>
                    <w:keepNext/>
                    <w:ind w:firstLine="420"/>
                    <w:jc w:val="center"/>
                    <w:rPr>
                      <w:bCs/>
                      <w:color w:val="auto"/>
                      <w:szCs w:val="21"/>
                      <w:highlight w:val="none"/>
                    </w:rPr>
                  </w:pPr>
                  <w:r>
                    <w:rPr>
                      <w:bCs/>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02" w:hRule="atLeast"/>
                <w:jc w:val="center"/>
              </w:trPr>
              <w:tc>
                <w:tcPr>
                  <w:tcW w:w="2655" w:type="dxa"/>
                  <w:vAlign w:val="center"/>
                </w:tcPr>
                <w:p>
                  <w:pPr>
                    <w:ind w:firstLine="420"/>
                    <w:jc w:val="center"/>
                    <w:rPr>
                      <w:bCs/>
                      <w:color w:val="auto"/>
                      <w:szCs w:val="21"/>
                      <w:highlight w:val="none"/>
                    </w:rPr>
                  </w:pPr>
                  <w:r>
                    <w:rPr>
                      <w:color w:val="auto"/>
                      <w:szCs w:val="21"/>
                      <w:highlight w:val="none"/>
                    </w:rPr>
                    <w:t>GB12523-2011</w:t>
                  </w:r>
                </w:p>
              </w:tc>
              <w:tc>
                <w:tcPr>
                  <w:tcW w:w="2650" w:type="dxa"/>
                  <w:vAlign w:val="center"/>
                </w:tcPr>
                <w:p>
                  <w:pPr>
                    <w:keepNext/>
                    <w:ind w:firstLine="420"/>
                    <w:jc w:val="center"/>
                    <w:rPr>
                      <w:bCs/>
                      <w:color w:val="auto"/>
                      <w:szCs w:val="21"/>
                      <w:highlight w:val="none"/>
                    </w:rPr>
                  </w:pPr>
                  <w:r>
                    <w:rPr>
                      <w:bCs/>
                      <w:color w:val="auto"/>
                      <w:szCs w:val="21"/>
                      <w:highlight w:val="none"/>
                    </w:rPr>
                    <w:t>70</w:t>
                  </w:r>
                </w:p>
              </w:tc>
              <w:tc>
                <w:tcPr>
                  <w:tcW w:w="2654" w:type="dxa"/>
                  <w:vAlign w:val="center"/>
                </w:tcPr>
                <w:p>
                  <w:pPr>
                    <w:keepNext/>
                    <w:ind w:firstLine="420"/>
                    <w:jc w:val="center"/>
                    <w:rPr>
                      <w:bCs/>
                      <w:color w:val="auto"/>
                      <w:szCs w:val="21"/>
                      <w:highlight w:val="none"/>
                    </w:rPr>
                  </w:pPr>
                  <w:r>
                    <w:rPr>
                      <w:bCs/>
                      <w:color w:val="auto"/>
                      <w:szCs w:val="21"/>
                      <w:highlight w:val="none"/>
                    </w:rPr>
                    <w:t>55</w:t>
                  </w:r>
                </w:p>
              </w:tc>
            </w:tr>
          </w:tbl>
          <w:p>
            <w:pPr>
              <w:adjustRightInd w:val="0"/>
              <w:snapToGrid w:val="0"/>
              <w:spacing w:line="360" w:lineRule="auto"/>
              <w:ind w:firstLine="482" w:firstLineChars="200"/>
              <w:outlineLvl w:val="2"/>
              <w:rPr>
                <w:b/>
                <w:bCs/>
                <w:color w:val="auto"/>
                <w:sz w:val="24"/>
                <w:highlight w:val="none"/>
              </w:rPr>
            </w:pPr>
            <w:r>
              <w:rPr>
                <w:b/>
                <w:bCs/>
                <w:color w:val="auto"/>
                <w:sz w:val="24"/>
                <w:highlight w:val="none"/>
              </w:rPr>
              <w:t>（4）固体废物</w:t>
            </w:r>
          </w:p>
          <w:p>
            <w:pPr>
              <w:adjustRightInd w:val="0"/>
              <w:snapToGrid w:val="0"/>
              <w:spacing w:line="360" w:lineRule="auto"/>
              <w:ind w:firstLine="480" w:firstLineChars="200"/>
              <w:outlineLvl w:val="2"/>
              <w:rPr>
                <w:rFonts w:ascii="宋体" w:hAnsi="宋体" w:cs="宋体"/>
                <w:color w:val="auto"/>
                <w:kern w:val="0"/>
                <w:szCs w:val="21"/>
                <w:highlight w:val="none"/>
              </w:rPr>
            </w:pPr>
            <w:r>
              <w:rPr>
                <w:color w:val="auto"/>
                <w:sz w:val="24"/>
                <w:highlight w:val="none"/>
              </w:rPr>
              <w:t>施工期产生的建筑垃圾的处置执行（建设部2005号第139号令）《城市建筑垃圾管理规定》</w:t>
            </w:r>
            <w:r>
              <w:rPr>
                <w:rFonts w:hint="eastAsia"/>
                <w:color w:val="auto"/>
                <w:sz w:val="24"/>
                <w:highlight w:val="none"/>
              </w:rPr>
              <w:t>；生活垃圾的贮存处理按照《城市环境卫生设施规划规范》（GB50337-2003）中的要求进行综合利用和处置。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jc w:val="center"/>
        </w:trPr>
        <w:tc>
          <w:tcPr>
            <w:tcW w:w="904"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其他</w:t>
            </w:r>
          </w:p>
        </w:tc>
        <w:tc>
          <w:tcPr>
            <w:tcW w:w="8253" w:type="dxa"/>
            <w:vAlign w:val="center"/>
          </w:tcPr>
          <w:p>
            <w:pPr>
              <w:adjustRightInd w:val="0"/>
              <w:snapToGrid w:val="0"/>
              <w:jc w:val="center"/>
              <w:rPr>
                <w:rFonts w:ascii="宋体" w:hAnsi="宋体" w:cs="宋体"/>
                <w:color w:val="auto"/>
                <w:kern w:val="0"/>
                <w:szCs w:val="21"/>
                <w:highlight w:val="none"/>
              </w:rPr>
            </w:pPr>
            <w:r>
              <w:rPr>
                <w:rFonts w:hint="eastAsia" w:hAnsi="宋体"/>
                <w:color w:val="auto"/>
                <w:sz w:val="24"/>
                <w:highlight w:val="none"/>
              </w:rPr>
              <w:t>根据工程分析，项目运营期不排放</w:t>
            </w:r>
            <w:r>
              <w:rPr>
                <w:rFonts w:hAnsi="宋体"/>
                <w:color w:val="auto"/>
                <w:sz w:val="24"/>
                <w:highlight w:val="none"/>
              </w:rPr>
              <w:t>COD</w:t>
            </w:r>
            <w:r>
              <w:rPr>
                <w:rFonts w:hint="eastAsia" w:hAnsi="宋体"/>
                <w:color w:val="auto"/>
                <w:sz w:val="24"/>
                <w:highlight w:val="none"/>
              </w:rPr>
              <w:t>、</w:t>
            </w:r>
            <w:r>
              <w:rPr>
                <w:rFonts w:hAnsi="宋体"/>
                <w:color w:val="auto"/>
                <w:sz w:val="24"/>
                <w:highlight w:val="none"/>
              </w:rPr>
              <w:t>NH</w:t>
            </w:r>
            <w:r>
              <w:rPr>
                <w:rFonts w:hAnsi="宋体"/>
                <w:color w:val="auto"/>
                <w:sz w:val="24"/>
                <w:highlight w:val="none"/>
                <w:vertAlign w:val="subscript"/>
              </w:rPr>
              <w:t>3</w:t>
            </w:r>
            <w:r>
              <w:rPr>
                <w:rFonts w:hAnsi="宋体"/>
                <w:color w:val="auto"/>
                <w:sz w:val="24"/>
                <w:highlight w:val="none"/>
              </w:rPr>
              <w:t>-N</w:t>
            </w:r>
            <w:r>
              <w:rPr>
                <w:rFonts w:hint="eastAsia" w:hAnsi="宋体"/>
                <w:color w:val="auto"/>
                <w:sz w:val="24"/>
                <w:highlight w:val="none"/>
              </w:rPr>
              <w:t>、</w:t>
            </w:r>
            <w:r>
              <w:rPr>
                <w:rFonts w:hAnsi="宋体"/>
                <w:color w:val="auto"/>
                <w:sz w:val="24"/>
                <w:highlight w:val="none"/>
              </w:rPr>
              <w:t>SO</w:t>
            </w:r>
            <w:r>
              <w:rPr>
                <w:rFonts w:hAnsi="宋体"/>
                <w:color w:val="auto"/>
                <w:sz w:val="24"/>
                <w:highlight w:val="none"/>
                <w:vertAlign w:val="subscript"/>
              </w:rPr>
              <w:t>2</w:t>
            </w:r>
            <w:r>
              <w:rPr>
                <w:rFonts w:hint="eastAsia" w:hAnsi="宋体"/>
                <w:color w:val="auto"/>
                <w:sz w:val="24"/>
                <w:highlight w:val="none"/>
              </w:rPr>
              <w:t>、</w:t>
            </w:r>
            <w:r>
              <w:rPr>
                <w:rFonts w:hAnsi="宋体"/>
                <w:color w:val="auto"/>
                <w:sz w:val="24"/>
                <w:highlight w:val="none"/>
              </w:rPr>
              <w:t>NOx</w:t>
            </w:r>
            <w:r>
              <w:rPr>
                <w:rFonts w:hint="eastAsia" w:hAnsi="宋体"/>
                <w:color w:val="auto"/>
                <w:sz w:val="24"/>
                <w:highlight w:val="none"/>
              </w:rPr>
              <w:t>，不需要申请总量。</w:t>
            </w:r>
          </w:p>
        </w:tc>
      </w:tr>
    </w:tbl>
    <w:p>
      <w:pPr>
        <w:pStyle w:val="18"/>
        <w:jc w:val="center"/>
        <w:rPr>
          <w:rFonts w:ascii="黑体" w:hAnsi="黑体" w:eastAsia="黑体"/>
          <w:snapToGrid w:val="0"/>
          <w:color w:val="auto"/>
          <w:kern w:val="2"/>
          <w:sz w:val="36"/>
          <w:szCs w:val="36"/>
          <w:highlight w:val="none"/>
        </w:rPr>
        <w:sectPr>
          <w:pgSz w:w="11850" w:h="16783"/>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ascii="黑体" w:hAnsi="黑体" w:eastAsia="黑体"/>
          <w:snapToGrid w:val="0"/>
          <w:color w:val="auto"/>
          <w:sz w:val="30"/>
          <w:szCs w:val="30"/>
          <w:highlight w:val="none"/>
        </w:rPr>
      </w:pPr>
      <w:bookmarkStart w:id="7" w:name="_Toc30806"/>
      <w:r>
        <w:rPr>
          <w:rFonts w:hint="eastAsia" w:ascii="黑体" w:hAnsi="黑体" w:eastAsia="黑体"/>
          <w:snapToGrid w:val="0"/>
          <w:color w:val="auto"/>
          <w:sz w:val="30"/>
          <w:szCs w:val="30"/>
          <w:highlight w:val="none"/>
        </w:rPr>
        <w:t>四、生态环境影响分析</w:t>
      </w:r>
      <w:bookmarkEnd w:id="7"/>
    </w:p>
    <w:tbl>
      <w:tblPr>
        <w:tblStyle w:val="23"/>
        <w:tblW w:w="92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879" w:type="dxa"/>
            <w:tcMar>
              <w:left w:w="28" w:type="dxa"/>
              <w:right w:w="28" w:type="dxa"/>
            </w:tcMar>
            <w:vAlign w:val="center"/>
          </w:tcPr>
          <w:p>
            <w:pPr>
              <w:pStyle w:val="18"/>
              <w:adjustRightInd w:val="0"/>
              <w:snapToGrid w:val="0"/>
              <w:spacing w:before="0" w:beforeAutospacing="0" w:after="0" w:afterAutospacing="0"/>
              <w:jc w:val="center"/>
              <w:rPr>
                <w:rFonts w:cs="宋体"/>
                <w:bCs/>
                <w:color w:val="auto"/>
                <w:kern w:val="2"/>
                <w:sz w:val="21"/>
                <w:szCs w:val="21"/>
                <w:highlight w:val="none"/>
              </w:rPr>
            </w:pPr>
            <w:bookmarkStart w:id="8" w:name="_Hlk49796138"/>
            <w:r>
              <w:rPr>
                <w:rFonts w:hint="eastAsia" w:cs="宋体"/>
                <w:bCs/>
                <w:color w:val="auto"/>
                <w:spacing w:val="10"/>
                <w:kern w:val="2"/>
                <w:sz w:val="21"/>
                <w:szCs w:val="21"/>
                <w:highlight w:val="none"/>
              </w:rPr>
              <w:t>施工期生态环境影响分析</w:t>
            </w:r>
            <w:bookmarkEnd w:id="8"/>
          </w:p>
        </w:tc>
        <w:tc>
          <w:tcPr>
            <w:tcW w:w="8363" w:type="dxa"/>
            <w:vAlign w:val="top"/>
          </w:tcPr>
          <w:p>
            <w:pPr>
              <w:adjustRightInd w:val="0"/>
              <w:snapToGrid w:val="0"/>
              <w:spacing w:line="360" w:lineRule="auto"/>
              <w:ind w:firstLine="482" w:firstLineChars="200"/>
              <w:outlineLvl w:val="2"/>
              <w:rPr>
                <w:b/>
                <w:bCs/>
                <w:snapToGrid w:val="0"/>
                <w:color w:val="auto"/>
                <w:kern w:val="0"/>
                <w:sz w:val="24"/>
                <w:highlight w:val="none"/>
              </w:rPr>
            </w:pPr>
            <w:r>
              <w:rPr>
                <w:rFonts w:hint="eastAsia"/>
                <w:b/>
                <w:bCs/>
                <w:color w:val="auto"/>
                <w:sz w:val="24"/>
                <w:highlight w:val="none"/>
              </w:rPr>
              <w:t>1、</w:t>
            </w:r>
            <w:r>
              <w:rPr>
                <w:b/>
                <w:bCs/>
                <w:snapToGrid w:val="0"/>
                <w:color w:val="auto"/>
                <w:kern w:val="0"/>
                <w:sz w:val="24"/>
                <w:highlight w:val="none"/>
              </w:rPr>
              <w:t>水环境</w:t>
            </w:r>
          </w:p>
          <w:p>
            <w:pPr>
              <w:adjustRightInd w:val="0"/>
              <w:snapToGrid w:val="0"/>
              <w:spacing w:line="360" w:lineRule="auto"/>
              <w:ind w:firstLine="480" w:firstLineChars="200"/>
              <w:rPr>
                <w:color w:val="auto"/>
                <w:sz w:val="24"/>
                <w:highlight w:val="none"/>
              </w:rPr>
            </w:pPr>
            <w:r>
              <w:rPr>
                <w:rFonts w:hint="eastAsia"/>
                <w:color w:val="auto"/>
                <w:sz w:val="24"/>
                <w:highlight w:val="none"/>
              </w:rPr>
              <w:t>项目沿线涉及现有水体主要有梅峰河和西湖。项目改造范围内梅峰河均为暗涵段，位于桩号约K0+800处；梅峰河二十年一遇内涝水位为6.84m，本次改造二环西路辅路标高为7.5~8.1m，因此，项目施工不会对梅峰河水质造成影响。本项目桥梁施工段位于桩号K0+180~K0+320处及K0+680~K0+900左侧，不涉及西湖水体，桥梁施工不会对西湖水质造成影响。</w:t>
            </w:r>
          </w:p>
          <w:p>
            <w:pPr>
              <w:adjustRightInd w:val="0"/>
              <w:snapToGrid w:val="0"/>
              <w:spacing w:line="360" w:lineRule="auto"/>
              <w:ind w:firstLine="480" w:firstLineChars="200"/>
              <w:rPr>
                <w:color w:val="auto"/>
                <w:sz w:val="24"/>
                <w:highlight w:val="none"/>
              </w:rPr>
            </w:pPr>
            <w:r>
              <w:rPr>
                <w:rFonts w:hint="eastAsia"/>
                <w:color w:val="auto"/>
                <w:sz w:val="24"/>
                <w:highlight w:val="none"/>
              </w:rPr>
              <w:t>（1）路基施工水</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项目与西湖最近距离为16m，道路施工过程中路基开挖、填土如未及时做好防护措施，遇暴雨将产生水土流失，产生的土石方填筑和混凝土养护废水的SS含量较高，若不妥善处理，排至西湖，会对西湖水体造成不利影响。</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（2）施工机械的冲洗废水</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施工期间施工机械、车辆维修和冲洗将产生一定量的废水，主要污染物为含有高浓度的泥沙悬浮物和较高浓度的石油类物质，另外施工机械、车辆运行可能出现机械跑冒滴漏油的现象，这类污水成分比较复杂，若直接排入水域，将对水环境造成不利影响，</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因此，需对施工机械、施工车辆冲洗废水进行集中收集和处理后，全部回用于施工场地洒水。</w:t>
            </w:r>
          </w:p>
          <w:p>
            <w:pPr>
              <w:adjustRightInd w:val="0"/>
              <w:snapToGrid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建筑材料运输与堆放对</w:t>
            </w:r>
            <w:r>
              <w:rPr>
                <w:rFonts w:hint="eastAsia"/>
                <w:color w:val="auto"/>
                <w:sz w:val="24"/>
                <w:highlight w:val="none"/>
              </w:rPr>
              <w:t>水体</w:t>
            </w:r>
            <w:r>
              <w:rPr>
                <w:color w:val="auto"/>
                <w:sz w:val="24"/>
                <w:highlight w:val="none"/>
              </w:rPr>
              <w:t>的影响</w:t>
            </w:r>
          </w:p>
          <w:p>
            <w:pPr>
              <w:adjustRightInd w:val="0"/>
              <w:snapToGrid w:val="0"/>
              <w:spacing w:line="360" w:lineRule="auto"/>
              <w:ind w:firstLine="480" w:firstLineChars="200"/>
              <w:rPr>
                <w:color w:val="auto"/>
                <w:sz w:val="24"/>
                <w:highlight w:val="none"/>
              </w:rPr>
            </w:pPr>
            <w:r>
              <w:rPr>
                <w:color w:val="auto"/>
                <w:sz w:val="24"/>
                <w:highlight w:val="none"/>
              </w:rPr>
              <w:t>材料运输会引起扬尘，扬尘随风飘入附近的水体，对水体产生轻微影响。此外，施工区各类建筑材料在堆放过程中若不妥善保管，被雨水冲刷进入水体可能会造成水体污染。所以建筑材料放置应远离</w:t>
            </w:r>
            <w:r>
              <w:rPr>
                <w:rFonts w:hint="eastAsia"/>
                <w:color w:val="auto"/>
                <w:sz w:val="24"/>
                <w:highlight w:val="none"/>
              </w:rPr>
              <w:t>西湖</w:t>
            </w:r>
            <w:r>
              <w:rPr>
                <w:color w:val="auto"/>
                <w:sz w:val="24"/>
                <w:highlight w:val="none"/>
              </w:rPr>
              <w:t>，并备有临时遮挡的帆布，避免被暴雨冲刷进入</w:t>
            </w:r>
            <w:r>
              <w:rPr>
                <w:rFonts w:hint="eastAsia"/>
                <w:color w:val="auto"/>
                <w:sz w:val="24"/>
                <w:highlight w:val="none"/>
              </w:rPr>
              <w:t>西湖</w:t>
            </w:r>
            <w:r>
              <w:rPr>
                <w:color w:val="auto"/>
                <w:sz w:val="24"/>
                <w:highlight w:val="none"/>
              </w:rPr>
              <w:t>而污染水质。</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（4）施工生活污水对水质的影响</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项目</w:t>
            </w:r>
            <w:r>
              <w:rPr>
                <w:rFonts w:hint="eastAsia"/>
                <w:color w:val="auto"/>
                <w:sz w:val="24"/>
                <w:highlight w:val="none"/>
              </w:rPr>
              <w:t>施工生活区以借用或租用当地民房，充分利用现有污水处理设施（化粪池）进行处理，施工人员也可使用周边公厕，施工生活污水通过市政污水管道排入福州市洋里污水处理厂。</w:t>
            </w:r>
          </w:p>
          <w:p>
            <w:pPr>
              <w:adjustRightInd w:val="0"/>
              <w:snapToGrid w:val="0"/>
              <w:spacing w:line="360" w:lineRule="auto"/>
              <w:ind w:firstLine="480" w:firstLineChars="200"/>
              <w:rPr>
                <w:color w:val="auto"/>
                <w:sz w:val="24"/>
                <w:highlight w:val="none"/>
              </w:rPr>
            </w:pPr>
            <w:r>
              <w:rPr>
                <w:color w:val="auto"/>
                <w:sz w:val="24"/>
                <w:highlight w:val="none"/>
              </w:rPr>
              <w:t>综上所述，项目施工会对沿线水环境产生一定的影响，施工期主要可通过加强管理来减缓</w:t>
            </w:r>
            <w:r>
              <w:rPr>
                <w:rFonts w:hint="eastAsia"/>
                <w:color w:val="auto"/>
                <w:sz w:val="24"/>
                <w:highlight w:val="none"/>
              </w:rPr>
              <w:t>道路改造</w:t>
            </w:r>
            <w:r>
              <w:rPr>
                <w:color w:val="auto"/>
                <w:sz w:val="24"/>
                <w:highlight w:val="none"/>
              </w:rPr>
              <w:t>对地表水环境影响，尤其是施工场地和筑路材料运输的管理。在采取合理有效的各项措施后，项目施工对地表水环境影响较小。</w:t>
            </w:r>
          </w:p>
          <w:p>
            <w:pPr>
              <w:adjustRightInd w:val="0"/>
              <w:snapToGrid w:val="0"/>
              <w:spacing w:line="360" w:lineRule="auto"/>
              <w:ind w:firstLine="482" w:firstLineChars="200"/>
              <w:outlineLvl w:val="2"/>
              <w:rPr>
                <w:b/>
                <w:bCs/>
                <w:color w:val="auto"/>
                <w:sz w:val="24"/>
                <w:highlight w:val="none"/>
              </w:rPr>
            </w:pPr>
            <w:r>
              <w:rPr>
                <w:rFonts w:hint="eastAsia"/>
                <w:b/>
                <w:bCs/>
                <w:color w:val="auto"/>
                <w:sz w:val="24"/>
                <w:highlight w:val="none"/>
              </w:rPr>
              <w:t>2、</w:t>
            </w:r>
            <w:r>
              <w:rPr>
                <w:b/>
                <w:bCs/>
                <w:color w:val="auto"/>
                <w:sz w:val="24"/>
                <w:highlight w:val="none"/>
              </w:rPr>
              <w:t>大气环境</w:t>
            </w:r>
          </w:p>
          <w:p>
            <w:pPr>
              <w:pStyle w:val="11"/>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（1）扬尘</w:t>
            </w:r>
          </w:p>
          <w:p>
            <w:pPr>
              <w:pStyle w:val="11"/>
              <w:adjustRightInd w:val="0"/>
              <w:snapToGrid w:val="0"/>
              <w:spacing w:line="360" w:lineRule="auto"/>
              <w:ind w:firstLine="480" w:firstLineChars="200"/>
              <w:rPr>
                <w:color w:val="auto"/>
                <w:kern w:val="0"/>
                <w:sz w:val="24"/>
                <w:highlight w:val="none"/>
              </w:rPr>
            </w:pPr>
            <w:r>
              <w:rPr>
                <w:rFonts w:hint="eastAsia" w:ascii="Times New Roman" w:hAnsi="Times New Roman" w:cs="Times New Roman"/>
                <w:color w:val="auto"/>
                <w:sz w:val="24"/>
                <w:szCs w:val="24"/>
                <w:highlight w:val="none"/>
              </w:rPr>
              <w:t>工程施工期旧路破路、路基开挖填筑、土石搬运、物料装卸等将会产生扰动扬尘、风吹扬尘和逸散尘，施工场地裸露表面也将产生风吹扬尘。起尘量视施工场地情况不同而不同，一般来说距施工场地100m范围内贴地环境空气中TSP浓度可达5～10mg/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当施工区起风并且风速较大时，扬尘可以影响到距施工场地500m左右的范围。根据北京市环境科学研究院对市政工程（两个有围挡，两个无围挡）的施工现场扬尘情况的调查测定，在有围挡的情况下，施工扬尘比无围挡扬尘情况下有明显改善，扬尘污染范围缩小至工地下风向200m之内，且受污染区域的TSP的平均浓度为0.585 mg/m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。项目周边</w:t>
            </w:r>
            <w:r>
              <w:rPr>
                <w:rFonts w:hint="eastAsia" w:ascii="Times New Roman" w:hAnsi="Times New Roman" w:cs="Times New Roman"/>
                <w:color w:val="auto"/>
                <w:sz w:val="24"/>
                <w:highlight w:val="none"/>
              </w:rPr>
              <w:t>声环境保护目标</w:t>
            </w:r>
            <w:r>
              <w:rPr>
                <w:rFonts w:hint="eastAsia" w:ascii="Times New Roman" w:hAnsi="Times New Roman" w:cs="Times New Roman"/>
                <w:color w:val="auto"/>
                <w:sz w:val="24"/>
                <w:szCs w:val="24"/>
                <w:highlight w:val="none"/>
              </w:rPr>
              <w:t>密集，施工单位在项目</w:t>
            </w:r>
            <w:r>
              <w:rPr>
                <w:rFonts w:hint="eastAsia" w:ascii="Times New Roman" w:hAnsi="Times New Roman" w:cs="Times New Roman"/>
                <w:color w:val="auto"/>
                <w:sz w:val="24"/>
                <w:highlight w:val="none"/>
              </w:rPr>
              <w:t>声环境保护目标</w:t>
            </w:r>
            <w:r>
              <w:rPr>
                <w:rFonts w:hint="eastAsia" w:ascii="Times New Roman" w:hAnsi="Times New Roman" w:cs="Times New Roman"/>
                <w:color w:val="auto"/>
                <w:sz w:val="24"/>
                <w:szCs w:val="24"/>
                <w:highlight w:val="none"/>
              </w:rPr>
              <w:t>区域段施工时，应视施工具体情况适时采取必要的围挡措施（围彩布条等），以求有效地降低施工作业扬尘对居民点、学校、公园的影响。</w:t>
            </w:r>
          </w:p>
          <w:p>
            <w:pPr>
              <w:tabs>
                <w:tab w:val="left" w:pos="709"/>
                <w:tab w:val="left" w:pos="993"/>
              </w:tabs>
              <w:adjustRightInd w:val="0"/>
              <w:snapToGrid w:val="0"/>
              <w:spacing w:line="360" w:lineRule="auto"/>
              <w:ind w:firstLine="480" w:firstLineChars="200"/>
              <w:rPr>
                <w:color w:val="auto"/>
                <w:sz w:val="24"/>
                <w:highlight w:val="none"/>
              </w:rPr>
            </w:pPr>
            <w:r>
              <w:rPr>
                <w:color w:val="auto"/>
                <w:sz w:val="24"/>
                <w:highlight w:val="none"/>
              </w:rPr>
              <w:t>（2）汽车尾气、施工设备燃料废气</w:t>
            </w:r>
          </w:p>
          <w:p>
            <w:pPr>
              <w:pStyle w:val="58"/>
              <w:snapToGrid w:val="0"/>
              <w:ind w:firstLine="480"/>
              <w:rPr>
                <w:rFonts w:hint="eastAsia"/>
                <w:color w:val="auto"/>
                <w:highlight w:val="none"/>
              </w:rPr>
            </w:pPr>
            <w:r>
              <w:rPr>
                <w:rFonts w:hint="eastAsia"/>
                <w:color w:val="auto"/>
                <w:highlight w:val="none"/>
              </w:rPr>
              <w:t>施工车辆、施工机械等因燃油产生的CO、THC、NOx等污染物，施工车辆、施工机械在现场范围内活动，尾气呈面源污染形式，尾气扩散范围有限。车辆为非连续行驶状态，施工采用分段进行，且每段施工时间有限，污染物排放时间和排放量相对较少，所以不会对周围环境空气有明显影响，与营运期道路车辆尾气排放量相比，施工期尾气排放非常有限。</w:t>
            </w:r>
          </w:p>
          <w:p>
            <w:pPr>
              <w:pStyle w:val="58"/>
              <w:snapToGrid w:val="0"/>
              <w:ind w:firstLine="480"/>
              <w:rPr>
                <w:rFonts w:hint="eastAsia"/>
                <w:color w:val="auto"/>
                <w:highlight w:val="none"/>
              </w:rPr>
            </w:pPr>
            <w:r>
              <w:rPr>
                <w:rFonts w:hint="eastAsia"/>
                <w:color w:val="auto"/>
                <w:highlight w:val="none"/>
              </w:rPr>
              <w:t>（3）沥青烟</w:t>
            </w:r>
          </w:p>
          <w:p>
            <w:pPr>
              <w:pStyle w:val="58"/>
              <w:snapToGrid w:val="0"/>
              <w:ind w:firstLine="480"/>
              <w:rPr>
                <w:rFonts w:hint="eastAsia"/>
                <w:color w:val="auto"/>
                <w:highlight w:val="none"/>
              </w:rPr>
            </w:pPr>
            <w:r>
              <w:rPr>
                <w:rFonts w:hint="eastAsia"/>
                <w:color w:val="auto"/>
                <w:highlight w:val="none"/>
              </w:rPr>
              <w:t>本工程沥青混凝土统一向具有相应预拌混凝土生产资质等级的企业（预拌混凝土搅拌站）购买，不设置沥青搅拌站，项目所需的沥青混凝土经集中拌合后运输至工地，路面采用摊铺机械铺筑。故本道路施工沥青烟的影响只考虑摊铺作业过程将产生沥青烟影响。这部分沥青烟气为无组织排放，主要污染物为 THC、酚和苯并（a）芘以及异味气体，其污染影响范围一般在周边 50m 之内。</w:t>
            </w:r>
          </w:p>
          <w:p>
            <w:pPr>
              <w:pStyle w:val="58"/>
              <w:snapToGrid w:val="0"/>
              <w:ind w:firstLine="480"/>
              <w:rPr>
                <w:rFonts w:hint="eastAsia"/>
                <w:color w:val="auto"/>
                <w:highlight w:val="none"/>
              </w:rPr>
            </w:pPr>
            <w:r>
              <w:rPr>
                <w:rFonts w:hint="eastAsia"/>
                <w:color w:val="auto"/>
                <w:highlight w:val="none"/>
              </w:rPr>
              <w:t>沥青摊铺过程中加热沥青料及混合料铺设时各污染物的最大瞬时浓度不会高于熔化槽下风侧的浓度，且沥青摊铺是流动推进作业，对某一固定点的影响只是暂时或是瞬时的，危害较小，只是路面摊铺完成后，一定时期还会有挥发性有机化合物排出，排出量与固化速度有关，其浓度值低于作业时的浓度值。因此，本项目沥青烟气产生量较小，对周围环境的影响较小。但摊铺过程产生的沥青烟气会让人产生不愉悦的感受。因此，摊铺沥青混凝土路面时应尽量避开上下班高峰期，可减少受影响的人数；同时应避开风向针对附近居民区、学校、公园等环境空气敏感点的时段。</w:t>
            </w:r>
          </w:p>
          <w:p>
            <w:pPr>
              <w:adjustRightInd w:val="0"/>
              <w:snapToGrid w:val="0"/>
              <w:spacing w:line="360" w:lineRule="auto"/>
              <w:ind w:firstLine="482" w:firstLineChars="200"/>
              <w:outlineLvl w:val="2"/>
              <w:rPr>
                <w:b/>
                <w:bCs/>
                <w:color w:val="auto"/>
                <w:sz w:val="24"/>
                <w:highlight w:val="none"/>
              </w:rPr>
            </w:pPr>
            <w:r>
              <w:rPr>
                <w:rFonts w:hint="eastAsia"/>
                <w:b/>
                <w:bCs/>
                <w:color w:val="auto"/>
                <w:sz w:val="24"/>
                <w:highlight w:val="none"/>
              </w:rPr>
              <w:t>3、</w:t>
            </w:r>
            <w:r>
              <w:rPr>
                <w:b/>
                <w:bCs/>
                <w:color w:val="auto"/>
                <w:sz w:val="24"/>
                <w:highlight w:val="none"/>
              </w:rPr>
              <w:t>声环境</w:t>
            </w:r>
          </w:p>
          <w:p>
            <w:pPr>
              <w:pStyle w:val="58"/>
              <w:snapToGrid w:val="0"/>
              <w:ind w:firstLine="480"/>
              <w:rPr>
                <w:rFonts w:hint="eastAsia" w:ascii="宋体" w:hAnsi="宋体"/>
                <w:color w:val="auto"/>
                <w:highlight w:val="none"/>
              </w:rPr>
            </w:pPr>
            <w:r>
              <w:rPr>
                <w:rFonts w:hint="eastAsia" w:hAnsi="宋体"/>
                <w:color w:val="auto"/>
                <w:highlight w:val="none"/>
              </w:rPr>
              <w:t>项目施工对沿线</w:t>
            </w:r>
            <w:r>
              <w:rPr>
                <w:rFonts w:hint="eastAsia"/>
                <w:color w:val="auto"/>
                <w:highlight w:val="none"/>
              </w:rPr>
              <w:t>居民区、学校、公园</w:t>
            </w:r>
            <w:r>
              <w:rPr>
                <w:rFonts w:hint="eastAsia" w:hAnsi="宋体"/>
                <w:color w:val="auto"/>
                <w:highlight w:val="none"/>
              </w:rPr>
              <w:t>产生影响，</w:t>
            </w:r>
            <w:r>
              <w:rPr>
                <w:rFonts w:hint="eastAsia" w:ascii="宋体" w:hAnsi="宋体"/>
                <w:color w:val="auto"/>
                <w:highlight w:val="none"/>
              </w:rPr>
              <w:t>项目道路沿局部影响较为突出的路段施工，加强施工管理，减轻对周围</w:t>
            </w:r>
            <w:r>
              <w:rPr>
                <w:rFonts w:hint="eastAsia" w:cs="Times New Roman"/>
                <w:color w:val="auto"/>
                <w:highlight w:val="none"/>
              </w:rPr>
              <w:t>声环境保护目标</w:t>
            </w:r>
            <w:r>
              <w:rPr>
                <w:rFonts w:hint="eastAsia" w:ascii="宋体" w:hAnsi="宋体"/>
                <w:color w:val="auto"/>
                <w:highlight w:val="none"/>
              </w:rPr>
              <w:t>的影响。但由于施工期施工是一短期行为，声环境保护目标所受的噪声影响也主要是发生在附近路段的施工过程中，总体上存在无规则、强度大、暂时性等特点，因此总体影响不大。详见声影响专项评价。</w:t>
            </w:r>
          </w:p>
          <w:p>
            <w:pPr>
              <w:adjustRightInd w:val="0"/>
              <w:snapToGrid w:val="0"/>
              <w:spacing w:line="360" w:lineRule="auto"/>
              <w:ind w:firstLine="482" w:firstLineChars="200"/>
              <w:outlineLvl w:val="2"/>
              <w:rPr>
                <w:b/>
                <w:bCs/>
                <w:color w:val="auto"/>
                <w:sz w:val="24"/>
                <w:highlight w:val="none"/>
              </w:rPr>
            </w:pPr>
            <w:r>
              <w:rPr>
                <w:rFonts w:hint="eastAsia"/>
                <w:b/>
                <w:bCs/>
                <w:color w:val="auto"/>
                <w:sz w:val="24"/>
                <w:highlight w:val="none"/>
              </w:rPr>
              <w:t>4、</w:t>
            </w:r>
            <w:r>
              <w:rPr>
                <w:b/>
                <w:bCs/>
                <w:color w:val="auto"/>
                <w:sz w:val="24"/>
                <w:highlight w:val="none"/>
              </w:rPr>
              <w:t>固体废物</w:t>
            </w:r>
          </w:p>
          <w:p>
            <w:pPr>
              <w:adjustRightInd w:val="0"/>
              <w:snapToGrid w:val="0"/>
              <w:spacing w:line="360" w:lineRule="auto"/>
              <w:ind w:firstLine="480" w:firstLineChars="200"/>
              <w:rPr>
                <w:color w:val="auto"/>
                <w:sz w:val="24"/>
                <w:highlight w:val="none"/>
              </w:rPr>
            </w:pPr>
            <w:r>
              <w:rPr>
                <w:color w:val="auto"/>
                <w:sz w:val="24"/>
                <w:highlight w:val="none"/>
              </w:rPr>
              <w:t>（1）土石方</w:t>
            </w:r>
          </w:p>
          <w:p>
            <w:pPr>
              <w:adjustRightInd w:val="0"/>
              <w:snapToGrid w:val="0"/>
              <w:spacing w:line="360" w:lineRule="auto"/>
              <w:ind w:firstLine="480" w:firstLineChars="200"/>
              <w:rPr>
                <w:color w:val="auto"/>
                <w:sz w:val="24"/>
                <w:highlight w:val="none"/>
              </w:rPr>
            </w:pPr>
            <w:r>
              <w:rPr>
                <w:rFonts w:hint="eastAsia"/>
                <w:color w:val="auto"/>
                <w:sz w:val="24"/>
                <w:highlight w:val="none"/>
              </w:rPr>
              <w:t>根据《福州市象山隧道拓宽改造工程水土保持方案报告书》（报批稿），项目土石方开挖总量为24.46万m</w:t>
            </w:r>
            <w:r>
              <w:rPr>
                <w:rFonts w:hint="eastAsia"/>
                <w:color w:val="auto"/>
                <w:sz w:val="24"/>
                <w:highlight w:val="none"/>
                <w:vertAlign w:val="superscript"/>
              </w:rPr>
              <w:t>3</w:t>
            </w:r>
            <w:r>
              <w:rPr>
                <w:rFonts w:hint="eastAsia"/>
                <w:color w:val="auto"/>
                <w:sz w:val="24"/>
                <w:highlight w:val="none"/>
              </w:rPr>
              <w:t>，回填总量2.97万m</w:t>
            </w:r>
            <w:r>
              <w:rPr>
                <w:rFonts w:hint="eastAsia"/>
                <w:color w:val="auto"/>
                <w:sz w:val="24"/>
                <w:highlight w:val="none"/>
                <w:vertAlign w:val="superscript"/>
              </w:rPr>
              <w:t>3</w:t>
            </w:r>
            <w:r>
              <w:rPr>
                <w:rFonts w:hint="eastAsia"/>
                <w:color w:val="auto"/>
                <w:sz w:val="24"/>
                <w:highlight w:val="none"/>
              </w:rPr>
              <w:t>，借方0.43万m</w:t>
            </w:r>
            <w:r>
              <w:rPr>
                <w:rFonts w:hint="eastAsia"/>
                <w:color w:val="auto"/>
                <w:sz w:val="24"/>
                <w:highlight w:val="none"/>
                <w:vertAlign w:val="superscript"/>
              </w:rPr>
              <w:t>3</w:t>
            </w:r>
            <w:r>
              <w:rPr>
                <w:rFonts w:hint="eastAsia"/>
                <w:color w:val="auto"/>
                <w:sz w:val="24"/>
                <w:highlight w:val="none"/>
                <w:vertAlign w:val="baseline"/>
                <w:lang w:eastAsia="zh-CN"/>
              </w:rPr>
              <w:t>（</w:t>
            </w:r>
            <w:r>
              <w:rPr>
                <w:rFonts w:hint="eastAsia"/>
                <w:color w:val="auto"/>
                <w:sz w:val="24"/>
                <w:highlight w:val="none"/>
                <w:vertAlign w:val="baseline"/>
                <w:lang w:val="en-US" w:eastAsia="zh-CN"/>
              </w:rPr>
              <w:t>来源于外购）</w:t>
            </w:r>
            <w:r>
              <w:rPr>
                <w:rFonts w:hint="eastAsia"/>
                <w:color w:val="auto"/>
                <w:sz w:val="24"/>
                <w:highlight w:val="none"/>
              </w:rPr>
              <w:t>，余方21.17万m</w:t>
            </w:r>
            <w:r>
              <w:rPr>
                <w:rFonts w:hint="eastAsia"/>
                <w:color w:val="auto"/>
                <w:sz w:val="24"/>
                <w:highlight w:val="none"/>
                <w:vertAlign w:val="superscript"/>
              </w:rPr>
              <w:t>3</w:t>
            </w:r>
            <w:r>
              <w:rPr>
                <w:rFonts w:hint="eastAsia"/>
                <w:color w:val="auto"/>
                <w:sz w:val="24"/>
                <w:highlight w:val="none"/>
              </w:rPr>
              <w:t>。建设单位承诺将严格按照水土保持各项要求，将该项目余方运至市城管委审批、确定的接纳点，并及时向水利局报备该项目余方处置情况，同时做好余方水土流失防治工作，余方承诺函详见附件6</w:t>
            </w:r>
            <w:r>
              <w:rPr>
                <w:color w:val="auto"/>
                <w:sz w:val="24"/>
                <w:highlight w:val="none"/>
              </w:rPr>
              <w:t>。</w:t>
            </w:r>
            <w:r>
              <w:rPr>
                <w:rFonts w:hint="eastAsia"/>
                <w:color w:val="auto"/>
                <w:sz w:val="24"/>
                <w:highlight w:val="none"/>
              </w:rPr>
              <w:t>施工单位应加强施工管理，防止土石方随意堆放，及时清运。只有做好防治措施固体废物对周围环境产生影响不大。</w:t>
            </w:r>
          </w:p>
          <w:p>
            <w:pPr>
              <w:adjustRightInd w:val="0"/>
              <w:snapToGrid w:val="0"/>
              <w:spacing w:line="360" w:lineRule="auto"/>
              <w:ind w:firstLine="480" w:firstLineChars="200"/>
              <w:rPr>
                <w:color w:val="auto"/>
                <w:sz w:val="24"/>
                <w:highlight w:val="none"/>
              </w:rPr>
            </w:pPr>
            <w:r>
              <w:rPr>
                <w:color w:val="auto"/>
                <w:sz w:val="24"/>
                <w:highlight w:val="none"/>
              </w:rPr>
              <w:t>（2）生活垃圾</w:t>
            </w:r>
          </w:p>
          <w:p>
            <w:pPr>
              <w:adjustRightInd w:val="0"/>
              <w:snapToGrid w:val="0"/>
              <w:spacing w:line="360" w:lineRule="auto"/>
              <w:ind w:firstLine="480" w:firstLineChars="200"/>
              <w:rPr>
                <w:color w:val="auto"/>
                <w:sz w:val="24"/>
                <w:highlight w:val="none"/>
              </w:rPr>
            </w:pPr>
            <w:r>
              <w:rPr>
                <w:color w:val="auto"/>
                <w:sz w:val="24"/>
                <w:highlight w:val="none"/>
              </w:rPr>
              <w:t>项目施工期生活垃圾量约</w:t>
            </w:r>
            <w:r>
              <w:rPr>
                <w:rFonts w:hint="eastAsia"/>
                <w:color w:val="auto"/>
                <w:sz w:val="24"/>
                <w:highlight w:val="none"/>
              </w:rPr>
              <w:t>30</w:t>
            </w:r>
            <w:r>
              <w:rPr>
                <w:color w:val="auto"/>
                <w:sz w:val="24"/>
                <w:highlight w:val="none"/>
              </w:rPr>
              <w:t>kg/d。交由环卫部门统一收集处理</w:t>
            </w:r>
            <w:r>
              <w:rPr>
                <w:rFonts w:hint="eastAsia"/>
                <w:color w:val="auto"/>
                <w:sz w:val="24"/>
                <w:highlight w:val="none"/>
              </w:rPr>
              <w:t>，对道路沿线环境影响较小。</w:t>
            </w:r>
          </w:p>
          <w:p>
            <w:pPr>
              <w:numPr>
                <w:ilvl w:val="0"/>
                <w:numId w:val="4"/>
              </w:numPr>
              <w:adjustRightInd w:val="0"/>
              <w:snapToGrid w:val="0"/>
              <w:spacing w:line="360" w:lineRule="auto"/>
              <w:ind w:firstLine="480" w:firstLineChars="200"/>
              <w:rPr>
                <w:color w:val="auto"/>
                <w:sz w:val="24"/>
                <w:highlight w:val="none"/>
              </w:rPr>
            </w:pPr>
            <w:r>
              <w:rPr>
                <w:color w:val="auto"/>
                <w:sz w:val="24"/>
                <w:highlight w:val="none"/>
              </w:rPr>
              <w:t>建筑垃圾</w:t>
            </w:r>
          </w:p>
          <w:p>
            <w:pPr>
              <w:pStyle w:val="58"/>
              <w:ind w:firstLine="480"/>
              <w:rPr>
                <w:rFonts w:cs="Times New Roman"/>
                <w:color w:val="auto"/>
                <w:highlight w:val="none"/>
              </w:rPr>
            </w:pPr>
            <w:r>
              <w:rPr>
                <w:rFonts w:hint="eastAsia" w:cs="Times New Roman"/>
                <w:color w:val="auto"/>
                <w:highlight w:val="none"/>
              </w:rPr>
              <w:t>改造道路</w:t>
            </w:r>
            <w:r>
              <w:rPr>
                <w:rFonts w:cs="Times New Roman"/>
                <w:color w:val="auto"/>
                <w:highlight w:val="none"/>
              </w:rPr>
              <w:t>施工过程中，产生的固体废物包括建筑材料临时堆置产生的废料、施工生产、生活垃圾等。如果施工期建筑垃圾不及时处理，不仅有碍景观，而且在遇到大风干燥天气时，易产生扬尘。项目产生的少量施工废料等及时送指定的地点处理。</w:t>
            </w:r>
            <w:r>
              <w:rPr>
                <w:rFonts w:hint="eastAsia" w:cs="Times New Roman"/>
                <w:color w:val="auto"/>
                <w:highlight w:val="none"/>
              </w:rPr>
              <w:t>对周围环境不会产生显著影响。</w:t>
            </w:r>
          </w:p>
          <w:p>
            <w:pPr>
              <w:adjustRightInd w:val="0"/>
              <w:snapToGrid w:val="0"/>
              <w:spacing w:line="360" w:lineRule="auto"/>
              <w:ind w:firstLine="482" w:firstLineChars="200"/>
              <w:outlineLvl w:val="2"/>
              <w:rPr>
                <w:b/>
                <w:bCs/>
                <w:color w:val="auto"/>
                <w:sz w:val="24"/>
                <w:highlight w:val="none"/>
              </w:rPr>
            </w:pPr>
            <w:r>
              <w:rPr>
                <w:rFonts w:hint="eastAsia"/>
                <w:b/>
                <w:bCs/>
                <w:color w:val="auto"/>
                <w:sz w:val="24"/>
                <w:highlight w:val="none"/>
              </w:rPr>
              <w:t>5、文物影响</w:t>
            </w:r>
          </w:p>
          <w:p>
            <w:pPr>
              <w:adjustRightInd w:val="0"/>
              <w:snapToGrid w:val="0"/>
              <w:spacing w:line="360" w:lineRule="auto"/>
              <w:ind w:firstLine="480" w:firstLineChars="200"/>
              <w:outlineLvl w:val="2"/>
              <w:rPr>
                <w:color w:val="auto"/>
                <w:sz w:val="24"/>
                <w:highlight w:val="none"/>
              </w:rPr>
            </w:pPr>
            <w:r>
              <w:rPr>
                <w:rFonts w:hint="eastAsia"/>
                <w:color w:val="auto"/>
                <w:sz w:val="24"/>
                <w:highlight w:val="none"/>
              </w:rPr>
              <w:t>由于伊斯兰圣墓文物建筑与建设项目距离较远，存在山体林木等缓冲地带，因此施工对文物造成的大气污染、噪声污染影响较小；施工场地位于市政设施完善的城区内，拥有成熟的排水系统。而且伊斯兰圣墓文物地势较高，下方隧道的施工废水的排放对文物不会噪声影响；施工期外排大量废弃土石方,其中一些废弃物的堆存地是临时的，土石方运输、堆放不在文物保护范围内进行，对文物影响不大。</w:t>
            </w:r>
          </w:p>
          <w:p>
            <w:pPr>
              <w:adjustRightInd w:val="0"/>
              <w:snapToGrid w:val="0"/>
              <w:spacing w:line="360" w:lineRule="auto"/>
              <w:ind w:firstLine="482" w:firstLineChars="200"/>
              <w:outlineLvl w:val="2"/>
              <w:rPr>
                <w:rFonts w:hint="eastAsia" w:eastAsia="宋体"/>
                <w:b/>
                <w:bCs/>
                <w:color w:val="auto"/>
                <w:sz w:val="24"/>
                <w:highlight w:val="none"/>
                <w:lang w:eastAsia="zh-CN"/>
              </w:rPr>
            </w:pPr>
            <w:r>
              <w:rPr>
                <w:rFonts w:hint="eastAsia"/>
                <w:b/>
                <w:bCs/>
                <w:color w:val="auto"/>
                <w:sz w:val="24"/>
                <w:highlight w:val="none"/>
                <w:lang w:val="en-US" w:eastAsia="zh-CN"/>
              </w:rPr>
              <w:t>6</w:t>
            </w:r>
            <w:r>
              <w:rPr>
                <w:rFonts w:hint="eastAsia"/>
                <w:b/>
                <w:bCs/>
                <w:color w:val="auto"/>
                <w:sz w:val="24"/>
                <w:highlight w:val="none"/>
              </w:rPr>
              <w:t>、</w:t>
            </w:r>
            <w:r>
              <w:rPr>
                <w:rFonts w:hint="eastAsia"/>
                <w:b/>
                <w:bCs/>
                <w:color w:val="auto"/>
                <w:sz w:val="24"/>
                <w:highlight w:val="none"/>
                <w:lang w:eastAsia="zh-CN"/>
              </w:rPr>
              <w:t>地下水环境</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lang w:eastAsia="zh-CN"/>
              </w:rPr>
              <w:t>项目</w:t>
            </w:r>
            <w:r>
              <w:rPr>
                <w:rFonts w:hint="eastAsia"/>
                <w:color w:val="auto"/>
                <w:sz w:val="24"/>
                <w:highlight w:val="none"/>
              </w:rPr>
              <w:t>所在水文地质单元地下水循环处于平衡状态，隧道的施工可能改变含水层、隔水层现有格局，在山体内部形成带状空间，在隧道周围形成应力集中区，引发地下水流场变化，产生隧道涌水排泄。也可能改变现有地下水补给、径流和排泄条件，致使地下水位降低甚至干涸等问题。</w:t>
            </w:r>
          </w:p>
          <w:p>
            <w:pPr>
              <w:numPr>
                <w:ilvl w:val="0"/>
                <w:numId w:val="5"/>
              </w:num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eastAsia="zh-CN"/>
              </w:rPr>
              <w:t>隧道施工期最大涌水量</w:t>
            </w:r>
            <w:r>
              <w:rPr>
                <w:rFonts w:hint="eastAsia"/>
                <w:color w:val="auto"/>
                <w:sz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通过对隧址区的水文地质条件分析表明，隧道区地下水主要为基岩中的裂隙水，水量及水位埋深受季节影响较大。根据《铁路工程水文地质勘察规程》（TB10049-2014），采用地下水动力学法估算隧道涌水量。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隧道最大涌水量和正常涌水量的计算公式为：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最大涌水量：</w:t>
            </w:r>
            <w:r>
              <w:rPr>
                <w:rFonts w:hint="eastAsia"/>
                <w:color w:val="auto"/>
                <w:position w:val="-28"/>
                <w:sz w:val="24"/>
                <w:highlight w:val="none"/>
                <w:lang w:val="en-US" w:eastAsia="zh-CN"/>
              </w:rPr>
              <w:object>
                <v:shape id="_x0000_i1025" o:spt="75" type="#_x0000_t75" style="height:33pt;width:162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正常涌水量：</w:t>
            </w:r>
            <w:r>
              <w:rPr>
                <w:rFonts w:hint="eastAsia"/>
                <w:color w:val="auto"/>
                <w:position w:val="-10"/>
                <w:sz w:val="24"/>
                <w:highlight w:val="none"/>
                <w:lang w:val="en-US" w:eastAsia="zh-CN"/>
              </w:rPr>
              <w:object>
                <v:shape id="_x0000_i1026" o:spt="75" type="#_x0000_t75" style="height:16pt;width:82.05pt;" o:ole="t" filled="f" o:preferrelative="t" stroked="f" coordsize="21600,21600">
                  <v:path/>
                  <v:fill on="f" focussize="0,0"/>
                  <v:stroke on="f"/>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color w:val="auto"/>
                <w:sz w:val="24"/>
                <w:highlight w:val="none"/>
                <w:lang w:val="en-US" w:eastAsia="zh-CN"/>
              </w:rPr>
              <w:t xml:space="preserve">  </w:t>
            </w:r>
            <w:r>
              <w:rPr>
                <w:rFonts w:hint="eastAsia"/>
                <w:color w:val="auto"/>
                <w:position w:val="-12"/>
                <w:sz w:val="24"/>
                <w:highlight w:val="none"/>
                <w:lang w:val="en-US" w:eastAsia="zh-CN"/>
              </w:rPr>
              <w:object>
                <v:shape id="_x0000_i1027" o:spt="75" type="#_x0000_t75" style="height:18pt;width:92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式中：L—隧道计算长度（m）；</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qo—隧道单位长度最大涌水量（m</w:t>
            </w:r>
            <w:r>
              <w:rPr>
                <w:rFonts w:hint="eastAsia"/>
                <w:color w:val="auto"/>
                <w:sz w:val="24"/>
                <w:highlight w:val="none"/>
                <w:vertAlign w:val="superscript"/>
                <w:lang w:val="en-US" w:eastAsia="zh-CN"/>
              </w:rPr>
              <w:t>3</w:t>
            </w:r>
            <w:r>
              <w:rPr>
                <w:rFonts w:hint="eastAsia"/>
                <w:color w:val="auto"/>
                <w:sz w:val="24"/>
                <w:highlight w:val="none"/>
                <w:lang w:val="en-US" w:eastAsia="zh-CN"/>
              </w:rPr>
              <w:t>/d.m）；</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K—含水层渗透系数；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H—静止水位至隧道横断面等价圆中心的距离（m）；</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r—隧道洞身横断面的等价圆半径（m）；</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d—隧道洞身横断面的等价圆直径（m）；</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ε—试验系数，一般取 12.8；</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qs—隧道单位长度正常涌水量（m</w:t>
            </w:r>
            <w:r>
              <w:rPr>
                <w:rFonts w:hint="eastAsia"/>
                <w:color w:val="auto"/>
                <w:sz w:val="24"/>
                <w:highlight w:val="none"/>
                <w:vertAlign w:val="superscript"/>
                <w:lang w:val="en-US" w:eastAsia="zh-CN"/>
              </w:rPr>
              <w:t>3</w:t>
            </w:r>
            <w:r>
              <w:rPr>
                <w:rFonts w:hint="eastAsia"/>
                <w:color w:val="auto"/>
                <w:sz w:val="24"/>
                <w:highlight w:val="none"/>
                <w:lang w:val="en-US" w:eastAsia="zh-CN"/>
              </w:rPr>
              <w:t>/d.m）；</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D—隧道宽度（米）；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L—隧道通过含水层中的长度（米）； L—（2R+D）。</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根据野外钻孔水文试验，结合工程经验数据，估算出中~微风化地层的渗透系数为0.005～0.035 m/d，强风化~中风化过渡地层的渗透系数为0.009～0.072m/d。估算隧道双洞最大总涌水量和正常涌水量，计算结果详见表4-1。</w:t>
            </w:r>
          </w:p>
          <w:p>
            <w:pPr>
              <w:jc w:val="center"/>
              <w:rPr>
                <w:b/>
                <w:bCs/>
                <w:color w:val="auto"/>
                <w:sz w:val="24"/>
                <w:highlight w:val="none"/>
              </w:rPr>
            </w:pPr>
            <w:r>
              <w:rPr>
                <w:b/>
                <w:bCs/>
                <w:color w:val="auto"/>
                <w:sz w:val="24"/>
                <w:highlight w:val="none"/>
              </w:rPr>
              <w:t>表4-</w:t>
            </w:r>
            <w:r>
              <w:rPr>
                <w:rFonts w:hint="eastAsia"/>
                <w:b/>
                <w:bCs/>
                <w:color w:val="auto"/>
                <w:sz w:val="24"/>
                <w:highlight w:val="none"/>
                <w:lang w:val="en-US" w:eastAsia="zh-CN"/>
              </w:rPr>
              <w:t>1</w:t>
            </w:r>
            <w:r>
              <w:rPr>
                <w:b/>
                <w:bCs/>
                <w:color w:val="auto"/>
                <w:sz w:val="24"/>
                <w:highlight w:val="none"/>
              </w:rPr>
              <w:t xml:space="preserve"> </w:t>
            </w:r>
            <w:r>
              <w:rPr>
                <w:rFonts w:hint="eastAsia"/>
                <w:b/>
                <w:bCs/>
                <w:color w:val="auto"/>
                <w:sz w:val="24"/>
                <w:highlight w:val="none"/>
                <w:lang w:eastAsia="zh-CN"/>
              </w:rPr>
              <w:t>隧道涌水量</w:t>
            </w:r>
            <w:r>
              <w:rPr>
                <w:b/>
                <w:bCs/>
                <w:color w:val="auto"/>
                <w:sz w:val="24"/>
                <w:highlight w:val="none"/>
              </w:rPr>
              <w:t xml:space="preserve"> </w:t>
            </w:r>
            <w:r>
              <w:rPr>
                <w:rFonts w:hint="eastAsia"/>
                <w:b/>
                <w:bCs/>
                <w:color w:val="auto"/>
                <w:sz w:val="24"/>
                <w:highlight w:val="none"/>
                <w:lang w:val="en-US" w:eastAsia="zh-CN"/>
              </w:rPr>
              <w:t xml:space="preserve"> </w:t>
            </w:r>
            <w:r>
              <w:rPr>
                <w:b/>
                <w:bCs/>
                <w:color w:val="auto"/>
                <w:sz w:val="24"/>
                <w:highlight w:val="none"/>
              </w:rPr>
              <w:t xml:space="preserve"> </w:t>
            </w:r>
            <w:r>
              <w:rPr>
                <w:rFonts w:hint="eastAsia"/>
                <w:b/>
                <w:bCs/>
                <w:color w:val="auto"/>
                <w:sz w:val="24"/>
                <w:highlight w:val="none"/>
                <w:lang w:val="en-US" w:eastAsia="zh-CN"/>
              </w:rPr>
              <w:t xml:space="preserve">   单位：m</w:t>
            </w:r>
            <w:r>
              <w:rPr>
                <w:rFonts w:hint="eastAsia"/>
                <w:b/>
                <w:bCs/>
                <w:color w:val="auto"/>
                <w:sz w:val="24"/>
                <w:highlight w:val="none"/>
                <w:vertAlign w:val="superscript"/>
                <w:lang w:val="en-US" w:eastAsia="zh-CN"/>
              </w:rPr>
              <w:t>3</w:t>
            </w:r>
            <w:r>
              <w:rPr>
                <w:rFonts w:hint="eastAsia"/>
                <w:b/>
                <w:bCs/>
                <w:color w:val="auto"/>
                <w:sz w:val="24"/>
                <w:highlight w:val="none"/>
                <w:lang w:val="en-US" w:eastAsia="zh-CN"/>
              </w:rPr>
              <w:t>/d</w:t>
            </w:r>
          </w:p>
          <w:tbl>
            <w:tblPr>
              <w:tblStyle w:val="23"/>
              <w:tblW w:w="814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15"/>
              <w:gridCol w:w="2716"/>
              <w:gridCol w:w="27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715" w:type="dxa"/>
                  <w:vAlign w:val="center"/>
                </w:tcPr>
                <w:p>
                  <w:pPr>
                    <w:snapToGrid w:val="0"/>
                    <w:jc w:val="center"/>
                    <w:rPr>
                      <w:rFonts w:hint="eastAsia" w:eastAsia="宋体"/>
                      <w:b/>
                      <w:color w:val="auto"/>
                      <w:szCs w:val="21"/>
                      <w:highlight w:val="none"/>
                      <w:lang w:eastAsia="zh-CN"/>
                    </w:rPr>
                  </w:pPr>
                  <w:r>
                    <w:rPr>
                      <w:rFonts w:hint="eastAsia"/>
                      <w:b/>
                      <w:color w:val="auto"/>
                      <w:szCs w:val="21"/>
                      <w:highlight w:val="none"/>
                      <w:lang w:eastAsia="zh-CN"/>
                    </w:rPr>
                    <w:t>名称</w:t>
                  </w:r>
                </w:p>
              </w:tc>
              <w:tc>
                <w:tcPr>
                  <w:tcW w:w="2716" w:type="dxa"/>
                  <w:vAlign w:val="center"/>
                </w:tcPr>
                <w:p>
                  <w:pPr>
                    <w:snapToGrid w:val="0"/>
                    <w:jc w:val="center"/>
                    <w:rPr>
                      <w:color w:val="auto"/>
                      <w:szCs w:val="21"/>
                      <w:highlight w:val="none"/>
                    </w:rPr>
                  </w:pPr>
                  <w:r>
                    <w:rPr>
                      <w:rFonts w:hint="eastAsia"/>
                      <w:color w:val="auto"/>
                      <w:szCs w:val="21"/>
                      <w:highlight w:val="none"/>
                    </w:rPr>
                    <w:t xml:space="preserve">最大涌水量( </w:t>
                  </w:r>
                </w:p>
              </w:tc>
              <w:tc>
                <w:tcPr>
                  <w:tcW w:w="2713" w:type="dxa"/>
                  <w:vAlign w:val="center"/>
                </w:tcPr>
                <w:p>
                  <w:pPr>
                    <w:snapToGrid w:val="0"/>
                    <w:jc w:val="center"/>
                    <w:rPr>
                      <w:rFonts w:hint="eastAsia" w:eastAsia="宋体"/>
                      <w:color w:val="auto"/>
                      <w:szCs w:val="21"/>
                      <w:highlight w:val="none"/>
                      <w:lang w:eastAsia="zh-CN"/>
                    </w:rPr>
                  </w:pPr>
                  <w:r>
                    <w:rPr>
                      <w:rFonts w:hint="eastAsia"/>
                      <w:color w:val="auto"/>
                      <w:szCs w:val="21"/>
                      <w:highlight w:val="none"/>
                      <w:lang w:eastAsia="zh-CN"/>
                    </w:rPr>
                    <w:t>正常涌水量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715" w:type="dxa"/>
                  <w:vAlign w:val="center"/>
                </w:tcPr>
                <w:p>
                  <w:pPr>
                    <w:snapToGrid w:val="0"/>
                    <w:jc w:val="center"/>
                    <w:rPr>
                      <w:rFonts w:hint="eastAsia" w:eastAsia="宋体"/>
                      <w:b/>
                      <w:color w:val="auto"/>
                      <w:szCs w:val="21"/>
                      <w:highlight w:val="none"/>
                      <w:lang w:eastAsia="zh-CN"/>
                    </w:rPr>
                  </w:pPr>
                  <w:r>
                    <w:rPr>
                      <w:rFonts w:hint="eastAsia"/>
                      <w:b/>
                      <w:color w:val="auto"/>
                      <w:szCs w:val="21"/>
                      <w:highlight w:val="none"/>
                      <w:lang w:eastAsia="zh-CN"/>
                    </w:rPr>
                    <w:t>左洞</w:t>
                  </w:r>
                </w:p>
              </w:tc>
              <w:tc>
                <w:tcPr>
                  <w:tcW w:w="2716" w:type="dxa"/>
                  <w:vAlign w:val="center"/>
                </w:tcPr>
                <w:p>
                  <w:pPr>
                    <w:snapToGrid w:val="0"/>
                    <w:jc w:val="center"/>
                    <w:rPr>
                      <w:color w:val="auto"/>
                      <w:szCs w:val="21"/>
                      <w:highlight w:val="none"/>
                    </w:rPr>
                  </w:pPr>
                  <w:r>
                    <w:rPr>
                      <w:rFonts w:hint="eastAsia"/>
                      <w:color w:val="auto"/>
                      <w:szCs w:val="21"/>
                      <w:highlight w:val="none"/>
                    </w:rPr>
                    <w:t xml:space="preserve">1241.23 </w:t>
                  </w:r>
                </w:p>
              </w:tc>
              <w:tc>
                <w:tcPr>
                  <w:tcW w:w="2713" w:type="dxa"/>
                  <w:vAlign w:val="center"/>
                </w:tcPr>
                <w:p>
                  <w:pPr>
                    <w:snapToGrid w:val="0"/>
                    <w:jc w:val="center"/>
                    <w:rPr>
                      <w:color w:val="auto"/>
                      <w:szCs w:val="21"/>
                      <w:highlight w:val="none"/>
                    </w:rPr>
                  </w:pPr>
                  <w:r>
                    <w:rPr>
                      <w:rFonts w:hint="eastAsia"/>
                      <w:color w:val="auto"/>
                      <w:szCs w:val="21"/>
                      <w:highlight w:val="none"/>
                    </w:rPr>
                    <w:t xml:space="preserve">211.47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715" w:type="dxa"/>
                  <w:vAlign w:val="center"/>
                </w:tcPr>
                <w:p>
                  <w:pPr>
                    <w:snapToGrid w:val="0"/>
                    <w:jc w:val="center"/>
                    <w:rPr>
                      <w:rFonts w:hint="eastAsia" w:eastAsia="宋体"/>
                      <w:b/>
                      <w:color w:val="auto"/>
                      <w:szCs w:val="21"/>
                      <w:highlight w:val="none"/>
                      <w:lang w:eastAsia="zh-CN"/>
                    </w:rPr>
                  </w:pPr>
                  <w:r>
                    <w:rPr>
                      <w:rFonts w:hint="eastAsia"/>
                      <w:b/>
                      <w:color w:val="auto"/>
                      <w:szCs w:val="21"/>
                      <w:highlight w:val="none"/>
                      <w:lang w:eastAsia="zh-CN"/>
                    </w:rPr>
                    <w:t>右洞</w:t>
                  </w:r>
                </w:p>
              </w:tc>
              <w:tc>
                <w:tcPr>
                  <w:tcW w:w="2716" w:type="dxa"/>
                  <w:vAlign w:val="center"/>
                </w:tcPr>
                <w:p>
                  <w:pPr>
                    <w:snapToGrid w:val="0"/>
                    <w:jc w:val="center"/>
                    <w:rPr>
                      <w:color w:val="auto"/>
                      <w:szCs w:val="21"/>
                      <w:highlight w:val="none"/>
                    </w:rPr>
                  </w:pPr>
                  <w:r>
                    <w:rPr>
                      <w:rFonts w:hint="eastAsia"/>
                      <w:color w:val="auto"/>
                      <w:szCs w:val="21"/>
                      <w:highlight w:val="none"/>
                    </w:rPr>
                    <w:t xml:space="preserve">1232.32 </w:t>
                  </w:r>
                </w:p>
              </w:tc>
              <w:tc>
                <w:tcPr>
                  <w:tcW w:w="2713" w:type="dxa"/>
                  <w:vAlign w:val="center"/>
                </w:tcPr>
                <w:p>
                  <w:pPr>
                    <w:snapToGrid w:val="0"/>
                    <w:jc w:val="center"/>
                    <w:rPr>
                      <w:color w:val="auto"/>
                      <w:szCs w:val="21"/>
                      <w:highlight w:val="none"/>
                    </w:rPr>
                  </w:pPr>
                  <w:r>
                    <w:rPr>
                      <w:rFonts w:hint="eastAsia"/>
                      <w:color w:val="auto"/>
                      <w:szCs w:val="21"/>
                      <w:highlight w:val="none"/>
                    </w:rPr>
                    <w:t xml:space="preserve">194.93 </w:t>
                  </w:r>
                </w:p>
              </w:tc>
            </w:tr>
          </w:tbl>
          <w:p>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隧道单洞最大涌水量为</w:t>
            </w:r>
            <w:r>
              <w:rPr>
                <w:rFonts w:hint="eastAsia" w:ascii="Times New Roman" w:hAnsi="Times New Roman" w:eastAsia="宋体" w:cs="Times New Roman"/>
                <w:color w:val="auto"/>
                <w:sz w:val="24"/>
                <w:highlight w:val="none"/>
              </w:rPr>
              <w:t>1241.23m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eastAsia="zh-CN"/>
              </w:rPr>
              <w:t>，正常涌水量为</w:t>
            </w:r>
            <w:r>
              <w:rPr>
                <w:rFonts w:hint="eastAsia" w:ascii="Times New Roman" w:hAnsi="Times New Roman" w:eastAsia="宋体" w:cs="Times New Roman"/>
                <w:color w:val="auto"/>
                <w:sz w:val="24"/>
                <w:highlight w:val="none"/>
              </w:rPr>
              <w:t>211.47m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eastAsia="zh-CN"/>
              </w:rPr>
              <w:t>。</w:t>
            </w:r>
          </w:p>
          <w:p>
            <w:pPr>
              <w:numPr>
                <w:ilvl w:val="0"/>
                <w:numId w:val="5"/>
              </w:numPr>
              <w:adjustRightInd w:val="0"/>
              <w:snapToGrid w:val="0"/>
              <w:spacing w:line="360" w:lineRule="auto"/>
              <w:ind w:firstLine="480" w:firstLineChars="200"/>
              <w:rPr>
                <w:rFonts w:hint="eastAsia"/>
                <w:color w:val="auto"/>
                <w:sz w:val="24"/>
                <w:highlight w:val="none"/>
                <w:lang w:eastAsia="zh-CN"/>
              </w:rPr>
            </w:pPr>
            <w:r>
              <w:rPr>
                <w:rFonts w:hint="eastAsia"/>
                <w:color w:val="auto"/>
                <w:sz w:val="24"/>
                <w:highlight w:val="none"/>
                <w:lang w:eastAsia="zh-CN"/>
              </w:rPr>
              <w:t>隧道施工对地下水水位、水质的影响分析</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隧道开挖后，由于其集水和汇水作用，地下水被不断排入隧道中，形成新的势汇。隧道排水不可避免的会造成地下水重新分配，从而形成新的含水层和地下水转移通道，而原有某些含水层和转移通道中所含的地下水可能减少甚至枯竭，同时，地下水动力场和化学场也将因此发生改变，从而可能导致地下水被污染。</w:t>
            </w:r>
          </w:p>
          <w:p>
            <w:pPr>
              <w:numPr>
                <w:ilvl w:val="0"/>
                <w:numId w:val="6"/>
              </w:num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隧道施工应避开雨季，如果必须在雨季施工，应对天气进行超前预报，尽量避免在大降雨时开挖，施工前进行详细的地质和水文地质勘察，制定详细的隧道施工防治水方案。</w:t>
            </w:r>
          </w:p>
          <w:p>
            <w:pPr>
              <w:numPr>
                <w:ilvl w:val="0"/>
                <w:numId w:val="6"/>
              </w:num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此外，</w:t>
            </w:r>
            <w:r>
              <w:rPr>
                <w:rFonts w:hint="eastAsia"/>
                <w:color w:val="auto"/>
                <w:sz w:val="24"/>
                <w:highlight w:val="none"/>
                <w:lang w:eastAsia="zh-CN"/>
              </w:rPr>
              <w:t>隧道施工</w:t>
            </w:r>
            <w:r>
              <w:rPr>
                <w:rFonts w:hint="eastAsia"/>
                <w:color w:val="auto"/>
                <w:sz w:val="24"/>
                <w:highlight w:val="none"/>
                <w:lang w:val="en-US" w:eastAsia="zh-CN"/>
              </w:rPr>
              <w:t>过程中应采取“以防为主”的原则进行治理，拟采用多重注浆方式，将隧道开挖断面周围的涌水或渗水封堵于结构外，注浆材料选配应考虑长期的环保要求，避免采用可能造成地下水污染的有毒化学浆液，具体注浆如下：</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①隧道围岩较差地段的超前注浆加固，在隧道周边形成注浆堵水圈，封闭大部分基岩中疏水裂缝和涌水空间。</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②初期支护渗漏水较大地段，及时进行背后注浆填充，减少地下水的排放。</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③在防水板施工前对初期支护渗漏处进行补充注浆处理。</w:t>
            </w:r>
          </w:p>
          <w:p>
            <w:pPr>
              <w:numPr>
                <w:ilvl w:val="0"/>
                <w:numId w:val="6"/>
              </w:numPr>
              <w:adjustRightInd w:val="0"/>
              <w:snapToGrid w:val="0"/>
              <w:spacing w:line="360" w:lineRule="auto"/>
              <w:ind w:left="0" w:leftChars="0" w:firstLine="480" w:firstLineChars="200"/>
              <w:rPr>
                <w:rFonts w:hint="eastAsia"/>
                <w:color w:val="auto"/>
                <w:sz w:val="24"/>
                <w:highlight w:val="none"/>
                <w:lang w:val="en-US" w:eastAsia="zh-CN"/>
              </w:rPr>
            </w:pPr>
            <w:r>
              <w:rPr>
                <w:rFonts w:hint="eastAsia"/>
                <w:color w:val="auto"/>
                <w:sz w:val="24"/>
                <w:highlight w:val="none"/>
                <w:lang w:val="en-US" w:eastAsia="zh-CN"/>
              </w:rPr>
              <w:t>开展隧道段地下水环境监控，建立监测点，监控地下水水位、水质情况。</w:t>
            </w:r>
          </w:p>
          <w:p>
            <w:pPr>
              <w:numPr>
                <w:ilvl w:val="0"/>
                <w:numId w:val="0"/>
              </w:numPr>
              <w:adjustRightInd w:val="0"/>
              <w:snapToGrid w:val="0"/>
              <w:spacing w:line="360" w:lineRule="auto"/>
              <w:ind w:leftChars="200"/>
              <w:rPr>
                <w:rFonts w:hint="default"/>
                <w:color w:val="auto"/>
                <w:highlight w:val="none"/>
                <w:lang w:val="en-US"/>
              </w:rPr>
            </w:pPr>
            <w:r>
              <w:rPr>
                <w:rFonts w:hint="eastAsia"/>
                <w:color w:val="auto"/>
                <w:sz w:val="24"/>
                <w:highlight w:val="none"/>
                <w:lang w:val="en-US" w:eastAsia="zh-CN"/>
              </w:rPr>
              <w:t>采取上述措施后，隧道施工对地下水水位、水质的影响较小。</w:t>
            </w:r>
          </w:p>
          <w:p>
            <w:pPr>
              <w:numPr>
                <w:ilvl w:val="0"/>
                <w:numId w:val="5"/>
              </w:numPr>
              <w:adjustRightInd w:val="0"/>
              <w:snapToGrid w:val="0"/>
              <w:spacing w:line="360" w:lineRule="auto"/>
              <w:ind w:left="0" w:leftChars="0" w:firstLine="480" w:firstLineChars="200"/>
              <w:rPr>
                <w:rFonts w:hint="eastAsia"/>
                <w:color w:val="auto"/>
                <w:sz w:val="24"/>
                <w:highlight w:val="none"/>
                <w:lang w:eastAsia="zh-CN"/>
              </w:rPr>
            </w:pPr>
            <w:r>
              <w:rPr>
                <w:rFonts w:hint="eastAsia"/>
                <w:color w:val="auto"/>
                <w:sz w:val="24"/>
                <w:highlight w:val="none"/>
                <w:lang w:eastAsia="zh-CN"/>
              </w:rPr>
              <w:t>隧道疏排水对上方植被影响分析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color w:val="auto"/>
                <w:sz w:val="24"/>
                <w:highlight w:val="none"/>
                <w:lang w:eastAsia="zh-CN"/>
              </w:rPr>
            </w:pPr>
            <w:r>
              <w:rPr>
                <w:rFonts w:hint="eastAsia"/>
                <w:color w:val="auto"/>
                <w:sz w:val="24"/>
                <w:highlight w:val="none"/>
                <w:lang w:eastAsia="zh-CN"/>
              </w:rPr>
              <w:t>隧道施工如果打穿的含水层为隧道山体上部植被赖以生存的水源，且涌水后又难以封堵时，将可能造成植被生长用水大量流失，从而可能造成山顶植被因水分不足而死亡，对项目区生态环境造成破坏。</w:t>
            </w:r>
          </w:p>
          <w:p>
            <w:pPr>
              <w:adjustRightInd w:val="0"/>
              <w:snapToGrid w:val="0"/>
              <w:spacing w:line="360" w:lineRule="auto"/>
              <w:ind w:firstLine="480" w:firstLineChars="200"/>
              <w:rPr>
                <w:rFonts w:hint="eastAsia" w:eastAsia="宋体"/>
                <w:color w:val="auto"/>
                <w:highlight w:val="none"/>
                <w:lang w:eastAsia="zh-CN"/>
              </w:rPr>
            </w:pPr>
            <w:r>
              <w:rPr>
                <w:rFonts w:hint="eastAsia"/>
                <w:color w:val="auto"/>
                <w:sz w:val="24"/>
                <w:highlight w:val="none"/>
                <w:lang w:eastAsia="zh-CN"/>
              </w:rPr>
              <w:t>象山隧道</w:t>
            </w:r>
            <w:r>
              <w:rPr>
                <w:rFonts w:hint="eastAsia"/>
                <w:color w:val="auto"/>
                <w:sz w:val="24"/>
                <w:highlight w:val="none"/>
                <w:lang w:val="en-US" w:eastAsia="zh-CN"/>
              </w:rPr>
              <w:t>上方主要植被类型是以马尾松、杉木为主，属于耐旱植物，水分来源主要是大气降水，因此，隧道疏排水对植被生长的影响很小。此外，</w:t>
            </w:r>
            <w:r>
              <w:rPr>
                <w:rFonts w:hint="eastAsia"/>
                <w:color w:val="auto"/>
                <w:sz w:val="24"/>
                <w:highlight w:val="none"/>
                <w:lang w:eastAsia="zh-CN"/>
              </w:rPr>
              <w:t>施工采用边开挖边衬砌的施工工艺，可以有效地控制施工中疏干地下水的现象。因此隧道施工造成隧道上方及周边区域植被因缺水而死亡的可能性较小。</w:t>
            </w:r>
          </w:p>
          <w:p>
            <w:pPr>
              <w:adjustRightInd w:val="0"/>
              <w:snapToGrid w:val="0"/>
              <w:spacing w:line="360" w:lineRule="auto"/>
              <w:ind w:firstLine="482" w:firstLineChars="200"/>
              <w:outlineLvl w:val="2"/>
              <w:rPr>
                <w:b/>
                <w:bCs/>
                <w:color w:val="auto"/>
                <w:sz w:val="24"/>
                <w:highlight w:val="none"/>
              </w:rPr>
            </w:pPr>
            <w:r>
              <w:rPr>
                <w:rFonts w:hint="eastAsia"/>
                <w:b/>
                <w:bCs/>
                <w:color w:val="auto"/>
                <w:sz w:val="24"/>
                <w:highlight w:val="none"/>
                <w:lang w:val="en-US" w:eastAsia="zh-CN"/>
              </w:rPr>
              <w:t>7</w:t>
            </w:r>
            <w:r>
              <w:rPr>
                <w:rFonts w:hint="eastAsia"/>
                <w:b/>
                <w:bCs/>
                <w:color w:val="auto"/>
                <w:sz w:val="24"/>
                <w:highlight w:val="none"/>
              </w:rPr>
              <w:t>、</w:t>
            </w:r>
            <w:r>
              <w:rPr>
                <w:b/>
                <w:bCs/>
                <w:color w:val="auto"/>
                <w:sz w:val="24"/>
                <w:highlight w:val="none"/>
              </w:rPr>
              <w:t>生态影响</w:t>
            </w:r>
          </w:p>
          <w:p>
            <w:pPr>
              <w:adjustRightInd w:val="0"/>
              <w:snapToGrid w:val="0"/>
              <w:spacing w:line="360" w:lineRule="auto"/>
              <w:ind w:firstLine="480" w:firstLineChars="200"/>
              <w:rPr>
                <w:color w:val="auto"/>
                <w:sz w:val="24"/>
                <w:highlight w:val="none"/>
              </w:rPr>
            </w:pPr>
            <w:r>
              <w:rPr>
                <w:rFonts w:hint="eastAsia"/>
                <w:color w:val="auto"/>
                <w:sz w:val="24"/>
                <w:highlight w:val="none"/>
              </w:rPr>
              <w:t>1）</w:t>
            </w:r>
            <w:r>
              <w:rPr>
                <w:color w:val="auto"/>
                <w:sz w:val="24"/>
                <w:highlight w:val="none"/>
              </w:rPr>
              <w:t>项目区生态现状</w:t>
            </w:r>
          </w:p>
          <w:p>
            <w:pPr>
              <w:adjustRightInd w:val="0"/>
              <w:snapToGrid w:val="0"/>
              <w:spacing w:line="360" w:lineRule="auto"/>
              <w:ind w:firstLine="480" w:firstLineChars="200"/>
              <w:rPr>
                <w:rFonts w:hint="eastAsia"/>
                <w:color w:val="auto"/>
                <w:kern w:val="0"/>
                <w:sz w:val="24"/>
                <w:highlight w:val="none"/>
              </w:rPr>
            </w:pPr>
            <w:r>
              <w:rPr>
                <w:color w:val="auto"/>
                <w:sz w:val="24"/>
                <w:highlight w:val="none"/>
              </w:rPr>
              <w:t>据现场勘查，本工程沿线两侧主要是</w:t>
            </w:r>
            <w:r>
              <w:rPr>
                <w:rFonts w:hint="eastAsia"/>
                <w:color w:val="auto"/>
                <w:sz w:val="24"/>
                <w:highlight w:val="none"/>
              </w:rPr>
              <w:t>居住区、学校、公园、水体（梅峰河、西湖）</w:t>
            </w:r>
            <w:r>
              <w:rPr>
                <w:color w:val="auto"/>
                <w:sz w:val="24"/>
                <w:highlight w:val="none"/>
              </w:rPr>
              <w:t>、</w:t>
            </w:r>
            <w:r>
              <w:rPr>
                <w:rFonts w:hint="eastAsia"/>
                <w:color w:val="auto"/>
                <w:sz w:val="24"/>
                <w:highlight w:val="none"/>
              </w:rPr>
              <w:t>林地（本次改造未使用林地）</w:t>
            </w:r>
            <w:r>
              <w:rPr>
                <w:color w:val="auto"/>
                <w:sz w:val="24"/>
                <w:highlight w:val="none"/>
              </w:rPr>
              <w:t>等，</w:t>
            </w:r>
            <w:r>
              <w:rPr>
                <w:rFonts w:hint="eastAsia"/>
                <w:color w:val="auto"/>
                <w:kern w:val="0"/>
                <w:sz w:val="24"/>
                <w:highlight w:val="none"/>
              </w:rPr>
              <w:t>项目</w:t>
            </w:r>
            <w:r>
              <w:rPr>
                <w:rFonts w:hint="eastAsia"/>
                <w:color w:val="auto"/>
                <w:kern w:val="0"/>
                <w:sz w:val="24"/>
                <w:highlight w:val="none"/>
                <w:lang w:val="en-US" w:eastAsia="zh-CN"/>
              </w:rPr>
              <w:t>隧道上方主要植被以</w:t>
            </w:r>
            <w:r>
              <w:rPr>
                <w:rFonts w:hint="eastAsia"/>
                <w:color w:val="auto"/>
                <w:sz w:val="24"/>
                <w:highlight w:val="none"/>
                <w:lang w:val="en-US" w:eastAsia="zh-CN"/>
              </w:rPr>
              <w:t>马尾松、杉木为主，道路</w:t>
            </w:r>
            <w:r>
              <w:rPr>
                <w:rFonts w:hint="eastAsia"/>
                <w:color w:val="auto"/>
                <w:kern w:val="0"/>
                <w:sz w:val="24"/>
                <w:highlight w:val="none"/>
                <w:lang w:val="en-US" w:eastAsia="zh-CN"/>
              </w:rPr>
              <w:t>沿线两侧</w:t>
            </w:r>
            <w:r>
              <w:rPr>
                <w:color w:val="auto"/>
                <w:kern w:val="0"/>
                <w:sz w:val="24"/>
                <w:highlight w:val="none"/>
              </w:rPr>
              <w:t>主要植被为</w:t>
            </w:r>
            <w:r>
              <w:rPr>
                <w:rFonts w:hint="eastAsia"/>
                <w:color w:val="auto"/>
                <w:kern w:val="0"/>
                <w:sz w:val="24"/>
                <w:highlight w:val="none"/>
              </w:rPr>
              <w:t>绿化树种（乔木、香樟等），左海公园、西湖公园以乡土树种为主，均为该地区常见种类。根据调查，项目沿线西湖公园内25棵古树，主要为榕树、柠檬桉、龙眼、重阳木、秋枫；梦山路福州熊猫世界入口斜坡处有1颗古榕树，均属于鼓楼区二级古树名木，均不在项目红线范围内。暂未发现其他国家级、省级珍稀保护野生植物分布。</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工程线位主要位于城区，开发活动较为剧烈，区域生态系统受人为干扰强烈。本次改造未使用隧道上方林地，工程改造沿线评价范围陆生动物主要以一些常见种类为主，啮齿类如家鼠等，爬行类蜥蜴，鸟类较少。</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根据结合现场踏勘及走访，经过细致的调查和了解，本工程评价范围内未发现国家、省级重点保护物种和《中国濒危动物红皮书》中的物种及栖息地分布。</w:t>
            </w:r>
          </w:p>
          <w:p>
            <w:pPr>
              <w:adjustRightInd w:val="0"/>
              <w:snapToGrid w:val="0"/>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rPr>
              <w:t>）</w:t>
            </w:r>
            <w:r>
              <w:rPr>
                <w:color w:val="auto"/>
                <w:sz w:val="24"/>
                <w:highlight w:val="none"/>
              </w:rPr>
              <w:t>土地利用影响分析</w:t>
            </w:r>
          </w:p>
          <w:p>
            <w:pPr>
              <w:adjustRightInd w:val="0"/>
              <w:snapToGrid w:val="0"/>
              <w:spacing w:line="360" w:lineRule="auto"/>
              <w:ind w:firstLine="480" w:firstLineChars="200"/>
              <w:rPr>
                <w:color w:val="auto"/>
                <w:sz w:val="24"/>
                <w:highlight w:val="none"/>
              </w:rPr>
            </w:pPr>
            <w:r>
              <w:rPr>
                <w:color w:val="auto"/>
                <w:sz w:val="24"/>
                <w:highlight w:val="none"/>
              </w:rPr>
              <w:t>项目占用的临时用地主要为</w:t>
            </w:r>
            <w:r>
              <w:rPr>
                <w:rFonts w:hint="eastAsia"/>
                <w:color w:val="auto"/>
                <w:sz w:val="24"/>
                <w:highlight w:val="none"/>
              </w:rPr>
              <w:t>预制场区、施工</w:t>
            </w:r>
            <w:r>
              <w:rPr>
                <w:rFonts w:hint="eastAsia"/>
                <w:color w:val="auto"/>
                <w:sz w:val="24"/>
                <w:highlight w:val="none"/>
                <w:lang w:val="en-US" w:eastAsia="zh-CN"/>
              </w:rPr>
              <w:t>围挡用地</w:t>
            </w:r>
            <w:r>
              <w:rPr>
                <w:color w:val="auto"/>
                <w:sz w:val="24"/>
                <w:highlight w:val="none"/>
              </w:rPr>
              <w:t>，占地面积约</w:t>
            </w:r>
            <w:r>
              <w:rPr>
                <w:rFonts w:hint="eastAsia"/>
                <w:color w:val="auto"/>
                <w:sz w:val="24"/>
                <w:highlight w:val="none"/>
                <w:lang w:val="en-US" w:eastAsia="zh-CN"/>
              </w:rPr>
              <w:t>54800</w:t>
            </w:r>
            <w:r>
              <w:rPr>
                <w:color w:val="auto"/>
                <w:sz w:val="24"/>
                <w:highlight w:val="none"/>
              </w:rPr>
              <w:t>m</w:t>
            </w:r>
            <w:r>
              <w:rPr>
                <w:color w:val="auto"/>
                <w:sz w:val="24"/>
                <w:highlight w:val="none"/>
                <w:vertAlign w:val="superscript"/>
              </w:rPr>
              <w:t>2</w:t>
            </w:r>
            <w:r>
              <w:rPr>
                <w:color w:val="auto"/>
                <w:sz w:val="24"/>
                <w:highlight w:val="none"/>
              </w:rPr>
              <w:t>，</w:t>
            </w:r>
            <w:r>
              <w:rPr>
                <w:rFonts w:hint="eastAsia"/>
                <w:color w:val="auto"/>
                <w:sz w:val="24"/>
                <w:highlight w:val="none"/>
                <w:lang w:val="en-US" w:eastAsia="zh-CN"/>
              </w:rPr>
              <w:t>其中，500</w:t>
            </w:r>
            <w:r>
              <w:rPr>
                <w:color w:val="auto"/>
                <w:sz w:val="24"/>
                <w:highlight w:val="none"/>
              </w:rPr>
              <w:t>m</w:t>
            </w:r>
            <w:r>
              <w:rPr>
                <w:color w:val="auto"/>
                <w:sz w:val="24"/>
                <w:highlight w:val="none"/>
                <w:vertAlign w:val="superscript"/>
              </w:rPr>
              <w:t>2</w:t>
            </w:r>
            <w:r>
              <w:rPr>
                <w:rFonts w:hint="eastAsia"/>
                <w:color w:val="auto"/>
                <w:sz w:val="24"/>
                <w:highlight w:val="none"/>
                <w:lang w:val="en-US" w:eastAsia="zh-CN"/>
              </w:rPr>
              <w:t>位于红线内，54300</w:t>
            </w:r>
            <w:r>
              <w:rPr>
                <w:color w:val="auto"/>
                <w:sz w:val="24"/>
                <w:highlight w:val="none"/>
              </w:rPr>
              <w:t>m</w:t>
            </w:r>
            <w:r>
              <w:rPr>
                <w:color w:val="auto"/>
                <w:sz w:val="24"/>
                <w:highlight w:val="none"/>
                <w:vertAlign w:val="superscript"/>
              </w:rPr>
              <w:t>2</w:t>
            </w:r>
            <w:r>
              <w:rPr>
                <w:rFonts w:hint="eastAsia"/>
                <w:color w:val="auto"/>
                <w:sz w:val="24"/>
                <w:highlight w:val="none"/>
                <w:vertAlign w:val="baseline"/>
                <w:lang w:val="en-US" w:eastAsia="zh-CN"/>
              </w:rPr>
              <w:t>位于</w:t>
            </w:r>
            <w:r>
              <w:rPr>
                <w:rFonts w:hint="eastAsia"/>
                <w:color w:val="auto"/>
                <w:sz w:val="24"/>
                <w:highlight w:val="none"/>
              </w:rPr>
              <w:t>红线</w:t>
            </w:r>
            <w:r>
              <w:rPr>
                <w:rFonts w:hint="eastAsia"/>
                <w:color w:val="auto"/>
                <w:sz w:val="24"/>
                <w:highlight w:val="none"/>
                <w:lang w:val="en-US" w:eastAsia="zh-CN"/>
              </w:rPr>
              <w:t>外</w:t>
            </w:r>
            <w:r>
              <w:rPr>
                <w:rFonts w:hint="eastAsia"/>
                <w:color w:val="auto"/>
                <w:sz w:val="24"/>
                <w:highlight w:val="none"/>
              </w:rPr>
              <w:t>，</w:t>
            </w:r>
            <w:r>
              <w:rPr>
                <w:color w:val="auto"/>
                <w:sz w:val="24"/>
                <w:highlight w:val="none"/>
              </w:rPr>
              <w:t>工程施工后，</w:t>
            </w:r>
            <w:r>
              <w:rPr>
                <w:rFonts w:hint="eastAsia"/>
                <w:color w:val="auto"/>
                <w:sz w:val="24"/>
                <w:highlight w:val="none"/>
                <w:lang w:val="en-US" w:eastAsia="zh-CN"/>
              </w:rPr>
              <w:t>红线内预制场</w:t>
            </w:r>
            <w:r>
              <w:rPr>
                <w:rFonts w:hint="eastAsia"/>
                <w:color w:val="auto"/>
                <w:sz w:val="24"/>
                <w:highlight w:val="none"/>
              </w:rPr>
              <w:t>临时设施场地与道路工程一起场平建设</w:t>
            </w:r>
            <w:r>
              <w:rPr>
                <w:rFonts w:hint="eastAsia"/>
                <w:color w:val="auto"/>
                <w:sz w:val="24"/>
                <w:highlight w:val="none"/>
                <w:lang w:eastAsia="zh-CN"/>
              </w:rPr>
              <w:t>，</w:t>
            </w:r>
            <w:r>
              <w:rPr>
                <w:rFonts w:hint="eastAsia"/>
                <w:color w:val="auto"/>
                <w:sz w:val="24"/>
                <w:highlight w:val="none"/>
                <w:lang w:val="en-US" w:eastAsia="zh-CN"/>
              </w:rPr>
              <w:t>红线外临时围挡占地进行原地貌恢复</w:t>
            </w:r>
            <w:r>
              <w:rPr>
                <w:color w:val="auto"/>
                <w:sz w:val="24"/>
                <w:highlight w:val="none"/>
              </w:rPr>
              <w:t>。项目建设对土地利用影响较小。</w:t>
            </w:r>
          </w:p>
          <w:p>
            <w:pPr>
              <w:adjustRightInd w:val="0"/>
              <w:snapToGrid w:val="0"/>
              <w:spacing w:line="360" w:lineRule="auto"/>
              <w:ind w:firstLine="480" w:firstLineChars="200"/>
              <w:rPr>
                <w:color w:val="auto"/>
                <w:sz w:val="24"/>
                <w:highlight w:val="none"/>
              </w:rPr>
            </w:pPr>
            <w:r>
              <w:rPr>
                <w:color w:val="auto"/>
                <w:sz w:val="24"/>
                <w:highlight w:val="none"/>
              </w:rPr>
              <w:t>3</w:t>
            </w:r>
            <w:r>
              <w:rPr>
                <w:rFonts w:hint="eastAsia"/>
                <w:color w:val="auto"/>
                <w:sz w:val="24"/>
                <w:highlight w:val="none"/>
              </w:rPr>
              <w:t>）</w:t>
            </w:r>
            <w:r>
              <w:rPr>
                <w:color w:val="auto"/>
                <w:sz w:val="24"/>
                <w:highlight w:val="none"/>
              </w:rPr>
              <w:t>对植被资源的影响分析</w:t>
            </w:r>
          </w:p>
          <w:p>
            <w:pPr>
              <w:adjustRightInd w:val="0"/>
              <w:snapToGrid w:val="0"/>
              <w:spacing w:line="360" w:lineRule="auto"/>
              <w:ind w:firstLine="480" w:firstLineChars="200"/>
              <w:rPr>
                <w:color w:val="auto"/>
                <w:sz w:val="24"/>
                <w:highlight w:val="none"/>
              </w:rPr>
            </w:pPr>
            <w:r>
              <w:rPr>
                <w:color w:val="auto"/>
                <w:sz w:val="24"/>
                <w:highlight w:val="none"/>
              </w:rPr>
              <w:t>在工程建设过程中，地基开挖、地表剥离、施工人员、施工机械、营运期汽车尾气排放等对道路沿线植被存在一定的影响。</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项目沿线有古树应就地保护，定期对古树名木的生长情况、保护现状等进行动态监测和跟踪管理，并设立警示牌、保护标牌、围挡就地保护，明令禁止对其造成破坏。</w:t>
            </w:r>
          </w:p>
          <w:p>
            <w:pPr>
              <w:adjustRightInd w:val="0"/>
              <w:snapToGrid w:val="0"/>
              <w:spacing w:line="360" w:lineRule="auto"/>
              <w:ind w:firstLine="480" w:firstLineChars="200"/>
              <w:rPr>
                <w:color w:val="auto"/>
                <w:sz w:val="24"/>
                <w:highlight w:val="none"/>
              </w:rPr>
            </w:pPr>
            <w:r>
              <w:rPr>
                <w:color w:val="auto"/>
                <w:sz w:val="24"/>
                <w:highlight w:val="none"/>
              </w:rPr>
              <w:t>通过在建成后道路绿化带和边坡绿化，项目正常运营期植被恢复正常后，单位面积生物量将高于建设前。项目建设虽然引起项目区域生物量减少但对周边生态环境影响不大。</w:t>
            </w:r>
          </w:p>
          <w:p>
            <w:pPr>
              <w:adjustRightInd w:val="0"/>
              <w:snapToGrid w:val="0"/>
              <w:spacing w:line="360" w:lineRule="auto"/>
              <w:ind w:firstLine="480" w:firstLineChars="200"/>
              <w:rPr>
                <w:color w:val="auto"/>
                <w:sz w:val="24"/>
                <w:highlight w:val="none"/>
              </w:rPr>
            </w:pPr>
            <w:r>
              <w:rPr>
                <w:color w:val="auto"/>
                <w:sz w:val="24"/>
                <w:highlight w:val="none"/>
              </w:rPr>
              <w:t>4、对动物资源的影响分析</w:t>
            </w:r>
          </w:p>
          <w:p>
            <w:pPr>
              <w:adjustRightInd w:val="0"/>
              <w:snapToGrid w:val="0"/>
              <w:spacing w:line="360" w:lineRule="auto"/>
              <w:ind w:firstLine="480" w:firstLineChars="200"/>
              <w:rPr>
                <w:color w:val="auto"/>
                <w:sz w:val="24"/>
                <w:highlight w:val="none"/>
              </w:rPr>
            </w:pPr>
            <w:r>
              <w:rPr>
                <w:color w:val="auto"/>
                <w:sz w:val="24"/>
                <w:highlight w:val="none"/>
              </w:rPr>
              <w:t>项目区</w:t>
            </w:r>
            <w:r>
              <w:rPr>
                <w:rFonts w:hint="eastAsia"/>
                <w:color w:val="auto"/>
                <w:sz w:val="24"/>
                <w:highlight w:val="none"/>
              </w:rPr>
              <w:t>红线改造范围内无动物</w:t>
            </w:r>
            <w:r>
              <w:rPr>
                <w:color w:val="auto"/>
                <w:sz w:val="24"/>
                <w:highlight w:val="none"/>
              </w:rPr>
              <w:t>，不影响动物生存环境，不会对动物多样性、种群数量造成影响。</w:t>
            </w:r>
          </w:p>
          <w:p>
            <w:pPr>
              <w:adjustRightInd w:val="0"/>
              <w:snapToGrid w:val="0"/>
              <w:spacing w:line="360" w:lineRule="auto"/>
              <w:ind w:firstLine="480" w:firstLineChars="200"/>
              <w:rPr>
                <w:color w:val="auto"/>
                <w:sz w:val="24"/>
                <w:highlight w:val="none"/>
              </w:rPr>
            </w:pPr>
            <w:r>
              <w:rPr>
                <w:color w:val="auto"/>
                <w:sz w:val="24"/>
                <w:highlight w:val="none"/>
              </w:rPr>
              <w:t>5、水土流失影响分析</w:t>
            </w:r>
          </w:p>
          <w:p>
            <w:pPr>
              <w:adjustRightInd w:val="0"/>
              <w:snapToGrid w:val="0"/>
              <w:spacing w:line="360" w:lineRule="auto"/>
              <w:ind w:firstLine="480" w:firstLineChars="200"/>
              <w:rPr>
                <w:color w:val="auto"/>
                <w:sz w:val="24"/>
                <w:highlight w:val="none"/>
              </w:rPr>
            </w:pPr>
            <w:r>
              <w:rPr>
                <w:color w:val="auto"/>
                <w:sz w:val="24"/>
                <w:highlight w:val="none"/>
              </w:rPr>
              <w:t>①水土流失情况</w:t>
            </w:r>
          </w:p>
          <w:p>
            <w:pPr>
              <w:adjustRightInd w:val="0"/>
              <w:snapToGrid w:val="0"/>
              <w:spacing w:line="360" w:lineRule="auto"/>
              <w:ind w:firstLine="480" w:firstLineChars="200"/>
              <w:rPr>
                <w:color w:val="auto"/>
                <w:sz w:val="24"/>
                <w:highlight w:val="none"/>
              </w:rPr>
            </w:pPr>
            <w:r>
              <w:rPr>
                <w:color w:val="auto"/>
                <w:sz w:val="24"/>
                <w:highlight w:val="none"/>
              </w:rPr>
              <w:t>项目施工，使土壤松散，土石表层裸露，经雨水冲刷不可避免造成水土流失，特别是在暴风雨作用下，表现更加明显。</w:t>
            </w:r>
          </w:p>
          <w:p>
            <w:pPr>
              <w:adjustRightInd w:val="0"/>
              <w:snapToGrid w:val="0"/>
              <w:spacing w:line="360" w:lineRule="auto"/>
              <w:ind w:firstLine="480" w:firstLineChars="200"/>
              <w:rPr>
                <w:color w:val="auto"/>
                <w:sz w:val="24"/>
                <w:highlight w:val="none"/>
              </w:rPr>
            </w:pPr>
            <w:r>
              <w:rPr>
                <w:color w:val="auto"/>
                <w:sz w:val="24"/>
                <w:highlight w:val="none"/>
              </w:rPr>
              <w:t>②水土流失影响分析</w:t>
            </w:r>
          </w:p>
          <w:p>
            <w:pPr>
              <w:adjustRightInd w:val="0"/>
              <w:snapToGrid w:val="0"/>
              <w:spacing w:line="360" w:lineRule="auto"/>
              <w:ind w:firstLine="480" w:firstLineChars="200"/>
              <w:rPr>
                <w:color w:val="auto"/>
                <w:sz w:val="24"/>
                <w:highlight w:val="none"/>
              </w:rPr>
            </w:pPr>
            <w:r>
              <w:rPr>
                <w:color w:val="auto"/>
                <w:sz w:val="24"/>
                <w:highlight w:val="none"/>
              </w:rPr>
              <w:t>水土流失一方面造成资源土壤中的养份损失，加重土壤沙化和瘠化；裸露的施工点以及由流失的水土所形成的大型黄土斑块，将对周围环境造成负面影响。</w:t>
            </w:r>
          </w:p>
          <w:p>
            <w:pPr>
              <w:pStyle w:val="58"/>
              <w:ind w:firstLine="480"/>
              <w:rPr>
                <w:rFonts w:hint="eastAsia" w:cs="Times New Roman"/>
                <w:color w:val="auto"/>
                <w:highlight w:val="none"/>
              </w:rPr>
            </w:pPr>
            <w:r>
              <w:rPr>
                <w:rFonts w:cs="Times New Roman"/>
                <w:color w:val="auto"/>
                <w:highlight w:val="none"/>
              </w:rPr>
              <w:t>由于项目用地面积较小，一般情况下，土石方施工采取边挖、边运、边填、边压的方式，地面没有大量松散土长久存在，加上整地后地面较为平缓，周边又开挖排水沟，随即又进行建筑、绿化等施工而覆盖土面，因而不会产生持久的明显土壤侵蚀流失，水土流失相对较轻，工程建设中采取必要的防护措施，可将水土流失量降到最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56" w:hRule="atLeast"/>
          <w:jc w:val="center"/>
        </w:trPr>
        <w:tc>
          <w:tcPr>
            <w:tcW w:w="879" w:type="dxa"/>
            <w:tcMar>
              <w:left w:w="28" w:type="dxa"/>
              <w:right w:w="28" w:type="dxa"/>
            </w:tcMar>
            <w:vAlign w:val="center"/>
          </w:tcPr>
          <w:p>
            <w:pPr>
              <w:pStyle w:val="18"/>
              <w:adjustRightInd w:val="0"/>
              <w:snapToGrid w:val="0"/>
              <w:spacing w:before="0" w:beforeAutospacing="0" w:after="0" w:afterAutospacing="0"/>
              <w:jc w:val="center"/>
              <w:rPr>
                <w:rFonts w:cs="宋体"/>
                <w:bCs/>
                <w:color w:val="auto"/>
                <w:kern w:val="2"/>
                <w:sz w:val="21"/>
                <w:szCs w:val="21"/>
                <w:highlight w:val="none"/>
              </w:rPr>
            </w:pPr>
            <w:r>
              <w:rPr>
                <w:rFonts w:hint="eastAsia" w:cs="宋体"/>
                <w:bCs/>
                <w:color w:val="auto"/>
                <w:spacing w:val="10"/>
                <w:kern w:val="2"/>
                <w:sz w:val="21"/>
                <w:szCs w:val="21"/>
                <w:highlight w:val="none"/>
              </w:rPr>
              <w:t>运营期生态环境影响分析</w:t>
            </w:r>
          </w:p>
        </w:tc>
        <w:tc>
          <w:tcPr>
            <w:tcW w:w="8363" w:type="dxa"/>
            <w:vAlign w:val="top"/>
          </w:tcPr>
          <w:p>
            <w:pPr>
              <w:adjustRightInd w:val="0"/>
              <w:snapToGrid w:val="0"/>
              <w:spacing w:line="360" w:lineRule="auto"/>
              <w:ind w:firstLine="482" w:firstLineChars="200"/>
              <w:outlineLvl w:val="2"/>
              <w:rPr>
                <w:b/>
                <w:bCs/>
                <w:color w:val="auto"/>
                <w:sz w:val="24"/>
                <w:highlight w:val="none"/>
              </w:rPr>
            </w:pPr>
            <w:r>
              <w:rPr>
                <w:rFonts w:hint="eastAsia"/>
                <w:b/>
                <w:bCs/>
                <w:color w:val="auto"/>
                <w:sz w:val="24"/>
                <w:highlight w:val="none"/>
              </w:rPr>
              <w:t>1、</w:t>
            </w:r>
            <w:r>
              <w:rPr>
                <w:b/>
                <w:bCs/>
                <w:color w:val="auto"/>
                <w:sz w:val="24"/>
                <w:highlight w:val="none"/>
              </w:rPr>
              <w:t>水环境</w:t>
            </w:r>
          </w:p>
          <w:p>
            <w:pPr>
              <w:adjustRightInd w:val="0"/>
              <w:snapToGrid w:val="0"/>
              <w:spacing w:line="360" w:lineRule="auto"/>
              <w:ind w:firstLine="482"/>
              <w:rPr>
                <w:rFonts w:hint="eastAsia"/>
                <w:snapToGrid w:val="0"/>
                <w:color w:val="auto"/>
                <w:kern w:val="0"/>
                <w:sz w:val="24"/>
                <w:highlight w:val="none"/>
              </w:rPr>
            </w:pPr>
            <w:r>
              <w:rPr>
                <w:snapToGrid w:val="0"/>
                <w:color w:val="auto"/>
                <w:kern w:val="0"/>
                <w:sz w:val="24"/>
                <w:highlight w:val="none"/>
              </w:rPr>
              <w:t>运营期，降雨在</w:t>
            </w:r>
            <w:r>
              <w:rPr>
                <w:rFonts w:hint="eastAsia"/>
                <w:snapToGrid w:val="0"/>
                <w:color w:val="auto"/>
                <w:kern w:val="0"/>
                <w:sz w:val="24"/>
                <w:highlight w:val="none"/>
              </w:rPr>
              <w:t>道路</w:t>
            </w:r>
            <w:r>
              <w:rPr>
                <w:snapToGrid w:val="0"/>
                <w:color w:val="auto"/>
                <w:kern w:val="0"/>
                <w:sz w:val="24"/>
                <w:highlight w:val="none"/>
              </w:rPr>
              <w:t>路面形成的地表径流，是</w:t>
            </w:r>
            <w:r>
              <w:rPr>
                <w:rFonts w:hint="eastAsia"/>
                <w:snapToGrid w:val="0"/>
                <w:color w:val="auto"/>
                <w:kern w:val="0"/>
                <w:sz w:val="24"/>
                <w:highlight w:val="none"/>
              </w:rPr>
              <w:t>道路</w:t>
            </w:r>
            <w:r>
              <w:rPr>
                <w:snapToGrid w:val="0"/>
                <w:color w:val="auto"/>
                <w:kern w:val="0"/>
                <w:sz w:val="24"/>
                <w:highlight w:val="none"/>
              </w:rPr>
              <w:t>主要排水形式。路面径流的主要污染物为SS、石油类、COD等。路面径流量及污染物浓度与沿线降雨量及持续时间直接相关，降雨量越大，路面地表径流量越大；而随着降雨时间的延长，由于雨水的稀释作用，路面径流中污染物的浓度将逐渐变低。长安大学针对降雨持续时间与路面径流污染物浓度的变化实际监测结果见表</w:t>
            </w:r>
            <w:r>
              <w:rPr>
                <w:rFonts w:hint="eastAsia"/>
                <w:snapToGrid w:val="0"/>
                <w:color w:val="auto"/>
                <w:kern w:val="0"/>
                <w:sz w:val="24"/>
                <w:highlight w:val="none"/>
              </w:rPr>
              <w:t>4-2</w:t>
            </w:r>
            <w:r>
              <w:rPr>
                <w:snapToGrid w:val="0"/>
                <w:color w:val="auto"/>
                <w:kern w:val="0"/>
                <w:sz w:val="24"/>
                <w:highlight w:val="none"/>
              </w:rPr>
              <w:t>。</w:t>
            </w:r>
          </w:p>
          <w:p>
            <w:pPr>
              <w:jc w:val="right"/>
              <w:rPr>
                <w:b/>
                <w:bCs/>
                <w:color w:val="auto"/>
                <w:sz w:val="24"/>
                <w:highlight w:val="none"/>
              </w:rPr>
            </w:pPr>
            <w:r>
              <w:rPr>
                <w:b/>
                <w:bCs/>
                <w:color w:val="auto"/>
                <w:sz w:val="24"/>
                <w:highlight w:val="none"/>
              </w:rPr>
              <w:t>表4-2 降雨持续时间与路面径流污染物浓度的变化监测结果  单位：mg/L</w:t>
            </w:r>
          </w:p>
          <w:tbl>
            <w:tblPr>
              <w:tblStyle w:val="23"/>
              <w:tblW w:w="814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29"/>
              <w:gridCol w:w="1629"/>
              <w:gridCol w:w="1629"/>
              <w:gridCol w:w="1630"/>
              <w:gridCol w:w="16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1629" w:type="dxa"/>
                  <w:vMerge w:val="restart"/>
                  <w:vAlign w:val="center"/>
                </w:tcPr>
                <w:p>
                  <w:pPr>
                    <w:snapToGrid w:val="0"/>
                    <w:jc w:val="center"/>
                    <w:rPr>
                      <w:b/>
                      <w:color w:val="auto"/>
                      <w:szCs w:val="21"/>
                      <w:highlight w:val="none"/>
                    </w:rPr>
                  </w:pPr>
                  <w:r>
                    <w:rPr>
                      <w:b/>
                      <w:color w:val="auto"/>
                      <w:szCs w:val="21"/>
                      <w:highlight w:val="none"/>
                    </w:rPr>
                    <w:t>污染物</w:t>
                  </w:r>
                </w:p>
              </w:tc>
              <w:tc>
                <w:tcPr>
                  <w:tcW w:w="6518" w:type="dxa"/>
                  <w:gridSpan w:val="4"/>
                  <w:vAlign w:val="center"/>
                </w:tcPr>
                <w:p>
                  <w:pPr>
                    <w:snapToGrid w:val="0"/>
                    <w:jc w:val="center"/>
                    <w:rPr>
                      <w:b/>
                      <w:color w:val="auto"/>
                      <w:szCs w:val="21"/>
                      <w:highlight w:val="none"/>
                    </w:rPr>
                  </w:pPr>
                  <w:r>
                    <w:rPr>
                      <w:b/>
                      <w:color w:val="auto"/>
                      <w:szCs w:val="21"/>
                      <w:highlight w:val="none"/>
                    </w:rPr>
                    <w:t>降雨持续时间与路面径流污染物的变化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1629" w:type="dxa"/>
                  <w:vMerge w:val="continue"/>
                  <w:vAlign w:val="center"/>
                </w:tcPr>
                <w:p>
                  <w:pPr>
                    <w:snapToGrid w:val="0"/>
                    <w:jc w:val="center"/>
                    <w:rPr>
                      <w:color w:val="auto"/>
                      <w:szCs w:val="21"/>
                      <w:highlight w:val="none"/>
                    </w:rPr>
                  </w:pPr>
                </w:p>
              </w:tc>
              <w:tc>
                <w:tcPr>
                  <w:tcW w:w="1629" w:type="dxa"/>
                  <w:vAlign w:val="center"/>
                </w:tcPr>
                <w:p>
                  <w:pPr>
                    <w:snapToGrid w:val="0"/>
                    <w:jc w:val="center"/>
                    <w:rPr>
                      <w:color w:val="auto"/>
                      <w:szCs w:val="21"/>
                      <w:highlight w:val="none"/>
                    </w:rPr>
                  </w:pPr>
                  <w:r>
                    <w:rPr>
                      <w:color w:val="auto"/>
                      <w:szCs w:val="21"/>
                      <w:highlight w:val="none"/>
                    </w:rPr>
                    <w:t>0~20min</w:t>
                  </w:r>
                </w:p>
              </w:tc>
              <w:tc>
                <w:tcPr>
                  <w:tcW w:w="1629" w:type="dxa"/>
                  <w:vAlign w:val="center"/>
                </w:tcPr>
                <w:p>
                  <w:pPr>
                    <w:snapToGrid w:val="0"/>
                    <w:jc w:val="center"/>
                    <w:rPr>
                      <w:color w:val="auto"/>
                      <w:szCs w:val="21"/>
                      <w:highlight w:val="none"/>
                    </w:rPr>
                  </w:pPr>
                  <w:r>
                    <w:rPr>
                      <w:color w:val="auto"/>
                      <w:szCs w:val="21"/>
                      <w:highlight w:val="none"/>
                    </w:rPr>
                    <w:t>20~40 min</w:t>
                  </w:r>
                </w:p>
              </w:tc>
              <w:tc>
                <w:tcPr>
                  <w:tcW w:w="1630" w:type="dxa"/>
                  <w:vAlign w:val="center"/>
                </w:tcPr>
                <w:p>
                  <w:pPr>
                    <w:snapToGrid w:val="0"/>
                    <w:jc w:val="center"/>
                    <w:rPr>
                      <w:color w:val="auto"/>
                      <w:szCs w:val="21"/>
                      <w:highlight w:val="none"/>
                    </w:rPr>
                  </w:pPr>
                  <w:r>
                    <w:rPr>
                      <w:color w:val="auto"/>
                      <w:szCs w:val="21"/>
                      <w:highlight w:val="none"/>
                    </w:rPr>
                    <w:t>40~60 min</w:t>
                  </w:r>
                </w:p>
              </w:tc>
              <w:tc>
                <w:tcPr>
                  <w:tcW w:w="1630" w:type="dxa"/>
                  <w:vAlign w:val="center"/>
                </w:tcPr>
                <w:p>
                  <w:pPr>
                    <w:snapToGrid w:val="0"/>
                    <w:jc w:val="center"/>
                    <w:rPr>
                      <w:color w:val="auto"/>
                      <w:szCs w:val="21"/>
                      <w:highlight w:val="none"/>
                    </w:rPr>
                  </w:pPr>
                  <w:r>
                    <w:rPr>
                      <w:color w:val="auto"/>
                      <w:szCs w:val="21"/>
                      <w:highlight w:val="none"/>
                    </w:rPr>
                    <w:t>平均值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1629" w:type="dxa"/>
                  <w:vAlign w:val="center"/>
                </w:tcPr>
                <w:p>
                  <w:pPr>
                    <w:snapToGrid w:val="0"/>
                    <w:jc w:val="center"/>
                    <w:rPr>
                      <w:b/>
                      <w:color w:val="auto"/>
                      <w:szCs w:val="21"/>
                      <w:highlight w:val="none"/>
                    </w:rPr>
                  </w:pPr>
                  <w:r>
                    <w:rPr>
                      <w:b/>
                      <w:color w:val="auto"/>
                      <w:szCs w:val="21"/>
                      <w:highlight w:val="none"/>
                    </w:rPr>
                    <w:t>pH</w:t>
                  </w:r>
                </w:p>
              </w:tc>
              <w:tc>
                <w:tcPr>
                  <w:tcW w:w="1629" w:type="dxa"/>
                  <w:vAlign w:val="center"/>
                </w:tcPr>
                <w:p>
                  <w:pPr>
                    <w:snapToGrid w:val="0"/>
                    <w:jc w:val="center"/>
                    <w:rPr>
                      <w:color w:val="auto"/>
                      <w:szCs w:val="21"/>
                      <w:highlight w:val="none"/>
                    </w:rPr>
                  </w:pPr>
                  <w:r>
                    <w:rPr>
                      <w:color w:val="auto"/>
                      <w:szCs w:val="21"/>
                      <w:highlight w:val="none"/>
                    </w:rPr>
                    <w:t>7.8</w:t>
                  </w:r>
                </w:p>
              </w:tc>
              <w:tc>
                <w:tcPr>
                  <w:tcW w:w="1629" w:type="dxa"/>
                  <w:vAlign w:val="center"/>
                </w:tcPr>
                <w:p>
                  <w:pPr>
                    <w:snapToGrid w:val="0"/>
                    <w:jc w:val="center"/>
                    <w:rPr>
                      <w:color w:val="auto"/>
                      <w:szCs w:val="21"/>
                      <w:highlight w:val="none"/>
                    </w:rPr>
                  </w:pPr>
                  <w:r>
                    <w:rPr>
                      <w:color w:val="auto"/>
                      <w:szCs w:val="21"/>
                      <w:highlight w:val="none"/>
                    </w:rPr>
                    <w:t>7.6</w:t>
                  </w:r>
                </w:p>
              </w:tc>
              <w:tc>
                <w:tcPr>
                  <w:tcW w:w="1630" w:type="dxa"/>
                  <w:vAlign w:val="center"/>
                </w:tcPr>
                <w:p>
                  <w:pPr>
                    <w:snapToGrid w:val="0"/>
                    <w:jc w:val="center"/>
                    <w:rPr>
                      <w:color w:val="auto"/>
                      <w:szCs w:val="21"/>
                      <w:highlight w:val="none"/>
                    </w:rPr>
                  </w:pPr>
                  <w:r>
                    <w:rPr>
                      <w:color w:val="auto"/>
                      <w:szCs w:val="21"/>
                      <w:highlight w:val="none"/>
                    </w:rPr>
                    <w:t>7.4</w:t>
                  </w:r>
                </w:p>
              </w:tc>
              <w:tc>
                <w:tcPr>
                  <w:tcW w:w="1630" w:type="dxa"/>
                  <w:vAlign w:val="center"/>
                </w:tcPr>
                <w:p>
                  <w:pPr>
                    <w:snapToGrid w:val="0"/>
                    <w:jc w:val="center"/>
                    <w:rPr>
                      <w:color w:val="auto"/>
                      <w:szCs w:val="21"/>
                      <w:highlight w:val="none"/>
                    </w:rPr>
                  </w:pPr>
                  <w:r>
                    <w:rPr>
                      <w:color w:val="auto"/>
                      <w:szCs w:val="21"/>
                      <w:highlight w:val="none"/>
                    </w:rPr>
                    <w:t>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1629" w:type="dxa"/>
                  <w:vAlign w:val="center"/>
                </w:tcPr>
                <w:p>
                  <w:pPr>
                    <w:snapToGrid w:val="0"/>
                    <w:jc w:val="center"/>
                    <w:rPr>
                      <w:b/>
                      <w:color w:val="auto"/>
                      <w:szCs w:val="21"/>
                      <w:highlight w:val="none"/>
                    </w:rPr>
                  </w:pPr>
                  <w:r>
                    <w:rPr>
                      <w:b/>
                      <w:color w:val="auto"/>
                      <w:szCs w:val="21"/>
                      <w:highlight w:val="none"/>
                    </w:rPr>
                    <w:t>SS</w:t>
                  </w:r>
                </w:p>
              </w:tc>
              <w:tc>
                <w:tcPr>
                  <w:tcW w:w="1629" w:type="dxa"/>
                  <w:vAlign w:val="center"/>
                </w:tcPr>
                <w:p>
                  <w:pPr>
                    <w:snapToGrid w:val="0"/>
                    <w:jc w:val="center"/>
                    <w:rPr>
                      <w:color w:val="auto"/>
                      <w:szCs w:val="21"/>
                      <w:highlight w:val="none"/>
                    </w:rPr>
                  </w:pPr>
                  <w:r>
                    <w:rPr>
                      <w:color w:val="auto"/>
                      <w:szCs w:val="21"/>
                      <w:highlight w:val="none"/>
                    </w:rPr>
                    <w:t>231.42~158.22</w:t>
                  </w:r>
                </w:p>
              </w:tc>
              <w:tc>
                <w:tcPr>
                  <w:tcW w:w="1629" w:type="dxa"/>
                  <w:vAlign w:val="center"/>
                </w:tcPr>
                <w:p>
                  <w:pPr>
                    <w:snapToGrid w:val="0"/>
                    <w:jc w:val="center"/>
                    <w:rPr>
                      <w:color w:val="auto"/>
                      <w:szCs w:val="21"/>
                      <w:highlight w:val="none"/>
                    </w:rPr>
                  </w:pPr>
                  <w:r>
                    <w:rPr>
                      <w:color w:val="auto"/>
                      <w:szCs w:val="21"/>
                      <w:highlight w:val="none"/>
                    </w:rPr>
                    <w:t>158.22~90.36</w:t>
                  </w:r>
                </w:p>
              </w:tc>
              <w:tc>
                <w:tcPr>
                  <w:tcW w:w="1630" w:type="dxa"/>
                  <w:vAlign w:val="center"/>
                </w:tcPr>
                <w:p>
                  <w:pPr>
                    <w:snapToGrid w:val="0"/>
                    <w:jc w:val="center"/>
                    <w:rPr>
                      <w:color w:val="auto"/>
                      <w:szCs w:val="21"/>
                      <w:highlight w:val="none"/>
                    </w:rPr>
                  </w:pPr>
                  <w:r>
                    <w:rPr>
                      <w:color w:val="auto"/>
                      <w:szCs w:val="21"/>
                      <w:highlight w:val="none"/>
                    </w:rPr>
                    <w:t>90.36~18.71</w:t>
                  </w:r>
                </w:p>
              </w:tc>
              <w:tc>
                <w:tcPr>
                  <w:tcW w:w="1630" w:type="dxa"/>
                  <w:vAlign w:val="center"/>
                </w:tcPr>
                <w:p>
                  <w:pPr>
                    <w:snapToGrid w:val="0"/>
                    <w:jc w:val="center"/>
                    <w:rPr>
                      <w:color w:val="auto"/>
                      <w:szCs w:val="21"/>
                      <w:highlight w:val="none"/>
                    </w:rPr>
                  </w:pPr>
                  <w:r>
                    <w:rPr>
                      <w:color w:val="auto"/>
                      <w:szCs w:val="21"/>
                      <w:highlight w:val="none"/>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1629" w:type="dxa"/>
                  <w:vAlign w:val="center"/>
                </w:tcPr>
                <w:p>
                  <w:pPr>
                    <w:snapToGrid w:val="0"/>
                    <w:jc w:val="center"/>
                    <w:rPr>
                      <w:b/>
                      <w:color w:val="auto"/>
                      <w:szCs w:val="21"/>
                      <w:highlight w:val="none"/>
                    </w:rPr>
                  </w:pPr>
                  <w:r>
                    <w:rPr>
                      <w:b/>
                      <w:color w:val="auto"/>
                      <w:szCs w:val="21"/>
                      <w:highlight w:val="none"/>
                    </w:rPr>
                    <w:t>COD</w:t>
                  </w:r>
                </w:p>
              </w:tc>
              <w:tc>
                <w:tcPr>
                  <w:tcW w:w="1629" w:type="dxa"/>
                  <w:vAlign w:val="center"/>
                </w:tcPr>
                <w:p>
                  <w:pPr>
                    <w:snapToGrid w:val="0"/>
                    <w:jc w:val="center"/>
                    <w:rPr>
                      <w:color w:val="auto"/>
                      <w:szCs w:val="21"/>
                      <w:highlight w:val="none"/>
                    </w:rPr>
                  </w:pPr>
                  <w:r>
                    <w:rPr>
                      <w:color w:val="auto"/>
                      <w:szCs w:val="21"/>
                      <w:highlight w:val="none"/>
                    </w:rPr>
                    <w:t>170</w:t>
                  </w:r>
                </w:p>
              </w:tc>
              <w:tc>
                <w:tcPr>
                  <w:tcW w:w="1629" w:type="dxa"/>
                  <w:vAlign w:val="center"/>
                </w:tcPr>
                <w:p>
                  <w:pPr>
                    <w:snapToGrid w:val="0"/>
                    <w:jc w:val="center"/>
                    <w:rPr>
                      <w:color w:val="auto"/>
                      <w:szCs w:val="21"/>
                      <w:highlight w:val="none"/>
                    </w:rPr>
                  </w:pPr>
                  <w:r>
                    <w:rPr>
                      <w:color w:val="auto"/>
                      <w:szCs w:val="21"/>
                      <w:highlight w:val="none"/>
                    </w:rPr>
                    <w:t>110</w:t>
                  </w:r>
                </w:p>
              </w:tc>
              <w:tc>
                <w:tcPr>
                  <w:tcW w:w="1630" w:type="dxa"/>
                  <w:vAlign w:val="center"/>
                </w:tcPr>
                <w:p>
                  <w:pPr>
                    <w:snapToGrid w:val="0"/>
                    <w:jc w:val="center"/>
                    <w:rPr>
                      <w:color w:val="auto"/>
                      <w:szCs w:val="21"/>
                      <w:highlight w:val="none"/>
                    </w:rPr>
                  </w:pPr>
                  <w:r>
                    <w:rPr>
                      <w:color w:val="auto"/>
                      <w:szCs w:val="21"/>
                      <w:highlight w:val="none"/>
                    </w:rPr>
                    <w:t>97</w:t>
                  </w:r>
                </w:p>
              </w:tc>
              <w:tc>
                <w:tcPr>
                  <w:tcW w:w="1630" w:type="dxa"/>
                  <w:vAlign w:val="center"/>
                </w:tcPr>
                <w:p>
                  <w:pPr>
                    <w:snapToGrid w:val="0"/>
                    <w:jc w:val="center"/>
                    <w:rPr>
                      <w:color w:val="auto"/>
                      <w:szCs w:val="21"/>
                      <w:highlight w:val="none"/>
                    </w:rPr>
                  </w:pPr>
                  <w:r>
                    <w:rPr>
                      <w:color w:val="auto"/>
                      <w:szCs w:val="21"/>
                      <w:highlight w:val="none"/>
                    </w:rPr>
                    <w:t>107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1629" w:type="dxa"/>
                  <w:vAlign w:val="center"/>
                </w:tcPr>
                <w:p>
                  <w:pPr>
                    <w:snapToGrid w:val="0"/>
                    <w:jc w:val="center"/>
                    <w:rPr>
                      <w:b/>
                      <w:color w:val="auto"/>
                      <w:szCs w:val="21"/>
                      <w:highlight w:val="none"/>
                    </w:rPr>
                  </w:pPr>
                  <w:r>
                    <w:rPr>
                      <w:b/>
                      <w:color w:val="auto"/>
                      <w:szCs w:val="21"/>
                      <w:highlight w:val="none"/>
                    </w:rPr>
                    <w:t>石油类</w:t>
                  </w:r>
                </w:p>
              </w:tc>
              <w:tc>
                <w:tcPr>
                  <w:tcW w:w="1629" w:type="dxa"/>
                  <w:vAlign w:val="center"/>
                </w:tcPr>
                <w:p>
                  <w:pPr>
                    <w:snapToGrid w:val="0"/>
                    <w:jc w:val="center"/>
                    <w:rPr>
                      <w:color w:val="auto"/>
                      <w:szCs w:val="21"/>
                      <w:highlight w:val="none"/>
                    </w:rPr>
                  </w:pPr>
                  <w:r>
                    <w:rPr>
                      <w:color w:val="auto"/>
                      <w:szCs w:val="21"/>
                      <w:highlight w:val="none"/>
                    </w:rPr>
                    <w:t>22.30~19.74</w:t>
                  </w:r>
                </w:p>
              </w:tc>
              <w:tc>
                <w:tcPr>
                  <w:tcW w:w="1629" w:type="dxa"/>
                  <w:vAlign w:val="center"/>
                </w:tcPr>
                <w:p>
                  <w:pPr>
                    <w:snapToGrid w:val="0"/>
                    <w:jc w:val="center"/>
                    <w:rPr>
                      <w:color w:val="auto"/>
                      <w:szCs w:val="21"/>
                      <w:highlight w:val="none"/>
                    </w:rPr>
                  </w:pPr>
                  <w:r>
                    <w:rPr>
                      <w:color w:val="auto"/>
                      <w:szCs w:val="21"/>
                      <w:highlight w:val="none"/>
                    </w:rPr>
                    <w:t>19.74~3.12</w:t>
                  </w:r>
                </w:p>
              </w:tc>
              <w:tc>
                <w:tcPr>
                  <w:tcW w:w="1630" w:type="dxa"/>
                  <w:vAlign w:val="center"/>
                </w:tcPr>
                <w:p>
                  <w:pPr>
                    <w:snapToGrid w:val="0"/>
                    <w:jc w:val="center"/>
                    <w:rPr>
                      <w:color w:val="auto"/>
                      <w:szCs w:val="21"/>
                      <w:highlight w:val="none"/>
                    </w:rPr>
                  </w:pPr>
                  <w:r>
                    <w:rPr>
                      <w:color w:val="auto"/>
                      <w:szCs w:val="21"/>
                      <w:highlight w:val="none"/>
                    </w:rPr>
                    <w:t>3.12~0.21</w:t>
                  </w:r>
                </w:p>
              </w:tc>
              <w:tc>
                <w:tcPr>
                  <w:tcW w:w="1630" w:type="dxa"/>
                  <w:vAlign w:val="center"/>
                </w:tcPr>
                <w:p>
                  <w:pPr>
                    <w:snapToGrid w:val="0"/>
                    <w:jc w:val="center"/>
                    <w:rPr>
                      <w:color w:val="auto"/>
                      <w:szCs w:val="21"/>
                      <w:highlight w:val="none"/>
                    </w:rPr>
                  </w:pPr>
                  <w:bookmarkStart w:id="9" w:name="_Toc343692454"/>
                  <w:r>
                    <w:rPr>
                      <w:color w:val="auto"/>
                      <w:szCs w:val="21"/>
                      <w:highlight w:val="none"/>
                    </w:rPr>
                    <w:t>7.60</w:t>
                  </w:r>
                  <w:bookmarkEnd w:id="9"/>
                </w:p>
              </w:tc>
            </w:tr>
          </w:tbl>
          <w:p>
            <w:pPr>
              <w:adjustRightInd w:val="0"/>
              <w:snapToGrid w:val="0"/>
              <w:spacing w:line="460" w:lineRule="exact"/>
              <w:ind w:firstLine="480" w:firstLineChars="200"/>
              <w:rPr>
                <w:rFonts w:hint="eastAsia"/>
                <w:snapToGrid w:val="0"/>
                <w:color w:val="auto"/>
                <w:kern w:val="0"/>
                <w:sz w:val="24"/>
                <w:highlight w:val="none"/>
              </w:rPr>
            </w:pPr>
            <w:r>
              <w:rPr>
                <w:snapToGrid w:val="0"/>
                <w:color w:val="auto"/>
                <w:kern w:val="0"/>
                <w:sz w:val="24"/>
                <w:highlight w:val="none"/>
              </w:rPr>
              <w:t>由表</w:t>
            </w:r>
            <w:r>
              <w:rPr>
                <w:rFonts w:hint="eastAsia"/>
                <w:snapToGrid w:val="0"/>
                <w:color w:val="auto"/>
                <w:kern w:val="0"/>
                <w:sz w:val="24"/>
                <w:highlight w:val="none"/>
              </w:rPr>
              <w:t>4-2</w:t>
            </w:r>
            <w:r>
              <w:rPr>
                <w:snapToGrid w:val="0"/>
                <w:color w:val="auto"/>
                <w:kern w:val="0"/>
                <w:sz w:val="24"/>
                <w:highlight w:val="none"/>
              </w:rPr>
              <w:t>可知，路面径流中污染物浓度随降雨时间延长而降低，降雨初期到形成径流的30min内，污染物浓度较高；随着降雨的持续，浓度逐渐变小。因此，降雨对水质造成影响的主要是降雨初期30min内形成的路面径流。本工程路面径流产生的雨水经线路两侧设置的排水设施收集后，引至沿线</w:t>
            </w:r>
            <w:r>
              <w:rPr>
                <w:rFonts w:hint="eastAsia"/>
                <w:snapToGrid w:val="0"/>
                <w:color w:val="auto"/>
                <w:kern w:val="0"/>
                <w:sz w:val="24"/>
                <w:highlight w:val="none"/>
              </w:rPr>
              <w:t>渠道</w:t>
            </w:r>
            <w:r>
              <w:rPr>
                <w:snapToGrid w:val="0"/>
                <w:color w:val="auto"/>
                <w:kern w:val="0"/>
                <w:sz w:val="24"/>
                <w:highlight w:val="none"/>
              </w:rPr>
              <w:t>，由于路面径流雨水携带的污染物成分相对简单，且含量较低，与路面以外雨水混合得到一定的稀释后，对沿线区域地表水环境影响较小</w:t>
            </w:r>
            <w:r>
              <w:rPr>
                <w:rFonts w:hint="eastAsia"/>
                <w:snapToGrid w:val="0"/>
                <w:color w:val="auto"/>
                <w:kern w:val="0"/>
                <w:sz w:val="24"/>
                <w:highlight w:val="none"/>
              </w:rPr>
              <w:t>。</w:t>
            </w:r>
          </w:p>
          <w:p>
            <w:pPr>
              <w:adjustRightInd w:val="0"/>
              <w:snapToGrid w:val="0"/>
              <w:spacing w:line="460" w:lineRule="exact"/>
              <w:ind w:firstLine="480" w:firstLineChars="200"/>
              <w:rPr>
                <w:color w:val="auto"/>
                <w:sz w:val="24"/>
                <w:highlight w:val="none"/>
              </w:rPr>
            </w:pPr>
            <w:r>
              <w:rPr>
                <w:rFonts w:hint="eastAsia" w:hAnsi="宋体"/>
                <w:color w:val="auto"/>
                <w:sz w:val="24"/>
                <w:highlight w:val="none"/>
              </w:rPr>
              <w:t>从西湖的使用功能来看，道路营运期路面径流对西湖新增贡献量小，不会改变现有水质类别及使用功能，新增的绿化措施有利于水质改善。</w:t>
            </w:r>
          </w:p>
          <w:p>
            <w:pPr>
              <w:adjustRightInd w:val="0"/>
              <w:snapToGrid w:val="0"/>
              <w:spacing w:line="460" w:lineRule="exact"/>
              <w:ind w:firstLine="482" w:firstLineChars="200"/>
              <w:outlineLvl w:val="2"/>
              <w:rPr>
                <w:b/>
                <w:bCs/>
                <w:color w:val="auto"/>
                <w:sz w:val="24"/>
                <w:highlight w:val="none"/>
              </w:rPr>
            </w:pPr>
            <w:r>
              <w:rPr>
                <w:rFonts w:hint="eastAsia"/>
                <w:b/>
                <w:bCs/>
                <w:color w:val="auto"/>
                <w:sz w:val="24"/>
                <w:highlight w:val="none"/>
              </w:rPr>
              <w:t>2、大气</w:t>
            </w:r>
            <w:r>
              <w:rPr>
                <w:b/>
                <w:bCs/>
                <w:color w:val="auto"/>
                <w:sz w:val="24"/>
                <w:highlight w:val="none"/>
              </w:rPr>
              <w:t>环境</w:t>
            </w:r>
          </w:p>
          <w:p>
            <w:pPr>
              <w:adjustRightInd w:val="0"/>
              <w:snapToGrid w:val="0"/>
              <w:spacing w:line="460" w:lineRule="exact"/>
              <w:ind w:firstLine="480" w:firstLineChars="200"/>
              <w:rPr>
                <w:snapToGrid w:val="0"/>
                <w:color w:val="auto"/>
                <w:kern w:val="0"/>
                <w:sz w:val="24"/>
                <w:highlight w:val="none"/>
              </w:rPr>
            </w:pPr>
            <w:r>
              <w:rPr>
                <w:snapToGrid w:val="0"/>
                <w:color w:val="auto"/>
                <w:kern w:val="0"/>
                <w:sz w:val="24"/>
                <w:highlight w:val="none"/>
              </w:rPr>
              <w:t>本项目运营期产生的大气污染物为路面行驶的车辆排放的尾气及车辆轮胎接触路面使路面积尘扬起产生的二次扬尘污染。</w:t>
            </w:r>
            <w:r>
              <w:rPr>
                <w:rFonts w:hint="eastAsia"/>
                <w:snapToGrid w:val="0"/>
                <w:color w:val="auto"/>
                <w:kern w:val="0"/>
                <w:sz w:val="24"/>
                <w:highlight w:val="none"/>
              </w:rPr>
              <w:t>道路</w:t>
            </w:r>
            <w:r>
              <w:rPr>
                <w:snapToGrid w:val="0"/>
                <w:color w:val="auto"/>
                <w:kern w:val="0"/>
                <w:sz w:val="24"/>
                <w:highlight w:val="none"/>
              </w:rPr>
              <w:t>运营期车辆排放污染物的扩散与</w:t>
            </w:r>
            <w:r>
              <w:rPr>
                <w:rFonts w:hint="eastAsia"/>
                <w:snapToGrid w:val="0"/>
                <w:color w:val="auto"/>
                <w:kern w:val="0"/>
                <w:sz w:val="24"/>
                <w:highlight w:val="none"/>
              </w:rPr>
              <w:t>道路</w:t>
            </w:r>
            <w:r>
              <w:rPr>
                <w:snapToGrid w:val="0"/>
                <w:color w:val="auto"/>
                <w:kern w:val="0"/>
                <w:sz w:val="24"/>
                <w:highlight w:val="none"/>
              </w:rPr>
              <w:t>沿线地形和气象条件有关，扩散后所覆盖的地域为</w:t>
            </w:r>
            <w:r>
              <w:rPr>
                <w:rFonts w:hint="eastAsia"/>
                <w:snapToGrid w:val="0"/>
                <w:color w:val="auto"/>
                <w:kern w:val="0"/>
                <w:sz w:val="24"/>
                <w:highlight w:val="none"/>
              </w:rPr>
              <w:t>道路</w:t>
            </w:r>
            <w:r>
              <w:rPr>
                <w:snapToGrid w:val="0"/>
                <w:color w:val="auto"/>
                <w:kern w:val="0"/>
                <w:sz w:val="24"/>
                <w:highlight w:val="none"/>
              </w:rPr>
              <w:t>两侧与线形平行的带状区域。</w:t>
            </w:r>
          </w:p>
          <w:p>
            <w:pPr>
              <w:adjustRightInd w:val="0"/>
              <w:snapToGrid w:val="0"/>
              <w:spacing w:line="460" w:lineRule="exact"/>
              <w:ind w:firstLine="480" w:firstLineChars="200"/>
              <w:rPr>
                <w:rFonts w:hint="eastAsia"/>
                <w:snapToGrid w:val="0"/>
                <w:color w:val="auto"/>
                <w:kern w:val="0"/>
                <w:sz w:val="24"/>
                <w:highlight w:val="none"/>
              </w:rPr>
            </w:pPr>
            <w:r>
              <w:rPr>
                <w:snapToGrid w:val="0"/>
                <w:color w:val="auto"/>
                <w:kern w:val="0"/>
                <w:sz w:val="24"/>
                <w:highlight w:val="none"/>
              </w:rPr>
              <w:t>本工程所处区域地势相对平缓开阔，扩散能力较好，结合地形地貌、气候条件等因素，运营期汽车尾气对沿线区域环境空气质量影响较小，不会造成评价区环境空气质量超标。另外，道路两侧绿化工程的实施在很大程度上可以降低道路汽车尾气对道路两侧区域环境空气质量的影响，根据同类项目类比调查可知，道路沿线环境空气质量能够满足《环境空气质量标准》(GB3095-</w:t>
            </w:r>
            <w:r>
              <w:rPr>
                <w:rFonts w:hint="eastAsia"/>
                <w:snapToGrid w:val="0"/>
                <w:color w:val="auto"/>
                <w:kern w:val="0"/>
                <w:sz w:val="24"/>
                <w:highlight w:val="none"/>
              </w:rPr>
              <w:t>2012</w:t>
            </w:r>
            <w:r>
              <w:rPr>
                <w:snapToGrid w:val="0"/>
                <w:color w:val="auto"/>
                <w:kern w:val="0"/>
                <w:sz w:val="24"/>
                <w:highlight w:val="none"/>
              </w:rPr>
              <w:t>)中的二级标准要求。</w:t>
            </w:r>
          </w:p>
          <w:p>
            <w:pPr>
              <w:adjustRightInd w:val="0"/>
              <w:snapToGrid w:val="0"/>
              <w:spacing w:line="460" w:lineRule="exact"/>
              <w:ind w:firstLine="480" w:firstLineChars="200"/>
              <w:rPr>
                <w:rFonts w:hint="eastAsia"/>
                <w:snapToGrid w:val="0"/>
                <w:color w:val="auto"/>
                <w:kern w:val="0"/>
                <w:sz w:val="24"/>
                <w:highlight w:val="none"/>
              </w:rPr>
            </w:pPr>
            <w:r>
              <w:rPr>
                <w:rFonts w:hint="eastAsia"/>
                <w:snapToGrid w:val="0"/>
                <w:color w:val="auto"/>
                <w:kern w:val="0"/>
                <w:sz w:val="24"/>
                <w:highlight w:val="none"/>
              </w:rPr>
              <w:t>随着我国科技水平的不断提高，机动车尾气净化系统将得到进一步改进，车型构成比例将更为优化，逐步减少高能耗、高排污的车种比例。同时，燃料油和燃料气的产品质量也将随着我国科技进步不断提高。随着机动车尾气排放控制的加强，机动车尾气污染物排放将大大降低。</w:t>
            </w:r>
          </w:p>
          <w:p>
            <w:pPr>
              <w:adjustRightInd w:val="0"/>
              <w:snapToGrid w:val="0"/>
              <w:spacing w:line="460" w:lineRule="exact"/>
              <w:ind w:firstLine="480" w:firstLineChars="200"/>
              <w:rPr>
                <w:color w:val="auto"/>
                <w:sz w:val="24"/>
                <w:highlight w:val="none"/>
              </w:rPr>
            </w:pPr>
            <w:r>
              <w:rPr>
                <w:rFonts w:hint="eastAsia"/>
                <w:snapToGrid w:val="0"/>
                <w:color w:val="auto"/>
                <w:kern w:val="0"/>
                <w:sz w:val="24"/>
                <w:highlight w:val="none"/>
              </w:rPr>
              <w:t>项目不设车站、服务区等集中式排放源，对周围环境空气不会产生不良影响。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2"/>
              <w:rPr>
                <w:b/>
                <w:bCs/>
                <w:color w:val="auto"/>
                <w:sz w:val="24"/>
                <w:highlight w:val="none"/>
              </w:rPr>
            </w:pPr>
            <w:r>
              <w:rPr>
                <w:rFonts w:hint="eastAsia"/>
                <w:b/>
                <w:bCs/>
                <w:color w:val="auto"/>
                <w:sz w:val="24"/>
                <w:highlight w:val="none"/>
              </w:rPr>
              <w:t>3、声</w:t>
            </w:r>
            <w:r>
              <w:rPr>
                <w:b/>
                <w:bCs/>
                <w:color w:val="auto"/>
                <w:sz w:val="24"/>
                <w:highlight w:val="none"/>
              </w:rPr>
              <w:t>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lang w:eastAsia="zh-CN"/>
              </w:rPr>
              <w:t>（一</w:t>
            </w:r>
            <w:r>
              <w:rPr>
                <w:rFonts w:hint="eastAsia"/>
                <w:color w:val="auto"/>
                <w:sz w:val="24"/>
                <w:highlight w:val="none"/>
              </w:rPr>
              <w:t>）由横向噪声预测结果可知：</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（1）北梦山路天桥路段执行4a类标准区域运营近、中、远期昼间噪声在红线处均可达标，运营近、中、远期夜间达标距离</w:t>
            </w:r>
            <w:r>
              <w:rPr>
                <w:rFonts w:hint="eastAsia"/>
                <w:snapToGrid w:val="0"/>
                <w:color w:val="auto"/>
                <w:kern w:val="0"/>
                <w:sz w:val="24"/>
                <w:highlight w:val="none"/>
                <w:lang w:eastAsia="zh-CN"/>
              </w:rPr>
              <w:t>分别</w:t>
            </w:r>
            <w:r>
              <w:rPr>
                <w:rFonts w:hint="eastAsia"/>
                <w:snapToGrid w:val="0"/>
                <w:color w:val="auto"/>
                <w:kern w:val="0"/>
                <w:sz w:val="24"/>
                <w:highlight w:val="none"/>
              </w:rPr>
              <w:t>在距道路红线</w:t>
            </w:r>
            <w:r>
              <w:rPr>
                <w:rFonts w:hint="eastAsia"/>
                <w:snapToGrid w:val="0"/>
                <w:color w:val="auto"/>
                <w:kern w:val="0"/>
                <w:sz w:val="24"/>
                <w:highlight w:val="none"/>
                <w:lang w:val="en-US" w:eastAsia="zh-CN"/>
              </w:rPr>
              <w:t>9</w:t>
            </w:r>
            <w:r>
              <w:rPr>
                <w:rFonts w:hint="eastAsia"/>
                <w:snapToGrid w:val="0"/>
                <w:color w:val="auto"/>
                <w:kern w:val="0"/>
                <w:sz w:val="24"/>
                <w:highlight w:val="none"/>
              </w:rPr>
              <w:t>m</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10m、10m</w:t>
            </w:r>
            <w:r>
              <w:rPr>
                <w:rFonts w:hint="eastAsia"/>
                <w:snapToGrid w:val="0"/>
                <w:color w:val="auto"/>
                <w:kern w:val="0"/>
                <w:sz w:val="24"/>
                <w:highlight w:val="none"/>
              </w:rPr>
              <w:t>处；执行2类标准区域运营近、中、远期昼间达标距离</w:t>
            </w:r>
            <w:r>
              <w:rPr>
                <w:rFonts w:hint="eastAsia"/>
                <w:snapToGrid w:val="0"/>
                <w:color w:val="auto"/>
                <w:kern w:val="0"/>
                <w:sz w:val="24"/>
                <w:highlight w:val="none"/>
                <w:lang w:eastAsia="zh-CN"/>
              </w:rPr>
              <w:t>分别</w:t>
            </w:r>
            <w:r>
              <w:rPr>
                <w:rFonts w:hint="eastAsia"/>
                <w:snapToGrid w:val="0"/>
                <w:color w:val="auto"/>
                <w:kern w:val="0"/>
                <w:sz w:val="24"/>
                <w:highlight w:val="none"/>
              </w:rPr>
              <w:t>在距道路红线14m</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15m、15m</w:t>
            </w:r>
            <w:r>
              <w:rPr>
                <w:rFonts w:hint="eastAsia"/>
                <w:snapToGrid w:val="0"/>
                <w:color w:val="auto"/>
                <w:kern w:val="0"/>
                <w:sz w:val="24"/>
                <w:highlight w:val="none"/>
              </w:rPr>
              <w:t>处，运营近、中、远期夜间噪声达标距离分别为距道路红线</w:t>
            </w:r>
            <w:r>
              <w:rPr>
                <w:rFonts w:hint="eastAsia"/>
                <w:snapToGrid w:val="0"/>
                <w:color w:val="auto"/>
                <w:kern w:val="0"/>
                <w:sz w:val="24"/>
                <w:highlight w:val="none"/>
                <w:lang w:val="en-US" w:eastAsia="zh-CN"/>
              </w:rPr>
              <w:t>41</w:t>
            </w:r>
            <w:r>
              <w:rPr>
                <w:rFonts w:hint="eastAsia"/>
                <w:snapToGrid w:val="0"/>
                <w:color w:val="auto"/>
                <w:kern w:val="0"/>
                <w:sz w:val="24"/>
                <w:highlight w:val="none"/>
              </w:rPr>
              <w:t>m、</w:t>
            </w:r>
            <w:r>
              <w:rPr>
                <w:rFonts w:hint="eastAsia"/>
                <w:snapToGrid w:val="0"/>
                <w:color w:val="auto"/>
                <w:kern w:val="0"/>
                <w:sz w:val="24"/>
                <w:highlight w:val="none"/>
                <w:lang w:val="en-US" w:eastAsia="zh-CN"/>
              </w:rPr>
              <w:t>44</w:t>
            </w:r>
            <w:r>
              <w:rPr>
                <w:rFonts w:hint="eastAsia"/>
                <w:snapToGrid w:val="0"/>
                <w:color w:val="auto"/>
                <w:kern w:val="0"/>
                <w:sz w:val="24"/>
                <w:highlight w:val="none"/>
              </w:rPr>
              <w:t>m、4</w:t>
            </w:r>
            <w:r>
              <w:rPr>
                <w:rFonts w:hint="eastAsia"/>
                <w:snapToGrid w:val="0"/>
                <w:color w:val="auto"/>
                <w:kern w:val="0"/>
                <w:sz w:val="24"/>
                <w:highlight w:val="none"/>
                <w:lang w:val="en-US" w:eastAsia="zh-CN"/>
              </w:rPr>
              <w:t>5</w:t>
            </w:r>
            <w:r>
              <w:rPr>
                <w:rFonts w:hint="eastAsia"/>
                <w:snapToGrid w:val="0"/>
                <w:color w:val="auto"/>
                <w:kern w:val="0"/>
                <w:sz w:val="24"/>
                <w:highlight w:val="none"/>
              </w:rPr>
              <w:t>m处。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（2）隧道南侧U型槽路段执行4a类标准区域运营近、中、远期昼间噪声在红线处均可达标，运营近、中、远期夜间达标距离分别在距道路红线12m、1</w:t>
            </w:r>
            <w:r>
              <w:rPr>
                <w:rFonts w:hint="eastAsia"/>
                <w:snapToGrid w:val="0"/>
                <w:color w:val="auto"/>
                <w:kern w:val="0"/>
                <w:sz w:val="24"/>
                <w:highlight w:val="none"/>
                <w:lang w:val="en-US" w:eastAsia="zh-CN"/>
              </w:rPr>
              <w:t>2</w:t>
            </w:r>
            <w:r>
              <w:rPr>
                <w:rFonts w:hint="eastAsia"/>
                <w:snapToGrid w:val="0"/>
                <w:color w:val="auto"/>
                <w:kern w:val="0"/>
                <w:sz w:val="24"/>
                <w:highlight w:val="none"/>
              </w:rPr>
              <w:t>m、13m处；执行2类标准区域运营近、中、远期昼间达标距离</w:t>
            </w:r>
            <w:r>
              <w:rPr>
                <w:rFonts w:hint="eastAsia"/>
                <w:snapToGrid w:val="0"/>
                <w:color w:val="auto"/>
                <w:kern w:val="0"/>
                <w:sz w:val="24"/>
                <w:highlight w:val="none"/>
                <w:lang w:eastAsia="zh-CN"/>
              </w:rPr>
              <w:t>均</w:t>
            </w:r>
            <w:r>
              <w:rPr>
                <w:rFonts w:hint="eastAsia"/>
                <w:snapToGrid w:val="0"/>
                <w:color w:val="auto"/>
                <w:kern w:val="0"/>
                <w:sz w:val="24"/>
                <w:highlight w:val="none"/>
              </w:rPr>
              <w:t>在距道路红线17m处，运营近、中、远期夜间噪声达标距离分别为距道路红线4</w:t>
            </w:r>
            <w:r>
              <w:rPr>
                <w:rFonts w:hint="eastAsia"/>
                <w:snapToGrid w:val="0"/>
                <w:color w:val="auto"/>
                <w:kern w:val="0"/>
                <w:sz w:val="24"/>
                <w:highlight w:val="none"/>
                <w:lang w:val="en-US" w:eastAsia="zh-CN"/>
              </w:rPr>
              <w:t>6</w:t>
            </w:r>
            <w:r>
              <w:rPr>
                <w:rFonts w:hint="eastAsia"/>
                <w:snapToGrid w:val="0"/>
                <w:color w:val="auto"/>
                <w:kern w:val="0"/>
                <w:sz w:val="24"/>
                <w:highlight w:val="none"/>
              </w:rPr>
              <w:t>m、48m、49m处。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（3）隧道南侧箱型路段执行4a类标准区域运营近、中、远期昼间噪声在红线处均可达标，运营近、中、远期夜间达标距离分别在距道路红线</w:t>
            </w:r>
            <w:r>
              <w:rPr>
                <w:rFonts w:hint="eastAsia"/>
                <w:snapToGrid w:val="0"/>
                <w:color w:val="auto"/>
                <w:kern w:val="0"/>
                <w:sz w:val="24"/>
                <w:highlight w:val="none"/>
                <w:lang w:val="en-US" w:eastAsia="zh-CN"/>
              </w:rPr>
              <w:t>4</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m处；执行2类标准区域运营近、中、远期昼间达标距离</w:t>
            </w:r>
            <w:r>
              <w:rPr>
                <w:rFonts w:hint="eastAsia"/>
                <w:snapToGrid w:val="0"/>
                <w:color w:val="auto"/>
                <w:kern w:val="0"/>
                <w:sz w:val="24"/>
                <w:highlight w:val="none"/>
                <w:lang w:eastAsia="zh-CN"/>
              </w:rPr>
              <w:t>均在</w:t>
            </w:r>
            <w:r>
              <w:rPr>
                <w:rFonts w:hint="eastAsia"/>
                <w:snapToGrid w:val="0"/>
                <w:color w:val="auto"/>
                <w:kern w:val="0"/>
                <w:sz w:val="24"/>
                <w:highlight w:val="none"/>
              </w:rPr>
              <w:t>距道路红线</w:t>
            </w:r>
            <w:r>
              <w:rPr>
                <w:rFonts w:hint="eastAsia"/>
                <w:snapToGrid w:val="0"/>
                <w:color w:val="auto"/>
                <w:kern w:val="0"/>
                <w:sz w:val="24"/>
                <w:highlight w:val="none"/>
                <w:lang w:val="en-US" w:eastAsia="zh-CN"/>
              </w:rPr>
              <w:t>8</w:t>
            </w:r>
            <w:r>
              <w:rPr>
                <w:rFonts w:hint="eastAsia"/>
                <w:snapToGrid w:val="0"/>
                <w:color w:val="auto"/>
                <w:kern w:val="0"/>
                <w:sz w:val="24"/>
                <w:highlight w:val="none"/>
              </w:rPr>
              <w:t>m处，运营近、中、远期夜间噪声达标距离分别为距道路红线</w:t>
            </w:r>
            <w:r>
              <w:rPr>
                <w:rFonts w:hint="eastAsia"/>
                <w:snapToGrid w:val="0"/>
                <w:color w:val="auto"/>
                <w:kern w:val="0"/>
                <w:sz w:val="24"/>
                <w:highlight w:val="none"/>
                <w:lang w:val="en-US" w:eastAsia="zh-CN"/>
              </w:rPr>
              <w:t>22</w:t>
            </w:r>
            <w:r>
              <w:rPr>
                <w:rFonts w:hint="eastAsia"/>
                <w:snapToGrid w:val="0"/>
                <w:color w:val="auto"/>
                <w:kern w:val="0"/>
                <w:sz w:val="24"/>
                <w:highlight w:val="none"/>
              </w:rPr>
              <w:t>m、</w:t>
            </w:r>
            <w:r>
              <w:rPr>
                <w:rFonts w:hint="eastAsia"/>
                <w:snapToGrid w:val="0"/>
                <w:color w:val="auto"/>
                <w:kern w:val="0"/>
                <w:sz w:val="24"/>
                <w:highlight w:val="none"/>
                <w:lang w:val="en-US" w:eastAsia="zh-CN"/>
              </w:rPr>
              <w:t>22</w:t>
            </w:r>
            <w:r>
              <w:rPr>
                <w:rFonts w:hint="eastAsia"/>
                <w:snapToGrid w:val="0"/>
                <w:color w:val="auto"/>
                <w:kern w:val="0"/>
                <w:sz w:val="24"/>
                <w:highlight w:val="none"/>
              </w:rPr>
              <w:t>m、</w:t>
            </w:r>
            <w:r>
              <w:rPr>
                <w:rFonts w:hint="eastAsia"/>
                <w:snapToGrid w:val="0"/>
                <w:color w:val="auto"/>
                <w:kern w:val="0"/>
                <w:sz w:val="24"/>
                <w:highlight w:val="none"/>
                <w:lang w:val="en-US" w:eastAsia="zh-CN"/>
              </w:rPr>
              <w:t>23</w:t>
            </w:r>
            <w:r>
              <w:rPr>
                <w:rFonts w:hint="eastAsia"/>
                <w:snapToGrid w:val="0"/>
                <w:color w:val="auto"/>
                <w:kern w:val="0"/>
                <w:sz w:val="24"/>
                <w:highlight w:val="none"/>
              </w:rPr>
              <w:t>m处。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（4）双层隧道路段执行4a类、2类标准区域运营近、中、远期昼间和夜间噪声在红线处均可达标。</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（5）隧道北侧箱型路段执行4a类标准区域运营近、中、远期昼间噪声在红线处均可达标，运营近、中、远期夜间达标距离</w:t>
            </w:r>
            <w:r>
              <w:rPr>
                <w:rFonts w:hint="eastAsia"/>
                <w:snapToGrid w:val="0"/>
                <w:color w:val="auto"/>
                <w:kern w:val="0"/>
                <w:sz w:val="24"/>
                <w:highlight w:val="none"/>
                <w:lang w:eastAsia="zh-CN"/>
              </w:rPr>
              <w:t>均在</w:t>
            </w:r>
            <w:r>
              <w:rPr>
                <w:rFonts w:hint="eastAsia"/>
                <w:snapToGrid w:val="0"/>
                <w:color w:val="auto"/>
                <w:kern w:val="0"/>
                <w:sz w:val="24"/>
                <w:highlight w:val="none"/>
              </w:rPr>
              <w:t>距道路红线</w:t>
            </w:r>
            <w:r>
              <w:rPr>
                <w:rFonts w:hint="eastAsia"/>
                <w:snapToGrid w:val="0"/>
                <w:color w:val="auto"/>
                <w:kern w:val="0"/>
                <w:sz w:val="24"/>
                <w:highlight w:val="none"/>
                <w:lang w:val="en-US" w:eastAsia="zh-CN"/>
              </w:rPr>
              <w:t>3</w:t>
            </w:r>
            <w:r>
              <w:rPr>
                <w:rFonts w:hint="eastAsia"/>
                <w:snapToGrid w:val="0"/>
                <w:color w:val="auto"/>
                <w:kern w:val="0"/>
                <w:sz w:val="24"/>
                <w:highlight w:val="none"/>
              </w:rPr>
              <w:t>m处；执行2类标准区域运营近、中、远期昼间达标距离分别在距道路红线</w:t>
            </w:r>
            <w:r>
              <w:rPr>
                <w:rFonts w:hint="eastAsia"/>
                <w:snapToGrid w:val="0"/>
                <w:color w:val="auto"/>
                <w:kern w:val="0"/>
                <w:sz w:val="24"/>
                <w:highlight w:val="none"/>
                <w:lang w:val="en-US" w:eastAsia="zh-CN"/>
              </w:rPr>
              <w:t>3</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m处，运营近、中、远期夜间噪声达标距离分别为距道路红线</w:t>
            </w:r>
            <w:r>
              <w:rPr>
                <w:rFonts w:hint="eastAsia"/>
                <w:snapToGrid w:val="0"/>
                <w:color w:val="auto"/>
                <w:kern w:val="0"/>
                <w:sz w:val="24"/>
                <w:highlight w:val="none"/>
                <w:lang w:val="en-US" w:eastAsia="zh-CN"/>
              </w:rPr>
              <w:t>13</w:t>
            </w:r>
            <w:r>
              <w:rPr>
                <w:rFonts w:hint="eastAsia"/>
                <w:snapToGrid w:val="0"/>
                <w:color w:val="auto"/>
                <w:kern w:val="0"/>
                <w:sz w:val="24"/>
                <w:highlight w:val="none"/>
              </w:rPr>
              <w:t>m、</w:t>
            </w:r>
            <w:r>
              <w:rPr>
                <w:rFonts w:hint="eastAsia"/>
                <w:snapToGrid w:val="0"/>
                <w:color w:val="auto"/>
                <w:kern w:val="0"/>
                <w:sz w:val="24"/>
                <w:highlight w:val="none"/>
                <w:lang w:val="en-US" w:eastAsia="zh-CN"/>
              </w:rPr>
              <w:t>19</w:t>
            </w:r>
            <w:r>
              <w:rPr>
                <w:rFonts w:hint="eastAsia"/>
                <w:snapToGrid w:val="0"/>
                <w:color w:val="auto"/>
                <w:kern w:val="0"/>
                <w:sz w:val="24"/>
                <w:highlight w:val="none"/>
              </w:rPr>
              <w:t>m、</w:t>
            </w:r>
            <w:r>
              <w:rPr>
                <w:rFonts w:hint="eastAsia"/>
                <w:snapToGrid w:val="0"/>
                <w:color w:val="auto"/>
                <w:kern w:val="0"/>
                <w:sz w:val="24"/>
                <w:highlight w:val="none"/>
                <w:lang w:val="en-US" w:eastAsia="zh-CN"/>
              </w:rPr>
              <w:t>19m</w:t>
            </w:r>
            <w:r>
              <w:rPr>
                <w:rFonts w:hint="eastAsia"/>
                <w:snapToGrid w:val="0"/>
                <w:color w:val="auto"/>
                <w:kern w:val="0"/>
                <w:sz w:val="24"/>
                <w:highlight w:val="none"/>
              </w:rPr>
              <w:t>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（6）隧道北侧U型槽路段执行4a类标准区域运营近、中、远期昼间噪声在红线处均可达标，运营近、中、远期夜间达标距离</w:t>
            </w:r>
            <w:r>
              <w:rPr>
                <w:rFonts w:hint="eastAsia"/>
                <w:snapToGrid w:val="0"/>
                <w:color w:val="auto"/>
                <w:kern w:val="0"/>
                <w:sz w:val="24"/>
                <w:highlight w:val="none"/>
                <w:lang w:eastAsia="zh-CN"/>
              </w:rPr>
              <w:t>分别在</w:t>
            </w:r>
            <w:r>
              <w:rPr>
                <w:rFonts w:hint="eastAsia"/>
                <w:snapToGrid w:val="0"/>
                <w:color w:val="auto"/>
                <w:kern w:val="0"/>
                <w:sz w:val="24"/>
                <w:highlight w:val="none"/>
              </w:rPr>
              <w:t>距道路红线</w:t>
            </w:r>
            <w:r>
              <w:rPr>
                <w:rFonts w:hint="eastAsia"/>
                <w:snapToGrid w:val="0"/>
                <w:color w:val="auto"/>
                <w:kern w:val="0"/>
                <w:sz w:val="24"/>
                <w:highlight w:val="none"/>
                <w:lang w:val="en-US" w:eastAsia="zh-CN"/>
              </w:rPr>
              <w:t>2</w:t>
            </w:r>
            <w:r>
              <w:rPr>
                <w:rFonts w:hint="eastAsia"/>
                <w:snapToGrid w:val="0"/>
                <w:color w:val="auto"/>
                <w:kern w:val="0"/>
                <w:sz w:val="24"/>
                <w:highlight w:val="none"/>
              </w:rPr>
              <w:t>m</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4m、5m</w:t>
            </w:r>
            <w:r>
              <w:rPr>
                <w:rFonts w:hint="eastAsia"/>
                <w:snapToGrid w:val="0"/>
                <w:color w:val="auto"/>
                <w:kern w:val="0"/>
                <w:sz w:val="24"/>
                <w:highlight w:val="none"/>
              </w:rPr>
              <w:t>处；执行2类标准区域运营近、中、远期昼间达标距离分别在距道路红线</w:t>
            </w:r>
            <w:r>
              <w:rPr>
                <w:rFonts w:hint="eastAsia"/>
                <w:snapToGrid w:val="0"/>
                <w:color w:val="auto"/>
                <w:kern w:val="0"/>
                <w:sz w:val="24"/>
                <w:highlight w:val="none"/>
                <w:lang w:val="en-US" w:eastAsia="zh-CN"/>
              </w:rPr>
              <w:t>5</w:t>
            </w:r>
            <w:r>
              <w:rPr>
                <w:rFonts w:hint="eastAsia"/>
                <w:snapToGrid w:val="0"/>
                <w:color w:val="auto"/>
                <w:kern w:val="0"/>
                <w:sz w:val="24"/>
                <w:highlight w:val="none"/>
              </w:rPr>
              <w:t>m、</w:t>
            </w:r>
            <w:r>
              <w:rPr>
                <w:rFonts w:hint="eastAsia"/>
                <w:snapToGrid w:val="0"/>
                <w:color w:val="auto"/>
                <w:kern w:val="0"/>
                <w:sz w:val="24"/>
                <w:highlight w:val="none"/>
                <w:lang w:val="en-US" w:eastAsia="zh-CN"/>
              </w:rPr>
              <w:t>7</w:t>
            </w:r>
            <w:r>
              <w:rPr>
                <w:rFonts w:hint="eastAsia"/>
                <w:snapToGrid w:val="0"/>
                <w:color w:val="auto"/>
                <w:kern w:val="0"/>
                <w:sz w:val="24"/>
                <w:highlight w:val="none"/>
              </w:rPr>
              <w:t>m、</w:t>
            </w:r>
            <w:r>
              <w:rPr>
                <w:rFonts w:hint="eastAsia"/>
                <w:snapToGrid w:val="0"/>
                <w:color w:val="auto"/>
                <w:kern w:val="0"/>
                <w:sz w:val="24"/>
                <w:highlight w:val="none"/>
                <w:lang w:val="en-US" w:eastAsia="zh-CN"/>
              </w:rPr>
              <w:t>8</w:t>
            </w:r>
            <w:r>
              <w:rPr>
                <w:rFonts w:hint="eastAsia"/>
                <w:snapToGrid w:val="0"/>
                <w:color w:val="auto"/>
                <w:kern w:val="0"/>
                <w:sz w:val="24"/>
                <w:highlight w:val="none"/>
              </w:rPr>
              <w:t>m处，运营近、中、远期夜间噪声达标距离分别为距道路红线</w:t>
            </w:r>
            <w:r>
              <w:rPr>
                <w:rFonts w:hint="eastAsia"/>
                <w:snapToGrid w:val="0"/>
                <w:color w:val="auto"/>
                <w:kern w:val="0"/>
                <w:sz w:val="24"/>
                <w:highlight w:val="none"/>
                <w:lang w:val="en-US" w:eastAsia="zh-CN"/>
              </w:rPr>
              <w:t>18</w:t>
            </w:r>
            <w:r>
              <w:rPr>
                <w:rFonts w:hint="eastAsia"/>
                <w:snapToGrid w:val="0"/>
                <w:color w:val="auto"/>
                <w:kern w:val="0"/>
                <w:sz w:val="24"/>
                <w:highlight w:val="none"/>
              </w:rPr>
              <w:t>m、</w:t>
            </w:r>
            <w:r>
              <w:rPr>
                <w:rFonts w:hint="eastAsia"/>
                <w:snapToGrid w:val="0"/>
                <w:color w:val="auto"/>
                <w:kern w:val="0"/>
                <w:sz w:val="24"/>
                <w:highlight w:val="none"/>
                <w:lang w:val="en-US" w:eastAsia="zh-CN"/>
              </w:rPr>
              <w:t>29</w:t>
            </w:r>
            <w:r>
              <w:rPr>
                <w:rFonts w:hint="eastAsia"/>
                <w:snapToGrid w:val="0"/>
                <w:color w:val="auto"/>
                <w:kern w:val="0"/>
                <w:sz w:val="24"/>
                <w:highlight w:val="none"/>
              </w:rPr>
              <w:t>m、</w:t>
            </w:r>
            <w:r>
              <w:rPr>
                <w:rFonts w:hint="eastAsia"/>
                <w:snapToGrid w:val="0"/>
                <w:color w:val="auto"/>
                <w:kern w:val="0"/>
                <w:sz w:val="24"/>
                <w:highlight w:val="none"/>
                <w:lang w:val="en-US" w:eastAsia="zh-CN"/>
              </w:rPr>
              <w:t>29m</w:t>
            </w:r>
            <w:r>
              <w:rPr>
                <w:rFonts w:hint="eastAsia"/>
                <w:snapToGrid w:val="0"/>
                <w:color w:val="auto"/>
                <w:kern w:val="0"/>
                <w:sz w:val="24"/>
                <w:highlight w:val="none"/>
              </w:rPr>
              <w:t>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（7）隧道北侧高架路段执行4a类标准区域运营近、中、远期昼间噪声在红线处均可达标，运营近、中、远期夜间达标距离分别在距道路红线</w:t>
            </w:r>
            <w:r>
              <w:rPr>
                <w:rFonts w:hint="eastAsia"/>
                <w:snapToGrid w:val="0"/>
                <w:color w:val="auto"/>
                <w:kern w:val="0"/>
                <w:sz w:val="24"/>
                <w:highlight w:val="none"/>
                <w:lang w:val="en-US" w:eastAsia="zh-CN"/>
              </w:rPr>
              <w:t>9</w:t>
            </w:r>
            <w:r>
              <w:rPr>
                <w:rFonts w:hint="eastAsia"/>
                <w:snapToGrid w:val="0"/>
                <w:color w:val="auto"/>
                <w:kern w:val="0"/>
                <w:sz w:val="24"/>
                <w:highlight w:val="none"/>
              </w:rPr>
              <w:t>m、</w:t>
            </w:r>
            <w:r>
              <w:rPr>
                <w:rFonts w:hint="eastAsia"/>
                <w:snapToGrid w:val="0"/>
                <w:color w:val="auto"/>
                <w:kern w:val="0"/>
                <w:sz w:val="24"/>
                <w:highlight w:val="none"/>
                <w:lang w:val="en-US" w:eastAsia="zh-CN"/>
              </w:rPr>
              <w:t>12</w:t>
            </w:r>
            <w:r>
              <w:rPr>
                <w:rFonts w:hint="eastAsia"/>
                <w:snapToGrid w:val="0"/>
                <w:color w:val="auto"/>
                <w:kern w:val="0"/>
                <w:sz w:val="24"/>
                <w:highlight w:val="none"/>
              </w:rPr>
              <w:t>m、</w:t>
            </w:r>
            <w:r>
              <w:rPr>
                <w:rFonts w:hint="eastAsia"/>
                <w:snapToGrid w:val="0"/>
                <w:color w:val="auto"/>
                <w:kern w:val="0"/>
                <w:sz w:val="24"/>
                <w:highlight w:val="none"/>
                <w:lang w:val="en-US" w:eastAsia="zh-CN"/>
              </w:rPr>
              <w:t>12</w:t>
            </w:r>
            <w:r>
              <w:rPr>
                <w:rFonts w:hint="eastAsia"/>
                <w:snapToGrid w:val="0"/>
                <w:color w:val="auto"/>
                <w:kern w:val="0"/>
                <w:sz w:val="24"/>
                <w:highlight w:val="none"/>
              </w:rPr>
              <w:t>m处；执行2类标准区域运营近、中、远期昼间达标距离分别在距道路红线1</w:t>
            </w:r>
            <w:r>
              <w:rPr>
                <w:rFonts w:hint="eastAsia"/>
                <w:snapToGrid w:val="0"/>
                <w:color w:val="auto"/>
                <w:kern w:val="0"/>
                <w:sz w:val="24"/>
                <w:highlight w:val="none"/>
                <w:lang w:val="en-US" w:eastAsia="zh-CN"/>
              </w:rPr>
              <w:t>4</w:t>
            </w:r>
            <w:r>
              <w:rPr>
                <w:rFonts w:hint="eastAsia"/>
                <w:snapToGrid w:val="0"/>
                <w:color w:val="auto"/>
                <w:kern w:val="0"/>
                <w:sz w:val="24"/>
                <w:highlight w:val="none"/>
              </w:rPr>
              <w:t>m、</w:t>
            </w:r>
            <w:r>
              <w:rPr>
                <w:rFonts w:hint="eastAsia"/>
                <w:snapToGrid w:val="0"/>
                <w:color w:val="auto"/>
                <w:kern w:val="0"/>
                <w:sz w:val="24"/>
                <w:highlight w:val="none"/>
                <w:lang w:val="en-US" w:eastAsia="zh-CN"/>
              </w:rPr>
              <w:t>17</w:t>
            </w:r>
            <w:r>
              <w:rPr>
                <w:rFonts w:hint="eastAsia"/>
                <w:snapToGrid w:val="0"/>
                <w:color w:val="auto"/>
                <w:kern w:val="0"/>
                <w:sz w:val="24"/>
                <w:highlight w:val="none"/>
              </w:rPr>
              <w:t>m、</w:t>
            </w:r>
            <w:r>
              <w:rPr>
                <w:rFonts w:hint="eastAsia"/>
                <w:snapToGrid w:val="0"/>
                <w:color w:val="auto"/>
                <w:kern w:val="0"/>
                <w:sz w:val="24"/>
                <w:highlight w:val="none"/>
                <w:lang w:val="en-US" w:eastAsia="zh-CN"/>
              </w:rPr>
              <w:t>17</w:t>
            </w:r>
            <w:r>
              <w:rPr>
                <w:rFonts w:hint="eastAsia"/>
                <w:snapToGrid w:val="0"/>
                <w:color w:val="auto"/>
                <w:kern w:val="0"/>
                <w:sz w:val="24"/>
                <w:highlight w:val="none"/>
              </w:rPr>
              <w:t>m处，运营近、中、远期夜间噪声达标距离分别为距道路红线4</w:t>
            </w:r>
            <w:r>
              <w:rPr>
                <w:rFonts w:hint="eastAsia"/>
                <w:snapToGrid w:val="0"/>
                <w:color w:val="auto"/>
                <w:kern w:val="0"/>
                <w:sz w:val="24"/>
                <w:highlight w:val="none"/>
                <w:lang w:val="en-US" w:eastAsia="zh-CN"/>
              </w:rPr>
              <w:t>1</w:t>
            </w:r>
            <w:r>
              <w:rPr>
                <w:rFonts w:hint="eastAsia"/>
                <w:snapToGrid w:val="0"/>
                <w:color w:val="auto"/>
                <w:kern w:val="0"/>
                <w:sz w:val="24"/>
                <w:highlight w:val="none"/>
              </w:rPr>
              <w:t>m、</w:t>
            </w:r>
            <w:r>
              <w:rPr>
                <w:rFonts w:hint="eastAsia"/>
                <w:snapToGrid w:val="0"/>
                <w:color w:val="auto"/>
                <w:kern w:val="0"/>
                <w:sz w:val="24"/>
                <w:highlight w:val="none"/>
                <w:lang w:val="en-US" w:eastAsia="zh-CN"/>
              </w:rPr>
              <w:t>51</w:t>
            </w:r>
            <w:r>
              <w:rPr>
                <w:rFonts w:hint="eastAsia"/>
                <w:snapToGrid w:val="0"/>
                <w:color w:val="auto"/>
                <w:kern w:val="0"/>
                <w:sz w:val="24"/>
                <w:highlight w:val="none"/>
              </w:rPr>
              <w:t>m、</w:t>
            </w:r>
            <w:r>
              <w:rPr>
                <w:rFonts w:hint="eastAsia"/>
                <w:snapToGrid w:val="0"/>
                <w:color w:val="auto"/>
                <w:kern w:val="0"/>
                <w:sz w:val="24"/>
                <w:highlight w:val="none"/>
                <w:lang w:val="en-US" w:eastAsia="zh-CN"/>
              </w:rPr>
              <w:t>52</w:t>
            </w:r>
            <w:r>
              <w:rPr>
                <w:rFonts w:hint="eastAsia"/>
                <w:snapToGrid w:val="0"/>
                <w:color w:val="auto"/>
                <w:kern w:val="0"/>
                <w:sz w:val="24"/>
                <w:highlight w:val="none"/>
              </w:rPr>
              <w:t>m处。</w:t>
            </w:r>
          </w:p>
          <w:p>
            <w:pPr>
              <w:adjustRightInd w:val="0"/>
              <w:snapToGrid w:val="0"/>
              <w:spacing w:line="460" w:lineRule="exact"/>
              <w:ind w:firstLine="480" w:firstLineChars="200"/>
              <w:rPr>
                <w:rFonts w:hint="eastAsia"/>
                <w:color w:val="auto"/>
                <w:sz w:val="24"/>
                <w:highlight w:val="none"/>
              </w:rPr>
            </w:pPr>
            <w:r>
              <w:rPr>
                <w:rFonts w:hint="eastAsia"/>
                <w:color w:val="auto"/>
                <w:sz w:val="24"/>
                <w:highlight w:val="none"/>
                <w:lang w:eastAsia="zh-CN"/>
              </w:rPr>
              <w:t>（二）</w:t>
            </w:r>
            <w:r>
              <w:rPr>
                <w:rFonts w:hint="eastAsia"/>
                <w:color w:val="auto"/>
                <w:sz w:val="24"/>
                <w:highlight w:val="none"/>
              </w:rPr>
              <w:t>铅垂向及声环境保护目标环境噪声预测结果可知：</w:t>
            </w:r>
          </w:p>
          <w:p>
            <w:pPr>
              <w:adjustRightInd w:val="0"/>
              <w:snapToGrid w:val="0"/>
              <w:spacing w:line="460" w:lineRule="exact"/>
              <w:ind w:firstLine="480" w:firstLineChars="200"/>
              <w:rPr>
                <w:rFonts w:hint="eastAsia"/>
                <w:color w:val="auto"/>
                <w:sz w:val="24"/>
                <w:highlight w:val="none"/>
              </w:rPr>
            </w:pPr>
            <w:r>
              <w:rPr>
                <w:rFonts w:hint="eastAsia"/>
                <w:color w:val="auto"/>
                <w:sz w:val="24"/>
                <w:highlight w:val="none"/>
              </w:rPr>
              <w:t>随着垂向高度的增加，预测点与道路中心距离逐渐增大，而噪声随离地高度变化并非单调下降，噪声值先随高度增加而增大，根据结果分析，各层噪声出现不同程度的超标现象。项目营运近期、中期、远期声环境保护目标均出现了不同程度的超标。对这些超标声环境保护目标应根据超标范围及声环境保护目标特征采取加装声屏障、隔声窗等噪声防治措施。</w:t>
            </w:r>
          </w:p>
          <w:p>
            <w:pPr>
              <w:adjustRightInd w:val="0"/>
              <w:snapToGrid w:val="0"/>
              <w:spacing w:line="460" w:lineRule="exact"/>
              <w:ind w:firstLine="480" w:firstLineChars="200"/>
              <w:rPr>
                <w:color w:val="auto"/>
                <w:sz w:val="24"/>
                <w:highlight w:val="none"/>
              </w:rPr>
            </w:pPr>
            <w:r>
              <w:rPr>
                <w:rFonts w:hint="eastAsia"/>
                <w:color w:val="auto"/>
                <w:sz w:val="24"/>
                <w:highlight w:val="none"/>
              </w:rPr>
              <w:t>详见声影响专项评价。</w:t>
            </w:r>
          </w:p>
          <w:p>
            <w:pPr>
              <w:adjustRightInd w:val="0"/>
              <w:snapToGrid w:val="0"/>
              <w:spacing w:line="460" w:lineRule="exact"/>
              <w:ind w:firstLine="482" w:firstLineChars="200"/>
              <w:outlineLvl w:val="2"/>
              <w:rPr>
                <w:rFonts w:hint="eastAsia"/>
                <w:b/>
                <w:bCs/>
                <w:color w:val="auto"/>
                <w:sz w:val="24"/>
                <w:highlight w:val="none"/>
              </w:rPr>
            </w:pPr>
            <w:r>
              <w:rPr>
                <w:rFonts w:hint="eastAsia"/>
                <w:b/>
                <w:bCs/>
                <w:color w:val="auto"/>
                <w:sz w:val="24"/>
                <w:highlight w:val="none"/>
              </w:rPr>
              <w:t>4、固体废物</w:t>
            </w:r>
          </w:p>
          <w:p>
            <w:pPr>
              <w:adjustRightInd w:val="0"/>
              <w:snapToGrid w:val="0"/>
              <w:spacing w:line="460" w:lineRule="exact"/>
              <w:ind w:firstLine="480" w:firstLineChars="200"/>
              <w:outlineLvl w:val="2"/>
              <w:rPr>
                <w:rFonts w:hint="eastAsia"/>
                <w:color w:val="auto"/>
                <w:sz w:val="24"/>
                <w:highlight w:val="none"/>
              </w:rPr>
            </w:pPr>
            <w:r>
              <w:rPr>
                <w:color w:val="auto"/>
                <w:sz w:val="24"/>
                <w:highlight w:val="none"/>
              </w:rPr>
              <w:t>运营期固体废物主要为道路养护过程中产生的少量废渣，道路清洁人员应注意及时清扫，集中收集后定点堆存，统一处理，避免雨水冲刷后进入</w:t>
            </w:r>
            <w:r>
              <w:rPr>
                <w:rFonts w:hint="eastAsia"/>
                <w:color w:val="auto"/>
                <w:sz w:val="24"/>
                <w:highlight w:val="none"/>
              </w:rPr>
              <w:t>西湖</w:t>
            </w:r>
            <w:r>
              <w:rPr>
                <w:color w:val="auto"/>
                <w:sz w:val="24"/>
                <w:highlight w:val="none"/>
              </w:rPr>
              <w:t>从而造成二次污染</w:t>
            </w:r>
            <w:r>
              <w:rPr>
                <w:rFonts w:hint="eastAsia"/>
                <w:color w:val="auto"/>
                <w:sz w:val="24"/>
                <w:highlight w:val="none"/>
              </w:rPr>
              <w:t>。</w:t>
            </w:r>
          </w:p>
          <w:p>
            <w:pPr>
              <w:adjustRightInd w:val="0"/>
              <w:snapToGrid w:val="0"/>
              <w:spacing w:line="460" w:lineRule="exact"/>
              <w:ind w:firstLine="482" w:firstLineChars="200"/>
              <w:outlineLvl w:val="2"/>
              <w:rPr>
                <w:b/>
                <w:bCs/>
                <w:color w:val="auto"/>
                <w:sz w:val="24"/>
                <w:highlight w:val="none"/>
              </w:rPr>
            </w:pPr>
            <w:r>
              <w:rPr>
                <w:rFonts w:hint="eastAsia"/>
                <w:b/>
                <w:bCs/>
                <w:color w:val="auto"/>
                <w:sz w:val="24"/>
                <w:highlight w:val="none"/>
              </w:rPr>
              <w:t>5、文物影响</w:t>
            </w:r>
          </w:p>
          <w:p>
            <w:pPr>
              <w:adjustRightInd w:val="0"/>
              <w:snapToGrid w:val="0"/>
              <w:spacing w:line="460" w:lineRule="exact"/>
              <w:ind w:firstLine="480" w:firstLineChars="200"/>
              <w:outlineLvl w:val="2"/>
              <w:rPr>
                <w:rFonts w:hint="eastAsia"/>
                <w:color w:val="auto"/>
                <w:sz w:val="24"/>
                <w:highlight w:val="none"/>
              </w:rPr>
            </w:pPr>
            <w:r>
              <w:rPr>
                <w:rFonts w:hint="eastAsia"/>
                <w:color w:val="auto"/>
                <w:sz w:val="24"/>
                <w:highlight w:val="none"/>
                <w:lang w:eastAsia="zh-CN"/>
              </w:rPr>
              <w:t>项目项目红线距离市级文物保护单位伊斯兰圣墓本体约57m，位于市级文物保护单位伊斯兰圣墓保护范围内，</w:t>
            </w:r>
            <w:r>
              <w:rPr>
                <w:rFonts w:hint="eastAsia"/>
                <w:color w:val="auto"/>
                <w:sz w:val="24"/>
                <w:highlight w:val="none"/>
              </w:rPr>
              <w:t>由于伊斯兰圣墓文物建筑与建设项目距离较远，伊斯兰圣墓</w:t>
            </w:r>
            <w:r>
              <w:rPr>
                <w:rFonts w:hint="eastAsia"/>
                <w:color w:val="auto"/>
                <w:sz w:val="24"/>
                <w:highlight w:val="none"/>
                <w:lang w:val="en-US" w:eastAsia="zh-CN"/>
              </w:rPr>
              <w:t>本体与上层辅路最大高程差为22m，与下层主路最大高程差为29.5m，</w:t>
            </w:r>
            <w:r>
              <w:rPr>
                <w:rFonts w:hint="eastAsia"/>
                <w:color w:val="auto"/>
                <w:sz w:val="24"/>
                <w:highlight w:val="none"/>
              </w:rPr>
              <w:t>存在山体林木等缓冲地带</w:t>
            </w:r>
            <w:r>
              <w:rPr>
                <w:rFonts w:hint="eastAsia"/>
                <w:color w:val="auto"/>
                <w:sz w:val="24"/>
                <w:highlight w:val="none"/>
                <w:lang w:eastAsia="zh-CN"/>
              </w:rPr>
              <w:t>；</w:t>
            </w:r>
            <w:r>
              <w:rPr>
                <w:rFonts w:hint="eastAsia"/>
                <w:color w:val="auto"/>
                <w:sz w:val="24"/>
                <w:highlight w:val="none"/>
                <w:lang w:val="en-US" w:eastAsia="zh-CN"/>
              </w:rPr>
              <w:t>根据预测结果，项目运营远期，伊斯兰圣墓昼间预测值为50.53dB(A)</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60</w:t>
            </w:r>
            <w:r>
              <w:rPr>
                <w:rFonts w:hint="eastAsia"/>
                <w:color w:val="auto"/>
                <w:sz w:val="24"/>
                <w:highlight w:val="none"/>
                <w:lang w:val="en-US" w:eastAsia="zh-CN"/>
              </w:rPr>
              <w:t>dB(A)，夜间预测值为45.16dB(A)</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50</w:t>
            </w:r>
            <w:r>
              <w:rPr>
                <w:rFonts w:hint="eastAsia"/>
                <w:color w:val="auto"/>
                <w:sz w:val="24"/>
                <w:highlight w:val="none"/>
                <w:lang w:val="en-US" w:eastAsia="zh-CN"/>
              </w:rPr>
              <w:t>dB(A)，符合《声环境质量标准》(GB3096-2008) 2类标准，因此，项目道路运营噪声排放对伊斯兰圣墓影响不大。此外，</w:t>
            </w:r>
            <w:r>
              <w:rPr>
                <w:rFonts w:hint="eastAsia"/>
                <w:color w:val="auto"/>
                <w:sz w:val="24"/>
                <w:highlight w:val="none"/>
              </w:rPr>
              <w:t>运营期通过加大周边绿化植被的种植，能够有效大气污染、噪声污染排放对伊斯兰圣墓的影响。</w:t>
            </w:r>
          </w:p>
          <w:p>
            <w:pPr>
              <w:adjustRightInd w:val="0"/>
              <w:snapToGrid w:val="0"/>
              <w:spacing w:line="460" w:lineRule="exact"/>
              <w:ind w:firstLine="482" w:firstLineChars="200"/>
              <w:outlineLvl w:val="2"/>
              <w:rPr>
                <w:b/>
                <w:bCs/>
                <w:color w:val="auto"/>
                <w:sz w:val="24"/>
                <w:highlight w:val="none"/>
              </w:rPr>
            </w:pPr>
            <w:r>
              <w:rPr>
                <w:rFonts w:hint="eastAsia"/>
                <w:b/>
                <w:bCs/>
                <w:color w:val="auto"/>
                <w:sz w:val="24"/>
                <w:highlight w:val="none"/>
                <w:lang w:val="en-US" w:eastAsia="zh-CN"/>
              </w:rPr>
              <w:t>6</w:t>
            </w:r>
            <w:r>
              <w:rPr>
                <w:rFonts w:hint="eastAsia"/>
                <w:b/>
                <w:bCs/>
                <w:color w:val="auto"/>
                <w:sz w:val="24"/>
                <w:highlight w:val="none"/>
              </w:rPr>
              <w:t>、环境风险</w:t>
            </w:r>
          </w:p>
          <w:p>
            <w:pPr>
              <w:adjustRightInd w:val="0"/>
              <w:snapToGrid w:val="0"/>
              <w:spacing w:line="460" w:lineRule="exact"/>
              <w:ind w:firstLine="480" w:firstLineChars="200"/>
              <w:rPr>
                <w:rFonts w:hint="eastAsia"/>
                <w:color w:val="auto"/>
                <w:sz w:val="24"/>
                <w:highlight w:val="none"/>
                <w:lang w:eastAsia="zh-CN"/>
              </w:rPr>
            </w:pPr>
            <w:r>
              <w:rPr>
                <w:rFonts w:hint="eastAsia"/>
                <w:color w:val="auto"/>
                <w:sz w:val="24"/>
                <w:highlight w:val="none"/>
                <w:lang w:eastAsia="zh-CN"/>
              </w:rPr>
              <w:t>根据类比同类项目及收集相关材料，拟建道路建成通车后，本项目危险品运输风险概率数量级为 10</w:t>
            </w:r>
            <w:r>
              <w:rPr>
                <w:rFonts w:hint="eastAsia"/>
                <w:color w:val="auto"/>
                <w:sz w:val="24"/>
                <w:highlight w:val="none"/>
                <w:vertAlign w:val="superscript"/>
                <w:lang w:eastAsia="zh-CN"/>
              </w:rPr>
              <w:t>-3</w:t>
            </w:r>
            <w:r>
              <w:rPr>
                <w:rFonts w:hint="eastAsia"/>
                <w:color w:val="auto"/>
                <w:sz w:val="24"/>
                <w:highlight w:val="none"/>
                <w:lang w:eastAsia="zh-CN"/>
              </w:rPr>
              <w:t>~10</w:t>
            </w:r>
            <w:r>
              <w:rPr>
                <w:rFonts w:hint="eastAsia"/>
                <w:color w:val="auto"/>
                <w:sz w:val="24"/>
                <w:highlight w:val="none"/>
                <w:vertAlign w:val="superscript"/>
                <w:lang w:eastAsia="zh-CN"/>
              </w:rPr>
              <w:t>-6</w:t>
            </w:r>
            <w:r>
              <w:rPr>
                <w:rFonts w:hint="eastAsia"/>
                <w:color w:val="auto"/>
                <w:sz w:val="24"/>
                <w:highlight w:val="none"/>
                <w:lang w:eastAsia="zh-CN"/>
              </w:rPr>
              <w:t>，最大风险概率发生在远期，属于可接受范围内。</w:t>
            </w:r>
          </w:p>
          <w:p>
            <w:pPr>
              <w:adjustRightInd w:val="0"/>
              <w:snapToGrid w:val="0"/>
              <w:spacing w:line="460" w:lineRule="exact"/>
              <w:ind w:firstLine="480" w:firstLineChars="200"/>
              <w:rPr>
                <w:color w:val="auto"/>
                <w:highlight w:val="none"/>
              </w:rPr>
            </w:pPr>
            <w:r>
              <w:rPr>
                <w:rFonts w:hint="eastAsia"/>
                <w:color w:val="auto"/>
                <w:sz w:val="24"/>
                <w:highlight w:val="none"/>
                <w:lang w:eastAsia="zh-CN"/>
              </w:rPr>
              <w:t>由于项目工程沿线敏感目标及水体较多，发生风险事故后泄漏的油类物质、有毒有害化学品流入周边区域、水域，将会对居民的生产生活环境及水域环境造成危害，造成一定的经济、环境损失，甚至人员伤亡。因此，应积极采取措施减少交通事故风险，制定交通事故污染风险减缓措施及应急措施，为将交通事故风险性降低到最小，建议从运营期上路检查、途中运输、停车，直到事故处理等各个环节，加强管理，以预防运输事故的发生和控制突发性环境污染事故事态的扩大。因此，一旦这类事故突然发生，危害性很大，必然引起高度重视。道路管理部门必须作好应急计划和措施，通过加强管理，使污染影响降到最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879" w:type="dxa"/>
            <w:vAlign w:val="center"/>
          </w:tcPr>
          <w:p>
            <w:pPr>
              <w:pStyle w:val="18"/>
              <w:adjustRightInd w:val="0"/>
              <w:snapToGrid w:val="0"/>
              <w:spacing w:before="0" w:beforeAutospacing="0" w:after="0" w:afterAutospacing="0"/>
              <w:jc w:val="center"/>
              <w:rPr>
                <w:rFonts w:cs="宋体"/>
                <w:bCs/>
                <w:color w:val="auto"/>
                <w:kern w:val="2"/>
                <w:sz w:val="21"/>
                <w:szCs w:val="21"/>
                <w:highlight w:val="none"/>
              </w:rPr>
            </w:pPr>
            <w:r>
              <w:rPr>
                <w:rFonts w:hint="eastAsia" w:cs="宋体"/>
                <w:bCs/>
                <w:color w:val="auto"/>
                <w:kern w:val="2"/>
                <w:sz w:val="21"/>
                <w:szCs w:val="21"/>
                <w:highlight w:val="none"/>
              </w:rPr>
              <w:t>选址选线环境合理性分析</w:t>
            </w:r>
          </w:p>
        </w:tc>
        <w:tc>
          <w:tcPr>
            <w:tcW w:w="8363" w:type="dxa"/>
            <w:vAlign w:val="top"/>
          </w:tcPr>
          <w:p>
            <w:pPr>
              <w:adjustRightInd w:val="0"/>
              <w:snapToGrid w:val="0"/>
              <w:spacing w:line="360" w:lineRule="auto"/>
              <w:ind w:firstLine="480" w:firstLineChars="200"/>
              <w:outlineLvl w:val="2"/>
              <w:rPr>
                <w:rFonts w:hint="eastAsia"/>
                <w:color w:val="auto"/>
                <w:sz w:val="24"/>
                <w:highlight w:val="none"/>
              </w:rPr>
            </w:pPr>
            <w:r>
              <w:rPr>
                <w:rFonts w:hint="eastAsia"/>
                <w:color w:val="auto"/>
                <w:sz w:val="24"/>
                <w:highlight w:val="none"/>
              </w:rPr>
              <w:t>（1）用地选线符合性分析</w:t>
            </w:r>
          </w:p>
          <w:p>
            <w:pPr>
              <w:adjustRightInd w:val="0"/>
              <w:snapToGrid w:val="0"/>
              <w:spacing w:line="360" w:lineRule="auto"/>
              <w:ind w:firstLine="480" w:firstLineChars="200"/>
              <w:outlineLvl w:val="2"/>
              <w:rPr>
                <w:rFonts w:hint="eastAsia"/>
                <w:color w:val="auto"/>
                <w:sz w:val="24"/>
                <w:highlight w:val="none"/>
              </w:rPr>
            </w:pPr>
            <w:r>
              <w:rPr>
                <w:rFonts w:hint="eastAsia"/>
                <w:color w:val="auto"/>
                <w:sz w:val="24"/>
                <w:highlight w:val="none"/>
              </w:rPr>
              <w:t>根据《限制用地项目目录（2012年本）》，本工程为城市主干道，不属于《限制用地项目目录（2012年本）》和《禁止用地项目目录（2012 年本）》中所列的限制类和禁止类用地项目，因此本项目符合用地要求。</w:t>
            </w:r>
          </w:p>
          <w:p>
            <w:pPr>
              <w:pStyle w:val="77"/>
              <w:ind w:firstLine="480"/>
              <w:rPr>
                <w:color w:val="auto"/>
                <w:highlight w:val="none"/>
              </w:rPr>
            </w:pPr>
            <w:r>
              <w:rPr>
                <w:rFonts w:hint="eastAsia"/>
                <w:color w:val="auto"/>
                <w:highlight w:val="none"/>
              </w:rPr>
              <w:t>根据福州市自然资源和规划局审批通过的本项目《建设项目选址意见书》(选字第350100202100141号)（见附件5），本项目用地性质为城市道路用地。道路选线不涉及基本农田、生态林、自然保护区、风景名胜区、饮用水源保护区等需要重点加以保护的区域。项目红线距离市级文物保护单位伊斯兰圣墓本体约57m，位于市级文物保护单位伊斯兰圣墓保护范围内，详见附图</w:t>
            </w:r>
            <w:r>
              <w:rPr>
                <w:rFonts w:hint="eastAsia"/>
                <w:color w:val="auto"/>
                <w:highlight w:val="none"/>
                <w:lang w:val="en-US" w:eastAsia="zh-CN"/>
              </w:rPr>
              <w:t>9</w:t>
            </w:r>
            <w:r>
              <w:rPr>
                <w:rFonts w:hint="eastAsia"/>
                <w:color w:val="auto"/>
                <w:highlight w:val="none"/>
              </w:rPr>
              <w:t>，根据《中华人民共和国文物保护法》相关规定，若在伊斯兰圣墓保护范围内进行建设，需依法履行报批手续，经批准后方可实施。项目于2022年6月20日取得了福州市文物局《关于福州市象山隧道拓宽改造工程涉及文物保护的函》（榕文物保[2022]124号），同意项目开发建设。</w:t>
            </w:r>
          </w:p>
          <w:p>
            <w:pPr>
              <w:adjustRightInd w:val="0"/>
              <w:snapToGrid w:val="0"/>
              <w:spacing w:line="360" w:lineRule="auto"/>
              <w:ind w:firstLine="480" w:firstLineChars="200"/>
              <w:outlineLvl w:val="2"/>
              <w:rPr>
                <w:rFonts w:hint="eastAsia"/>
                <w:color w:val="auto"/>
                <w:sz w:val="24"/>
                <w:highlight w:val="none"/>
              </w:rPr>
            </w:pPr>
            <w:r>
              <w:rPr>
                <w:rFonts w:hint="eastAsia"/>
                <w:color w:val="auto"/>
                <w:sz w:val="24"/>
                <w:highlight w:val="none"/>
              </w:rPr>
              <w:t>因此，改造道路符合城市总体规划，与当地环境功能区划没有矛盾，产生的环境影响经采取措施后能为环境所接受，项目选线基本合理。</w:t>
            </w:r>
          </w:p>
          <w:p>
            <w:pPr>
              <w:adjustRightInd w:val="0"/>
              <w:snapToGrid w:val="0"/>
              <w:spacing w:line="360" w:lineRule="auto"/>
              <w:ind w:firstLine="480" w:firstLineChars="200"/>
              <w:outlineLvl w:val="2"/>
              <w:rPr>
                <w:rFonts w:hint="eastAsia"/>
                <w:color w:val="auto"/>
                <w:sz w:val="24"/>
                <w:highlight w:val="none"/>
              </w:rPr>
            </w:pPr>
            <w:r>
              <w:rPr>
                <w:rFonts w:hint="eastAsia"/>
                <w:color w:val="auto"/>
                <w:sz w:val="24"/>
                <w:highlight w:val="none"/>
              </w:rPr>
              <w:t>（2）选址可行性</w:t>
            </w:r>
          </w:p>
          <w:p>
            <w:pPr>
              <w:adjustRightInd w:val="0"/>
              <w:snapToGrid w:val="0"/>
              <w:spacing w:line="360" w:lineRule="auto"/>
              <w:ind w:firstLine="480" w:firstLineChars="200"/>
              <w:outlineLvl w:val="2"/>
              <w:rPr>
                <w:rFonts w:ascii="宋体" w:hAnsi="宋体" w:cs="宋体"/>
                <w:bCs/>
                <w:color w:val="auto"/>
                <w:szCs w:val="21"/>
                <w:highlight w:val="none"/>
              </w:rPr>
            </w:pPr>
            <w:r>
              <w:rPr>
                <w:rFonts w:hint="eastAsia"/>
                <w:color w:val="auto"/>
                <w:sz w:val="24"/>
                <w:highlight w:val="none"/>
              </w:rPr>
              <w:t>道路的建设将有效完善片区的路网结构，方便居民出入。本道路的线路综合考虑土地占用和市政管网布设等衔接问题，符合规划，并与路网规划的走向、布置符合。因此，项目选线符合规划要求。</w:t>
            </w:r>
          </w:p>
        </w:tc>
      </w:tr>
    </w:tbl>
    <w:p>
      <w:pPr>
        <w:pStyle w:val="18"/>
        <w:jc w:val="center"/>
        <w:rPr>
          <w:rFonts w:ascii="黑体" w:hAnsi="黑体" w:eastAsia="黑体"/>
          <w:snapToGrid w:val="0"/>
          <w:color w:val="auto"/>
          <w:sz w:val="36"/>
          <w:szCs w:val="36"/>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18"/>
        <w:adjustRightInd w:val="0"/>
        <w:snapToGrid w:val="0"/>
        <w:spacing w:before="0" w:beforeAutospacing="0" w:after="0" w:afterAutospacing="0" w:line="14" w:lineRule="auto"/>
        <w:jc w:val="center"/>
        <w:rPr>
          <w:rFonts w:hint="eastAsia" w:ascii="黑体" w:hAnsi="黑体" w:eastAsia="黑体"/>
          <w:snapToGrid w:val="0"/>
          <w:color w:val="auto"/>
          <w:sz w:val="30"/>
          <w:szCs w:val="30"/>
          <w:highlight w:val="none"/>
        </w:rPr>
      </w:pPr>
    </w:p>
    <w:p>
      <w:pPr>
        <w:pStyle w:val="18"/>
        <w:jc w:val="center"/>
        <w:outlineLvl w:val="0"/>
        <w:rPr>
          <w:rFonts w:ascii="黑体" w:hAnsi="黑体" w:eastAsia="黑体"/>
          <w:snapToGrid w:val="0"/>
          <w:color w:val="auto"/>
          <w:sz w:val="30"/>
          <w:szCs w:val="30"/>
          <w:highlight w:val="none"/>
        </w:rPr>
      </w:pPr>
      <w:bookmarkStart w:id="10" w:name="_Toc17766"/>
      <w:r>
        <w:rPr>
          <w:rFonts w:hint="eastAsia" w:ascii="黑体" w:hAnsi="黑体" w:eastAsia="黑体"/>
          <w:snapToGrid w:val="0"/>
          <w:color w:val="auto"/>
          <w:sz w:val="30"/>
          <w:szCs w:val="30"/>
          <w:highlight w:val="none"/>
        </w:rPr>
        <w:t>五、主要生态环境保护措施</w:t>
      </w:r>
      <w:bookmarkEnd w:id="10"/>
    </w:p>
    <w:tbl>
      <w:tblPr>
        <w:tblStyle w:val="23"/>
        <w:tblW w:w="921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pPr>
              <w:adjustRightInd w:val="0"/>
              <w:snapToGrid w:val="0"/>
              <w:jc w:val="center"/>
              <w:rPr>
                <w:bCs/>
                <w:color w:val="auto"/>
                <w:szCs w:val="21"/>
                <w:highlight w:val="none"/>
              </w:rPr>
            </w:pPr>
            <w:r>
              <w:rPr>
                <w:bCs/>
                <w:color w:val="auto"/>
                <w:spacing w:val="10"/>
                <w:szCs w:val="21"/>
                <w:highlight w:val="none"/>
              </w:rPr>
              <w:t>施工期生态环境保护措施</w:t>
            </w:r>
          </w:p>
        </w:tc>
        <w:tc>
          <w:tcPr>
            <w:tcW w:w="8457" w:type="dxa"/>
            <w:vAlign w:val="top"/>
          </w:tcPr>
          <w:p>
            <w:pPr>
              <w:adjustRightInd w:val="0"/>
              <w:snapToGrid w:val="0"/>
              <w:spacing w:line="360" w:lineRule="auto"/>
              <w:ind w:firstLine="522" w:firstLineChars="200"/>
              <w:outlineLvl w:val="2"/>
              <w:rPr>
                <w:bCs/>
                <w:color w:val="auto"/>
                <w:spacing w:val="10"/>
                <w:sz w:val="24"/>
                <w:highlight w:val="none"/>
              </w:rPr>
            </w:pPr>
            <w:r>
              <w:rPr>
                <w:b/>
                <w:color w:val="auto"/>
                <w:spacing w:val="10"/>
                <w:sz w:val="24"/>
                <w:highlight w:val="none"/>
              </w:rPr>
              <w:t>1、水环境保护措施</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(1)工程承包合同中应明确筑路材料的运输过程中防止洒漏条款，堆放场地不得设在沿线水体附近，以免随雨水冲入水体造成污染。</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(2)施工场地应距离地表水体一定的安全距离。项目施工期废水经沉淀处理后回用于道路洒水降尘，不外排。</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(3)施工生产废水不得直接排入沿线水体，施工设备冲洗废水经沉淀池隔油沉淀处理后回用于道路洒水，不外排。施工废水可循环回用，以有效控制施工废水超标排放造成当地的水质污染影响问题。</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上述措施环境合理，经济可行，从环保、技术、经济角度是可行的。</w:t>
            </w:r>
          </w:p>
          <w:p>
            <w:pPr>
              <w:adjustRightInd w:val="0"/>
              <w:snapToGrid w:val="0"/>
              <w:spacing w:line="360" w:lineRule="auto"/>
              <w:ind w:firstLine="522" w:firstLineChars="200"/>
              <w:outlineLvl w:val="2"/>
              <w:rPr>
                <w:b/>
                <w:color w:val="auto"/>
                <w:spacing w:val="10"/>
                <w:sz w:val="24"/>
                <w:highlight w:val="none"/>
              </w:rPr>
            </w:pPr>
            <w:r>
              <w:rPr>
                <w:b/>
                <w:color w:val="auto"/>
                <w:spacing w:val="10"/>
                <w:sz w:val="24"/>
                <w:highlight w:val="none"/>
              </w:rPr>
              <w:t>2、大气环境保护措施</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(1)运送土方和建筑原料的车辆应实行密闭运输，装载的物料、渣土高度不得超过车辆槽帮上沿，车斗用苫布遮盖或者采用密闭车斗，若车斗用苫布遮盖，应当严实密闭，苫布边缘至少要遮住槽帮上沿以下15cm，避免在运输过程中发生遗撒或泄漏。</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(2)运输车辆的载重等应符合《城市道路管理条例》有关规定，防止超载，防止路面破损引起运输过程颠簸遗撒。</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(3)运输车辆在施工场地的出入口内侧设置洗车平台，设施应符合下列要求：洗车平台四周应设置防溢座或其它防治设施，防止洗车废水溢出工地；设置废水收集坑及沉砂池。车辆驶离工地前，应在洗车平台冲洗轮胎及车身，其表面不得附着污泥。</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(4)运输车辆途经敏感点路段时，应减速行驶以降低扬尘量。</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(5)对运输道路勤洒水（每天4～5次），可使扬尘影响和污染程度明显减轻。</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(6)施工场地扬尘防治措施</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①建设单位在施工期间，应设置施工标志牌。施工标志牌应当标明工程项目名称、建设单位、设计单位、施工单位、监理单位名称，项目经理姓名、联系电话，开工和计划竣工日期，施工许可证批准文号以及监督电话、当地环境保护主管部门的污染举报电话等。</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②对于裸露施工区地表压实处理并洒水。</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③天气预报4级风以上天气应停止产生扬尘的施工作业，例如土方工程。</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④项目施工场地应设置硬质围挡，以抑制扬尘飞散，围挡高度不低于2.5m。</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w:t>
            </w:r>
            <w:r>
              <w:rPr>
                <w:rFonts w:hint="eastAsia"/>
                <w:bCs/>
                <w:color w:val="auto"/>
                <w:spacing w:val="10"/>
                <w:sz w:val="24"/>
                <w:highlight w:val="none"/>
                <w:lang w:val="en-US" w:eastAsia="zh-CN"/>
              </w:rPr>
              <w:t>7</w:t>
            </w:r>
            <w:r>
              <w:rPr>
                <w:bCs/>
                <w:color w:val="auto"/>
                <w:spacing w:val="10"/>
                <w:sz w:val="24"/>
                <w:highlight w:val="none"/>
              </w:rPr>
              <w:t>)所有施工车辆、机械的尾气应达到国家规定的尾气排放标准。</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w:t>
            </w:r>
            <w:r>
              <w:rPr>
                <w:rFonts w:hint="eastAsia"/>
                <w:bCs/>
                <w:color w:val="auto"/>
                <w:spacing w:val="10"/>
                <w:sz w:val="24"/>
                <w:highlight w:val="none"/>
                <w:lang w:val="en-US" w:eastAsia="zh-CN"/>
              </w:rPr>
              <w:t>8</w:t>
            </w:r>
            <w:r>
              <w:rPr>
                <w:bCs/>
                <w:color w:val="auto"/>
                <w:spacing w:val="10"/>
                <w:sz w:val="24"/>
                <w:highlight w:val="none"/>
              </w:rPr>
              <w:t>)沥青尽量在夜间进行铺设，并避开风向针对附近居民区等环境空气敏感点的时段。在进行铺设前应在周边</w:t>
            </w:r>
            <w:r>
              <w:rPr>
                <w:rFonts w:hint="eastAsia"/>
                <w:bCs/>
                <w:color w:val="auto"/>
                <w:spacing w:val="10"/>
                <w:sz w:val="24"/>
                <w:highlight w:val="none"/>
              </w:rPr>
              <w:t>居民区</w:t>
            </w:r>
            <w:r>
              <w:rPr>
                <w:bCs/>
                <w:color w:val="auto"/>
                <w:spacing w:val="10"/>
                <w:sz w:val="24"/>
                <w:highlight w:val="none"/>
              </w:rPr>
              <w:t>显著位置张贴安民告示，告知铺设时间，提醒民众关紧门窗。</w:t>
            </w:r>
          </w:p>
          <w:p>
            <w:pPr>
              <w:adjustRightInd w:val="0"/>
              <w:snapToGrid w:val="0"/>
              <w:spacing w:line="360" w:lineRule="auto"/>
              <w:ind w:firstLine="522" w:firstLineChars="200"/>
              <w:outlineLvl w:val="2"/>
              <w:rPr>
                <w:b/>
                <w:color w:val="auto"/>
                <w:spacing w:val="10"/>
                <w:sz w:val="24"/>
                <w:highlight w:val="none"/>
              </w:rPr>
            </w:pPr>
            <w:r>
              <w:rPr>
                <w:b/>
                <w:color w:val="auto"/>
                <w:spacing w:val="10"/>
                <w:sz w:val="24"/>
                <w:highlight w:val="none"/>
              </w:rPr>
              <w:t>3、声环境保护措施</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1）施工中应采取以下措施：进行高噪声作业时应避开居民区的午间和夜间的休息时段，若夜间确需连续高噪声（高振动）业的，应报当地环保行政主管部门批准，并公告居民最大限度地争取民众支持。对施工期噪声超标的</w:t>
            </w:r>
            <w:r>
              <w:rPr>
                <w:rFonts w:hint="eastAsia"/>
                <w:bCs/>
                <w:color w:val="auto"/>
                <w:spacing w:val="10"/>
                <w:sz w:val="24"/>
                <w:highlight w:val="none"/>
              </w:rPr>
              <w:t>声环境保护目标</w:t>
            </w:r>
            <w:r>
              <w:rPr>
                <w:bCs/>
                <w:color w:val="auto"/>
                <w:spacing w:val="10"/>
                <w:sz w:val="24"/>
                <w:highlight w:val="none"/>
              </w:rPr>
              <w:t>，根据实际情况，在</w:t>
            </w:r>
            <w:r>
              <w:rPr>
                <w:rFonts w:hint="eastAsia"/>
                <w:color w:val="auto"/>
                <w:sz w:val="24"/>
                <w:highlight w:val="none"/>
              </w:rPr>
              <w:t>声环境保护目标</w:t>
            </w:r>
            <w:r>
              <w:rPr>
                <w:bCs/>
                <w:color w:val="auto"/>
                <w:spacing w:val="10"/>
                <w:sz w:val="24"/>
                <w:highlight w:val="none"/>
              </w:rPr>
              <w:t>附近路段施工时应设置临时声屏障等降噪措施。</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2）施工应尽量选用低噪设备，并严格执行施工场界执行GB12523-2011《建筑施工场界环境噪声排放标准》，控制施工期噪声的影响；若因高噪设备造成施工场界噪声超标，则必须进行施工围挡或移动声屏障等措施。</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（3）夜间（22:00-6:00）停止施工作业，如需连续作业应向当地环保部门申报。</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（4）合理安排施工活动，尽量缩短工期，减少施工噪声影响时间。避免强噪声施工机械在同一区域内同时使用。</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（5）施工中注意选用效率高、噪声低的机械，并注意对机械的正确操作及维修，使之维持最佳工作状态和最低声级水平。</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6）按劳动卫生标准，保护施工人员的身心健康，施工单位应合理安排工作人员，做到轮换操作筑路机械，或穿插安排高噪声和低噪声的工作，给工人以恢复听力的时间。同时，要注意保护机械，合理操作，尽量使筑路机械维持低声量级水平。操作时，工人应戴耳罩和头盔。</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（7）建筑材料运输尽量选择远离居住等</w:t>
            </w:r>
            <w:r>
              <w:rPr>
                <w:rFonts w:hint="eastAsia"/>
                <w:color w:val="auto"/>
                <w:sz w:val="24"/>
                <w:highlight w:val="none"/>
              </w:rPr>
              <w:t>声环境保护目标</w:t>
            </w:r>
            <w:r>
              <w:rPr>
                <w:bCs/>
                <w:color w:val="auto"/>
                <w:spacing w:val="10"/>
                <w:sz w:val="24"/>
                <w:highlight w:val="none"/>
              </w:rPr>
              <w:t>的路线。</w:t>
            </w:r>
          </w:p>
          <w:p>
            <w:pPr>
              <w:adjustRightInd w:val="0"/>
              <w:snapToGrid w:val="0"/>
              <w:spacing w:line="360" w:lineRule="auto"/>
              <w:ind w:firstLine="522" w:firstLineChars="200"/>
              <w:outlineLvl w:val="2"/>
              <w:rPr>
                <w:b/>
                <w:color w:val="auto"/>
                <w:spacing w:val="10"/>
                <w:sz w:val="24"/>
                <w:highlight w:val="none"/>
              </w:rPr>
            </w:pPr>
            <w:r>
              <w:rPr>
                <w:b/>
                <w:color w:val="auto"/>
                <w:spacing w:val="10"/>
                <w:sz w:val="24"/>
                <w:highlight w:val="none"/>
              </w:rPr>
              <w:t>4、固废保护措施</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施工期间施工人员产生的生活垃圾应集中收集后送当地环卫部门处理；</w:t>
            </w:r>
            <w:r>
              <w:rPr>
                <w:rFonts w:hint="eastAsia"/>
                <w:bCs/>
                <w:color w:val="auto"/>
                <w:spacing w:val="10"/>
                <w:sz w:val="24"/>
                <w:highlight w:val="none"/>
              </w:rPr>
              <w:t>本工程将产生</w:t>
            </w:r>
            <w:r>
              <w:rPr>
                <w:rFonts w:hint="eastAsia"/>
                <w:bCs/>
                <w:color w:val="auto"/>
                <w:spacing w:val="10"/>
                <w:sz w:val="24"/>
                <w:highlight w:val="none"/>
                <w:lang w:val="en-US" w:eastAsia="zh-CN"/>
              </w:rPr>
              <w:t>21.17</w:t>
            </w:r>
            <w:r>
              <w:rPr>
                <w:rFonts w:hint="eastAsia"/>
                <w:bCs/>
                <w:color w:val="auto"/>
                <w:spacing w:val="10"/>
                <w:sz w:val="24"/>
                <w:highlight w:val="none"/>
              </w:rPr>
              <w:t>万m³弃方，</w:t>
            </w:r>
            <w:r>
              <w:rPr>
                <w:rFonts w:hint="eastAsia"/>
                <w:color w:val="auto"/>
                <w:sz w:val="24"/>
                <w:highlight w:val="none"/>
              </w:rPr>
              <w:t>运至市城管委审批、确定的接纳点，并及时向水利局报备该项目余方处置情况，同时做好余方水土流失防治工作</w:t>
            </w:r>
            <w:r>
              <w:rPr>
                <w:rFonts w:hint="eastAsia"/>
                <w:bCs/>
                <w:color w:val="auto"/>
                <w:spacing w:val="10"/>
                <w:sz w:val="24"/>
                <w:highlight w:val="none"/>
              </w:rPr>
              <w:t>。</w:t>
            </w:r>
            <w:r>
              <w:rPr>
                <w:bCs/>
                <w:color w:val="auto"/>
                <w:spacing w:val="10"/>
                <w:sz w:val="24"/>
                <w:highlight w:val="none"/>
              </w:rPr>
              <w:t>项目固施工期固体废物处置率100%，措施可行。</w:t>
            </w:r>
          </w:p>
          <w:p>
            <w:pPr>
              <w:adjustRightInd w:val="0"/>
              <w:snapToGrid w:val="0"/>
              <w:spacing w:line="360" w:lineRule="auto"/>
              <w:ind w:firstLine="522" w:firstLineChars="200"/>
              <w:outlineLvl w:val="2"/>
              <w:rPr>
                <w:b/>
                <w:color w:val="auto"/>
                <w:spacing w:val="10"/>
                <w:sz w:val="24"/>
                <w:highlight w:val="none"/>
              </w:rPr>
            </w:pPr>
            <w:r>
              <w:rPr>
                <w:rFonts w:hint="eastAsia"/>
                <w:b/>
                <w:color w:val="auto"/>
                <w:spacing w:val="10"/>
                <w:sz w:val="24"/>
                <w:highlight w:val="none"/>
              </w:rPr>
              <w:t>5</w:t>
            </w:r>
            <w:r>
              <w:rPr>
                <w:b/>
                <w:color w:val="auto"/>
                <w:spacing w:val="10"/>
                <w:sz w:val="24"/>
                <w:highlight w:val="none"/>
              </w:rPr>
              <w:t>、</w:t>
            </w:r>
            <w:r>
              <w:rPr>
                <w:rFonts w:hint="eastAsia"/>
                <w:b/>
                <w:color w:val="auto"/>
                <w:spacing w:val="10"/>
                <w:sz w:val="24"/>
                <w:highlight w:val="none"/>
                <w:lang w:eastAsia="zh-CN"/>
              </w:rPr>
              <w:t>地下水环境</w:t>
            </w:r>
            <w:r>
              <w:rPr>
                <w:b/>
                <w:color w:val="auto"/>
                <w:spacing w:val="10"/>
                <w:sz w:val="24"/>
                <w:highlight w:val="none"/>
              </w:rPr>
              <w:t>保护措施</w:t>
            </w:r>
          </w:p>
          <w:p>
            <w:pPr>
              <w:adjustRightInd w:val="0"/>
              <w:snapToGrid w:val="0"/>
              <w:spacing w:line="360" w:lineRule="auto"/>
              <w:ind w:firstLine="520" w:firstLineChars="200"/>
              <w:outlineLvl w:val="2"/>
              <w:rPr>
                <w:rFonts w:hint="eastAsia"/>
                <w:color w:val="auto"/>
                <w:sz w:val="24"/>
                <w:highlight w:val="none"/>
                <w:lang w:val="en-US" w:eastAsia="zh-CN"/>
              </w:rPr>
            </w:pPr>
            <w:r>
              <w:rPr>
                <w:rFonts w:hint="eastAsia"/>
                <w:bCs/>
                <w:color w:val="auto"/>
                <w:spacing w:val="10"/>
                <w:sz w:val="24"/>
                <w:highlight w:val="none"/>
              </w:rPr>
              <w:t>（1）</w:t>
            </w:r>
            <w:r>
              <w:rPr>
                <w:rFonts w:hint="eastAsia"/>
                <w:color w:val="auto"/>
                <w:sz w:val="24"/>
                <w:highlight w:val="none"/>
                <w:lang w:val="en-US" w:eastAsia="zh-CN"/>
              </w:rPr>
              <w:t>隧道施工应避开雨季，如果必须在雨季施工，应对天气进行超前预报，尽量避免在大降雨时开挖，施工前进行详细的地质和水文地质勘察，制定详细的隧道施工防治水方案。</w:t>
            </w:r>
          </w:p>
          <w:p>
            <w:pPr>
              <w:adjustRightInd w:val="0"/>
              <w:snapToGrid w:val="0"/>
              <w:spacing w:line="360" w:lineRule="auto"/>
              <w:ind w:firstLine="480" w:firstLineChars="200"/>
              <w:outlineLvl w:val="2"/>
              <w:rPr>
                <w:rFonts w:hint="eastAsia"/>
                <w:color w:val="auto"/>
                <w:sz w:val="24"/>
                <w:highlight w:val="none"/>
                <w:lang w:val="en-US" w:eastAsia="zh-CN"/>
              </w:rPr>
            </w:pPr>
            <w:r>
              <w:rPr>
                <w:rFonts w:hint="eastAsia"/>
                <w:color w:val="auto"/>
                <w:sz w:val="24"/>
                <w:highlight w:val="none"/>
                <w:lang w:val="en-US" w:eastAsia="zh-CN"/>
              </w:rPr>
              <w:t>（2）隧道施工过程中应采取“以防为主”的原则进行治理，采用多重注浆方式，具体如下：</w:t>
            </w:r>
          </w:p>
          <w:p>
            <w:pPr>
              <w:adjustRightInd w:val="0"/>
              <w:snapToGrid w:val="0"/>
              <w:spacing w:line="360" w:lineRule="auto"/>
              <w:ind w:firstLine="480" w:firstLineChars="200"/>
              <w:outlineLvl w:val="2"/>
              <w:rPr>
                <w:rFonts w:hint="eastAsia"/>
                <w:color w:val="auto"/>
                <w:sz w:val="24"/>
                <w:highlight w:val="none"/>
                <w:lang w:val="en-US" w:eastAsia="zh-CN"/>
              </w:rPr>
            </w:pPr>
            <w:r>
              <w:rPr>
                <w:rFonts w:hint="eastAsia"/>
                <w:color w:val="auto"/>
                <w:sz w:val="24"/>
                <w:highlight w:val="none"/>
                <w:lang w:val="en-US" w:eastAsia="zh-CN"/>
              </w:rPr>
              <w:t>①隧道围岩较差地段的超前注浆加固，在隧道周边形成注浆堵水圈，封闭大部分基岩中疏水裂缝和涌水空间。</w:t>
            </w:r>
          </w:p>
          <w:p>
            <w:pPr>
              <w:adjustRightInd w:val="0"/>
              <w:snapToGrid w:val="0"/>
              <w:spacing w:line="360" w:lineRule="auto"/>
              <w:ind w:firstLine="480" w:firstLineChars="200"/>
              <w:outlineLvl w:val="2"/>
              <w:rPr>
                <w:rFonts w:hint="eastAsia"/>
                <w:color w:val="auto"/>
                <w:sz w:val="24"/>
                <w:highlight w:val="none"/>
                <w:lang w:val="en-US" w:eastAsia="zh-CN"/>
              </w:rPr>
            </w:pPr>
            <w:r>
              <w:rPr>
                <w:rFonts w:hint="eastAsia"/>
                <w:color w:val="auto"/>
                <w:sz w:val="24"/>
                <w:highlight w:val="none"/>
                <w:lang w:val="en-US" w:eastAsia="zh-CN"/>
              </w:rPr>
              <w:t>②初期支护渗漏水较大地段，及时进行背后注浆填充，减少地下水的排放。</w:t>
            </w:r>
          </w:p>
          <w:p>
            <w:pPr>
              <w:adjustRightInd w:val="0"/>
              <w:snapToGrid w:val="0"/>
              <w:spacing w:line="360" w:lineRule="auto"/>
              <w:ind w:firstLine="480" w:firstLineChars="200"/>
              <w:outlineLvl w:val="2"/>
              <w:rPr>
                <w:rFonts w:hint="eastAsia"/>
                <w:color w:val="auto"/>
                <w:sz w:val="24"/>
                <w:highlight w:val="none"/>
                <w:lang w:val="en-US" w:eastAsia="zh-CN"/>
              </w:rPr>
            </w:pPr>
            <w:r>
              <w:rPr>
                <w:rFonts w:hint="eastAsia"/>
                <w:color w:val="auto"/>
                <w:sz w:val="24"/>
                <w:highlight w:val="none"/>
                <w:lang w:val="en-US" w:eastAsia="zh-CN"/>
              </w:rPr>
              <w:t>③在防水板施工前对初期支护渗漏处进行补充注浆处理。</w:t>
            </w:r>
          </w:p>
          <w:p>
            <w:pPr>
              <w:adjustRightInd w:val="0"/>
              <w:snapToGrid w:val="0"/>
              <w:spacing w:line="360" w:lineRule="auto"/>
              <w:ind w:firstLine="480" w:firstLineChars="200"/>
              <w:outlineLvl w:val="2"/>
              <w:rPr>
                <w:rFonts w:hint="eastAsia"/>
                <w:color w:val="auto"/>
                <w:sz w:val="24"/>
                <w:highlight w:val="none"/>
                <w:lang w:val="en-US" w:eastAsia="zh-CN"/>
              </w:rPr>
            </w:pPr>
            <w:r>
              <w:rPr>
                <w:rFonts w:hint="eastAsia"/>
                <w:color w:val="auto"/>
                <w:sz w:val="24"/>
                <w:highlight w:val="none"/>
                <w:lang w:val="en-US" w:eastAsia="zh-CN"/>
              </w:rPr>
              <w:t>注浆材料选配应考虑长期的环保要求，避免采用可能造成地下水污染的有毒化学浆液。</w:t>
            </w:r>
          </w:p>
          <w:p>
            <w:pPr>
              <w:numPr>
                <w:ilvl w:val="0"/>
                <w:numId w:val="0"/>
              </w:numPr>
              <w:adjustRightInd w:val="0"/>
              <w:snapToGrid w:val="0"/>
              <w:spacing w:line="360" w:lineRule="auto"/>
              <w:ind w:leftChars="200"/>
              <w:outlineLvl w:val="2"/>
              <w:rPr>
                <w:rFonts w:hint="eastAsia"/>
                <w:color w:val="auto"/>
                <w:sz w:val="24"/>
                <w:highlight w:val="none"/>
                <w:lang w:val="en-US" w:eastAsia="zh-CN"/>
              </w:rPr>
            </w:pPr>
            <w:r>
              <w:rPr>
                <w:rFonts w:hint="eastAsia"/>
                <w:color w:val="auto"/>
                <w:sz w:val="24"/>
                <w:highlight w:val="none"/>
                <w:lang w:val="en-US" w:eastAsia="zh-CN"/>
              </w:rPr>
              <w:t>（3）施工采用边开挖边衬砌的施工工艺，避免施工中疏干地下水。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2"/>
              <w:rPr>
                <w:rFonts w:hint="eastAsia"/>
                <w:color w:val="auto"/>
                <w:sz w:val="24"/>
                <w:highlight w:val="none"/>
                <w:lang w:val="en-US" w:eastAsia="zh-CN"/>
              </w:rPr>
            </w:pPr>
            <w:r>
              <w:rPr>
                <w:rFonts w:hint="eastAsia"/>
                <w:color w:val="auto"/>
                <w:sz w:val="24"/>
                <w:highlight w:val="none"/>
                <w:lang w:val="en-US" w:eastAsia="zh-CN"/>
              </w:rPr>
              <w:t>（4）开展隧道段地下水环境监控，建立监测点，监控地下水水位情况。</w:t>
            </w:r>
          </w:p>
          <w:p>
            <w:pPr>
              <w:adjustRightInd w:val="0"/>
              <w:snapToGrid w:val="0"/>
              <w:spacing w:line="360" w:lineRule="auto"/>
              <w:ind w:firstLine="522" w:firstLineChars="200"/>
              <w:outlineLvl w:val="2"/>
              <w:rPr>
                <w:b/>
                <w:color w:val="auto"/>
                <w:spacing w:val="10"/>
                <w:sz w:val="24"/>
                <w:highlight w:val="none"/>
              </w:rPr>
            </w:pPr>
            <w:r>
              <w:rPr>
                <w:rFonts w:hint="eastAsia"/>
                <w:b/>
                <w:color w:val="auto"/>
                <w:spacing w:val="10"/>
                <w:sz w:val="24"/>
                <w:highlight w:val="none"/>
                <w:lang w:val="en-US" w:eastAsia="zh-CN"/>
              </w:rPr>
              <w:t>6</w:t>
            </w:r>
            <w:r>
              <w:rPr>
                <w:b/>
                <w:color w:val="auto"/>
                <w:spacing w:val="10"/>
                <w:sz w:val="24"/>
                <w:highlight w:val="none"/>
              </w:rPr>
              <w:t>、生态保护措施</w:t>
            </w:r>
          </w:p>
          <w:p>
            <w:pPr>
              <w:adjustRightInd w:val="0"/>
              <w:snapToGrid w:val="0"/>
              <w:spacing w:line="360" w:lineRule="auto"/>
              <w:ind w:firstLine="520" w:firstLineChars="200"/>
              <w:outlineLvl w:val="2"/>
              <w:rPr>
                <w:rFonts w:hint="eastAsia"/>
                <w:bCs/>
                <w:color w:val="auto"/>
                <w:spacing w:val="10"/>
                <w:sz w:val="24"/>
                <w:highlight w:val="none"/>
              </w:rPr>
            </w:pPr>
            <w:r>
              <w:rPr>
                <w:rFonts w:hint="eastAsia"/>
                <w:bCs/>
                <w:color w:val="auto"/>
                <w:spacing w:val="10"/>
                <w:sz w:val="24"/>
                <w:highlight w:val="none"/>
              </w:rPr>
              <w:t>（1）项目沿线评价范围内有26棵古树，应定期对古树名木的生长环境、生长情况、保护现状等进行动态监测和跟踪管理，并设立警示牌、保护标牌、围挡等保护措施。应该加强对施工人员宣传教育，在施工过程中如发现有珍稀保护野生植物的，应向当地林业主管部门汇报，并采取避让、移植等措施尽量保存其野生植株。</w:t>
            </w:r>
          </w:p>
          <w:p>
            <w:pPr>
              <w:adjustRightInd w:val="0"/>
              <w:snapToGrid w:val="0"/>
              <w:spacing w:line="360" w:lineRule="auto"/>
              <w:ind w:firstLine="520" w:firstLineChars="200"/>
              <w:outlineLvl w:val="2"/>
              <w:rPr>
                <w:rFonts w:hint="eastAsia"/>
                <w:bCs/>
                <w:color w:val="auto"/>
                <w:spacing w:val="10"/>
                <w:sz w:val="24"/>
                <w:highlight w:val="none"/>
              </w:rPr>
            </w:pPr>
            <w:r>
              <w:rPr>
                <w:rFonts w:hint="eastAsia"/>
                <w:bCs/>
                <w:color w:val="auto"/>
                <w:spacing w:val="10"/>
                <w:sz w:val="24"/>
                <w:highlight w:val="none"/>
              </w:rPr>
              <w:t>（2）合理组织施工程序和施工机械，严格按照道路施工规范进行排水设计和施工，对施工人员作必要的生态环境保护宣传教育，禁止向沿线水体直接排放施工废水。做好工程完工后生态环境的恢复工作，尽量减少植被破坏、水土流失对水生生物（主要是鱼类）的影响。</w:t>
            </w:r>
          </w:p>
          <w:p>
            <w:pPr>
              <w:adjustRightInd w:val="0"/>
              <w:snapToGrid w:val="0"/>
              <w:spacing w:line="360" w:lineRule="auto"/>
              <w:ind w:firstLine="520" w:firstLineChars="200"/>
              <w:outlineLvl w:val="2"/>
              <w:rPr>
                <w:color w:val="auto"/>
                <w:highlight w:val="none"/>
              </w:rPr>
            </w:pPr>
            <w:r>
              <w:rPr>
                <w:rFonts w:hint="eastAsia"/>
                <w:bCs/>
                <w:color w:val="auto"/>
                <w:spacing w:val="10"/>
                <w:sz w:val="24"/>
                <w:highlight w:val="none"/>
              </w:rPr>
              <w:t>（3）生态恢复措施应结合水土保持措施进行，为了防止水土流失而采取水土保持措施外，还应从恢复和提高其生态、景观功能的角度出发，实施植被恢复措施。为改善道路环境，根据道路的设计要求，在道路两侧的绿化用地范围内进行绿化。</w:t>
            </w:r>
          </w:p>
          <w:p>
            <w:pPr>
              <w:adjustRightInd w:val="0"/>
              <w:snapToGrid w:val="0"/>
              <w:spacing w:line="360" w:lineRule="auto"/>
              <w:ind w:firstLine="520" w:firstLineChars="200"/>
              <w:outlineLvl w:val="2"/>
              <w:rPr>
                <w:rFonts w:hint="eastAsia"/>
                <w:color w:val="auto"/>
                <w:highlight w:val="none"/>
              </w:rPr>
            </w:pPr>
            <w:r>
              <w:rPr>
                <w:bCs/>
                <w:color w:val="auto"/>
                <w:spacing w:val="10"/>
                <w:sz w:val="24"/>
                <w:highlight w:val="none"/>
              </w:rPr>
              <w:t>上述措施环境合理，经济可行，从环保、技术、经济角度是可行的。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16" w:hRule="atLeast"/>
          <w:jc w:val="center"/>
        </w:trPr>
        <w:tc>
          <w:tcPr>
            <w:tcW w:w="753" w:type="dxa"/>
            <w:tcMar>
              <w:left w:w="28" w:type="dxa"/>
              <w:right w:w="28" w:type="dxa"/>
            </w:tcMar>
            <w:vAlign w:val="center"/>
          </w:tcPr>
          <w:p>
            <w:pPr>
              <w:adjustRightInd w:val="0"/>
              <w:snapToGrid w:val="0"/>
              <w:jc w:val="center"/>
              <w:rPr>
                <w:bCs/>
                <w:color w:val="auto"/>
                <w:spacing w:val="10"/>
                <w:szCs w:val="21"/>
                <w:highlight w:val="none"/>
              </w:rPr>
            </w:pPr>
            <w:r>
              <w:rPr>
                <w:bCs/>
                <w:color w:val="auto"/>
                <w:spacing w:val="10"/>
                <w:szCs w:val="21"/>
                <w:highlight w:val="none"/>
              </w:rPr>
              <w:t>运营期生态环境保护措施</w:t>
            </w:r>
          </w:p>
        </w:tc>
        <w:tc>
          <w:tcPr>
            <w:tcW w:w="8457" w:type="dxa"/>
            <w:vAlign w:val="top"/>
          </w:tcPr>
          <w:p>
            <w:pPr>
              <w:adjustRightInd w:val="0"/>
              <w:snapToGrid w:val="0"/>
              <w:spacing w:line="360" w:lineRule="auto"/>
              <w:ind w:firstLine="522" w:firstLineChars="200"/>
              <w:outlineLvl w:val="2"/>
              <w:rPr>
                <w:b/>
                <w:color w:val="auto"/>
                <w:spacing w:val="10"/>
                <w:sz w:val="24"/>
                <w:highlight w:val="none"/>
              </w:rPr>
            </w:pPr>
            <w:r>
              <w:rPr>
                <w:b/>
                <w:color w:val="auto"/>
                <w:spacing w:val="10"/>
                <w:sz w:val="24"/>
                <w:highlight w:val="none"/>
              </w:rPr>
              <w:t>1、水环境保护措施</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为减轻路面径流对地表水体的影响，建议加强运营期道路的管理，及时清除运输车辆抛洒在路面的污染物，保持路面清洁，从而减少雨水冲刷流入附近水体的污染物。有条件时可采用植被控制措施，即：在道路沿线两侧密植植物，通过吸附、沉淀、过滤和生物吸收等作用，能将污染物从径流中有效分离出来，达到改善径流水质和保护沿线地表水体的目的。定期检查清理道路雨水排水系统，应保证畅通，维持良好状态。</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通过采取以上措施后，项目运营期对沿线水环境影响很小，不会影响水体原有功能。</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以上治理措施不仅可达到处理污染物的功能，而且还起到了提高绿化率，美化环境的作用，从技术、经济角度</w:t>
            </w:r>
            <w:r>
              <w:rPr>
                <w:rFonts w:hint="eastAsia"/>
                <w:bCs/>
                <w:color w:val="auto"/>
                <w:spacing w:val="10"/>
                <w:sz w:val="24"/>
                <w:highlight w:val="none"/>
              </w:rPr>
              <w:t>上</w:t>
            </w:r>
            <w:r>
              <w:rPr>
                <w:bCs/>
                <w:color w:val="auto"/>
                <w:spacing w:val="10"/>
                <w:sz w:val="24"/>
                <w:highlight w:val="none"/>
              </w:rPr>
              <w:t>讲均可行。</w:t>
            </w:r>
          </w:p>
          <w:p>
            <w:pPr>
              <w:adjustRightInd w:val="0"/>
              <w:snapToGrid w:val="0"/>
              <w:spacing w:line="360" w:lineRule="auto"/>
              <w:ind w:firstLine="522" w:firstLineChars="200"/>
              <w:outlineLvl w:val="2"/>
              <w:rPr>
                <w:b/>
                <w:color w:val="auto"/>
                <w:spacing w:val="10"/>
                <w:sz w:val="24"/>
                <w:highlight w:val="none"/>
              </w:rPr>
            </w:pPr>
            <w:r>
              <w:rPr>
                <w:b/>
                <w:color w:val="auto"/>
                <w:spacing w:val="10"/>
                <w:sz w:val="24"/>
                <w:highlight w:val="none"/>
              </w:rPr>
              <w:t>2、大气环境保护措施</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本项目路面采用沥青混凝土路面，因而扬尘污染较小；但随着本路交通量的不断增大，汽车尾气排放量也呈增加趋势，加剧了对沿线大气环境的污染。为控制汽车尾气对沿线大气环境产生的不利影响，环评建议有关部门加强管理，严格执行国家规定的汽车尾气排放标准，减少汽车尾气污染物的排放量。根据当地气候和土壤特点在道路两侧，特别是环境敏感点附近，种植乔、灌木，这样既可以净化吸收车辆尾气中的CO等污染物和路面扬尘，又可以美化环境和改善工程沿线景观。另外，加强路面管理及路面养护，保持其良好运营状态。道路管理部门应加强对运输散装物质如煤、水泥、砂石材料及简易包装的化肥、农药等车辆的管理，运送上述物品需加盖</w:t>
            </w:r>
            <w:r>
              <w:rPr>
                <w:rFonts w:hint="eastAsia"/>
                <w:bCs/>
                <w:color w:val="auto"/>
                <w:spacing w:val="10"/>
                <w:sz w:val="24"/>
                <w:highlight w:val="none"/>
                <w:lang w:eastAsia="zh-CN"/>
              </w:rPr>
              <w:t>篷</w:t>
            </w:r>
            <w:bookmarkStart w:id="62" w:name="_GoBack"/>
            <w:bookmarkEnd w:id="62"/>
            <w:r>
              <w:rPr>
                <w:bCs/>
                <w:color w:val="auto"/>
                <w:spacing w:val="10"/>
                <w:sz w:val="24"/>
                <w:highlight w:val="none"/>
              </w:rPr>
              <w:t>布。</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上述措施在施工期强化扬尘控制，在运营期突出汽车尾气监管，针对性强，强调环境管理和源头控制，且具有投资小、见效明显的特点，从经济、技术角度可行。</w:t>
            </w:r>
          </w:p>
          <w:p>
            <w:pPr>
              <w:adjustRightInd w:val="0"/>
              <w:snapToGrid w:val="0"/>
              <w:spacing w:line="360" w:lineRule="auto"/>
              <w:ind w:firstLine="522" w:firstLineChars="200"/>
              <w:outlineLvl w:val="2"/>
              <w:rPr>
                <w:b/>
                <w:color w:val="auto"/>
                <w:spacing w:val="10"/>
                <w:sz w:val="24"/>
                <w:highlight w:val="none"/>
              </w:rPr>
            </w:pPr>
            <w:r>
              <w:rPr>
                <w:b/>
                <w:color w:val="auto"/>
                <w:spacing w:val="10"/>
                <w:sz w:val="24"/>
                <w:highlight w:val="none"/>
              </w:rPr>
              <w:t>3、声环境保护措施</w:t>
            </w:r>
          </w:p>
          <w:p>
            <w:pPr>
              <w:spacing w:line="360" w:lineRule="auto"/>
              <w:ind w:firstLine="420"/>
              <w:rPr>
                <w:color w:val="auto"/>
                <w:sz w:val="24"/>
                <w:highlight w:val="none"/>
              </w:rPr>
            </w:pPr>
            <w:r>
              <w:rPr>
                <w:color w:val="auto"/>
                <w:kern w:val="0"/>
                <w:sz w:val="24"/>
                <w:highlight w:val="none"/>
                <w:lang w:val="zh-CN"/>
              </w:rPr>
              <w:t>根据《地面交通噪声污染防治技术政策》（环保部环发</w:t>
            </w:r>
            <w:r>
              <w:rPr>
                <w:color w:val="auto"/>
                <w:kern w:val="0"/>
                <w:sz w:val="24"/>
                <w:highlight w:val="none"/>
              </w:rPr>
              <w:t>[</w:t>
            </w:r>
            <w:r>
              <w:rPr>
                <w:color w:val="auto"/>
                <w:kern w:val="0"/>
                <w:sz w:val="24"/>
                <w:highlight w:val="none"/>
                <w:lang w:val="zh-CN"/>
              </w:rPr>
              <w:t>2010</w:t>
            </w:r>
            <w:r>
              <w:rPr>
                <w:color w:val="auto"/>
                <w:kern w:val="0"/>
                <w:sz w:val="24"/>
                <w:highlight w:val="none"/>
              </w:rPr>
              <w:t>]</w:t>
            </w:r>
            <w:r>
              <w:rPr>
                <w:color w:val="auto"/>
                <w:kern w:val="0"/>
                <w:sz w:val="24"/>
                <w:highlight w:val="none"/>
                <w:lang w:val="zh-CN"/>
              </w:rPr>
              <w:t>7号），防治道路交通噪声可以从以下几个方面着手：合理规划布局；加强噪声源控制；从传声途径噪声削减；对敏感建筑物噪声防护；加强交通噪声管理。结合本项目的实际情况，噪声污染防治措施如下：</w:t>
            </w:r>
          </w:p>
          <w:p>
            <w:pPr>
              <w:adjustRightInd w:val="0"/>
              <w:snapToGrid w:val="0"/>
              <w:spacing w:line="360" w:lineRule="auto"/>
              <w:ind w:firstLine="480" w:firstLineChars="200"/>
              <w:rPr>
                <w:color w:val="auto"/>
                <w:sz w:val="24"/>
                <w:highlight w:val="none"/>
              </w:rPr>
            </w:pPr>
            <w:r>
              <w:rPr>
                <w:rFonts w:hint="eastAsia"/>
                <w:color w:val="auto"/>
                <w:sz w:val="24"/>
                <w:highlight w:val="none"/>
              </w:rPr>
              <w:t>（1）</w:t>
            </w:r>
            <w:r>
              <w:rPr>
                <w:color w:val="auto"/>
                <w:sz w:val="24"/>
                <w:highlight w:val="none"/>
              </w:rPr>
              <w:t>加强交通管理，严格执行限速和禁止超载等交通管制，在通过人口密度较大的路段，以及</w:t>
            </w:r>
            <w:r>
              <w:rPr>
                <w:rFonts w:hint="eastAsia"/>
                <w:color w:val="auto"/>
                <w:sz w:val="24"/>
                <w:highlight w:val="none"/>
              </w:rPr>
              <w:t>居民区、学校</w:t>
            </w:r>
            <w:r>
              <w:rPr>
                <w:color w:val="auto"/>
                <w:sz w:val="24"/>
                <w:highlight w:val="none"/>
              </w:rPr>
              <w:t>等附近设置禁鸣标志，以减少交通噪声扰民问题。</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（2）沿线噪声预测超标声环境保护目标结合实际情况，加装隔声窗、声屏障安装情况，以及采用绿化等降噪措施。</w:t>
            </w:r>
          </w:p>
          <w:p>
            <w:pPr>
              <w:adjustRightInd w:val="0"/>
              <w:snapToGrid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加强</w:t>
            </w:r>
            <w:r>
              <w:rPr>
                <w:rFonts w:hint="eastAsia"/>
                <w:color w:val="auto"/>
                <w:sz w:val="24"/>
                <w:highlight w:val="none"/>
              </w:rPr>
              <w:t>改建</w:t>
            </w:r>
            <w:r>
              <w:rPr>
                <w:color w:val="auto"/>
                <w:sz w:val="24"/>
                <w:highlight w:val="none"/>
              </w:rPr>
              <w:t>道路沿线的声环境质量的环境监测工作，对可能受到较严重污染的</w:t>
            </w:r>
            <w:r>
              <w:rPr>
                <w:rFonts w:hint="eastAsia"/>
                <w:color w:val="auto"/>
                <w:sz w:val="24"/>
                <w:highlight w:val="none"/>
              </w:rPr>
              <w:t>声环境保护目标</w:t>
            </w:r>
            <w:r>
              <w:rPr>
                <w:color w:val="auto"/>
                <w:sz w:val="24"/>
                <w:highlight w:val="none"/>
              </w:rPr>
              <w:t>实行环境噪声定期监测制度，根据因交通量增大引起的声环境污染程度，及时采取相应的减缓措施。</w:t>
            </w:r>
          </w:p>
          <w:p>
            <w:pPr>
              <w:adjustRightInd w:val="0"/>
              <w:snapToGrid w:val="0"/>
              <w:spacing w:line="360" w:lineRule="auto"/>
              <w:ind w:firstLine="480" w:firstLineChars="200"/>
              <w:rPr>
                <w:color w:val="auto"/>
                <w:sz w:val="24"/>
                <w:highlight w:val="none"/>
              </w:rPr>
            </w:pPr>
            <w:r>
              <w:rPr>
                <w:rFonts w:hint="eastAsia"/>
                <w:color w:val="auto"/>
                <w:sz w:val="24"/>
                <w:highlight w:val="none"/>
              </w:rPr>
              <w:t>（4）</w:t>
            </w:r>
            <w:r>
              <w:rPr>
                <w:color w:val="auto"/>
                <w:sz w:val="24"/>
                <w:highlight w:val="none"/>
              </w:rPr>
              <w:t>加强路面养护，保证</w:t>
            </w:r>
            <w:r>
              <w:rPr>
                <w:rFonts w:hint="eastAsia"/>
                <w:color w:val="auto"/>
                <w:sz w:val="24"/>
                <w:highlight w:val="none"/>
              </w:rPr>
              <w:t>改建</w:t>
            </w:r>
            <w:r>
              <w:rPr>
                <w:color w:val="auto"/>
                <w:sz w:val="24"/>
                <w:highlight w:val="none"/>
              </w:rPr>
              <w:t>道路未来路面处于良好状态。</w:t>
            </w:r>
          </w:p>
          <w:p>
            <w:pPr>
              <w:adjustRightInd w:val="0"/>
              <w:snapToGrid w:val="0"/>
              <w:spacing w:line="360" w:lineRule="auto"/>
              <w:ind w:firstLine="480" w:firstLineChars="200"/>
              <w:rPr>
                <w:color w:val="auto"/>
                <w:sz w:val="24"/>
                <w:highlight w:val="none"/>
              </w:rPr>
            </w:pPr>
            <w:r>
              <w:rPr>
                <w:rFonts w:hint="eastAsia"/>
                <w:color w:val="auto"/>
                <w:sz w:val="24"/>
                <w:highlight w:val="none"/>
              </w:rPr>
              <w:t>（5）</w:t>
            </w:r>
            <w:r>
              <w:rPr>
                <w:color w:val="auto"/>
                <w:sz w:val="24"/>
                <w:highlight w:val="none"/>
              </w:rPr>
              <w:t>结合当地生态建设规划，加强工程范围内可绿化地段的绿化工作。对路堤边坡、排水沟边等进行统一的绿化工程设计，道路居民住宅路段两侧在可能情况下营造多层次结构的绿化林带，使之形成生态屏障，强化对交通噪声的阻隔与吸收作用。</w:t>
            </w:r>
          </w:p>
          <w:p>
            <w:pPr>
              <w:adjustRightInd w:val="0"/>
              <w:snapToGrid w:val="0"/>
              <w:spacing w:line="360" w:lineRule="auto"/>
              <w:ind w:firstLine="480" w:firstLineChars="200"/>
              <w:rPr>
                <w:color w:val="auto"/>
                <w:sz w:val="24"/>
                <w:highlight w:val="none"/>
              </w:rPr>
            </w:pPr>
            <w:r>
              <w:rPr>
                <w:color w:val="auto"/>
                <w:sz w:val="24"/>
                <w:highlight w:val="none"/>
              </w:rPr>
              <w:t>通过采取上述措施，可使得营运期噪声达标排放，有效减轻营运期噪声对周围环境的影响。同时上述措施环境合理，经济可行，从环保、技术、经济角度是可行的。</w:t>
            </w:r>
          </w:p>
          <w:p>
            <w:pPr>
              <w:adjustRightInd w:val="0"/>
              <w:snapToGrid w:val="0"/>
              <w:spacing w:line="360" w:lineRule="auto"/>
              <w:ind w:firstLine="480" w:firstLineChars="200"/>
              <w:outlineLvl w:val="2"/>
              <w:rPr>
                <w:bCs/>
                <w:color w:val="auto"/>
                <w:spacing w:val="10"/>
                <w:sz w:val="24"/>
                <w:highlight w:val="none"/>
              </w:rPr>
            </w:pPr>
            <w:r>
              <w:rPr>
                <w:rFonts w:hint="eastAsia"/>
                <w:color w:val="auto"/>
                <w:sz w:val="24"/>
                <w:highlight w:val="none"/>
              </w:rPr>
              <w:t>具体措施详见</w:t>
            </w:r>
            <w:r>
              <w:rPr>
                <w:rFonts w:hint="eastAsia"/>
                <w:color w:val="auto"/>
                <w:sz w:val="24"/>
                <w:highlight w:val="none"/>
                <w:lang w:val="zh-CN"/>
              </w:rPr>
              <w:t>声环境影响专项评价。</w:t>
            </w:r>
          </w:p>
          <w:p>
            <w:pPr>
              <w:adjustRightInd w:val="0"/>
              <w:snapToGrid w:val="0"/>
              <w:spacing w:line="360" w:lineRule="auto"/>
              <w:ind w:firstLine="522" w:firstLineChars="200"/>
              <w:outlineLvl w:val="2"/>
              <w:rPr>
                <w:b/>
                <w:color w:val="auto"/>
                <w:spacing w:val="10"/>
                <w:sz w:val="24"/>
                <w:highlight w:val="none"/>
              </w:rPr>
            </w:pPr>
            <w:r>
              <w:rPr>
                <w:b/>
                <w:color w:val="auto"/>
                <w:spacing w:val="10"/>
                <w:sz w:val="24"/>
                <w:highlight w:val="none"/>
              </w:rPr>
              <w:t>4、 固废保护措施</w:t>
            </w:r>
          </w:p>
          <w:p>
            <w:pPr>
              <w:adjustRightInd w:val="0"/>
              <w:snapToGrid w:val="0"/>
              <w:spacing w:line="360" w:lineRule="auto"/>
              <w:ind w:firstLine="520" w:firstLineChars="200"/>
              <w:outlineLvl w:val="2"/>
              <w:rPr>
                <w:rFonts w:hint="eastAsia"/>
                <w:bCs/>
                <w:color w:val="auto"/>
                <w:spacing w:val="10"/>
                <w:sz w:val="24"/>
                <w:highlight w:val="none"/>
              </w:rPr>
            </w:pPr>
            <w:r>
              <w:rPr>
                <w:rFonts w:hint="eastAsia"/>
                <w:bCs/>
                <w:color w:val="auto"/>
                <w:spacing w:val="10"/>
                <w:sz w:val="24"/>
                <w:highlight w:val="none"/>
              </w:rPr>
              <w:t>（1）市政环卫部门负责定期清除、收集、外运，保证日产日清、路面清洁，不会对道路沿线环境造成大的影响。</w:t>
            </w:r>
          </w:p>
          <w:p>
            <w:pPr>
              <w:adjustRightInd w:val="0"/>
              <w:snapToGrid w:val="0"/>
              <w:spacing w:line="360" w:lineRule="auto"/>
              <w:ind w:firstLine="520" w:firstLineChars="200"/>
              <w:outlineLvl w:val="2"/>
              <w:rPr>
                <w:rFonts w:hint="eastAsia"/>
                <w:bCs/>
                <w:color w:val="auto"/>
                <w:spacing w:val="10"/>
                <w:sz w:val="24"/>
                <w:highlight w:val="none"/>
              </w:rPr>
            </w:pPr>
            <w:r>
              <w:rPr>
                <w:rFonts w:hint="eastAsia"/>
                <w:bCs/>
                <w:color w:val="auto"/>
                <w:spacing w:val="10"/>
                <w:sz w:val="24"/>
                <w:highlight w:val="none"/>
              </w:rPr>
              <w:t>（2）强化道路沿线的固体废物污染治理的监督工作，向司乘人员和行人加强宣传教育工作。</w:t>
            </w:r>
          </w:p>
          <w:p>
            <w:pPr>
              <w:adjustRightInd w:val="0"/>
              <w:snapToGrid w:val="0"/>
              <w:spacing w:line="360" w:lineRule="auto"/>
              <w:ind w:firstLine="520" w:firstLineChars="200"/>
              <w:outlineLvl w:val="2"/>
              <w:rPr>
                <w:bCs/>
                <w:color w:val="auto"/>
                <w:spacing w:val="10"/>
                <w:sz w:val="24"/>
                <w:highlight w:val="none"/>
              </w:rPr>
            </w:pPr>
            <w:r>
              <w:rPr>
                <w:rFonts w:hint="eastAsia"/>
                <w:bCs/>
                <w:color w:val="auto"/>
                <w:spacing w:val="10"/>
                <w:sz w:val="24"/>
                <w:highlight w:val="none"/>
              </w:rPr>
              <w:t>（3）本项目沿线共设置9个公交车站台，每个公交车站台均设置垃圾桶，每日由环卫部门定时清运。</w:t>
            </w:r>
          </w:p>
          <w:p>
            <w:pPr>
              <w:adjustRightInd w:val="0"/>
              <w:snapToGrid w:val="0"/>
              <w:spacing w:line="360" w:lineRule="auto"/>
              <w:ind w:firstLine="522" w:firstLineChars="200"/>
              <w:outlineLvl w:val="2"/>
              <w:rPr>
                <w:b/>
                <w:color w:val="auto"/>
                <w:spacing w:val="10"/>
                <w:sz w:val="24"/>
                <w:highlight w:val="none"/>
              </w:rPr>
            </w:pPr>
            <w:r>
              <w:rPr>
                <w:b/>
                <w:color w:val="auto"/>
                <w:spacing w:val="10"/>
                <w:sz w:val="24"/>
                <w:highlight w:val="none"/>
              </w:rPr>
              <w:t>5、生态保护措施</w:t>
            </w:r>
          </w:p>
          <w:p>
            <w:pPr>
              <w:adjustRightInd w:val="0"/>
              <w:snapToGrid w:val="0"/>
              <w:spacing w:line="360" w:lineRule="auto"/>
              <w:ind w:firstLine="520" w:firstLineChars="200"/>
              <w:outlineLvl w:val="2"/>
              <w:rPr>
                <w:rFonts w:hint="eastAsia"/>
                <w:bCs/>
                <w:color w:val="auto"/>
                <w:spacing w:val="10"/>
                <w:sz w:val="24"/>
                <w:highlight w:val="none"/>
              </w:rPr>
            </w:pPr>
            <w:r>
              <w:rPr>
                <w:rFonts w:hint="eastAsia"/>
                <w:bCs/>
                <w:color w:val="auto"/>
                <w:spacing w:val="10"/>
                <w:sz w:val="24"/>
                <w:highlight w:val="none"/>
              </w:rPr>
              <w:t>（1）项目沿线评价范围内有26棵古树，定期对古树名木的生长环境、生长情况、保护现状等进行动态监测和跟踪管理，并设立警示牌、保护标牌、围挡等保护措施。</w:t>
            </w:r>
          </w:p>
          <w:p>
            <w:pPr>
              <w:adjustRightInd w:val="0"/>
              <w:snapToGrid w:val="0"/>
              <w:spacing w:line="360" w:lineRule="auto"/>
              <w:ind w:firstLine="520" w:firstLineChars="200"/>
              <w:outlineLvl w:val="2"/>
              <w:rPr>
                <w:bCs/>
                <w:color w:val="auto"/>
                <w:spacing w:val="10"/>
                <w:sz w:val="24"/>
                <w:highlight w:val="none"/>
              </w:rPr>
            </w:pPr>
            <w:r>
              <w:rPr>
                <w:rFonts w:hint="eastAsia"/>
                <w:bCs/>
                <w:color w:val="auto"/>
                <w:spacing w:val="10"/>
                <w:sz w:val="24"/>
                <w:highlight w:val="none"/>
              </w:rPr>
              <w:t>（2）</w:t>
            </w:r>
            <w:r>
              <w:rPr>
                <w:bCs/>
                <w:color w:val="auto"/>
                <w:spacing w:val="10"/>
                <w:sz w:val="24"/>
                <w:highlight w:val="none"/>
              </w:rPr>
              <w:t>应按照城市道路绿化要求，施工后期或营运初期按道路绿化设计的要求，及时完成道路红线范围内可绿化的地方的植树种草工作，并在营运期进行维护，以达到恢复植被、保护路基、美化城市环境、减少水土流失、减少雨季路面径流污染路侧水体等目的。</w:t>
            </w:r>
          </w:p>
          <w:p>
            <w:pPr>
              <w:spacing w:line="360" w:lineRule="auto"/>
              <w:ind w:firstLine="480"/>
              <w:rPr>
                <w:rFonts w:hint="eastAsia"/>
                <w:b/>
                <w:bCs/>
                <w:color w:val="auto"/>
                <w:sz w:val="24"/>
                <w:highlight w:val="none"/>
              </w:rPr>
            </w:pPr>
            <w:r>
              <w:rPr>
                <w:rFonts w:hint="eastAsia"/>
                <w:b/>
                <w:bCs/>
                <w:color w:val="auto"/>
                <w:sz w:val="24"/>
                <w:highlight w:val="none"/>
              </w:rPr>
              <w:t>6、环境风险防范措施</w:t>
            </w:r>
          </w:p>
          <w:p>
            <w:pPr>
              <w:spacing w:line="360" w:lineRule="auto"/>
              <w:ind w:firstLine="48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rFonts w:hint="eastAsia"/>
                <w:color w:val="auto"/>
                <w:sz w:val="24"/>
                <w:highlight w:val="none"/>
              </w:rPr>
              <w:t>加强交通工程设施，重点是完善交通标志标线和实施交通信号控制；加强交通管制，完善交通区划。</w:t>
            </w:r>
          </w:p>
          <w:p>
            <w:pPr>
              <w:spacing w:line="360" w:lineRule="auto"/>
              <w:ind w:firstLine="48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加强对车辆的管理；加强对道路设施的管理；严格执行驾驶员违章记分制；严格控制车辆超员、超载现象；增加惩罚力度，强化交通法规的威慑力。</w:t>
            </w:r>
          </w:p>
          <w:p>
            <w:pPr>
              <w:spacing w:line="360" w:lineRule="auto"/>
              <w:ind w:firstLine="48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color w:val="auto"/>
                <w:sz w:val="24"/>
                <w:highlight w:val="none"/>
              </w:rPr>
              <w:t>采用现代科学技术手段实现交通安全管理的现代化，减少交通事故。可以有选择的研究和应用智能交通系统（ITS）技术，以进一步减少交通死亡事故。</w:t>
            </w:r>
          </w:p>
          <w:p>
            <w:pPr>
              <w:spacing w:line="360" w:lineRule="auto"/>
              <w:ind w:firstLine="48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rFonts w:hint="eastAsia"/>
                <w:color w:val="auto"/>
                <w:sz w:val="24"/>
                <w:highlight w:val="none"/>
              </w:rPr>
              <w:t>应设紧急报警电话，出现重大交通事故，应迅速联系消防、救护、公安等有关方面及时处理。禁止在跨线桥上修车。管理部门应备有救援设施以便能快速拖带出发生事故的车辆。</w:t>
            </w:r>
          </w:p>
          <w:p>
            <w:pPr>
              <w:spacing w:line="360" w:lineRule="auto"/>
              <w:ind w:firstLine="48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5</w:t>
            </w:r>
            <w:r>
              <w:rPr>
                <w:rFonts w:hint="eastAsia"/>
                <w:color w:val="auto"/>
                <w:sz w:val="24"/>
                <w:highlight w:val="none"/>
                <w:lang w:eastAsia="zh-CN"/>
              </w:rPr>
              <w:t>）</w:t>
            </w:r>
            <w:r>
              <w:rPr>
                <w:rFonts w:hint="eastAsia"/>
                <w:color w:val="auto"/>
                <w:sz w:val="24"/>
                <w:highlight w:val="none"/>
              </w:rPr>
              <w:t>工程一旦发生危险品溢出、泄露等事故，应及时通知有关部门，及时采取应急措施，防止污染进一步扩散。</w:t>
            </w:r>
          </w:p>
          <w:p>
            <w:pPr>
              <w:spacing w:line="360" w:lineRule="auto"/>
              <w:ind w:firstLine="48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6</w:t>
            </w:r>
            <w:r>
              <w:rPr>
                <w:rFonts w:hint="eastAsia"/>
                <w:color w:val="auto"/>
                <w:sz w:val="24"/>
                <w:highlight w:val="none"/>
                <w:lang w:eastAsia="zh-CN"/>
              </w:rPr>
              <w:t>）</w:t>
            </w:r>
            <w:r>
              <w:rPr>
                <w:rFonts w:hint="eastAsia"/>
                <w:color w:val="auto"/>
                <w:sz w:val="24"/>
                <w:highlight w:val="none"/>
              </w:rPr>
              <w:t>建立突发环境事件应急响应系统，根据突发环境事件的不同级别，分别启动相应的应急响应机制和救援工作。</w:t>
            </w:r>
          </w:p>
          <w:p>
            <w:pPr>
              <w:spacing w:line="360" w:lineRule="auto"/>
              <w:ind w:firstLine="48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7</w:t>
            </w:r>
            <w:r>
              <w:rPr>
                <w:rFonts w:hint="eastAsia"/>
                <w:color w:val="auto"/>
                <w:sz w:val="24"/>
                <w:highlight w:val="none"/>
                <w:lang w:eastAsia="zh-CN"/>
              </w:rPr>
              <w:t>）</w:t>
            </w:r>
            <w:r>
              <w:rPr>
                <w:rFonts w:hint="eastAsia"/>
                <w:color w:val="auto"/>
                <w:sz w:val="24"/>
                <w:highlight w:val="none"/>
              </w:rPr>
              <w:t>加强路面日常管理养护，确保路面状况、防护设施良好；</w:t>
            </w:r>
          </w:p>
          <w:p>
            <w:pPr>
              <w:spacing w:line="360" w:lineRule="auto"/>
              <w:ind w:firstLine="48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8</w:t>
            </w:r>
            <w:r>
              <w:rPr>
                <w:rFonts w:hint="eastAsia"/>
                <w:color w:val="auto"/>
                <w:sz w:val="24"/>
                <w:highlight w:val="none"/>
                <w:lang w:eastAsia="zh-CN"/>
              </w:rPr>
              <w:t>）</w:t>
            </w:r>
            <w:r>
              <w:rPr>
                <w:rFonts w:hint="eastAsia"/>
                <w:color w:val="auto"/>
                <w:sz w:val="24"/>
                <w:highlight w:val="none"/>
              </w:rPr>
              <w:t>在</w:t>
            </w:r>
            <w:r>
              <w:rPr>
                <w:rFonts w:hint="eastAsia"/>
                <w:color w:val="auto"/>
                <w:sz w:val="24"/>
                <w:highlight w:val="none"/>
                <w:lang w:eastAsia="zh-CN"/>
              </w:rPr>
              <w:t>西湖一侧</w:t>
            </w:r>
            <w:r>
              <w:rPr>
                <w:rFonts w:hint="eastAsia"/>
                <w:color w:val="auto"/>
                <w:sz w:val="24"/>
                <w:highlight w:val="none"/>
              </w:rPr>
              <w:t>侧应设置提示过往车辆“谨慎驾驶”警示牌和危险品车辆限速的标志。</w:t>
            </w:r>
          </w:p>
          <w:p>
            <w:pPr>
              <w:spacing w:line="360" w:lineRule="auto"/>
              <w:ind w:firstLine="480"/>
              <w:rPr>
                <w:rFonts w:hint="eastAsia"/>
                <w:b/>
                <w:bCs/>
                <w:color w:val="auto"/>
                <w:sz w:val="24"/>
                <w:highlight w:val="none"/>
              </w:rPr>
            </w:pPr>
            <w:r>
              <w:rPr>
                <w:rFonts w:hint="eastAsia"/>
                <w:b/>
                <w:bCs/>
                <w:color w:val="auto"/>
                <w:sz w:val="24"/>
                <w:highlight w:val="none"/>
                <w:lang w:val="en-US" w:eastAsia="zh-CN"/>
              </w:rPr>
              <w:t>7</w:t>
            </w:r>
            <w:r>
              <w:rPr>
                <w:rFonts w:hint="eastAsia"/>
                <w:b/>
                <w:bCs/>
                <w:color w:val="auto"/>
                <w:sz w:val="24"/>
                <w:highlight w:val="none"/>
              </w:rPr>
              <w:t>、环境管理计划</w:t>
            </w:r>
          </w:p>
          <w:p>
            <w:pPr>
              <w:spacing w:line="360" w:lineRule="auto"/>
              <w:ind w:firstLine="480"/>
              <w:rPr>
                <w:rFonts w:hint="eastAsia"/>
                <w:color w:val="auto"/>
                <w:sz w:val="24"/>
                <w:highlight w:val="none"/>
              </w:rPr>
            </w:pPr>
            <w:r>
              <w:rPr>
                <w:rFonts w:hint="eastAsia"/>
                <w:color w:val="auto"/>
                <w:sz w:val="24"/>
                <w:highlight w:val="none"/>
              </w:rPr>
              <w:t>1）环境管理计划制定</w:t>
            </w:r>
          </w:p>
          <w:p>
            <w:pPr>
              <w:spacing w:line="360" w:lineRule="auto"/>
              <w:ind w:firstLine="480"/>
              <w:rPr>
                <w:rFonts w:hint="eastAsia"/>
                <w:color w:val="auto"/>
                <w:sz w:val="24"/>
                <w:highlight w:val="none"/>
              </w:rPr>
            </w:pPr>
            <w:r>
              <w:rPr>
                <w:rFonts w:hint="eastAsia"/>
                <w:color w:val="auto"/>
                <w:sz w:val="24"/>
                <w:highlight w:val="none"/>
              </w:rPr>
              <w:t>环境管理计划的制定必须根据项目实施的不同阶段制定环境管理计划，并层层落实到各个施工单位和部门，以保证全过程、全方位的环境污染控制和生态环境影响的减免；计划还要考虑协调好各个部门间关系，减少对社会环境的影响以及制定详细的生态恢复计划并落实实施。本项目环保管理工作在项目的不同阶段有不同的内容。具体内容详见如下：</w:t>
            </w:r>
          </w:p>
          <w:p>
            <w:pPr>
              <w:spacing w:line="360" w:lineRule="auto"/>
              <w:ind w:firstLine="480"/>
              <w:rPr>
                <w:rFonts w:hint="eastAsia"/>
                <w:color w:val="auto"/>
                <w:sz w:val="24"/>
                <w:highlight w:val="none"/>
              </w:rPr>
            </w:pPr>
            <w:r>
              <w:rPr>
                <w:rFonts w:hint="eastAsia"/>
                <w:color w:val="auto"/>
                <w:sz w:val="24"/>
                <w:highlight w:val="none"/>
              </w:rPr>
              <w:t>2）施工期的环境管理</w:t>
            </w:r>
          </w:p>
          <w:p>
            <w:pPr>
              <w:spacing w:line="360" w:lineRule="auto"/>
              <w:ind w:firstLine="480"/>
              <w:rPr>
                <w:rFonts w:hint="eastAsia"/>
                <w:color w:val="auto"/>
                <w:sz w:val="24"/>
                <w:highlight w:val="none"/>
              </w:rPr>
            </w:pPr>
            <w:r>
              <w:rPr>
                <w:rFonts w:hint="eastAsia"/>
                <w:color w:val="auto"/>
                <w:sz w:val="24"/>
                <w:highlight w:val="none"/>
              </w:rPr>
              <w:t>施工期的环境管理包括项目的前期阶段管理、施工中的管理和竣工验收阶段的管理。</w:t>
            </w:r>
          </w:p>
          <w:p>
            <w:pPr>
              <w:spacing w:line="360" w:lineRule="auto"/>
              <w:ind w:firstLine="480"/>
              <w:rPr>
                <w:rFonts w:hint="eastAsia"/>
                <w:color w:val="auto"/>
                <w:sz w:val="24"/>
                <w:highlight w:val="none"/>
              </w:rPr>
            </w:pPr>
            <w:r>
              <w:rPr>
                <w:rFonts w:hint="eastAsia"/>
                <w:color w:val="auto"/>
                <w:sz w:val="24"/>
                <w:highlight w:val="none"/>
              </w:rPr>
              <w:t>（1）项目前期阶段的环境管理</w:t>
            </w:r>
          </w:p>
          <w:p>
            <w:pPr>
              <w:spacing w:line="360" w:lineRule="auto"/>
              <w:ind w:firstLine="480"/>
              <w:rPr>
                <w:rFonts w:hint="eastAsia"/>
                <w:color w:val="auto"/>
                <w:sz w:val="24"/>
                <w:highlight w:val="none"/>
              </w:rPr>
            </w:pPr>
            <w:r>
              <w:rPr>
                <w:rFonts w:hint="eastAsia"/>
                <w:color w:val="auto"/>
                <w:sz w:val="24"/>
                <w:highlight w:val="none"/>
              </w:rPr>
              <w:t>①可行性研究阶段</w:t>
            </w:r>
          </w:p>
          <w:p>
            <w:pPr>
              <w:spacing w:line="360" w:lineRule="auto"/>
              <w:ind w:firstLine="480"/>
              <w:rPr>
                <w:rFonts w:hint="eastAsia"/>
                <w:color w:val="auto"/>
                <w:sz w:val="24"/>
                <w:highlight w:val="none"/>
              </w:rPr>
            </w:pPr>
            <w:r>
              <w:rPr>
                <w:rFonts w:hint="eastAsia"/>
                <w:color w:val="auto"/>
                <w:sz w:val="24"/>
                <w:highlight w:val="none"/>
              </w:rPr>
              <w:t>业主和建设单位，应按规定委托有资质的单位做好该项目的环境影响报告表，由环保主管部门审批后，将环保措施纳入可研报告。</w:t>
            </w:r>
          </w:p>
          <w:p>
            <w:pPr>
              <w:spacing w:line="360" w:lineRule="auto"/>
              <w:ind w:firstLine="480"/>
              <w:rPr>
                <w:rFonts w:hint="eastAsia"/>
                <w:color w:val="auto"/>
                <w:sz w:val="24"/>
                <w:highlight w:val="none"/>
              </w:rPr>
            </w:pPr>
            <w:r>
              <w:rPr>
                <w:rFonts w:hint="eastAsia"/>
                <w:color w:val="auto"/>
                <w:sz w:val="24"/>
                <w:highlight w:val="none"/>
              </w:rPr>
              <w:t>②设计阶段</w:t>
            </w:r>
          </w:p>
          <w:p>
            <w:pPr>
              <w:spacing w:line="360" w:lineRule="auto"/>
              <w:ind w:firstLine="480"/>
              <w:rPr>
                <w:rFonts w:hint="eastAsia"/>
                <w:color w:val="auto"/>
                <w:sz w:val="24"/>
                <w:highlight w:val="none"/>
              </w:rPr>
            </w:pPr>
            <w:r>
              <w:rPr>
                <w:rFonts w:hint="eastAsia"/>
                <w:color w:val="auto"/>
                <w:sz w:val="24"/>
                <w:highlight w:val="none"/>
              </w:rPr>
              <w:t>建设单位应要求设计单位把环境影响报告中提出的环保措施纳入设计中，与主体工程同时设计。</w:t>
            </w:r>
          </w:p>
          <w:p>
            <w:pPr>
              <w:spacing w:line="360" w:lineRule="auto"/>
              <w:ind w:firstLine="480"/>
              <w:rPr>
                <w:rFonts w:hint="eastAsia"/>
                <w:color w:val="auto"/>
                <w:sz w:val="24"/>
                <w:highlight w:val="none"/>
              </w:rPr>
            </w:pPr>
            <w:r>
              <w:rPr>
                <w:rFonts w:hint="eastAsia"/>
                <w:color w:val="auto"/>
                <w:sz w:val="24"/>
                <w:highlight w:val="none"/>
              </w:rPr>
              <w:t>③招标阶段</w:t>
            </w:r>
          </w:p>
          <w:p>
            <w:pPr>
              <w:spacing w:line="360" w:lineRule="auto"/>
              <w:ind w:firstLine="480"/>
              <w:rPr>
                <w:rFonts w:hint="eastAsia"/>
                <w:color w:val="auto"/>
                <w:sz w:val="24"/>
                <w:highlight w:val="none"/>
              </w:rPr>
            </w:pPr>
            <w:r>
              <w:rPr>
                <w:rFonts w:hint="eastAsia"/>
                <w:color w:val="auto"/>
                <w:sz w:val="24"/>
                <w:highlight w:val="none"/>
              </w:rPr>
              <w:t>建设单位应根据环评报告的要求和建议，提出工程施工时的环境保护措施的要求和管理规定，纳入招标要求，要求承包商在标书中要有相应的环保措施内容，并要求承包商在中标后提出较详细的实施计划，确保环保措施在施工时的实施。</w:t>
            </w:r>
          </w:p>
          <w:p>
            <w:pPr>
              <w:spacing w:line="360" w:lineRule="auto"/>
              <w:ind w:firstLine="480"/>
              <w:rPr>
                <w:rFonts w:hint="eastAsia"/>
                <w:color w:val="auto"/>
                <w:sz w:val="24"/>
                <w:highlight w:val="none"/>
              </w:rPr>
            </w:pPr>
            <w:r>
              <w:rPr>
                <w:rFonts w:hint="eastAsia"/>
                <w:color w:val="auto"/>
                <w:sz w:val="24"/>
                <w:highlight w:val="none"/>
              </w:rPr>
              <w:t>（2）施工阶段的环境管理</w:t>
            </w:r>
          </w:p>
          <w:p>
            <w:pPr>
              <w:spacing w:line="360" w:lineRule="auto"/>
              <w:ind w:firstLine="480"/>
              <w:rPr>
                <w:rFonts w:hint="eastAsia"/>
                <w:color w:val="auto"/>
                <w:sz w:val="24"/>
                <w:highlight w:val="none"/>
              </w:rPr>
            </w:pPr>
            <w:r>
              <w:rPr>
                <w:rFonts w:hint="eastAsia"/>
                <w:color w:val="auto"/>
                <w:sz w:val="24"/>
                <w:highlight w:val="none"/>
              </w:rPr>
              <w:t>①施工阶段的主要环境</w:t>
            </w:r>
          </w:p>
          <w:p>
            <w:pPr>
              <w:spacing w:line="360" w:lineRule="auto"/>
              <w:ind w:firstLine="480"/>
              <w:rPr>
                <w:rFonts w:hint="eastAsia"/>
                <w:color w:val="auto"/>
                <w:sz w:val="24"/>
                <w:highlight w:val="none"/>
              </w:rPr>
            </w:pPr>
            <w:r>
              <w:rPr>
                <w:rFonts w:hint="eastAsia"/>
                <w:color w:val="auto"/>
                <w:sz w:val="24"/>
                <w:highlight w:val="none"/>
              </w:rPr>
              <w:t>工程施工期主要内容有土石方的开挖与填埋，路基与路面的施工和铺设，排水及防护工程的施工等，这些工作将带来以下主要环境问题：</w:t>
            </w:r>
          </w:p>
          <w:p>
            <w:pPr>
              <w:spacing w:line="360" w:lineRule="auto"/>
              <w:ind w:firstLine="480"/>
              <w:rPr>
                <w:rFonts w:hint="eastAsia"/>
                <w:color w:val="auto"/>
                <w:sz w:val="24"/>
                <w:highlight w:val="none"/>
              </w:rPr>
            </w:pPr>
            <w:r>
              <w:rPr>
                <w:rFonts w:hint="eastAsia"/>
                <w:color w:val="auto"/>
                <w:sz w:val="24"/>
                <w:highlight w:val="none"/>
              </w:rPr>
              <w:t>a、施工中地表植被的破坏，由此引起水土流失；</w:t>
            </w:r>
          </w:p>
          <w:p>
            <w:pPr>
              <w:spacing w:line="360" w:lineRule="auto"/>
              <w:ind w:firstLine="480"/>
              <w:rPr>
                <w:rFonts w:hint="eastAsia"/>
                <w:color w:val="auto"/>
                <w:sz w:val="24"/>
                <w:highlight w:val="none"/>
              </w:rPr>
            </w:pPr>
            <w:r>
              <w:rPr>
                <w:rFonts w:hint="eastAsia"/>
                <w:color w:val="auto"/>
                <w:sz w:val="24"/>
                <w:highlight w:val="none"/>
              </w:rPr>
              <w:t>b、施工、物料装卸及工程汽车运输过程中产生的扬尘影响空气质量以及附近居民生活；</w:t>
            </w:r>
          </w:p>
          <w:p>
            <w:pPr>
              <w:spacing w:line="360" w:lineRule="auto"/>
              <w:ind w:firstLine="480"/>
              <w:rPr>
                <w:rFonts w:hint="eastAsia"/>
                <w:color w:val="auto"/>
                <w:sz w:val="24"/>
                <w:highlight w:val="none"/>
              </w:rPr>
            </w:pPr>
            <w:r>
              <w:rPr>
                <w:rFonts w:hint="eastAsia"/>
                <w:color w:val="auto"/>
                <w:sz w:val="24"/>
                <w:highlight w:val="none"/>
              </w:rPr>
              <w:t>c、施工机械及运输机械产生的噪声对周围居民区的影响；</w:t>
            </w:r>
          </w:p>
          <w:p>
            <w:pPr>
              <w:spacing w:line="360" w:lineRule="auto"/>
              <w:ind w:firstLine="480"/>
              <w:rPr>
                <w:rFonts w:hint="eastAsia"/>
                <w:color w:val="auto"/>
                <w:sz w:val="24"/>
                <w:highlight w:val="none"/>
              </w:rPr>
            </w:pPr>
            <w:r>
              <w:rPr>
                <w:rFonts w:hint="eastAsia"/>
                <w:color w:val="auto"/>
                <w:sz w:val="24"/>
                <w:highlight w:val="none"/>
              </w:rPr>
              <w:t>②施工阶段的环境管理</w:t>
            </w:r>
          </w:p>
          <w:p>
            <w:pPr>
              <w:spacing w:line="360" w:lineRule="auto"/>
              <w:ind w:firstLine="480"/>
              <w:rPr>
                <w:rFonts w:hint="eastAsia"/>
                <w:color w:val="auto"/>
                <w:sz w:val="24"/>
                <w:highlight w:val="none"/>
              </w:rPr>
            </w:pPr>
            <w:r>
              <w:rPr>
                <w:rFonts w:hint="eastAsia"/>
                <w:color w:val="auto"/>
                <w:sz w:val="24"/>
                <w:highlight w:val="none"/>
              </w:rPr>
              <w:t>针对上述施工期可能产生的环境问题必须采取如下措施强化环境管理：</w:t>
            </w:r>
          </w:p>
          <w:p>
            <w:pPr>
              <w:spacing w:line="360" w:lineRule="auto"/>
              <w:ind w:firstLine="480"/>
              <w:rPr>
                <w:rFonts w:hint="eastAsia"/>
                <w:color w:val="auto"/>
                <w:sz w:val="24"/>
                <w:highlight w:val="none"/>
              </w:rPr>
            </w:pPr>
            <w:r>
              <w:rPr>
                <w:rFonts w:hint="eastAsia"/>
                <w:color w:val="auto"/>
                <w:sz w:val="24"/>
                <w:highlight w:val="none"/>
              </w:rPr>
              <w:t>a、建设单位在施工开始后应配备人员专门负责施工期环境管理与监督，重点是防治水土流失、施工噪声、粉尘以及环境保护设施的“三同时”监督，并明确各施工段专人分工负责。</w:t>
            </w:r>
          </w:p>
          <w:p>
            <w:pPr>
              <w:spacing w:line="360" w:lineRule="auto"/>
              <w:ind w:firstLine="480"/>
              <w:rPr>
                <w:rFonts w:hint="eastAsia"/>
                <w:color w:val="auto"/>
                <w:sz w:val="24"/>
                <w:highlight w:val="none"/>
              </w:rPr>
            </w:pPr>
            <w:r>
              <w:rPr>
                <w:rFonts w:hint="eastAsia"/>
                <w:color w:val="auto"/>
                <w:sz w:val="24"/>
                <w:highlight w:val="none"/>
              </w:rPr>
              <w:t>b、建设单位应在施工开始前7 日向福州市建筑垃圾和工程渣土管理部门申请办理建筑垃圾和工程渣土处置手续。施工期间应对施工队伍的施工环保实施计划进行检查监督，对施工中的排污进行收费。对造成文物古迹损坏、古树名木损害，严重水土流失或其他重大污染事故进行调查处理，直至法律追究。</w:t>
            </w:r>
          </w:p>
          <w:p>
            <w:pPr>
              <w:spacing w:line="360" w:lineRule="auto"/>
              <w:ind w:firstLine="480"/>
              <w:rPr>
                <w:rFonts w:hint="eastAsia"/>
                <w:color w:val="auto"/>
                <w:sz w:val="24"/>
                <w:highlight w:val="none"/>
              </w:rPr>
            </w:pPr>
            <w:r>
              <w:rPr>
                <w:rFonts w:hint="eastAsia"/>
                <w:color w:val="auto"/>
                <w:sz w:val="24"/>
                <w:highlight w:val="none"/>
              </w:rPr>
              <w:t>c、各施工队伍应配备一名环保员，根据本施工路段的环境问题提出施工环保实施计划并根据审批的计划进行实施、监督、管理，对发生的水土流失事件或其他污染事故应组织处理并同时向建设单位环保科和环保部门报告。</w:t>
            </w:r>
          </w:p>
          <w:p>
            <w:pPr>
              <w:spacing w:line="360" w:lineRule="auto"/>
              <w:ind w:firstLine="480"/>
              <w:rPr>
                <w:rFonts w:hint="eastAsia"/>
                <w:color w:val="auto"/>
                <w:sz w:val="24"/>
                <w:highlight w:val="none"/>
              </w:rPr>
            </w:pPr>
            <w:r>
              <w:rPr>
                <w:rFonts w:hint="eastAsia"/>
                <w:color w:val="auto"/>
                <w:sz w:val="24"/>
                <w:highlight w:val="none"/>
              </w:rPr>
              <w:t>③施工期的环境保护实施计划</w:t>
            </w:r>
          </w:p>
          <w:p>
            <w:pPr>
              <w:spacing w:line="360" w:lineRule="auto"/>
              <w:ind w:firstLine="480"/>
              <w:rPr>
                <w:rFonts w:hint="eastAsia"/>
                <w:color w:val="auto"/>
                <w:sz w:val="24"/>
                <w:highlight w:val="none"/>
              </w:rPr>
            </w:pPr>
            <w:r>
              <w:rPr>
                <w:rFonts w:hint="eastAsia"/>
                <w:color w:val="auto"/>
                <w:sz w:val="24"/>
                <w:highlight w:val="none"/>
              </w:rPr>
              <w:t>a、防止水土流失</w:t>
            </w:r>
          </w:p>
          <w:p>
            <w:pPr>
              <w:spacing w:line="360" w:lineRule="auto"/>
              <w:ind w:firstLine="480"/>
              <w:rPr>
                <w:rFonts w:hint="eastAsia"/>
                <w:color w:val="auto"/>
                <w:sz w:val="24"/>
                <w:highlight w:val="none"/>
              </w:rPr>
            </w:pPr>
            <w:r>
              <w:rPr>
                <w:rFonts w:hint="eastAsia"/>
                <w:color w:val="auto"/>
                <w:sz w:val="24"/>
                <w:highlight w:val="none"/>
              </w:rPr>
              <w:t>重视路基排水及保护设计，防止对路基边坡冲刷。对路段挖方、填方等施工均应有临时排水沟及水土保持措施，施工后应迅速恢复植被或垦复耕地或植树、植草皮等，具体每个路段地点应列出表格，以便环保部门检查监督。</w:t>
            </w:r>
          </w:p>
          <w:p>
            <w:pPr>
              <w:spacing w:line="360" w:lineRule="auto"/>
              <w:ind w:firstLine="480"/>
              <w:rPr>
                <w:rFonts w:hint="eastAsia"/>
                <w:color w:val="auto"/>
                <w:sz w:val="24"/>
                <w:highlight w:val="none"/>
              </w:rPr>
            </w:pPr>
            <w:r>
              <w:rPr>
                <w:rFonts w:hint="eastAsia"/>
                <w:color w:val="auto"/>
                <w:sz w:val="24"/>
                <w:highlight w:val="none"/>
              </w:rPr>
              <w:t>b、施工噪声管理</w:t>
            </w:r>
          </w:p>
          <w:p>
            <w:pPr>
              <w:spacing w:line="360" w:lineRule="auto"/>
              <w:ind w:firstLine="480"/>
              <w:rPr>
                <w:rFonts w:hint="eastAsia"/>
                <w:color w:val="auto"/>
                <w:sz w:val="24"/>
                <w:highlight w:val="none"/>
              </w:rPr>
            </w:pPr>
            <w:r>
              <w:rPr>
                <w:rFonts w:hint="eastAsia"/>
                <w:color w:val="auto"/>
                <w:sz w:val="24"/>
                <w:highlight w:val="none"/>
              </w:rPr>
              <w:t>建设单位应制订施工噪声管理办法，对施工机械设备的噪声标准进行必要控制，禁止超标机械进场，调整作业时间，防止对周边原有交通造成干扰。建设单位环保科要监督施工队伍执行，地方环保部门对违反施工噪声管理办法的应给予处罚和追究责任。</w:t>
            </w:r>
          </w:p>
          <w:p>
            <w:pPr>
              <w:spacing w:line="360" w:lineRule="auto"/>
              <w:ind w:firstLine="480"/>
              <w:rPr>
                <w:rFonts w:hint="eastAsia"/>
                <w:color w:val="auto"/>
                <w:sz w:val="24"/>
                <w:highlight w:val="none"/>
              </w:rPr>
            </w:pPr>
            <w:r>
              <w:rPr>
                <w:rFonts w:hint="eastAsia"/>
                <w:color w:val="auto"/>
                <w:sz w:val="24"/>
                <w:highlight w:val="none"/>
              </w:rPr>
              <w:t>c、减少施工期粉尘及大气污染计划</w:t>
            </w:r>
          </w:p>
          <w:p>
            <w:pPr>
              <w:spacing w:line="360" w:lineRule="auto"/>
              <w:ind w:firstLine="480"/>
              <w:rPr>
                <w:rFonts w:hint="eastAsia"/>
                <w:color w:val="auto"/>
                <w:sz w:val="24"/>
                <w:highlight w:val="none"/>
              </w:rPr>
            </w:pPr>
            <w:r>
              <w:rPr>
                <w:rFonts w:hint="eastAsia"/>
                <w:color w:val="auto"/>
                <w:sz w:val="24"/>
                <w:highlight w:val="none"/>
              </w:rPr>
              <w:t>施工道路运输及各种施工进程将产生大量粉尘对周围居民产生影响。因此运送土石料、水泥等的卡车不得超载土石料装料高度不得高于车厢边缘高度，以防止土石料泄漏；在施工路段、临时道路等在9 时至18 时段至少每天进行四次洒水。施工队伍都应配备洒水车进行洒水。建设单位环保科应进行检查监督。</w:t>
            </w:r>
          </w:p>
          <w:p>
            <w:pPr>
              <w:spacing w:line="360" w:lineRule="auto"/>
              <w:ind w:firstLine="480"/>
              <w:rPr>
                <w:rFonts w:hint="eastAsia"/>
                <w:color w:val="auto"/>
                <w:sz w:val="24"/>
                <w:highlight w:val="none"/>
              </w:rPr>
            </w:pPr>
            <w:r>
              <w:rPr>
                <w:rFonts w:hint="eastAsia"/>
                <w:color w:val="auto"/>
                <w:sz w:val="24"/>
                <w:highlight w:val="none"/>
              </w:rPr>
              <w:t>（3）验收阶段的环境管理</w:t>
            </w:r>
          </w:p>
          <w:p>
            <w:pPr>
              <w:spacing w:line="360" w:lineRule="auto"/>
              <w:ind w:firstLine="480"/>
              <w:rPr>
                <w:rFonts w:hint="eastAsia"/>
                <w:color w:val="auto"/>
                <w:sz w:val="24"/>
                <w:highlight w:val="none"/>
              </w:rPr>
            </w:pPr>
            <w:r>
              <w:rPr>
                <w:rFonts w:hint="eastAsia"/>
                <w:color w:val="auto"/>
                <w:sz w:val="24"/>
                <w:highlight w:val="none"/>
              </w:rPr>
              <w:t>①工程正式营运前必须向环保主管部门提交项目环保竣工验收报告。</w:t>
            </w:r>
          </w:p>
          <w:p>
            <w:pPr>
              <w:spacing w:line="360" w:lineRule="auto"/>
              <w:ind w:firstLine="480"/>
              <w:rPr>
                <w:rFonts w:hint="eastAsia"/>
                <w:color w:val="auto"/>
                <w:sz w:val="24"/>
                <w:highlight w:val="none"/>
              </w:rPr>
            </w:pPr>
            <w:r>
              <w:rPr>
                <w:rFonts w:hint="eastAsia"/>
                <w:color w:val="auto"/>
                <w:sz w:val="24"/>
                <w:highlight w:val="none"/>
              </w:rPr>
              <w:t>②配合其它有关部门，做好水土保持工程，绿化工程的验收工作。</w:t>
            </w:r>
          </w:p>
          <w:p>
            <w:pPr>
              <w:spacing w:line="360" w:lineRule="auto"/>
              <w:ind w:firstLine="480"/>
              <w:rPr>
                <w:rFonts w:hint="eastAsia"/>
                <w:color w:val="auto"/>
                <w:sz w:val="24"/>
                <w:highlight w:val="none"/>
              </w:rPr>
            </w:pPr>
            <w:r>
              <w:rPr>
                <w:rFonts w:hint="eastAsia"/>
                <w:color w:val="auto"/>
                <w:sz w:val="24"/>
                <w:highlight w:val="none"/>
              </w:rPr>
              <w:t>③环境管理机构应将施工期的环境管理工作计划、工作情况、现场监督检查记录和监测记录进行汇总或统计，写成施工期的环境管理工作报告，报告给上级环保主管部门，并归档。</w:t>
            </w:r>
          </w:p>
          <w:p>
            <w:pPr>
              <w:spacing w:line="360" w:lineRule="auto"/>
              <w:ind w:firstLine="480"/>
              <w:rPr>
                <w:rFonts w:hint="eastAsia"/>
                <w:color w:val="auto"/>
                <w:sz w:val="24"/>
                <w:highlight w:val="none"/>
              </w:rPr>
            </w:pPr>
            <w:r>
              <w:rPr>
                <w:rFonts w:hint="eastAsia"/>
                <w:color w:val="auto"/>
                <w:sz w:val="24"/>
                <w:highlight w:val="none"/>
              </w:rPr>
              <w:t>④在环保设施试运行合格后，必须向负责审批的环保主管部门提交“环保竣工验收报告”，说明采取的环保措施，达到的效果和生态恢复情况。验收合格后方可进入营运阶段。</w:t>
            </w:r>
          </w:p>
          <w:p>
            <w:pPr>
              <w:spacing w:line="360" w:lineRule="auto"/>
              <w:ind w:firstLine="480"/>
              <w:rPr>
                <w:rFonts w:hint="eastAsia"/>
                <w:color w:val="auto"/>
                <w:sz w:val="24"/>
                <w:highlight w:val="none"/>
              </w:rPr>
            </w:pPr>
            <w:r>
              <w:rPr>
                <w:rFonts w:hint="eastAsia"/>
                <w:color w:val="auto"/>
                <w:sz w:val="24"/>
                <w:highlight w:val="none"/>
              </w:rPr>
              <w:t>3）运营期的环境管理</w:t>
            </w:r>
          </w:p>
          <w:p>
            <w:pPr>
              <w:spacing w:line="360" w:lineRule="auto"/>
              <w:ind w:firstLine="480"/>
              <w:rPr>
                <w:rFonts w:hint="eastAsia"/>
                <w:color w:val="auto"/>
                <w:sz w:val="24"/>
                <w:highlight w:val="none"/>
              </w:rPr>
            </w:pPr>
            <w:r>
              <w:rPr>
                <w:rFonts w:hint="eastAsia"/>
                <w:color w:val="auto"/>
                <w:sz w:val="24"/>
                <w:highlight w:val="none"/>
              </w:rPr>
              <w:t>运营期的环境管理重点是交通噪声和汽车尾气污染控制，水土保持工程和绿化工程的养护及交通事故污染的防范和应急处理。</w:t>
            </w:r>
          </w:p>
          <w:p>
            <w:pPr>
              <w:spacing w:line="360" w:lineRule="auto"/>
              <w:ind w:firstLine="480"/>
              <w:rPr>
                <w:rFonts w:hint="eastAsia"/>
                <w:color w:val="auto"/>
                <w:sz w:val="24"/>
                <w:highlight w:val="none"/>
              </w:rPr>
            </w:pPr>
            <w:r>
              <w:rPr>
                <w:rFonts w:hint="eastAsia"/>
                <w:color w:val="auto"/>
                <w:sz w:val="24"/>
                <w:highlight w:val="none"/>
              </w:rPr>
              <w:t>（1）负责运营期的水、气、声污染控制措施的实施和管理监督工作。在管理和监督中可提请环保部门、交管部门和市政、环卫部门配合。负责运营期有关环境监测计划的实施，具体监测业务由具有监测资质的单位配合。</w:t>
            </w:r>
          </w:p>
          <w:p>
            <w:pPr>
              <w:spacing w:line="360" w:lineRule="auto"/>
              <w:ind w:firstLine="480"/>
              <w:rPr>
                <w:rFonts w:hint="eastAsia"/>
                <w:color w:val="auto"/>
                <w:sz w:val="24"/>
                <w:highlight w:val="none"/>
              </w:rPr>
            </w:pPr>
            <w:r>
              <w:rPr>
                <w:rFonts w:hint="eastAsia"/>
                <w:color w:val="auto"/>
                <w:sz w:val="24"/>
                <w:highlight w:val="none"/>
              </w:rPr>
              <w:t>（2）建设单位环保科应配合交通管理部门制定车辆运行管理条例，特别是车辆进出居民区禁止鸣笛，限制车速，以免影响道路沿线附近的居民区等。</w:t>
            </w:r>
          </w:p>
          <w:p>
            <w:pPr>
              <w:spacing w:line="360" w:lineRule="auto"/>
              <w:ind w:firstLine="480"/>
              <w:rPr>
                <w:rFonts w:hint="eastAsia"/>
                <w:color w:val="auto"/>
                <w:sz w:val="24"/>
                <w:highlight w:val="none"/>
              </w:rPr>
            </w:pPr>
            <w:r>
              <w:rPr>
                <w:rFonts w:hint="eastAsia"/>
                <w:color w:val="auto"/>
                <w:sz w:val="24"/>
                <w:highlight w:val="none"/>
              </w:rPr>
              <w:t>（3）配合路政、市政、园林部门做好水土保持工程和沿线绿化工程的养护工作。检查护坡、边坡及其它恢复地表植被区域的植被生长情况，并组织人员进行维护。</w:t>
            </w:r>
          </w:p>
          <w:p>
            <w:pPr>
              <w:spacing w:line="360" w:lineRule="auto"/>
              <w:ind w:firstLine="480"/>
              <w:rPr>
                <w:color w:val="auto"/>
                <w:sz w:val="24"/>
                <w:highlight w:val="none"/>
              </w:rPr>
            </w:pPr>
            <w:r>
              <w:rPr>
                <w:color w:val="auto"/>
                <w:sz w:val="24"/>
                <w:highlight w:val="none"/>
              </w:rPr>
              <w:t>（</w:t>
            </w:r>
            <w:r>
              <w:rPr>
                <w:rFonts w:hint="eastAsia"/>
                <w:color w:val="auto"/>
                <w:sz w:val="24"/>
                <w:highlight w:val="none"/>
              </w:rPr>
              <w:t>4</w:t>
            </w:r>
            <w:r>
              <w:rPr>
                <w:color w:val="auto"/>
                <w:sz w:val="24"/>
                <w:highlight w:val="none"/>
              </w:rPr>
              <w:t>）</w:t>
            </w:r>
            <w:r>
              <w:rPr>
                <w:rFonts w:hint="eastAsia"/>
                <w:color w:val="auto"/>
                <w:sz w:val="24"/>
                <w:highlight w:val="none"/>
              </w:rPr>
              <w:t>禁止漏油、不安装保护帆布的货车和超载车上路，防止造成水体污染和安全事故隐患。按相关规定严格控制危险化学品的运输。定期检查清理道路雨水排水系统，应保证畅通，维持良好状态。</w:t>
            </w:r>
          </w:p>
          <w:p>
            <w:pPr>
              <w:spacing w:line="360" w:lineRule="auto"/>
              <w:ind w:firstLine="480"/>
              <w:rPr>
                <w:rFonts w:hint="eastAsia"/>
                <w:b/>
                <w:bCs/>
                <w:color w:val="auto"/>
                <w:sz w:val="24"/>
                <w:highlight w:val="none"/>
              </w:rPr>
            </w:pPr>
            <w:r>
              <w:rPr>
                <w:rFonts w:hint="eastAsia"/>
                <w:b/>
                <w:bCs/>
                <w:color w:val="auto"/>
                <w:sz w:val="24"/>
                <w:highlight w:val="none"/>
              </w:rPr>
              <w:t>7、环境监理计划</w:t>
            </w:r>
          </w:p>
          <w:p>
            <w:pPr>
              <w:spacing w:line="360" w:lineRule="auto"/>
              <w:ind w:firstLine="480"/>
              <w:rPr>
                <w:rFonts w:hint="eastAsia"/>
                <w:color w:val="auto"/>
                <w:sz w:val="24"/>
                <w:highlight w:val="none"/>
              </w:rPr>
            </w:pPr>
            <w:r>
              <w:rPr>
                <w:rFonts w:hint="eastAsia"/>
                <w:color w:val="auto"/>
                <w:sz w:val="24"/>
                <w:highlight w:val="none"/>
              </w:rPr>
              <w:t>1） 环境监理工作目标</w:t>
            </w:r>
          </w:p>
          <w:p>
            <w:pPr>
              <w:spacing w:line="360" w:lineRule="auto"/>
              <w:ind w:firstLine="480"/>
              <w:rPr>
                <w:rFonts w:hint="eastAsia"/>
                <w:color w:val="auto"/>
                <w:sz w:val="24"/>
                <w:highlight w:val="none"/>
              </w:rPr>
            </w:pPr>
            <w:r>
              <w:rPr>
                <w:rFonts w:hint="eastAsia"/>
                <w:color w:val="auto"/>
                <w:sz w:val="24"/>
                <w:highlight w:val="none"/>
              </w:rPr>
              <w:t>为了全面控制和减缓改造道路造成的环境影响，确保“三同时”制度以及环境影响报告书有关环保措施的落实，本项目在建设过程中应在实施工程监理的同时开展环境监理。</w:t>
            </w:r>
          </w:p>
          <w:p>
            <w:pPr>
              <w:spacing w:line="360" w:lineRule="auto"/>
              <w:ind w:firstLine="480"/>
              <w:rPr>
                <w:rFonts w:hint="eastAsia"/>
                <w:color w:val="auto"/>
                <w:sz w:val="24"/>
                <w:highlight w:val="none"/>
              </w:rPr>
            </w:pPr>
            <w:r>
              <w:rPr>
                <w:rFonts w:hint="eastAsia"/>
                <w:color w:val="auto"/>
                <w:sz w:val="24"/>
                <w:highlight w:val="none"/>
              </w:rPr>
              <w:t>环境监理依据国家和相关主管部门制定、颁发的有关法律、法规、政策、技术标准以及经批准的设计文件，投标文件和依法签订的监理、施工承包合同。按环境监理服务的范围和内容，履行环境监理义务，独立、公正、科学、有效地服务于工程，实施全面环境监理，使工程在设计、施工、运营等方面达到环境保护要求。</w:t>
            </w:r>
          </w:p>
          <w:p>
            <w:pPr>
              <w:spacing w:line="360" w:lineRule="auto"/>
              <w:ind w:firstLine="480"/>
              <w:rPr>
                <w:rFonts w:hint="eastAsia"/>
                <w:color w:val="auto"/>
                <w:sz w:val="24"/>
                <w:highlight w:val="none"/>
              </w:rPr>
            </w:pPr>
            <w:r>
              <w:rPr>
                <w:rFonts w:hint="eastAsia"/>
                <w:color w:val="auto"/>
                <w:sz w:val="24"/>
                <w:highlight w:val="none"/>
              </w:rPr>
              <w:t>2）环境监理实施机构</w:t>
            </w:r>
          </w:p>
          <w:p>
            <w:pPr>
              <w:spacing w:line="360" w:lineRule="auto"/>
              <w:ind w:firstLine="480"/>
              <w:rPr>
                <w:rFonts w:hint="eastAsia"/>
                <w:color w:val="auto"/>
                <w:sz w:val="24"/>
                <w:highlight w:val="none"/>
              </w:rPr>
            </w:pPr>
            <w:r>
              <w:rPr>
                <w:rFonts w:hint="eastAsia"/>
                <w:color w:val="auto"/>
                <w:sz w:val="24"/>
                <w:highlight w:val="none"/>
              </w:rPr>
              <w:t>根据交通部《关于开展交通工程环境监理工作的通知》（交环发【2004】314号）文件要求，工程环境监理纳入工程监理体系中，建设单位应委托具有工程监理资质并经过环境保护业务培训的单位承担工程环境监理工作。</w:t>
            </w:r>
          </w:p>
          <w:p>
            <w:pPr>
              <w:spacing w:line="360" w:lineRule="auto"/>
              <w:ind w:firstLine="480"/>
              <w:rPr>
                <w:rFonts w:hint="eastAsia"/>
                <w:color w:val="auto"/>
                <w:sz w:val="24"/>
                <w:highlight w:val="none"/>
              </w:rPr>
            </w:pPr>
            <w:r>
              <w:rPr>
                <w:rFonts w:hint="eastAsia"/>
                <w:color w:val="auto"/>
                <w:sz w:val="24"/>
                <w:highlight w:val="none"/>
              </w:rPr>
              <w:t>3）环境监理要点</w:t>
            </w:r>
          </w:p>
          <w:p>
            <w:pPr>
              <w:spacing w:line="360" w:lineRule="auto"/>
              <w:ind w:firstLine="480"/>
              <w:rPr>
                <w:rFonts w:hint="eastAsia"/>
                <w:color w:val="auto"/>
                <w:sz w:val="24"/>
                <w:highlight w:val="none"/>
              </w:rPr>
            </w:pPr>
            <w:r>
              <w:rPr>
                <w:rFonts w:hint="eastAsia"/>
                <w:color w:val="auto"/>
                <w:sz w:val="24"/>
                <w:highlight w:val="none"/>
              </w:rPr>
              <w:t>施工环境监理要点见表5-1。</w:t>
            </w:r>
          </w:p>
          <w:p>
            <w:pPr>
              <w:adjustRightInd w:val="0"/>
              <w:snapToGrid w:val="0"/>
              <w:ind w:firstLine="422"/>
              <w:jc w:val="center"/>
              <w:rPr>
                <w:rFonts w:hint="eastAsia"/>
                <w:b/>
                <w:bCs/>
                <w:color w:val="auto"/>
                <w:kern w:val="0"/>
                <w:sz w:val="24"/>
                <w:highlight w:val="none"/>
              </w:rPr>
            </w:pPr>
            <w:r>
              <w:rPr>
                <w:rFonts w:hint="eastAsia"/>
                <w:b/>
                <w:bCs/>
                <w:color w:val="auto"/>
                <w:kern w:val="0"/>
                <w:sz w:val="24"/>
                <w:highlight w:val="none"/>
              </w:rPr>
              <w:t>表5-1 施工准备阶段环境监理要点</w:t>
            </w:r>
          </w:p>
          <w:p>
            <w:pPr>
              <w:spacing w:before="10" w:line="90" w:lineRule="exact"/>
              <w:jc w:val="left"/>
              <w:rPr>
                <w:color w:val="auto"/>
                <w:sz w:val="9"/>
                <w:highlight w:val="none"/>
              </w:rPr>
            </w:pPr>
          </w:p>
          <w:tbl>
            <w:tblPr>
              <w:tblStyle w:val="23"/>
              <w:tblW w:w="7899" w:type="dxa"/>
              <w:jc w:val="center"/>
              <w:tblInd w:w="0" w:type="dxa"/>
              <w:tblLayout w:type="fixed"/>
              <w:tblCellMar>
                <w:top w:w="0" w:type="dxa"/>
                <w:left w:w="108" w:type="dxa"/>
                <w:bottom w:w="0" w:type="dxa"/>
                <w:right w:w="108" w:type="dxa"/>
              </w:tblCellMar>
            </w:tblPr>
            <w:tblGrid>
              <w:gridCol w:w="1250"/>
              <w:gridCol w:w="6649"/>
            </w:tblGrid>
            <w:tr>
              <w:tblPrEx>
                <w:tblLayout w:type="fixed"/>
                <w:tblCellMar>
                  <w:top w:w="0" w:type="dxa"/>
                  <w:left w:w="108" w:type="dxa"/>
                  <w:bottom w:w="0" w:type="dxa"/>
                  <w:right w:w="108" w:type="dxa"/>
                </w:tblCellMar>
              </w:tblPrEx>
              <w:trPr>
                <w:trHeight w:val="454" w:hRule="atLeast"/>
                <w:jc w:val="center"/>
              </w:trPr>
              <w:tc>
                <w:tcPr>
                  <w:tcW w:w="1250" w:type="dxa"/>
                  <w:tcBorders>
                    <w:top w:val="single" w:color="000000" w:sz="12" w:space="0"/>
                    <w:left w:val="nil"/>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color w:val="auto"/>
                      <w:szCs w:val="21"/>
                      <w:highlight w:val="none"/>
                    </w:rPr>
                  </w:pPr>
                  <w:r>
                    <w:rPr>
                      <w:rFonts w:hint="eastAsia"/>
                      <w:color w:val="auto"/>
                      <w:szCs w:val="21"/>
                      <w:highlight w:val="none"/>
                    </w:rPr>
                    <w:t>监理项目</w:t>
                  </w:r>
                </w:p>
              </w:tc>
              <w:tc>
                <w:tcPr>
                  <w:tcW w:w="6649" w:type="dxa"/>
                  <w:tcBorders>
                    <w:top w:val="single" w:color="000000" w:sz="12"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Cs w:val="21"/>
                      <w:highlight w:val="none"/>
                    </w:rPr>
                  </w:pPr>
                  <w:r>
                    <w:rPr>
                      <w:color w:val="auto"/>
                      <w:szCs w:val="21"/>
                      <w:highlight w:val="none"/>
                    </w:rPr>
                    <w:t>环境监理要点</w:t>
                  </w:r>
                </w:p>
              </w:tc>
            </w:tr>
            <w:tr>
              <w:tblPrEx>
                <w:tblLayout w:type="fixed"/>
                <w:tblCellMar>
                  <w:top w:w="0" w:type="dxa"/>
                  <w:left w:w="108" w:type="dxa"/>
                  <w:bottom w:w="0" w:type="dxa"/>
                  <w:right w:w="108" w:type="dxa"/>
                </w:tblCellMar>
              </w:tblPrEx>
              <w:trPr>
                <w:trHeight w:val="454" w:hRule="atLeast"/>
                <w:jc w:val="center"/>
              </w:trPr>
              <w:tc>
                <w:tcPr>
                  <w:tcW w:w="1250" w:type="dxa"/>
                  <w:tcBorders>
                    <w:top w:val="single" w:color="000000" w:sz="4" w:space="0"/>
                    <w:left w:val="nil"/>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Cs w:val="21"/>
                      <w:highlight w:val="none"/>
                    </w:rPr>
                  </w:pPr>
                  <w:r>
                    <w:rPr>
                      <w:rFonts w:hint="eastAsia"/>
                      <w:color w:val="auto"/>
                      <w:szCs w:val="21"/>
                      <w:highlight w:val="none"/>
                    </w:rPr>
                    <w:t>生态环境</w:t>
                  </w:r>
                </w:p>
              </w:tc>
              <w:tc>
                <w:tcPr>
                  <w:tcW w:w="6649" w:type="dxa"/>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color w:val="auto"/>
                      <w:szCs w:val="21"/>
                      <w:highlight w:val="none"/>
                    </w:rPr>
                  </w:pPr>
                  <w:r>
                    <w:rPr>
                      <w:rFonts w:hint="eastAsia"/>
                      <w:color w:val="auto"/>
                      <w:szCs w:val="21"/>
                      <w:highlight w:val="none"/>
                    </w:rPr>
                    <w:t>①施工场地的水土流失控制落实情况；</w:t>
                  </w:r>
                </w:p>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color w:val="auto"/>
                      <w:szCs w:val="21"/>
                      <w:highlight w:val="none"/>
                    </w:rPr>
                  </w:pPr>
                  <w:r>
                    <w:rPr>
                      <w:rFonts w:hint="eastAsia"/>
                      <w:color w:val="auto"/>
                      <w:szCs w:val="21"/>
                      <w:highlight w:val="none"/>
                    </w:rPr>
                    <w:t>②施工临时性工程用</w:t>
                  </w:r>
                  <w:r>
                    <w:rPr>
                      <w:rFonts w:hint="eastAsia"/>
                      <w:color w:val="auto"/>
                      <w:szCs w:val="21"/>
                      <w:highlight w:val="none"/>
                      <w:lang w:eastAsia="zh-CN"/>
                    </w:rPr>
                    <w:t>地貌</w:t>
                  </w:r>
                  <w:r>
                    <w:rPr>
                      <w:rFonts w:hint="eastAsia"/>
                      <w:color w:val="auto"/>
                      <w:szCs w:val="21"/>
                      <w:highlight w:val="none"/>
                    </w:rPr>
                    <w:t>恢复及水保措施落实情况。</w:t>
                  </w:r>
                </w:p>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color w:val="auto"/>
                      <w:szCs w:val="21"/>
                      <w:highlight w:val="none"/>
                    </w:rPr>
                  </w:pPr>
                  <w:r>
                    <w:rPr>
                      <w:rFonts w:hint="eastAsia"/>
                      <w:color w:val="auto"/>
                      <w:szCs w:val="21"/>
                      <w:highlight w:val="none"/>
                    </w:rPr>
                    <w:t>③定期对古树名木的生长情况、保护现状等进行动态监测和跟踪管理，并设立警示牌、保护标牌、围挡等保护设施。</w:t>
                  </w:r>
                </w:p>
              </w:tc>
            </w:tr>
            <w:tr>
              <w:tblPrEx>
                <w:tblLayout w:type="fixed"/>
                <w:tblCellMar>
                  <w:top w:w="0" w:type="dxa"/>
                  <w:left w:w="108" w:type="dxa"/>
                  <w:bottom w:w="0" w:type="dxa"/>
                  <w:right w:w="108" w:type="dxa"/>
                </w:tblCellMar>
              </w:tblPrEx>
              <w:trPr>
                <w:trHeight w:val="454" w:hRule="atLeast"/>
                <w:jc w:val="center"/>
              </w:trPr>
              <w:tc>
                <w:tcPr>
                  <w:tcW w:w="1250" w:type="dxa"/>
                  <w:tcBorders>
                    <w:top w:val="single" w:color="000000" w:sz="4" w:space="0"/>
                    <w:left w:val="nil"/>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Cs w:val="21"/>
                      <w:highlight w:val="none"/>
                    </w:rPr>
                  </w:pPr>
                  <w:r>
                    <w:rPr>
                      <w:rFonts w:hint="eastAsia"/>
                      <w:color w:val="auto"/>
                      <w:szCs w:val="21"/>
                      <w:highlight w:val="none"/>
                    </w:rPr>
                    <w:t>水环境</w:t>
                  </w:r>
                </w:p>
              </w:tc>
              <w:tc>
                <w:tcPr>
                  <w:tcW w:w="6649" w:type="dxa"/>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color w:val="auto"/>
                      <w:szCs w:val="21"/>
                      <w:highlight w:val="none"/>
                    </w:rPr>
                  </w:pPr>
                  <w:r>
                    <w:rPr>
                      <w:rFonts w:hint="eastAsia"/>
                      <w:color w:val="auto"/>
                      <w:szCs w:val="21"/>
                      <w:highlight w:val="none"/>
                    </w:rPr>
                    <w:t>施工场地的施工生产废水及临时生活污水收集情况；</w:t>
                  </w:r>
                </w:p>
              </w:tc>
            </w:tr>
            <w:tr>
              <w:tblPrEx>
                <w:tblLayout w:type="fixed"/>
                <w:tblCellMar>
                  <w:top w:w="0" w:type="dxa"/>
                  <w:left w:w="108" w:type="dxa"/>
                  <w:bottom w:w="0" w:type="dxa"/>
                  <w:right w:w="108" w:type="dxa"/>
                </w:tblCellMar>
              </w:tblPrEx>
              <w:trPr>
                <w:trHeight w:val="454" w:hRule="atLeast"/>
                <w:jc w:val="center"/>
              </w:trPr>
              <w:tc>
                <w:tcPr>
                  <w:tcW w:w="1250" w:type="dxa"/>
                  <w:tcBorders>
                    <w:top w:val="single" w:color="000000" w:sz="4" w:space="0"/>
                    <w:left w:val="nil"/>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Cs w:val="21"/>
                      <w:highlight w:val="none"/>
                    </w:rPr>
                  </w:pPr>
                  <w:r>
                    <w:rPr>
                      <w:rFonts w:hint="eastAsia"/>
                      <w:color w:val="auto"/>
                      <w:szCs w:val="21"/>
                      <w:highlight w:val="none"/>
                    </w:rPr>
                    <w:t>水土保持</w:t>
                  </w:r>
                </w:p>
              </w:tc>
              <w:tc>
                <w:tcPr>
                  <w:tcW w:w="6649" w:type="dxa"/>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color w:val="auto"/>
                      <w:szCs w:val="21"/>
                      <w:highlight w:val="none"/>
                    </w:rPr>
                  </w:pPr>
                  <w:r>
                    <w:rPr>
                      <w:rFonts w:hint="eastAsia"/>
                      <w:color w:val="auto"/>
                      <w:szCs w:val="21"/>
                      <w:highlight w:val="none"/>
                    </w:rPr>
                    <w:t>水土保持措施落实情况</w:t>
                  </w:r>
                </w:p>
              </w:tc>
            </w:tr>
            <w:tr>
              <w:tblPrEx>
                <w:tblLayout w:type="fixed"/>
                <w:tblCellMar>
                  <w:top w:w="0" w:type="dxa"/>
                  <w:left w:w="108" w:type="dxa"/>
                  <w:bottom w:w="0" w:type="dxa"/>
                  <w:right w:w="108" w:type="dxa"/>
                </w:tblCellMar>
              </w:tblPrEx>
              <w:trPr>
                <w:trHeight w:val="454" w:hRule="atLeast"/>
                <w:jc w:val="center"/>
              </w:trPr>
              <w:tc>
                <w:tcPr>
                  <w:tcW w:w="1250" w:type="dxa"/>
                  <w:tcBorders>
                    <w:top w:val="single" w:color="000000" w:sz="4" w:space="0"/>
                    <w:left w:val="nil"/>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Cs w:val="21"/>
                      <w:highlight w:val="none"/>
                    </w:rPr>
                  </w:pPr>
                  <w:r>
                    <w:rPr>
                      <w:rFonts w:hint="eastAsia"/>
                      <w:color w:val="auto"/>
                      <w:szCs w:val="21"/>
                      <w:highlight w:val="none"/>
                    </w:rPr>
                    <w:t>声环境</w:t>
                  </w:r>
                </w:p>
              </w:tc>
              <w:tc>
                <w:tcPr>
                  <w:tcW w:w="6649" w:type="dxa"/>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color w:val="auto"/>
                      <w:szCs w:val="21"/>
                      <w:highlight w:val="none"/>
                    </w:rPr>
                  </w:pPr>
                  <w:r>
                    <w:rPr>
                      <w:rFonts w:hint="eastAsia"/>
                      <w:color w:val="auto"/>
                      <w:szCs w:val="21"/>
                      <w:highlight w:val="none"/>
                    </w:rPr>
                    <w:t>①禁止夜间施工，如因特殊原因需施工的，必须报经当地生态环境主管部门批准，并予以公示；</w:t>
                  </w:r>
                </w:p>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color w:val="auto"/>
                      <w:szCs w:val="21"/>
                      <w:highlight w:val="none"/>
                    </w:rPr>
                  </w:pPr>
                  <w:r>
                    <w:rPr>
                      <w:rFonts w:hint="eastAsia"/>
                      <w:color w:val="auto"/>
                      <w:szCs w:val="21"/>
                      <w:highlight w:val="none"/>
                    </w:rPr>
                    <w:t>②若在本工程施工期间，距离最近的九00医院总院、象山公寓、东方苑、山水公寓小区、双安城、职业病防治院、九龙山庄、西湖别墅、光华楼、西凤社区、大梦山小区、湖滨新城、福建省司法大楼、梅峰井边新村、山海观花园新城、福建行政学校、福建省档案馆（后库）、西湖公园、左海公园、梅海园2期、融侨花园（III区）、福建省高级人民法院、省公安厅宿舍，施工场地是否设置临时围屏。</w:t>
                  </w:r>
                </w:p>
              </w:tc>
            </w:tr>
            <w:tr>
              <w:tblPrEx>
                <w:tblLayout w:type="fixed"/>
                <w:tblCellMar>
                  <w:top w:w="0" w:type="dxa"/>
                  <w:left w:w="108" w:type="dxa"/>
                  <w:bottom w:w="0" w:type="dxa"/>
                  <w:right w:w="108" w:type="dxa"/>
                </w:tblCellMar>
              </w:tblPrEx>
              <w:trPr>
                <w:trHeight w:val="454" w:hRule="atLeast"/>
                <w:jc w:val="center"/>
              </w:trPr>
              <w:tc>
                <w:tcPr>
                  <w:tcW w:w="1250" w:type="dxa"/>
                  <w:tcBorders>
                    <w:top w:val="single" w:color="000000" w:sz="4" w:space="0"/>
                    <w:left w:val="nil"/>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Cs w:val="21"/>
                      <w:highlight w:val="none"/>
                    </w:rPr>
                  </w:pPr>
                  <w:r>
                    <w:rPr>
                      <w:rFonts w:hint="eastAsia"/>
                      <w:color w:val="auto"/>
                      <w:szCs w:val="21"/>
                      <w:highlight w:val="none"/>
                    </w:rPr>
                    <w:t>环境空气</w:t>
                  </w:r>
                </w:p>
              </w:tc>
              <w:tc>
                <w:tcPr>
                  <w:tcW w:w="6649" w:type="dxa"/>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color w:val="auto"/>
                      <w:szCs w:val="21"/>
                      <w:highlight w:val="none"/>
                    </w:rPr>
                  </w:pPr>
                  <w:r>
                    <w:rPr>
                      <w:rFonts w:hint="eastAsia"/>
                      <w:color w:val="auto"/>
                      <w:szCs w:val="21"/>
                      <w:highlight w:val="none"/>
                    </w:rPr>
                    <w:t>① 施工现场及施工运输道路洒水降尘措施落实情况；</w:t>
                  </w:r>
                </w:p>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color w:val="auto"/>
                      <w:szCs w:val="21"/>
                      <w:highlight w:val="none"/>
                    </w:rPr>
                  </w:pPr>
                  <w:r>
                    <w:rPr>
                      <w:rFonts w:hint="eastAsia"/>
                      <w:color w:val="auto"/>
                      <w:szCs w:val="21"/>
                      <w:highlight w:val="none"/>
                    </w:rPr>
                    <w:t>②土石方开挖填及运输过程中的扬尘控制措施落实情况。</w:t>
                  </w:r>
                </w:p>
              </w:tc>
            </w:tr>
            <w:tr>
              <w:tblPrEx>
                <w:tblLayout w:type="fixed"/>
                <w:tblCellMar>
                  <w:top w:w="0" w:type="dxa"/>
                  <w:left w:w="108" w:type="dxa"/>
                  <w:bottom w:w="0" w:type="dxa"/>
                  <w:right w:w="108" w:type="dxa"/>
                </w:tblCellMar>
              </w:tblPrEx>
              <w:trPr>
                <w:trHeight w:val="454" w:hRule="atLeast"/>
                <w:jc w:val="center"/>
              </w:trPr>
              <w:tc>
                <w:tcPr>
                  <w:tcW w:w="1250" w:type="dxa"/>
                  <w:tcBorders>
                    <w:top w:val="single" w:color="000000" w:sz="4" w:space="0"/>
                    <w:left w:val="nil"/>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color w:val="auto"/>
                      <w:szCs w:val="21"/>
                      <w:highlight w:val="none"/>
                      <w:lang w:eastAsia="zh-CN"/>
                    </w:rPr>
                  </w:pPr>
                  <w:r>
                    <w:rPr>
                      <w:rFonts w:hint="eastAsia"/>
                      <w:color w:val="auto"/>
                      <w:szCs w:val="21"/>
                      <w:highlight w:val="none"/>
                      <w:lang w:eastAsia="zh-CN"/>
                    </w:rPr>
                    <w:t>地下水环境</w:t>
                  </w:r>
                </w:p>
              </w:tc>
              <w:tc>
                <w:tcPr>
                  <w:tcW w:w="6649" w:type="dxa"/>
                  <w:tcBorders>
                    <w:top w:val="single" w:color="000000" w:sz="4" w:space="0"/>
                    <w:left w:val="single" w:color="000000" w:sz="4" w:space="0"/>
                    <w:bottom w:val="single" w:color="000000" w:sz="4" w:space="0"/>
                    <w:right w:val="nil"/>
                  </w:tcBorders>
                  <w:vAlign w:val="center"/>
                </w:tcPr>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color w:val="auto"/>
                      <w:szCs w:val="21"/>
                      <w:highlight w:val="none"/>
                      <w:lang w:eastAsia="zh-CN"/>
                    </w:rPr>
                  </w:pPr>
                  <w:r>
                    <w:rPr>
                      <w:rFonts w:hint="eastAsia"/>
                      <w:color w:val="auto"/>
                      <w:szCs w:val="21"/>
                      <w:highlight w:val="none"/>
                      <w:lang w:eastAsia="zh-CN"/>
                    </w:rPr>
                    <w:t>①注浆围堵情况。</w:t>
                  </w:r>
                </w:p>
                <w:p>
                  <w:pPr>
                    <w:pStyle w:val="1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eastAsia="宋体"/>
                      <w:color w:val="auto"/>
                      <w:szCs w:val="21"/>
                      <w:highlight w:val="none"/>
                      <w:lang w:eastAsia="zh-CN"/>
                    </w:rPr>
                  </w:pPr>
                  <w:r>
                    <w:rPr>
                      <w:rFonts w:hint="eastAsia"/>
                      <w:color w:val="auto"/>
                      <w:szCs w:val="21"/>
                      <w:highlight w:val="none"/>
                      <w:lang w:eastAsia="zh-CN"/>
                    </w:rPr>
                    <w:t>②地</w:t>
                  </w:r>
                  <w:r>
                    <w:rPr>
                      <w:rFonts w:hint="eastAsia"/>
                      <w:color w:val="auto"/>
                      <w:szCs w:val="21"/>
                      <w:highlight w:val="none"/>
                    </w:rPr>
                    <w:t>下水</w:t>
                  </w:r>
                  <w:r>
                    <w:rPr>
                      <w:rFonts w:hint="eastAsia"/>
                      <w:color w:val="auto"/>
                      <w:szCs w:val="21"/>
                      <w:highlight w:val="none"/>
                      <w:lang w:eastAsia="zh-CN"/>
                    </w:rPr>
                    <w:t>监测点位设置情况，相关的</w:t>
                  </w:r>
                  <w:r>
                    <w:rPr>
                      <w:rFonts w:hint="eastAsia"/>
                      <w:color w:val="auto"/>
                      <w:szCs w:val="21"/>
                      <w:highlight w:val="none"/>
                    </w:rPr>
                    <w:t>水位、水质情况</w:t>
                  </w:r>
                  <w:r>
                    <w:rPr>
                      <w:rFonts w:hint="eastAsia"/>
                      <w:color w:val="auto"/>
                      <w:szCs w:val="21"/>
                      <w:highlight w:val="none"/>
                      <w:lang w:eastAsia="zh-CN"/>
                    </w:rPr>
                    <w:t>。</w:t>
                  </w:r>
                </w:p>
              </w:tc>
            </w:tr>
          </w:tbl>
          <w:p>
            <w:pPr>
              <w:adjustRightInd w:val="0"/>
              <w:snapToGrid w:val="0"/>
              <w:spacing w:line="360" w:lineRule="auto"/>
              <w:ind w:firstLine="522" w:firstLineChars="200"/>
              <w:outlineLvl w:val="2"/>
              <w:rPr>
                <w:b/>
                <w:color w:val="auto"/>
                <w:spacing w:val="10"/>
                <w:sz w:val="24"/>
                <w:highlight w:val="none"/>
              </w:rPr>
            </w:pPr>
            <w:r>
              <w:rPr>
                <w:rFonts w:hint="eastAsia"/>
                <w:b/>
                <w:color w:val="auto"/>
                <w:spacing w:val="10"/>
                <w:sz w:val="24"/>
                <w:highlight w:val="none"/>
              </w:rPr>
              <w:t>8、</w:t>
            </w:r>
            <w:r>
              <w:rPr>
                <w:b/>
                <w:color w:val="auto"/>
                <w:spacing w:val="10"/>
                <w:sz w:val="24"/>
                <w:highlight w:val="none"/>
              </w:rPr>
              <w:t>环境监测计划</w:t>
            </w:r>
          </w:p>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本工程监测重点为环境噪声，施工期主要监测施工噪声，营运期主要是</w:t>
            </w:r>
            <w:r>
              <w:rPr>
                <w:rFonts w:hint="eastAsia"/>
                <w:color w:val="auto"/>
                <w:sz w:val="24"/>
                <w:highlight w:val="none"/>
              </w:rPr>
              <w:t>声环境保护目标</w:t>
            </w:r>
            <w:r>
              <w:rPr>
                <w:bCs/>
                <w:color w:val="auto"/>
                <w:spacing w:val="10"/>
                <w:sz w:val="24"/>
                <w:highlight w:val="none"/>
              </w:rPr>
              <w:t>的环境噪声监测。本项目环境监测计划具体见表5-</w:t>
            </w:r>
            <w:r>
              <w:rPr>
                <w:rFonts w:hint="eastAsia"/>
                <w:bCs/>
                <w:color w:val="auto"/>
                <w:spacing w:val="10"/>
                <w:sz w:val="24"/>
                <w:highlight w:val="none"/>
              </w:rPr>
              <w:t>4</w:t>
            </w:r>
            <w:r>
              <w:rPr>
                <w:bCs/>
                <w:color w:val="auto"/>
                <w:spacing w:val="10"/>
                <w:sz w:val="24"/>
                <w:highlight w:val="none"/>
              </w:rPr>
              <w:t>。</w:t>
            </w:r>
          </w:p>
          <w:p>
            <w:pPr>
              <w:adjustRightInd w:val="0"/>
              <w:snapToGrid w:val="0"/>
              <w:ind w:firstLine="422"/>
              <w:jc w:val="center"/>
              <w:rPr>
                <w:b/>
                <w:bCs/>
                <w:color w:val="auto"/>
                <w:kern w:val="0"/>
                <w:sz w:val="24"/>
                <w:highlight w:val="none"/>
              </w:rPr>
            </w:pPr>
            <w:r>
              <w:rPr>
                <w:b/>
                <w:bCs/>
                <w:color w:val="auto"/>
                <w:kern w:val="0"/>
                <w:sz w:val="24"/>
                <w:highlight w:val="none"/>
              </w:rPr>
              <w:t>表5-</w:t>
            </w:r>
            <w:r>
              <w:rPr>
                <w:rFonts w:hint="eastAsia"/>
                <w:b/>
                <w:bCs/>
                <w:color w:val="auto"/>
                <w:kern w:val="0"/>
                <w:sz w:val="24"/>
                <w:highlight w:val="none"/>
              </w:rPr>
              <w:t>4</w:t>
            </w:r>
            <w:r>
              <w:rPr>
                <w:b/>
                <w:bCs/>
                <w:color w:val="auto"/>
                <w:kern w:val="0"/>
                <w:sz w:val="24"/>
                <w:highlight w:val="none"/>
              </w:rPr>
              <w:t xml:space="preserve"> 环境噪声监测计划</w:t>
            </w:r>
          </w:p>
          <w:tbl>
            <w:tblPr>
              <w:tblStyle w:val="23"/>
              <w:tblW w:w="82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909"/>
              <w:gridCol w:w="885"/>
              <w:gridCol w:w="1290"/>
              <w:gridCol w:w="960"/>
              <w:gridCol w:w="765"/>
              <w:gridCol w:w="7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670"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阶段</w:t>
                  </w:r>
                </w:p>
              </w:tc>
              <w:tc>
                <w:tcPr>
                  <w:tcW w:w="2909"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监测地点</w:t>
                  </w:r>
                </w:p>
              </w:tc>
              <w:tc>
                <w:tcPr>
                  <w:tcW w:w="885"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监测频次</w:t>
                  </w:r>
                </w:p>
              </w:tc>
              <w:tc>
                <w:tcPr>
                  <w:tcW w:w="1290"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监测时间</w:t>
                  </w:r>
                </w:p>
              </w:tc>
              <w:tc>
                <w:tcPr>
                  <w:tcW w:w="960"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实施机构</w:t>
                  </w:r>
                </w:p>
              </w:tc>
              <w:tc>
                <w:tcPr>
                  <w:tcW w:w="765"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负责机构</w:t>
                  </w:r>
                </w:p>
              </w:tc>
              <w:tc>
                <w:tcPr>
                  <w:tcW w:w="762"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监督机构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670"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施工期</w:t>
                  </w:r>
                </w:p>
              </w:tc>
              <w:tc>
                <w:tcPr>
                  <w:tcW w:w="2909" w:type="dxa"/>
                  <w:vAlign w:val="center"/>
                </w:tcPr>
                <w:p>
                  <w:pPr>
                    <w:pStyle w:val="15"/>
                    <w:snapToGrid w:val="0"/>
                    <w:spacing w:after="0"/>
                    <w:ind w:left="0" w:leftChars="0" w:firstLine="0" w:firstLineChars="0"/>
                    <w:jc w:val="center"/>
                    <w:rPr>
                      <w:rFonts w:hint="eastAsia"/>
                      <w:color w:val="auto"/>
                      <w:szCs w:val="21"/>
                      <w:highlight w:val="none"/>
                    </w:rPr>
                  </w:pPr>
                  <w:r>
                    <w:rPr>
                      <w:rFonts w:hint="eastAsia"/>
                      <w:color w:val="auto"/>
                      <w:szCs w:val="21"/>
                      <w:highlight w:val="none"/>
                    </w:rPr>
                    <w:t>九00医院总院、象山公寓、东方苑、山水公寓小区、双安城、职业病防治院、九龙山庄、西湖别墅、光华楼、西凤社区、大梦山小区、湖滨新城、福建省司法大楼、梅峰井边新村、山海观花园新城、福建行政学校、福建省档案馆（后库）、西湖公园、左海公园、梅海园2期、融侨花园（III区）、福建省高级人民法院、省公安厅宿舍</w:t>
                  </w:r>
                </w:p>
              </w:tc>
              <w:tc>
                <w:tcPr>
                  <w:tcW w:w="885" w:type="dxa"/>
                  <w:vAlign w:val="center"/>
                </w:tcPr>
                <w:p>
                  <w:pPr>
                    <w:pStyle w:val="15"/>
                    <w:snapToGrid w:val="0"/>
                    <w:spacing w:after="0"/>
                    <w:ind w:left="0" w:leftChars="0" w:firstLine="0" w:firstLineChars="0"/>
                    <w:jc w:val="center"/>
                    <w:rPr>
                      <w:color w:val="auto"/>
                      <w:szCs w:val="21"/>
                      <w:highlight w:val="none"/>
                    </w:rPr>
                  </w:pPr>
                  <w:r>
                    <w:rPr>
                      <w:color w:val="auto"/>
                      <w:kern w:val="0"/>
                      <w:szCs w:val="21"/>
                      <w:highlight w:val="none"/>
                    </w:rPr>
                    <w:t>1次/季度</w:t>
                  </w:r>
                </w:p>
              </w:tc>
              <w:tc>
                <w:tcPr>
                  <w:tcW w:w="1290"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1天/次，昼夜间各监测一次</w:t>
                  </w:r>
                </w:p>
              </w:tc>
              <w:tc>
                <w:tcPr>
                  <w:tcW w:w="960" w:type="dxa"/>
                  <w:vMerge w:val="restart"/>
                  <w:vAlign w:val="center"/>
                </w:tcPr>
                <w:p>
                  <w:pPr>
                    <w:pStyle w:val="15"/>
                    <w:snapToGrid w:val="0"/>
                    <w:spacing w:after="0"/>
                    <w:ind w:left="0" w:leftChars="0" w:firstLine="0" w:firstLineChars="0"/>
                    <w:jc w:val="center"/>
                    <w:rPr>
                      <w:color w:val="auto"/>
                      <w:szCs w:val="21"/>
                      <w:highlight w:val="none"/>
                    </w:rPr>
                  </w:pPr>
                  <w:r>
                    <w:rPr>
                      <w:color w:val="auto"/>
                      <w:kern w:val="0"/>
                      <w:szCs w:val="21"/>
                      <w:highlight w:val="none"/>
                    </w:rPr>
                    <w:t>委托有资质环境监测单位进行监测</w:t>
                  </w:r>
                </w:p>
              </w:tc>
              <w:tc>
                <w:tcPr>
                  <w:tcW w:w="765" w:type="dxa"/>
                  <w:vMerge w:val="restart"/>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建设单位</w:t>
                  </w:r>
                </w:p>
              </w:tc>
              <w:tc>
                <w:tcPr>
                  <w:tcW w:w="762" w:type="dxa"/>
                  <w:vMerge w:val="restart"/>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环保部门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670"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运营期</w:t>
                  </w:r>
                </w:p>
              </w:tc>
              <w:tc>
                <w:tcPr>
                  <w:tcW w:w="2909" w:type="dxa"/>
                  <w:vAlign w:val="center"/>
                </w:tcPr>
                <w:p>
                  <w:pPr>
                    <w:pStyle w:val="15"/>
                    <w:snapToGrid w:val="0"/>
                    <w:spacing w:after="0"/>
                    <w:ind w:left="0" w:leftChars="0" w:firstLine="0" w:firstLineChars="0"/>
                    <w:jc w:val="center"/>
                    <w:rPr>
                      <w:rFonts w:hint="eastAsia" w:eastAsia="宋体"/>
                      <w:color w:val="auto"/>
                      <w:szCs w:val="21"/>
                      <w:highlight w:val="none"/>
                      <w:lang w:eastAsia="zh-CN"/>
                    </w:rPr>
                  </w:pPr>
                  <w:r>
                    <w:rPr>
                      <w:rFonts w:hint="eastAsia"/>
                      <w:color w:val="auto"/>
                      <w:szCs w:val="21"/>
                      <w:highlight w:val="none"/>
                    </w:rPr>
                    <w:t>沿线具有代表性的声环境保护目标</w:t>
                  </w:r>
                  <w:r>
                    <w:rPr>
                      <w:rStyle w:val="22"/>
                      <w:rFonts w:hint="eastAsia"/>
                      <w:color w:val="auto"/>
                      <w:kern w:val="0"/>
                      <w:highlight w:val="none"/>
                      <w:lang w:eastAsia="zh-CN"/>
                    </w:rPr>
                    <w:t>（融侨花园（III区）、梅海园2期、福建行政学校（梅峰校区）、山海观花园新城、东方苑、福州九00医院总院、象山公寓、山水公寓小区、职业病防治院（员工宿舍区）、福建省司法大楼、井边新村、左海公园）</w:t>
                  </w:r>
                </w:p>
              </w:tc>
              <w:tc>
                <w:tcPr>
                  <w:tcW w:w="885" w:type="dxa"/>
                  <w:vAlign w:val="center"/>
                </w:tcPr>
                <w:p>
                  <w:pPr>
                    <w:pStyle w:val="15"/>
                    <w:snapToGrid w:val="0"/>
                    <w:spacing w:after="0"/>
                    <w:ind w:left="0" w:leftChars="0" w:firstLine="0" w:firstLineChars="0"/>
                    <w:jc w:val="center"/>
                    <w:rPr>
                      <w:rFonts w:hint="eastAsia"/>
                      <w:color w:val="auto"/>
                      <w:szCs w:val="21"/>
                      <w:highlight w:val="none"/>
                    </w:rPr>
                  </w:pPr>
                  <w:r>
                    <w:rPr>
                      <w:rFonts w:hint="eastAsia"/>
                      <w:color w:val="auto"/>
                      <w:szCs w:val="21"/>
                      <w:highlight w:val="none"/>
                    </w:rPr>
                    <w:t>1次/季度</w:t>
                  </w:r>
                </w:p>
              </w:tc>
              <w:tc>
                <w:tcPr>
                  <w:tcW w:w="1290" w:type="dxa"/>
                  <w:vAlign w:val="center"/>
                </w:tcPr>
                <w:p>
                  <w:pPr>
                    <w:pStyle w:val="15"/>
                    <w:snapToGrid w:val="0"/>
                    <w:spacing w:after="0"/>
                    <w:ind w:left="0" w:leftChars="0" w:firstLine="0" w:firstLineChars="0"/>
                    <w:jc w:val="center"/>
                    <w:rPr>
                      <w:color w:val="auto"/>
                      <w:szCs w:val="21"/>
                      <w:highlight w:val="none"/>
                    </w:rPr>
                  </w:pPr>
                  <w:r>
                    <w:rPr>
                      <w:color w:val="auto"/>
                      <w:szCs w:val="21"/>
                      <w:highlight w:val="none"/>
                    </w:rPr>
                    <w:t>1天/次，昼夜间各监测一次</w:t>
                  </w:r>
                </w:p>
              </w:tc>
              <w:tc>
                <w:tcPr>
                  <w:tcW w:w="960" w:type="dxa"/>
                  <w:vMerge w:val="continue"/>
                  <w:vAlign w:val="center"/>
                </w:tcPr>
                <w:p>
                  <w:pPr>
                    <w:pStyle w:val="15"/>
                    <w:snapToGrid w:val="0"/>
                    <w:spacing w:after="0"/>
                    <w:jc w:val="center"/>
                    <w:rPr>
                      <w:color w:val="auto"/>
                      <w:szCs w:val="21"/>
                      <w:highlight w:val="none"/>
                    </w:rPr>
                  </w:pPr>
                </w:p>
              </w:tc>
              <w:tc>
                <w:tcPr>
                  <w:tcW w:w="765" w:type="dxa"/>
                  <w:vMerge w:val="continue"/>
                  <w:vAlign w:val="center"/>
                </w:tcPr>
                <w:p>
                  <w:pPr>
                    <w:pStyle w:val="15"/>
                    <w:snapToGrid w:val="0"/>
                    <w:spacing w:after="0"/>
                    <w:jc w:val="center"/>
                    <w:rPr>
                      <w:color w:val="auto"/>
                      <w:szCs w:val="21"/>
                      <w:highlight w:val="none"/>
                    </w:rPr>
                  </w:pPr>
                </w:p>
              </w:tc>
              <w:tc>
                <w:tcPr>
                  <w:tcW w:w="762" w:type="dxa"/>
                  <w:vMerge w:val="continue"/>
                  <w:vAlign w:val="center"/>
                </w:tcPr>
                <w:p>
                  <w:pPr>
                    <w:pStyle w:val="15"/>
                    <w:snapToGrid w:val="0"/>
                    <w:spacing w:after="0"/>
                    <w:jc w:val="center"/>
                    <w:rPr>
                      <w:color w:val="auto"/>
                      <w:szCs w:val="21"/>
                      <w:highlight w:val="none"/>
                    </w:rPr>
                  </w:pPr>
                </w:p>
              </w:tc>
            </w:tr>
          </w:tbl>
          <w:p>
            <w:pPr>
              <w:pStyle w:val="9"/>
              <w:rPr>
                <w:rFonts w:hint="eastAsia"/>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53" w:type="dxa"/>
            <w:vAlign w:val="center"/>
          </w:tcPr>
          <w:p>
            <w:pPr>
              <w:adjustRightInd w:val="0"/>
              <w:snapToGrid w:val="0"/>
              <w:jc w:val="center"/>
              <w:rPr>
                <w:bCs/>
                <w:color w:val="auto"/>
                <w:spacing w:val="10"/>
                <w:szCs w:val="21"/>
                <w:highlight w:val="none"/>
              </w:rPr>
            </w:pPr>
            <w:r>
              <w:rPr>
                <w:bCs/>
                <w:color w:val="auto"/>
                <w:szCs w:val="21"/>
                <w:highlight w:val="none"/>
              </w:rPr>
              <w:t>其他</w:t>
            </w:r>
          </w:p>
        </w:tc>
        <w:tc>
          <w:tcPr>
            <w:tcW w:w="8457" w:type="dxa"/>
            <w:vAlign w:val="center"/>
          </w:tcPr>
          <w:p>
            <w:pPr>
              <w:adjustRightInd w:val="0"/>
              <w:snapToGrid w:val="0"/>
              <w:jc w:val="center"/>
              <w:rPr>
                <w:bCs/>
                <w:color w:val="auto"/>
                <w:spacing w:val="10"/>
                <w:szCs w:val="21"/>
                <w:highlight w:val="none"/>
              </w:rPr>
            </w:pPr>
            <w:r>
              <w:rPr>
                <w:bCs/>
                <w:color w:val="auto"/>
                <w:spacing w:val="10"/>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753" w:type="dxa"/>
            <w:vAlign w:val="center"/>
          </w:tcPr>
          <w:p>
            <w:pPr>
              <w:adjustRightInd w:val="0"/>
              <w:snapToGrid w:val="0"/>
              <w:jc w:val="center"/>
              <w:rPr>
                <w:bCs/>
                <w:color w:val="auto"/>
                <w:szCs w:val="21"/>
                <w:highlight w:val="none"/>
              </w:rPr>
            </w:pPr>
            <w:r>
              <w:rPr>
                <w:bCs/>
                <w:color w:val="auto"/>
                <w:szCs w:val="21"/>
                <w:highlight w:val="none"/>
              </w:rPr>
              <w:t>环保投资</w:t>
            </w:r>
          </w:p>
        </w:tc>
        <w:tc>
          <w:tcPr>
            <w:tcW w:w="8457" w:type="dxa"/>
            <w:vAlign w:val="top"/>
          </w:tcPr>
          <w:p>
            <w:pPr>
              <w:adjustRightInd w:val="0"/>
              <w:snapToGrid w:val="0"/>
              <w:spacing w:line="360" w:lineRule="auto"/>
              <w:ind w:firstLine="520" w:firstLineChars="200"/>
              <w:outlineLvl w:val="2"/>
              <w:rPr>
                <w:bCs/>
                <w:color w:val="auto"/>
                <w:spacing w:val="10"/>
                <w:sz w:val="24"/>
                <w:highlight w:val="none"/>
              </w:rPr>
            </w:pPr>
            <w:r>
              <w:rPr>
                <w:bCs/>
                <w:color w:val="auto"/>
                <w:spacing w:val="10"/>
                <w:sz w:val="24"/>
                <w:highlight w:val="none"/>
              </w:rPr>
              <w:t>建设项目估算总投资为</w:t>
            </w:r>
            <w:r>
              <w:rPr>
                <w:rFonts w:hint="eastAsia"/>
                <w:bCs/>
                <w:color w:val="auto"/>
                <w:spacing w:val="10"/>
                <w:sz w:val="24"/>
                <w:highlight w:val="none"/>
              </w:rPr>
              <w:t>80658.99</w:t>
            </w:r>
            <w:r>
              <w:rPr>
                <w:bCs/>
                <w:color w:val="auto"/>
                <w:spacing w:val="10"/>
                <w:sz w:val="24"/>
                <w:highlight w:val="none"/>
              </w:rPr>
              <w:t>万元，环保投资</w:t>
            </w:r>
            <w:r>
              <w:rPr>
                <w:rFonts w:hint="eastAsia"/>
                <w:bCs/>
                <w:color w:val="auto"/>
                <w:spacing w:val="10"/>
                <w:sz w:val="24"/>
                <w:highlight w:val="none"/>
              </w:rPr>
              <w:t>9</w:t>
            </w:r>
            <w:r>
              <w:rPr>
                <w:rFonts w:hint="eastAsia"/>
                <w:bCs/>
                <w:color w:val="auto"/>
                <w:spacing w:val="10"/>
                <w:sz w:val="24"/>
                <w:highlight w:val="none"/>
                <w:lang w:val="en-US" w:eastAsia="zh-CN"/>
              </w:rPr>
              <w:t>0</w:t>
            </w:r>
            <w:r>
              <w:rPr>
                <w:rFonts w:hint="eastAsia"/>
                <w:bCs/>
                <w:color w:val="auto"/>
                <w:spacing w:val="10"/>
                <w:sz w:val="24"/>
                <w:highlight w:val="none"/>
              </w:rPr>
              <w:t>6万</w:t>
            </w:r>
            <w:r>
              <w:rPr>
                <w:bCs/>
                <w:color w:val="auto"/>
                <w:spacing w:val="10"/>
                <w:sz w:val="24"/>
                <w:highlight w:val="none"/>
              </w:rPr>
              <w:t>元，占总投资的</w:t>
            </w:r>
            <w:r>
              <w:rPr>
                <w:rFonts w:hint="eastAsia"/>
                <w:bCs/>
                <w:color w:val="auto"/>
                <w:spacing w:val="10"/>
                <w:sz w:val="24"/>
                <w:highlight w:val="none"/>
              </w:rPr>
              <w:t>1.1</w:t>
            </w:r>
            <w:r>
              <w:rPr>
                <w:rFonts w:hint="eastAsia"/>
                <w:bCs/>
                <w:color w:val="auto"/>
                <w:spacing w:val="10"/>
                <w:sz w:val="24"/>
                <w:highlight w:val="none"/>
                <w:lang w:val="en-US" w:eastAsia="zh-CN"/>
              </w:rPr>
              <w:t>2</w:t>
            </w:r>
            <w:r>
              <w:rPr>
                <w:bCs/>
                <w:color w:val="auto"/>
                <w:spacing w:val="10"/>
                <w:sz w:val="24"/>
                <w:highlight w:val="none"/>
              </w:rPr>
              <w:t>%。本工程环保投资明细见5-</w:t>
            </w:r>
            <w:r>
              <w:rPr>
                <w:rFonts w:hint="eastAsia"/>
                <w:bCs/>
                <w:color w:val="auto"/>
                <w:spacing w:val="10"/>
                <w:sz w:val="24"/>
                <w:highlight w:val="none"/>
              </w:rPr>
              <w:t>5</w:t>
            </w:r>
            <w:r>
              <w:rPr>
                <w:bCs/>
                <w:color w:val="auto"/>
                <w:spacing w:val="10"/>
                <w:sz w:val="24"/>
                <w:highlight w:val="none"/>
              </w:rPr>
              <w:t>。</w:t>
            </w:r>
          </w:p>
          <w:p>
            <w:pPr>
              <w:adjustRightInd w:val="0"/>
              <w:snapToGrid w:val="0"/>
              <w:jc w:val="center"/>
              <w:outlineLvl w:val="2"/>
              <w:rPr>
                <w:bCs/>
                <w:color w:val="auto"/>
                <w:spacing w:val="10"/>
                <w:sz w:val="24"/>
                <w:highlight w:val="none"/>
              </w:rPr>
            </w:pPr>
            <w:r>
              <w:rPr>
                <w:b/>
                <w:color w:val="auto"/>
                <w:spacing w:val="10"/>
                <w:sz w:val="24"/>
                <w:highlight w:val="none"/>
              </w:rPr>
              <w:t>表5-</w:t>
            </w:r>
            <w:r>
              <w:rPr>
                <w:rFonts w:hint="eastAsia"/>
                <w:b/>
                <w:color w:val="auto"/>
                <w:spacing w:val="10"/>
                <w:sz w:val="24"/>
                <w:highlight w:val="none"/>
              </w:rPr>
              <w:t>5</w:t>
            </w:r>
            <w:r>
              <w:rPr>
                <w:b/>
                <w:color w:val="auto"/>
                <w:spacing w:val="10"/>
                <w:sz w:val="24"/>
                <w:highlight w:val="none"/>
              </w:rPr>
              <w:t xml:space="preserve"> 项目环保投资费用估算一览表</w:t>
            </w:r>
          </w:p>
          <w:tbl>
            <w:tblPr>
              <w:tblStyle w:val="23"/>
              <w:tblW w:w="813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79"/>
              <w:gridCol w:w="1151"/>
              <w:gridCol w:w="2570"/>
              <w:gridCol w:w="968"/>
              <w:gridCol w:w="3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616" w:hRule="atLeast"/>
                <w:jc w:val="center"/>
              </w:trPr>
              <w:tc>
                <w:tcPr>
                  <w:tcW w:w="379" w:type="dxa"/>
                  <w:vAlign w:val="center"/>
                </w:tcPr>
                <w:p>
                  <w:pPr>
                    <w:adjustRightInd w:val="0"/>
                    <w:snapToGrid w:val="0"/>
                    <w:ind w:left="-105" w:leftChars="-50" w:right="-105" w:rightChars="-50"/>
                    <w:jc w:val="center"/>
                    <w:rPr>
                      <w:b/>
                      <w:color w:val="auto"/>
                      <w:szCs w:val="21"/>
                      <w:highlight w:val="none"/>
                    </w:rPr>
                  </w:pPr>
                  <w:r>
                    <w:rPr>
                      <w:b/>
                      <w:color w:val="auto"/>
                      <w:szCs w:val="21"/>
                      <w:highlight w:val="none"/>
                    </w:rPr>
                    <w:t>时</w:t>
                  </w:r>
                </w:p>
                <w:p>
                  <w:pPr>
                    <w:adjustRightInd w:val="0"/>
                    <w:snapToGrid w:val="0"/>
                    <w:ind w:left="-105" w:leftChars="-50" w:right="-105" w:rightChars="-50"/>
                    <w:jc w:val="center"/>
                    <w:rPr>
                      <w:b/>
                      <w:color w:val="auto"/>
                      <w:szCs w:val="21"/>
                      <w:highlight w:val="none"/>
                    </w:rPr>
                  </w:pPr>
                  <w:r>
                    <w:rPr>
                      <w:b/>
                      <w:color w:val="auto"/>
                      <w:szCs w:val="21"/>
                      <w:highlight w:val="none"/>
                    </w:rPr>
                    <w:t>段</w:t>
                  </w:r>
                </w:p>
              </w:tc>
              <w:tc>
                <w:tcPr>
                  <w:tcW w:w="1151" w:type="dxa"/>
                  <w:vAlign w:val="center"/>
                </w:tcPr>
                <w:p>
                  <w:pPr>
                    <w:adjustRightInd w:val="0"/>
                    <w:snapToGrid w:val="0"/>
                    <w:jc w:val="center"/>
                    <w:rPr>
                      <w:b/>
                      <w:color w:val="auto"/>
                      <w:szCs w:val="21"/>
                      <w:highlight w:val="none"/>
                    </w:rPr>
                  </w:pPr>
                  <w:r>
                    <w:rPr>
                      <w:b/>
                      <w:color w:val="auto"/>
                      <w:szCs w:val="21"/>
                      <w:highlight w:val="none"/>
                    </w:rPr>
                    <w:t>项 目</w:t>
                  </w:r>
                </w:p>
              </w:tc>
              <w:tc>
                <w:tcPr>
                  <w:tcW w:w="2570" w:type="dxa"/>
                  <w:vAlign w:val="center"/>
                </w:tcPr>
                <w:p>
                  <w:pPr>
                    <w:adjustRightInd w:val="0"/>
                    <w:snapToGrid w:val="0"/>
                    <w:jc w:val="center"/>
                    <w:rPr>
                      <w:b/>
                      <w:color w:val="auto"/>
                      <w:szCs w:val="21"/>
                      <w:highlight w:val="none"/>
                    </w:rPr>
                  </w:pPr>
                  <w:r>
                    <w:rPr>
                      <w:b/>
                      <w:color w:val="auto"/>
                      <w:szCs w:val="21"/>
                      <w:highlight w:val="none"/>
                    </w:rPr>
                    <w:t>内  容</w:t>
                  </w:r>
                </w:p>
              </w:tc>
              <w:tc>
                <w:tcPr>
                  <w:tcW w:w="968" w:type="dxa"/>
                  <w:vAlign w:val="center"/>
                </w:tcPr>
                <w:p>
                  <w:pPr>
                    <w:adjustRightInd w:val="0"/>
                    <w:snapToGrid w:val="0"/>
                    <w:jc w:val="center"/>
                    <w:rPr>
                      <w:b/>
                      <w:color w:val="auto"/>
                      <w:szCs w:val="21"/>
                      <w:highlight w:val="none"/>
                    </w:rPr>
                  </w:pPr>
                  <w:r>
                    <w:rPr>
                      <w:b/>
                      <w:color w:val="auto"/>
                      <w:szCs w:val="21"/>
                      <w:highlight w:val="none"/>
                    </w:rPr>
                    <w:t>投资金额</w:t>
                  </w:r>
                </w:p>
                <w:p>
                  <w:pPr>
                    <w:adjustRightInd w:val="0"/>
                    <w:snapToGrid w:val="0"/>
                    <w:jc w:val="center"/>
                    <w:rPr>
                      <w:b/>
                      <w:color w:val="auto"/>
                      <w:szCs w:val="21"/>
                      <w:highlight w:val="none"/>
                    </w:rPr>
                  </w:pPr>
                  <w:r>
                    <w:rPr>
                      <w:b/>
                      <w:color w:val="auto"/>
                      <w:szCs w:val="21"/>
                      <w:highlight w:val="none"/>
                    </w:rPr>
                    <w:t>(万元)</w:t>
                  </w:r>
                </w:p>
              </w:tc>
              <w:tc>
                <w:tcPr>
                  <w:tcW w:w="3070" w:type="dxa"/>
                  <w:vAlign w:val="center"/>
                </w:tcPr>
                <w:p>
                  <w:pPr>
                    <w:adjustRightInd w:val="0"/>
                    <w:snapToGrid w:val="0"/>
                    <w:jc w:val="center"/>
                    <w:rPr>
                      <w:b/>
                      <w:color w:val="auto"/>
                      <w:szCs w:val="21"/>
                      <w:highlight w:val="none"/>
                    </w:rPr>
                  </w:pPr>
                  <w:r>
                    <w:rPr>
                      <w:b/>
                      <w:color w:val="auto"/>
                      <w:szCs w:val="21"/>
                      <w:highlight w:val="none"/>
                    </w:rPr>
                    <w:t>环境效益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24" w:hRule="atLeast"/>
                <w:jc w:val="center"/>
              </w:trPr>
              <w:tc>
                <w:tcPr>
                  <w:tcW w:w="379" w:type="dxa"/>
                  <w:vMerge w:val="restart"/>
                  <w:textDirection w:val="tbRlV"/>
                  <w:vAlign w:val="center"/>
                </w:tcPr>
                <w:p>
                  <w:pPr>
                    <w:adjustRightInd w:val="0"/>
                    <w:snapToGrid w:val="0"/>
                    <w:jc w:val="center"/>
                    <w:rPr>
                      <w:color w:val="auto"/>
                      <w:szCs w:val="21"/>
                      <w:highlight w:val="none"/>
                    </w:rPr>
                  </w:pPr>
                  <w:r>
                    <w:rPr>
                      <w:color w:val="auto"/>
                      <w:szCs w:val="21"/>
                      <w:highlight w:val="none"/>
                    </w:rPr>
                    <w:t>施    工    期</w:t>
                  </w:r>
                </w:p>
              </w:tc>
              <w:tc>
                <w:tcPr>
                  <w:tcW w:w="1151" w:type="dxa"/>
                  <w:vMerge w:val="restart"/>
                  <w:vAlign w:val="center"/>
                </w:tcPr>
                <w:p>
                  <w:pPr>
                    <w:adjustRightInd w:val="0"/>
                    <w:snapToGrid w:val="0"/>
                    <w:jc w:val="center"/>
                    <w:rPr>
                      <w:color w:val="auto"/>
                      <w:szCs w:val="21"/>
                      <w:highlight w:val="none"/>
                    </w:rPr>
                  </w:pPr>
                  <w:r>
                    <w:rPr>
                      <w:color w:val="auto"/>
                      <w:szCs w:val="21"/>
                      <w:highlight w:val="none"/>
                    </w:rPr>
                    <w:t>水土保持工程措施</w:t>
                  </w:r>
                </w:p>
              </w:tc>
              <w:tc>
                <w:tcPr>
                  <w:tcW w:w="2570" w:type="dxa"/>
                  <w:vAlign w:val="center"/>
                </w:tcPr>
                <w:p>
                  <w:pPr>
                    <w:adjustRightInd w:val="0"/>
                    <w:snapToGrid w:val="0"/>
                    <w:jc w:val="center"/>
                    <w:rPr>
                      <w:color w:val="auto"/>
                      <w:szCs w:val="21"/>
                      <w:highlight w:val="none"/>
                    </w:rPr>
                  </w:pPr>
                  <w:r>
                    <w:rPr>
                      <w:color w:val="auto"/>
                      <w:szCs w:val="21"/>
                      <w:highlight w:val="none"/>
                    </w:rPr>
                    <w:t>路基防护</w:t>
                  </w:r>
                </w:p>
              </w:tc>
              <w:tc>
                <w:tcPr>
                  <w:tcW w:w="968" w:type="dxa"/>
                  <w:vMerge w:val="restart"/>
                  <w:vAlign w:val="center"/>
                </w:tcPr>
                <w:p>
                  <w:pPr>
                    <w:adjustRightInd w:val="0"/>
                    <w:snapToGrid w:val="0"/>
                    <w:jc w:val="center"/>
                    <w:rPr>
                      <w:color w:val="auto"/>
                      <w:szCs w:val="21"/>
                      <w:highlight w:val="none"/>
                    </w:rPr>
                  </w:pPr>
                  <w:r>
                    <w:rPr>
                      <w:rFonts w:hint="eastAsia"/>
                      <w:color w:val="auto"/>
                      <w:szCs w:val="21"/>
                      <w:highlight w:val="none"/>
                    </w:rPr>
                    <w:t>25</w:t>
                  </w:r>
                </w:p>
              </w:tc>
              <w:tc>
                <w:tcPr>
                  <w:tcW w:w="3070" w:type="dxa"/>
                  <w:vMerge w:val="restart"/>
                  <w:vAlign w:val="center"/>
                </w:tcPr>
                <w:p>
                  <w:pPr>
                    <w:adjustRightInd w:val="0"/>
                    <w:snapToGrid w:val="0"/>
                    <w:jc w:val="center"/>
                    <w:rPr>
                      <w:color w:val="auto"/>
                      <w:szCs w:val="21"/>
                      <w:highlight w:val="none"/>
                    </w:rPr>
                  </w:pPr>
                  <w:r>
                    <w:rPr>
                      <w:color w:val="auto"/>
                      <w:szCs w:val="21"/>
                      <w:highlight w:val="none"/>
                    </w:rPr>
                    <w:t>防止水土流失，减小本工程对当地生态环境的不利影响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23" w:hRule="atLeast"/>
                <w:jc w:val="center"/>
              </w:trPr>
              <w:tc>
                <w:tcPr>
                  <w:tcW w:w="379" w:type="dxa"/>
                  <w:vMerge w:val="continue"/>
                  <w:textDirection w:val="tbRlV"/>
                  <w:vAlign w:val="center"/>
                </w:tcPr>
                <w:p>
                  <w:pPr>
                    <w:adjustRightInd w:val="0"/>
                    <w:snapToGrid w:val="0"/>
                    <w:jc w:val="center"/>
                    <w:rPr>
                      <w:color w:val="auto"/>
                      <w:szCs w:val="21"/>
                      <w:highlight w:val="none"/>
                    </w:rPr>
                  </w:pPr>
                </w:p>
              </w:tc>
              <w:tc>
                <w:tcPr>
                  <w:tcW w:w="1151" w:type="dxa"/>
                  <w:vMerge w:val="continue"/>
                  <w:vAlign w:val="center"/>
                </w:tcPr>
                <w:p>
                  <w:pPr>
                    <w:adjustRightInd w:val="0"/>
                    <w:snapToGrid w:val="0"/>
                    <w:jc w:val="center"/>
                    <w:rPr>
                      <w:color w:val="auto"/>
                      <w:szCs w:val="21"/>
                      <w:highlight w:val="none"/>
                    </w:rPr>
                  </w:pPr>
                </w:p>
              </w:tc>
              <w:tc>
                <w:tcPr>
                  <w:tcW w:w="2570" w:type="dxa"/>
                  <w:vAlign w:val="center"/>
                </w:tcPr>
                <w:p>
                  <w:pPr>
                    <w:adjustRightInd w:val="0"/>
                    <w:snapToGrid w:val="0"/>
                    <w:jc w:val="center"/>
                    <w:rPr>
                      <w:color w:val="auto"/>
                      <w:szCs w:val="21"/>
                      <w:highlight w:val="none"/>
                    </w:rPr>
                  </w:pPr>
                  <w:r>
                    <w:rPr>
                      <w:color w:val="auto"/>
                      <w:szCs w:val="21"/>
                      <w:highlight w:val="none"/>
                    </w:rPr>
                    <w:t>路基、路面防排水</w:t>
                  </w:r>
                </w:p>
              </w:tc>
              <w:tc>
                <w:tcPr>
                  <w:tcW w:w="968" w:type="dxa"/>
                  <w:vMerge w:val="continue"/>
                  <w:vAlign w:val="center"/>
                </w:tcPr>
                <w:p>
                  <w:pPr>
                    <w:adjustRightInd w:val="0"/>
                    <w:snapToGrid w:val="0"/>
                    <w:jc w:val="center"/>
                    <w:rPr>
                      <w:color w:val="auto"/>
                      <w:szCs w:val="21"/>
                      <w:highlight w:val="none"/>
                    </w:rPr>
                  </w:pPr>
                </w:p>
              </w:tc>
              <w:tc>
                <w:tcPr>
                  <w:tcW w:w="3070" w:type="dxa"/>
                  <w:vMerge w:val="continue"/>
                  <w:vAlign w:val="center"/>
                </w:tcPr>
                <w:p>
                  <w:pPr>
                    <w:adjustRightInd w:val="0"/>
                    <w:snapToGrid w:val="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576" w:hRule="atLeast"/>
                <w:jc w:val="center"/>
              </w:trPr>
              <w:tc>
                <w:tcPr>
                  <w:tcW w:w="379" w:type="dxa"/>
                  <w:vMerge w:val="continue"/>
                  <w:vAlign w:val="center"/>
                </w:tcPr>
                <w:p>
                  <w:pPr>
                    <w:adjustRightInd w:val="0"/>
                    <w:snapToGrid w:val="0"/>
                    <w:jc w:val="center"/>
                    <w:rPr>
                      <w:color w:val="auto"/>
                      <w:szCs w:val="21"/>
                      <w:highlight w:val="none"/>
                    </w:rPr>
                  </w:pPr>
                </w:p>
              </w:tc>
              <w:tc>
                <w:tcPr>
                  <w:tcW w:w="1151" w:type="dxa"/>
                  <w:vMerge w:val="restart"/>
                  <w:vAlign w:val="center"/>
                </w:tcPr>
                <w:p>
                  <w:pPr>
                    <w:adjustRightInd w:val="0"/>
                    <w:snapToGrid w:val="0"/>
                    <w:jc w:val="center"/>
                    <w:rPr>
                      <w:color w:val="auto"/>
                      <w:szCs w:val="21"/>
                      <w:highlight w:val="none"/>
                    </w:rPr>
                  </w:pPr>
                  <w:r>
                    <w:rPr>
                      <w:color w:val="auto"/>
                      <w:szCs w:val="21"/>
                      <w:highlight w:val="none"/>
                    </w:rPr>
                    <w:t>大气环境影响减缓措施</w:t>
                  </w:r>
                </w:p>
              </w:tc>
              <w:tc>
                <w:tcPr>
                  <w:tcW w:w="2570" w:type="dxa"/>
                  <w:vAlign w:val="center"/>
                </w:tcPr>
                <w:p>
                  <w:pPr>
                    <w:adjustRightInd w:val="0"/>
                    <w:snapToGrid w:val="0"/>
                    <w:jc w:val="center"/>
                    <w:rPr>
                      <w:color w:val="auto"/>
                      <w:szCs w:val="21"/>
                      <w:highlight w:val="none"/>
                    </w:rPr>
                  </w:pPr>
                  <w:r>
                    <w:rPr>
                      <w:color w:val="auto"/>
                      <w:szCs w:val="21"/>
                      <w:highlight w:val="none"/>
                    </w:rPr>
                    <w:t>筑路材料堆放及运输过程中篷布遮盖</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10</w:t>
                  </w:r>
                </w:p>
              </w:tc>
              <w:tc>
                <w:tcPr>
                  <w:tcW w:w="3070" w:type="dxa"/>
                  <w:vMerge w:val="restart"/>
                  <w:vAlign w:val="center"/>
                </w:tcPr>
                <w:p>
                  <w:pPr>
                    <w:adjustRightInd w:val="0"/>
                    <w:snapToGrid w:val="0"/>
                    <w:jc w:val="center"/>
                    <w:rPr>
                      <w:color w:val="auto"/>
                      <w:szCs w:val="21"/>
                      <w:highlight w:val="none"/>
                    </w:rPr>
                  </w:pPr>
                  <w:r>
                    <w:rPr>
                      <w:color w:val="auto"/>
                      <w:szCs w:val="21"/>
                      <w:highlight w:val="none"/>
                    </w:rPr>
                    <w:t>减轻本工程对当地大气环境及过往行人产生的不利影响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7" w:hRule="atLeast"/>
                <w:jc w:val="center"/>
              </w:trPr>
              <w:tc>
                <w:tcPr>
                  <w:tcW w:w="379" w:type="dxa"/>
                  <w:vMerge w:val="continue"/>
                  <w:vAlign w:val="center"/>
                </w:tcPr>
                <w:p>
                  <w:pPr>
                    <w:adjustRightInd w:val="0"/>
                    <w:snapToGrid w:val="0"/>
                    <w:jc w:val="center"/>
                    <w:rPr>
                      <w:color w:val="auto"/>
                      <w:szCs w:val="21"/>
                      <w:highlight w:val="none"/>
                    </w:rPr>
                  </w:pPr>
                </w:p>
              </w:tc>
              <w:tc>
                <w:tcPr>
                  <w:tcW w:w="1151" w:type="dxa"/>
                  <w:vMerge w:val="continue"/>
                  <w:vAlign w:val="center"/>
                </w:tcPr>
                <w:p>
                  <w:pPr>
                    <w:adjustRightInd w:val="0"/>
                    <w:snapToGrid w:val="0"/>
                    <w:jc w:val="center"/>
                    <w:rPr>
                      <w:color w:val="auto"/>
                      <w:szCs w:val="21"/>
                      <w:highlight w:val="none"/>
                    </w:rPr>
                  </w:pPr>
                </w:p>
              </w:tc>
              <w:tc>
                <w:tcPr>
                  <w:tcW w:w="2570" w:type="dxa"/>
                  <w:vAlign w:val="center"/>
                </w:tcPr>
                <w:p>
                  <w:pPr>
                    <w:adjustRightInd w:val="0"/>
                    <w:snapToGrid w:val="0"/>
                    <w:jc w:val="center"/>
                    <w:rPr>
                      <w:color w:val="auto"/>
                      <w:szCs w:val="21"/>
                      <w:highlight w:val="none"/>
                    </w:rPr>
                  </w:pPr>
                  <w:r>
                    <w:rPr>
                      <w:color w:val="auto"/>
                      <w:szCs w:val="21"/>
                      <w:highlight w:val="none"/>
                    </w:rPr>
                    <w:t>路基施工洒水降尘</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20</w:t>
                  </w:r>
                </w:p>
              </w:tc>
              <w:tc>
                <w:tcPr>
                  <w:tcW w:w="3070" w:type="dxa"/>
                  <w:vMerge w:val="continue"/>
                  <w:vAlign w:val="center"/>
                </w:tcPr>
                <w:p>
                  <w:pPr>
                    <w:adjustRightInd w:val="0"/>
                    <w:snapToGrid w:val="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7" w:hRule="atLeast"/>
                <w:jc w:val="center"/>
              </w:trPr>
              <w:tc>
                <w:tcPr>
                  <w:tcW w:w="379" w:type="dxa"/>
                  <w:vMerge w:val="continue"/>
                  <w:vAlign w:val="center"/>
                </w:tcPr>
                <w:p>
                  <w:pPr>
                    <w:adjustRightInd w:val="0"/>
                    <w:snapToGrid w:val="0"/>
                    <w:jc w:val="center"/>
                    <w:rPr>
                      <w:color w:val="auto"/>
                      <w:szCs w:val="21"/>
                      <w:highlight w:val="none"/>
                    </w:rPr>
                  </w:pPr>
                </w:p>
              </w:tc>
              <w:tc>
                <w:tcPr>
                  <w:tcW w:w="1151" w:type="dxa"/>
                  <w:vMerge w:val="continue"/>
                  <w:vAlign w:val="center"/>
                </w:tcPr>
                <w:p>
                  <w:pPr>
                    <w:adjustRightInd w:val="0"/>
                    <w:snapToGrid w:val="0"/>
                    <w:jc w:val="center"/>
                    <w:rPr>
                      <w:color w:val="auto"/>
                      <w:szCs w:val="21"/>
                      <w:highlight w:val="none"/>
                    </w:rPr>
                  </w:pPr>
                </w:p>
              </w:tc>
              <w:tc>
                <w:tcPr>
                  <w:tcW w:w="2570" w:type="dxa"/>
                  <w:vAlign w:val="center"/>
                </w:tcPr>
                <w:p>
                  <w:pPr>
                    <w:adjustRightInd w:val="0"/>
                    <w:snapToGrid w:val="0"/>
                    <w:jc w:val="center"/>
                    <w:rPr>
                      <w:color w:val="auto"/>
                      <w:szCs w:val="21"/>
                      <w:highlight w:val="none"/>
                    </w:rPr>
                  </w:pPr>
                  <w:r>
                    <w:rPr>
                      <w:color w:val="auto"/>
                      <w:szCs w:val="21"/>
                      <w:highlight w:val="none"/>
                    </w:rPr>
                    <w:t>施工硬质围挡</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20</w:t>
                  </w:r>
                </w:p>
              </w:tc>
              <w:tc>
                <w:tcPr>
                  <w:tcW w:w="3070" w:type="dxa"/>
                  <w:vMerge w:val="continue"/>
                  <w:vAlign w:val="center"/>
                </w:tcPr>
                <w:p>
                  <w:pPr>
                    <w:adjustRightInd w:val="0"/>
                    <w:snapToGrid w:val="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7" w:hRule="atLeast"/>
                <w:jc w:val="center"/>
              </w:trPr>
              <w:tc>
                <w:tcPr>
                  <w:tcW w:w="379" w:type="dxa"/>
                  <w:vMerge w:val="continue"/>
                  <w:vAlign w:val="center"/>
                </w:tcPr>
                <w:p>
                  <w:pPr>
                    <w:adjustRightInd w:val="0"/>
                    <w:snapToGrid w:val="0"/>
                    <w:jc w:val="center"/>
                    <w:rPr>
                      <w:color w:val="auto"/>
                      <w:szCs w:val="21"/>
                      <w:highlight w:val="none"/>
                    </w:rPr>
                  </w:pPr>
                </w:p>
              </w:tc>
              <w:tc>
                <w:tcPr>
                  <w:tcW w:w="1151" w:type="dxa"/>
                  <w:vMerge w:val="restart"/>
                  <w:vAlign w:val="center"/>
                </w:tcPr>
                <w:p>
                  <w:pPr>
                    <w:adjustRightInd w:val="0"/>
                    <w:snapToGrid w:val="0"/>
                    <w:jc w:val="center"/>
                    <w:rPr>
                      <w:color w:val="auto"/>
                      <w:szCs w:val="21"/>
                      <w:highlight w:val="none"/>
                    </w:rPr>
                  </w:pPr>
                  <w:r>
                    <w:rPr>
                      <w:color w:val="auto"/>
                      <w:szCs w:val="21"/>
                      <w:highlight w:val="none"/>
                    </w:rPr>
                    <w:t>水环境影响减缓措施</w:t>
                  </w:r>
                </w:p>
              </w:tc>
              <w:tc>
                <w:tcPr>
                  <w:tcW w:w="2570" w:type="dxa"/>
                  <w:vAlign w:val="center"/>
                </w:tcPr>
                <w:p>
                  <w:pPr>
                    <w:adjustRightInd w:val="0"/>
                    <w:snapToGrid w:val="0"/>
                    <w:jc w:val="center"/>
                    <w:rPr>
                      <w:color w:val="auto"/>
                      <w:szCs w:val="21"/>
                      <w:highlight w:val="none"/>
                    </w:rPr>
                  </w:pPr>
                  <w:r>
                    <w:rPr>
                      <w:color w:val="auto"/>
                      <w:szCs w:val="21"/>
                      <w:highlight w:val="none"/>
                    </w:rPr>
                    <w:t>施工废水截水沟、沉淀池</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20</w:t>
                  </w:r>
                </w:p>
              </w:tc>
              <w:tc>
                <w:tcPr>
                  <w:tcW w:w="3070" w:type="dxa"/>
                  <w:vMerge w:val="restart"/>
                  <w:vAlign w:val="center"/>
                </w:tcPr>
                <w:p>
                  <w:pPr>
                    <w:adjustRightInd w:val="0"/>
                    <w:snapToGrid w:val="0"/>
                    <w:jc w:val="center"/>
                    <w:rPr>
                      <w:color w:val="auto"/>
                      <w:szCs w:val="21"/>
                      <w:highlight w:val="none"/>
                    </w:rPr>
                  </w:pPr>
                  <w:r>
                    <w:rPr>
                      <w:color w:val="auto"/>
                      <w:szCs w:val="21"/>
                      <w:highlight w:val="none"/>
                    </w:rPr>
                    <w:t>施工废水经沉淀处理后，全部用于施工区洒水抑尘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562" w:hRule="atLeast"/>
                <w:jc w:val="center"/>
              </w:trPr>
              <w:tc>
                <w:tcPr>
                  <w:tcW w:w="379" w:type="dxa"/>
                  <w:vMerge w:val="continue"/>
                  <w:vAlign w:val="center"/>
                </w:tcPr>
                <w:p>
                  <w:pPr>
                    <w:adjustRightInd w:val="0"/>
                    <w:snapToGrid w:val="0"/>
                    <w:jc w:val="center"/>
                    <w:rPr>
                      <w:color w:val="auto"/>
                      <w:szCs w:val="21"/>
                      <w:highlight w:val="none"/>
                    </w:rPr>
                  </w:pPr>
                </w:p>
              </w:tc>
              <w:tc>
                <w:tcPr>
                  <w:tcW w:w="1151" w:type="dxa"/>
                  <w:vMerge w:val="continue"/>
                  <w:vAlign w:val="center"/>
                </w:tcPr>
                <w:p>
                  <w:pPr>
                    <w:adjustRightInd w:val="0"/>
                    <w:snapToGrid w:val="0"/>
                    <w:jc w:val="center"/>
                    <w:rPr>
                      <w:color w:val="auto"/>
                      <w:szCs w:val="21"/>
                      <w:highlight w:val="none"/>
                    </w:rPr>
                  </w:pPr>
                </w:p>
              </w:tc>
              <w:tc>
                <w:tcPr>
                  <w:tcW w:w="2570" w:type="dxa"/>
                  <w:vAlign w:val="center"/>
                </w:tcPr>
                <w:p>
                  <w:pPr>
                    <w:adjustRightInd w:val="0"/>
                    <w:snapToGrid w:val="0"/>
                    <w:jc w:val="center"/>
                    <w:rPr>
                      <w:color w:val="auto"/>
                      <w:szCs w:val="21"/>
                      <w:highlight w:val="none"/>
                    </w:rPr>
                  </w:pPr>
                  <w:r>
                    <w:rPr>
                      <w:color w:val="auto"/>
                      <w:szCs w:val="21"/>
                      <w:highlight w:val="none"/>
                    </w:rPr>
                    <w:t>施工泥浆处理，在施工区设置临时泥浆沉淀池</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10</w:t>
                  </w:r>
                </w:p>
              </w:tc>
              <w:tc>
                <w:tcPr>
                  <w:tcW w:w="3070" w:type="dxa"/>
                  <w:vMerge w:val="continue"/>
                  <w:vAlign w:val="center"/>
                </w:tcPr>
                <w:p>
                  <w:pPr>
                    <w:adjustRightInd w:val="0"/>
                    <w:snapToGrid w:val="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576" w:hRule="atLeast"/>
                <w:jc w:val="center"/>
              </w:trPr>
              <w:tc>
                <w:tcPr>
                  <w:tcW w:w="379" w:type="dxa"/>
                  <w:vMerge w:val="continue"/>
                  <w:vAlign w:val="center"/>
                </w:tcPr>
                <w:p>
                  <w:pPr>
                    <w:adjustRightInd w:val="0"/>
                    <w:snapToGrid w:val="0"/>
                    <w:jc w:val="center"/>
                    <w:rPr>
                      <w:color w:val="auto"/>
                      <w:szCs w:val="21"/>
                      <w:highlight w:val="none"/>
                    </w:rPr>
                  </w:pPr>
                </w:p>
              </w:tc>
              <w:tc>
                <w:tcPr>
                  <w:tcW w:w="1151" w:type="dxa"/>
                  <w:vMerge w:val="restart"/>
                  <w:vAlign w:val="center"/>
                </w:tcPr>
                <w:p>
                  <w:pPr>
                    <w:adjustRightInd w:val="0"/>
                    <w:snapToGrid w:val="0"/>
                    <w:jc w:val="center"/>
                    <w:rPr>
                      <w:color w:val="auto"/>
                      <w:szCs w:val="21"/>
                      <w:highlight w:val="none"/>
                    </w:rPr>
                  </w:pPr>
                  <w:r>
                    <w:rPr>
                      <w:color w:val="auto"/>
                      <w:szCs w:val="21"/>
                      <w:highlight w:val="none"/>
                    </w:rPr>
                    <w:t>声环境影响减缓措施</w:t>
                  </w:r>
                </w:p>
              </w:tc>
              <w:tc>
                <w:tcPr>
                  <w:tcW w:w="2570" w:type="dxa"/>
                  <w:vAlign w:val="center"/>
                </w:tcPr>
                <w:p>
                  <w:pPr>
                    <w:adjustRightInd w:val="0"/>
                    <w:snapToGrid w:val="0"/>
                    <w:jc w:val="center"/>
                    <w:rPr>
                      <w:color w:val="auto"/>
                      <w:szCs w:val="21"/>
                      <w:highlight w:val="none"/>
                    </w:rPr>
                  </w:pPr>
                  <w:r>
                    <w:rPr>
                      <w:color w:val="auto"/>
                      <w:szCs w:val="21"/>
                      <w:highlight w:val="none"/>
                    </w:rPr>
                    <w:t>加强施工设备管理、使用低噪声设备</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10</w:t>
                  </w:r>
                </w:p>
              </w:tc>
              <w:tc>
                <w:tcPr>
                  <w:tcW w:w="3070" w:type="dxa"/>
                  <w:vMerge w:val="restart"/>
                  <w:vAlign w:val="center"/>
                </w:tcPr>
                <w:p>
                  <w:pPr>
                    <w:adjustRightInd w:val="0"/>
                    <w:snapToGrid w:val="0"/>
                    <w:jc w:val="center"/>
                    <w:rPr>
                      <w:color w:val="auto"/>
                      <w:szCs w:val="21"/>
                      <w:highlight w:val="none"/>
                    </w:rPr>
                  </w:pPr>
                  <w:r>
                    <w:rPr>
                      <w:color w:val="auto"/>
                      <w:szCs w:val="21"/>
                      <w:highlight w:val="none"/>
                    </w:rPr>
                    <w:t>减轻本工程施工过程中对</w:t>
                  </w:r>
                  <w:r>
                    <w:rPr>
                      <w:rFonts w:hint="eastAsia"/>
                      <w:color w:val="auto"/>
                      <w:sz w:val="24"/>
                      <w:highlight w:val="none"/>
                    </w:rPr>
                    <w:t>声环境保护目标</w:t>
                  </w:r>
                  <w:r>
                    <w:rPr>
                      <w:color w:val="auto"/>
                      <w:szCs w:val="21"/>
                      <w:highlight w:val="none"/>
                    </w:rPr>
                    <w:t>的不利影响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7" w:hRule="atLeast"/>
                <w:jc w:val="center"/>
              </w:trPr>
              <w:tc>
                <w:tcPr>
                  <w:tcW w:w="379" w:type="dxa"/>
                  <w:vMerge w:val="continue"/>
                  <w:vAlign w:val="center"/>
                </w:tcPr>
                <w:p>
                  <w:pPr>
                    <w:adjustRightInd w:val="0"/>
                    <w:snapToGrid w:val="0"/>
                    <w:jc w:val="center"/>
                    <w:rPr>
                      <w:color w:val="auto"/>
                      <w:szCs w:val="21"/>
                      <w:highlight w:val="none"/>
                    </w:rPr>
                  </w:pPr>
                </w:p>
              </w:tc>
              <w:tc>
                <w:tcPr>
                  <w:tcW w:w="1151" w:type="dxa"/>
                  <w:vMerge w:val="continue"/>
                  <w:vAlign w:val="center"/>
                </w:tcPr>
                <w:p>
                  <w:pPr>
                    <w:adjustRightInd w:val="0"/>
                    <w:snapToGrid w:val="0"/>
                    <w:jc w:val="center"/>
                    <w:rPr>
                      <w:color w:val="auto"/>
                      <w:szCs w:val="21"/>
                      <w:highlight w:val="none"/>
                    </w:rPr>
                  </w:pPr>
                </w:p>
              </w:tc>
              <w:tc>
                <w:tcPr>
                  <w:tcW w:w="2570" w:type="dxa"/>
                  <w:vAlign w:val="center"/>
                </w:tcPr>
                <w:p>
                  <w:pPr>
                    <w:adjustRightInd w:val="0"/>
                    <w:snapToGrid w:val="0"/>
                    <w:jc w:val="center"/>
                    <w:rPr>
                      <w:color w:val="auto"/>
                      <w:szCs w:val="21"/>
                      <w:highlight w:val="none"/>
                    </w:rPr>
                  </w:pPr>
                  <w:r>
                    <w:rPr>
                      <w:color w:val="auto"/>
                      <w:szCs w:val="21"/>
                      <w:highlight w:val="none"/>
                    </w:rPr>
                    <w:t>隔声屏障</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25</w:t>
                  </w:r>
                </w:p>
              </w:tc>
              <w:tc>
                <w:tcPr>
                  <w:tcW w:w="3070" w:type="dxa"/>
                  <w:vMerge w:val="continue"/>
                  <w:vAlign w:val="center"/>
                </w:tcPr>
                <w:p>
                  <w:pPr>
                    <w:adjustRightInd w:val="0"/>
                    <w:snapToGrid w:val="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7" w:hRule="atLeast"/>
                <w:jc w:val="center"/>
              </w:trPr>
              <w:tc>
                <w:tcPr>
                  <w:tcW w:w="379" w:type="dxa"/>
                  <w:vMerge w:val="continue"/>
                  <w:vAlign w:val="center"/>
                </w:tcPr>
                <w:p>
                  <w:pPr>
                    <w:adjustRightInd w:val="0"/>
                    <w:snapToGrid w:val="0"/>
                    <w:jc w:val="center"/>
                    <w:rPr>
                      <w:color w:val="auto"/>
                      <w:szCs w:val="21"/>
                      <w:highlight w:val="none"/>
                    </w:rPr>
                  </w:pPr>
                </w:p>
              </w:tc>
              <w:tc>
                <w:tcPr>
                  <w:tcW w:w="1151" w:type="dxa"/>
                  <w:vAlign w:val="center"/>
                </w:tcPr>
                <w:p>
                  <w:pPr>
                    <w:adjustRightInd w:val="0"/>
                    <w:snapToGrid w:val="0"/>
                    <w:jc w:val="center"/>
                    <w:rPr>
                      <w:color w:val="auto"/>
                      <w:szCs w:val="21"/>
                      <w:highlight w:val="none"/>
                    </w:rPr>
                  </w:pPr>
                  <w:r>
                    <w:rPr>
                      <w:color w:val="auto"/>
                      <w:szCs w:val="21"/>
                      <w:highlight w:val="none"/>
                    </w:rPr>
                    <w:t>固体废物</w:t>
                  </w:r>
                </w:p>
              </w:tc>
              <w:tc>
                <w:tcPr>
                  <w:tcW w:w="2570" w:type="dxa"/>
                  <w:vAlign w:val="center"/>
                </w:tcPr>
                <w:p>
                  <w:pPr>
                    <w:adjustRightInd w:val="0"/>
                    <w:snapToGrid w:val="0"/>
                    <w:jc w:val="center"/>
                    <w:rPr>
                      <w:color w:val="auto"/>
                      <w:szCs w:val="21"/>
                      <w:highlight w:val="none"/>
                    </w:rPr>
                  </w:pPr>
                  <w:r>
                    <w:rPr>
                      <w:color w:val="auto"/>
                      <w:szCs w:val="21"/>
                      <w:highlight w:val="none"/>
                    </w:rPr>
                    <w:t>垃圾收集点</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6</w:t>
                  </w:r>
                </w:p>
              </w:tc>
              <w:tc>
                <w:tcPr>
                  <w:tcW w:w="3070" w:type="dxa"/>
                  <w:vAlign w:val="center"/>
                </w:tcPr>
                <w:p>
                  <w:pPr>
                    <w:adjustRightInd w:val="0"/>
                    <w:snapToGrid w:val="0"/>
                    <w:jc w:val="center"/>
                    <w:rPr>
                      <w:color w:val="auto"/>
                      <w:szCs w:val="21"/>
                      <w:highlight w:val="none"/>
                    </w:rPr>
                  </w:pPr>
                  <w:r>
                    <w:rPr>
                      <w:color w:val="auto"/>
                      <w:spacing w:val="-6"/>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88" w:hRule="atLeast"/>
                <w:jc w:val="center"/>
              </w:trPr>
              <w:tc>
                <w:tcPr>
                  <w:tcW w:w="379" w:type="dxa"/>
                  <w:vMerge w:val="continue"/>
                  <w:vAlign w:val="center"/>
                </w:tcPr>
                <w:p>
                  <w:pPr>
                    <w:adjustRightInd w:val="0"/>
                    <w:snapToGrid w:val="0"/>
                    <w:jc w:val="center"/>
                    <w:rPr>
                      <w:color w:val="auto"/>
                      <w:szCs w:val="21"/>
                      <w:highlight w:val="none"/>
                    </w:rPr>
                  </w:pPr>
                </w:p>
              </w:tc>
              <w:tc>
                <w:tcPr>
                  <w:tcW w:w="1151" w:type="dxa"/>
                  <w:vMerge w:val="restart"/>
                  <w:vAlign w:val="center"/>
                </w:tcPr>
                <w:p>
                  <w:pPr>
                    <w:adjustRightInd w:val="0"/>
                    <w:snapToGrid w:val="0"/>
                    <w:jc w:val="center"/>
                    <w:rPr>
                      <w:color w:val="auto"/>
                      <w:szCs w:val="21"/>
                      <w:highlight w:val="none"/>
                    </w:rPr>
                  </w:pPr>
                  <w:r>
                    <w:rPr>
                      <w:color w:val="auto"/>
                      <w:szCs w:val="21"/>
                      <w:highlight w:val="none"/>
                    </w:rPr>
                    <w:t>施工期</w:t>
                  </w:r>
                </w:p>
                <w:p>
                  <w:pPr>
                    <w:adjustRightInd w:val="0"/>
                    <w:snapToGrid w:val="0"/>
                    <w:jc w:val="center"/>
                    <w:rPr>
                      <w:color w:val="auto"/>
                      <w:szCs w:val="21"/>
                      <w:highlight w:val="none"/>
                    </w:rPr>
                  </w:pPr>
                  <w:r>
                    <w:rPr>
                      <w:color w:val="auto"/>
                      <w:szCs w:val="21"/>
                      <w:highlight w:val="none"/>
                    </w:rPr>
                    <w:t>环境监测</w:t>
                  </w:r>
                </w:p>
              </w:tc>
              <w:tc>
                <w:tcPr>
                  <w:tcW w:w="2570" w:type="dxa"/>
                  <w:vAlign w:val="center"/>
                </w:tcPr>
                <w:p>
                  <w:pPr>
                    <w:adjustRightInd w:val="0"/>
                    <w:snapToGrid w:val="0"/>
                    <w:jc w:val="center"/>
                    <w:rPr>
                      <w:color w:val="auto"/>
                      <w:szCs w:val="21"/>
                      <w:highlight w:val="none"/>
                    </w:rPr>
                  </w:pPr>
                  <w:r>
                    <w:rPr>
                      <w:color w:val="auto"/>
                      <w:szCs w:val="21"/>
                      <w:highlight w:val="none"/>
                    </w:rPr>
                    <w:t>TSP</w:t>
                  </w:r>
                </w:p>
              </w:tc>
              <w:tc>
                <w:tcPr>
                  <w:tcW w:w="968" w:type="dxa"/>
                  <w:vMerge w:val="restart"/>
                  <w:vAlign w:val="center"/>
                </w:tcPr>
                <w:p>
                  <w:pPr>
                    <w:adjustRightInd w:val="0"/>
                    <w:snapToGrid w:val="0"/>
                    <w:jc w:val="center"/>
                    <w:rPr>
                      <w:color w:val="auto"/>
                      <w:szCs w:val="21"/>
                      <w:highlight w:val="none"/>
                    </w:rPr>
                  </w:pPr>
                  <w:r>
                    <w:rPr>
                      <w:rFonts w:hint="eastAsia"/>
                      <w:color w:val="auto"/>
                      <w:szCs w:val="21"/>
                      <w:highlight w:val="none"/>
                    </w:rPr>
                    <w:t>15</w:t>
                  </w:r>
                </w:p>
              </w:tc>
              <w:tc>
                <w:tcPr>
                  <w:tcW w:w="3070" w:type="dxa"/>
                  <w:vMerge w:val="restart"/>
                  <w:vAlign w:val="center"/>
                </w:tcPr>
                <w:p>
                  <w:pPr>
                    <w:adjustRightInd w:val="0"/>
                    <w:snapToGrid w:val="0"/>
                    <w:jc w:val="center"/>
                    <w:rPr>
                      <w:color w:val="auto"/>
                      <w:spacing w:val="-6"/>
                      <w:szCs w:val="21"/>
                      <w:highlight w:val="none"/>
                    </w:rPr>
                  </w:pPr>
                  <w:r>
                    <w:rPr>
                      <w:color w:val="auto"/>
                      <w:spacing w:val="-6"/>
                      <w:szCs w:val="21"/>
                      <w:highlight w:val="none"/>
                    </w:rPr>
                    <w:t>监督及检验施工期各环保措施的实施效果，指导施工单位改进施工方法，便于建设单位进一步做好本工程的环境保护工作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7" w:hRule="atLeast"/>
                <w:jc w:val="center"/>
              </w:trPr>
              <w:tc>
                <w:tcPr>
                  <w:tcW w:w="379" w:type="dxa"/>
                  <w:vMerge w:val="continue"/>
                  <w:vAlign w:val="center"/>
                </w:tcPr>
                <w:p>
                  <w:pPr>
                    <w:adjustRightInd w:val="0"/>
                    <w:snapToGrid w:val="0"/>
                    <w:jc w:val="center"/>
                    <w:rPr>
                      <w:color w:val="auto"/>
                      <w:szCs w:val="21"/>
                      <w:highlight w:val="none"/>
                    </w:rPr>
                  </w:pPr>
                </w:p>
              </w:tc>
              <w:tc>
                <w:tcPr>
                  <w:tcW w:w="1151" w:type="dxa"/>
                  <w:vMerge w:val="continue"/>
                  <w:vAlign w:val="center"/>
                </w:tcPr>
                <w:p>
                  <w:pPr>
                    <w:adjustRightInd w:val="0"/>
                    <w:snapToGrid w:val="0"/>
                    <w:jc w:val="center"/>
                    <w:rPr>
                      <w:color w:val="auto"/>
                      <w:szCs w:val="21"/>
                      <w:highlight w:val="none"/>
                    </w:rPr>
                  </w:pPr>
                </w:p>
              </w:tc>
              <w:tc>
                <w:tcPr>
                  <w:tcW w:w="2570" w:type="dxa"/>
                  <w:vAlign w:val="center"/>
                </w:tcPr>
                <w:p>
                  <w:pPr>
                    <w:adjustRightInd w:val="0"/>
                    <w:snapToGrid w:val="0"/>
                    <w:jc w:val="center"/>
                    <w:rPr>
                      <w:color w:val="auto"/>
                      <w:szCs w:val="21"/>
                      <w:highlight w:val="none"/>
                    </w:rPr>
                  </w:pPr>
                  <w:r>
                    <w:rPr>
                      <w:color w:val="auto"/>
                      <w:szCs w:val="21"/>
                      <w:highlight w:val="none"/>
                    </w:rPr>
                    <w:t>SS、石油类</w:t>
                  </w:r>
                </w:p>
              </w:tc>
              <w:tc>
                <w:tcPr>
                  <w:tcW w:w="968" w:type="dxa"/>
                  <w:vMerge w:val="continue"/>
                  <w:vAlign w:val="center"/>
                </w:tcPr>
                <w:p>
                  <w:pPr>
                    <w:adjustRightInd w:val="0"/>
                    <w:snapToGrid w:val="0"/>
                    <w:jc w:val="center"/>
                    <w:rPr>
                      <w:color w:val="auto"/>
                      <w:szCs w:val="21"/>
                      <w:highlight w:val="none"/>
                    </w:rPr>
                  </w:pPr>
                </w:p>
              </w:tc>
              <w:tc>
                <w:tcPr>
                  <w:tcW w:w="3070" w:type="dxa"/>
                  <w:vMerge w:val="continue"/>
                  <w:vAlign w:val="center"/>
                </w:tcPr>
                <w:p>
                  <w:pPr>
                    <w:adjustRightInd w:val="0"/>
                    <w:snapToGrid w:val="0"/>
                    <w:jc w:val="center"/>
                    <w:rPr>
                      <w:color w:val="auto"/>
                      <w:spacing w:val="-2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7" w:hRule="atLeast"/>
                <w:jc w:val="center"/>
              </w:trPr>
              <w:tc>
                <w:tcPr>
                  <w:tcW w:w="379" w:type="dxa"/>
                  <w:vMerge w:val="continue"/>
                  <w:vAlign w:val="center"/>
                </w:tcPr>
                <w:p>
                  <w:pPr>
                    <w:adjustRightInd w:val="0"/>
                    <w:snapToGrid w:val="0"/>
                    <w:jc w:val="center"/>
                    <w:rPr>
                      <w:color w:val="auto"/>
                      <w:szCs w:val="21"/>
                      <w:highlight w:val="none"/>
                    </w:rPr>
                  </w:pPr>
                </w:p>
              </w:tc>
              <w:tc>
                <w:tcPr>
                  <w:tcW w:w="1151" w:type="dxa"/>
                  <w:vMerge w:val="continue"/>
                  <w:vAlign w:val="center"/>
                </w:tcPr>
                <w:p>
                  <w:pPr>
                    <w:adjustRightInd w:val="0"/>
                    <w:snapToGrid w:val="0"/>
                    <w:jc w:val="center"/>
                    <w:rPr>
                      <w:color w:val="auto"/>
                      <w:szCs w:val="21"/>
                      <w:highlight w:val="none"/>
                    </w:rPr>
                  </w:pPr>
                </w:p>
              </w:tc>
              <w:tc>
                <w:tcPr>
                  <w:tcW w:w="2570" w:type="dxa"/>
                  <w:vAlign w:val="center"/>
                </w:tcPr>
                <w:p>
                  <w:pPr>
                    <w:adjustRightInd w:val="0"/>
                    <w:snapToGrid w:val="0"/>
                    <w:jc w:val="center"/>
                    <w:rPr>
                      <w:rFonts w:hint="eastAsia"/>
                      <w:color w:val="auto"/>
                      <w:szCs w:val="21"/>
                      <w:highlight w:val="none"/>
                    </w:rPr>
                  </w:pPr>
                  <w:r>
                    <w:rPr>
                      <w:color w:val="auto"/>
                      <w:szCs w:val="21"/>
                      <w:highlight w:val="none"/>
                    </w:rPr>
                    <w:t>L</w:t>
                  </w:r>
                  <w:r>
                    <w:rPr>
                      <w:color w:val="auto"/>
                      <w:szCs w:val="21"/>
                      <w:highlight w:val="none"/>
                      <w:vertAlign w:val="subscript"/>
                    </w:rPr>
                    <w:t>eq</w:t>
                  </w:r>
                  <w:r>
                    <w:rPr>
                      <w:color w:val="auto"/>
                      <w:szCs w:val="21"/>
                      <w:highlight w:val="none"/>
                    </w:rPr>
                    <w:t>(A)：沿线</w:t>
                  </w:r>
                  <w:r>
                    <w:rPr>
                      <w:rFonts w:hint="eastAsia"/>
                      <w:color w:val="auto"/>
                      <w:szCs w:val="21"/>
                      <w:highlight w:val="none"/>
                    </w:rPr>
                    <w:t>具有代表性环境保护目标</w:t>
                  </w:r>
                </w:p>
              </w:tc>
              <w:tc>
                <w:tcPr>
                  <w:tcW w:w="968" w:type="dxa"/>
                  <w:vMerge w:val="continue"/>
                  <w:vAlign w:val="center"/>
                </w:tcPr>
                <w:p>
                  <w:pPr>
                    <w:adjustRightInd w:val="0"/>
                    <w:snapToGrid w:val="0"/>
                    <w:jc w:val="center"/>
                    <w:rPr>
                      <w:color w:val="auto"/>
                      <w:szCs w:val="21"/>
                      <w:highlight w:val="none"/>
                    </w:rPr>
                  </w:pPr>
                </w:p>
              </w:tc>
              <w:tc>
                <w:tcPr>
                  <w:tcW w:w="3070" w:type="dxa"/>
                  <w:vMerge w:val="continue"/>
                  <w:vAlign w:val="center"/>
                </w:tcPr>
                <w:p>
                  <w:pPr>
                    <w:adjustRightInd w:val="0"/>
                    <w:snapToGrid w:val="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7" w:hRule="atLeast"/>
                <w:jc w:val="center"/>
              </w:trPr>
              <w:tc>
                <w:tcPr>
                  <w:tcW w:w="379" w:type="dxa"/>
                  <w:vMerge w:val="continue"/>
                  <w:vAlign w:val="center"/>
                </w:tcPr>
                <w:p>
                  <w:pPr>
                    <w:adjustRightInd w:val="0"/>
                    <w:snapToGrid w:val="0"/>
                    <w:jc w:val="center"/>
                    <w:rPr>
                      <w:color w:val="auto"/>
                      <w:szCs w:val="21"/>
                      <w:highlight w:val="none"/>
                    </w:rPr>
                  </w:pPr>
                </w:p>
              </w:tc>
              <w:tc>
                <w:tcPr>
                  <w:tcW w:w="3721" w:type="dxa"/>
                  <w:gridSpan w:val="2"/>
                  <w:vAlign w:val="center"/>
                </w:tcPr>
                <w:p>
                  <w:pPr>
                    <w:adjustRightInd w:val="0"/>
                    <w:snapToGrid w:val="0"/>
                    <w:jc w:val="center"/>
                    <w:rPr>
                      <w:color w:val="auto"/>
                      <w:szCs w:val="21"/>
                      <w:highlight w:val="none"/>
                    </w:rPr>
                  </w:pPr>
                  <w:r>
                    <w:rPr>
                      <w:rFonts w:hint="eastAsia"/>
                      <w:color w:val="auto"/>
                      <w:szCs w:val="21"/>
                      <w:highlight w:val="none"/>
                    </w:rPr>
                    <w:t>施工期环境监理</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20</w:t>
                  </w:r>
                </w:p>
              </w:tc>
              <w:tc>
                <w:tcPr>
                  <w:tcW w:w="3070" w:type="dxa"/>
                  <w:vMerge w:val="continue"/>
                  <w:vAlign w:val="center"/>
                </w:tcPr>
                <w:p>
                  <w:pPr>
                    <w:adjustRightInd w:val="0"/>
                    <w:snapToGrid w:val="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7" w:hRule="atLeast"/>
                <w:jc w:val="center"/>
              </w:trPr>
              <w:tc>
                <w:tcPr>
                  <w:tcW w:w="379" w:type="dxa"/>
                  <w:vMerge w:val="continue"/>
                  <w:vAlign w:val="center"/>
                </w:tcPr>
                <w:p>
                  <w:pPr>
                    <w:adjustRightInd w:val="0"/>
                    <w:snapToGrid w:val="0"/>
                    <w:jc w:val="center"/>
                    <w:rPr>
                      <w:color w:val="auto"/>
                      <w:szCs w:val="21"/>
                      <w:highlight w:val="none"/>
                    </w:rPr>
                  </w:pPr>
                </w:p>
              </w:tc>
              <w:tc>
                <w:tcPr>
                  <w:tcW w:w="3721" w:type="dxa"/>
                  <w:gridSpan w:val="2"/>
                  <w:vAlign w:val="center"/>
                </w:tcPr>
                <w:p>
                  <w:pPr>
                    <w:adjustRightInd w:val="0"/>
                    <w:snapToGrid w:val="0"/>
                    <w:jc w:val="center"/>
                    <w:rPr>
                      <w:color w:val="auto"/>
                      <w:szCs w:val="21"/>
                      <w:highlight w:val="none"/>
                    </w:rPr>
                  </w:pPr>
                  <w:r>
                    <w:rPr>
                      <w:color w:val="auto"/>
                      <w:szCs w:val="21"/>
                      <w:highlight w:val="none"/>
                    </w:rPr>
                    <w:t>施工期环境管理</w:t>
                  </w:r>
                  <w:r>
                    <w:rPr>
                      <w:rFonts w:hint="eastAsia"/>
                      <w:color w:val="auto"/>
                      <w:szCs w:val="21"/>
                      <w:highlight w:val="none"/>
                    </w:rPr>
                    <w:t>及</w:t>
                  </w:r>
                  <w:r>
                    <w:rPr>
                      <w:color w:val="auto"/>
                      <w:szCs w:val="21"/>
                      <w:highlight w:val="none"/>
                    </w:rPr>
                    <w:t>其他</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4</w:t>
                  </w:r>
                </w:p>
              </w:tc>
              <w:tc>
                <w:tcPr>
                  <w:tcW w:w="3070" w:type="dxa"/>
                  <w:vMerge w:val="continue"/>
                  <w:vAlign w:val="center"/>
                </w:tcPr>
                <w:p>
                  <w:pPr>
                    <w:adjustRightInd w:val="0"/>
                    <w:snapToGrid w:val="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576" w:hRule="atLeast"/>
                <w:jc w:val="center"/>
              </w:trPr>
              <w:tc>
                <w:tcPr>
                  <w:tcW w:w="379" w:type="dxa"/>
                  <w:vMerge w:val="restart"/>
                  <w:textDirection w:val="tbRlV"/>
                  <w:vAlign w:val="center"/>
                </w:tcPr>
                <w:p>
                  <w:pPr>
                    <w:adjustRightInd w:val="0"/>
                    <w:snapToGrid w:val="0"/>
                    <w:jc w:val="center"/>
                    <w:rPr>
                      <w:color w:val="auto"/>
                      <w:szCs w:val="21"/>
                      <w:highlight w:val="none"/>
                    </w:rPr>
                  </w:pPr>
                  <w:r>
                    <w:rPr>
                      <w:color w:val="auto"/>
                      <w:szCs w:val="21"/>
                      <w:highlight w:val="none"/>
                    </w:rPr>
                    <w:t>营 运 期</w:t>
                  </w:r>
                </w:p>
              </w:tc>
              <w:tc>
                <w:tcPr>
                  <w:tcW w:w="1151" w:type="dxa"/>
                  <w:vMerge w:val="restart"/>
                  <w:vAlign w:val="center"/>
                </w:tcPr>
                <w:p>
                  <w:pPr>
                    <w:adjustRightInd w:val="0"/>
                    <w:snapToGrid w:val="0"/>
                    <w:jc w:val="center"/>
                    <w:rPr>
                      <w:color w:val="auto"/>
                      <w:szCs w:val="21"/>
                      <w:highlight w:val="none"/>
                    </w:rPr>
                  </w:pPr>
                  <w:r>
                    <w:rPr>
                      <w:color w:val="auto"/>
                      <w:szCs w:val="21"/>
                      <w:highlight w:val="none"/>
                    </w:rPr>
                    <w:t>改善</w:t>
                  </w:r>
                </w:p>
                <w:p>
                  <w:pPr>
                    <w:adjustRightInd w:val="0"/>
                    <w:snapToGrid w:val="0"/>
                    <w:jc w:val="center"/>
                    <w:rPr>
                      <w:color w:val="auto"/>
                      <w:szCs w:val="21"/>
                      <w:highlight w:val="none"/>
                    </w:rPr>
                  </w:pPr>
                  <w:r>
                    <w:rPr>
                      <w:color w:val="auto"/>
                      <w:szCs w:val="21"/>
                      <w:highlight w:val="none"/>
                    </w:rPr>
                    <w:t>生态环境</w:t>
                  </w:r>
                </w:p>
              </w:tc>
              <w:tc>
                <w:tcPr>
                  <w:tcW w:w="2570" w:type="dxa"/>
                  <w:vAlign w:val="center"/>
                </w:tcPr>
                <w:p>
                  <w:pPr>
                    <w:adjustRightInd w:val="0"/>
                    <w:snapToGrid w:val="0"/>
                    <w:jc w:val="center"/>
                    <w:rPr>
                      <w:color w:val="auto"/>
                      <w:spacing w:val="-6"/>
                      <w:szCs w:val="21"/>
                      <w:highlight w:val="none"/>
                    </w:rPr>
                  </w:pPr>
                  <w:r>
                    <w:rPr>
                      <w:color w:val="auto"/>
                      <w:szCs w:val="21"/>
                      <w:highlight w:val="none"/>
                    </w:rPr>
                    <w:t>水保设施及环保设施验收评价</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20</w:t>
                  </w:r>
                </w:p>
              </w:tc>
              <w:tc>
                <w:tcPr>
                  <w:tcW w:w="3070" w:type="dxa"/>
                  <w:vMerge w:val="restart"/>
                  <w:vAlign w:val="center"/>
                </w:tcPr>
                <w:p>
                  <w:pPr>
                    <w:adjustRightInd w:val="0"/>
                    <w:snapToGrid w:val="0"/>
                    <w:jc w:val="center"/>
                    <w:rPr>
                      <w:color w:val="auto"/>
                      <w:szCs w:val="21"/>
                      <w:highlight w:val="none"/>
                    </w:rPr>
                  </w:pPr>
                  <w:r>
                    <w:rPr>
                      <w:color w:val="auto"/>
                      <w:szCs w:val="21"/>
                      <w:highlight w:val="none"/>
                    </w:rPr>
                    <w:t>防止水土流失，减小本工程对当地生态环境的不利影响，美化道路沿线的生态环境，景观正效益显著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540" w:hRule="atLeast"/>
                <w:jc w:val="center"/>
              </w:trPr>
              <w:tc>
                <w:tcPr>
                  <w:tcW w:w="379" w:type="dxa"/>
                  <w:vMerge w:val="continue"/>
                  <w:textDirection w:val="tbRlV"/>
                  <w:vAlign w:val="center"/>
                </w:tcPr>
                <w:p>
                  <w:pPr>
                    <w:adjustRightInd w:val="0"/>
                    <w:snapToGrid w:val="0"/>
                    <w:jc w:val="center"/>
                    <w:rPr>
                      <w:color w:val="auto"/>
                      <w:szCs w:val="21"/>
                      <w:highlight w:val="none"/>
                    </w:rPr>
                  </w:pPr>
                </w:p>
              </w:tc>
              <w:tc>
                <w:tcPr>
                  <w:tcW w:w="1151" w:type="dxa"/>
                  <w:vMerge w:val="continue"/>
                  <w:vAlign w:val="center"/>
                </w:tcPr>
                <w:p>
                  <w:pPr>
                    <w:adjustRightInd w:val="0"/>
                    <w:snapToGrid w:val="0"/>
                    <w:jc w:val="center"/>
                    <w:rPr>
                      <w:color w:val="auto"/>
                      <w:szCs w:val="21"/>
                      <w:highlight w:val="none"/>
                    </w:rPr>
                  </w:pPr>
                </w:p>
              </w:tc>
              <w:tc>
                <w:tcPr>
                  <w:tcW w:w="2570" w:type="dxa"/>
                  <w:vAlign w:val="center"/>
                </w:tcPr>
                <w:p>
                  <w:pPr>
                    <w:adjustRightInd w:val="0"/>
                    <w:snapToGrid w:val="0"/>
                    <w:jc w:val="center"/>
                    <w:rPr>
                      <w:color w:val="auto"/>
                      <w:szCs w:val="21"/>
                      <w:highlight w:val="none"/>
                    </w:rPr>
                  </w:pPr>
                  <w:r>
                    <w:rPr>
                      <w:color w:val="auto"/>
                      <w:szCs w:val="21"/>
                      <w:highlight w:val="none"/>
                    </w:rPr>
                    <w:t>道路两侧绿化</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20</w:t>
                  </w:r>
                </w:p>
              </w:tc>
              <w:tc>
                <w:tcPr>
                  <w:tcW w:w="3070" w:type="dxa"/>
                  <w:vMerge w:val="continue"/>
                  <w:vAlign w:val="center"/>
                </w:tcPr>
                <w:p>
                  <w:pPr>
                    <w:adjustRightInd w:val="0"/>
                    <w:snapToGrid w:val="0"/>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661" w:hRule="atLeast"/>
                <w:jc w:val="center"/>
              </w:trPr>
              <w:tc>
                <w:tcPr>
                  <w:tcW w:w="379" w:type="dxa"/>
                  <w:vMerge w:val="continue"/>
                  <w:textDirection w:val="tbRlV"/>
                  <w:vAlign w:val="center"/>
                </w:tcPr>
                <w:p>
                  <w:pPr>
                    <w:adjustRightInd w:val="0"/>
                    <w:snapToGrid w:val="0"/>
                    <w:jc w:val="center"/>
                    <w:rPr>
                      <w:color w:val="auto"/>
                      <w:szCs w:val="21"/>
                      <w:highlight w:val="none"/>
                    </w:rPr>
                  </w:pPr>
                </w:p>
              </w:tc>
              <w:tc>
                <w:tcPr>
                  <w:tcW w:w="1151" w:type="dxa"/>
                  <w:vAlign w:val="center"/>
                </w:tcPr>
                <w:p>
                  <w:pPr>
                    <w:adjustRightInd w:val="0"/>
                    <w:snapToGrid w:val="0"/>
                    <w:jc w:val="center"/>
                    <w:rPr>
                      <w:color w:val="auto"/>
                      <w:szCs w:val="21"/>
                      <w:highlight w:val="none"/>
                    </w:rPr>
                  </w:pPr>
                  <w:r>
                    <w:rPr>
                      <w:color w:val="auto"/>
                      <w:szCs w:val="21"/>
                      <w:highlight w:val="none"/>
                    </w:rPr>
                    <w:t>声环境影响减缓措施</w:t>
                  </w:r>
                </w:p>
              </w:tc>
              <w:tc>
                <w:tcPr>
                  <w:tcW w:w="2570" w:type="dxa"/>
                  <w:vAlign w:val="center"/>
                </w:tcPr>
                <w:p>
                  <w:pPr>
                    <w:adjustRightInd w:val="0"/>
                    <w:snapToGrid w:val="0"/>
                    <w:jc w:val="center"/>
                    <w:rPr>
                      <w:rFonts w:hint="eastAsia"/>
                      <w:color w:val="auto"/>
                      <w:szCs w:val="21"/>
                      <w:highlight w:val="none"/>
                    </w:rPr>
                  </w:pPr>
                  <w:r>
                    <w:rPr>
                      <w:color w:val="auto"/>
                      <w:szCs w:val="21"/>
                      <w:highlight w:val="none"/>
                    </w:rPr>
                    <w:t>布设禁鸣装置、设置减速带、绿化带</w:t>
                  </w:r>
                  <w:r>
                    <w:rPr>
                      <w:rStyle w:val="22"/>
                      <w:color w:val="auto"/>
                      <w:highlight w:val="none"/>
                    </w:rPr>
                    <w:t>、</w:t>
                  </w:r>
                  <w:r>
                    <w:rPr>
                      <w:rStyle w:val="22"/>
                      <w:rFonts w:hint="eastAsia"/>
                      <w:color w:val="auto"/>
                      <w:highlight w:val="none"/>
                    </w:rPr>
                    <w:t>声屏障</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650</w:t>
                  </w:r>
                </w:p>
              </w:tc>
              <w:tc>
                <w:tcPr>
                  <w:tcW w:w="3070" w:type="dxa"/>
                  <w:vAlign w:val="center"/>
                </w:tcPr>
                <w:p>
                  <w:pPr>
                    <w:adjustRightInd w:val="0"/>
                    <w:snapToGrid w:val="0"/>
                    <w:jc w:val="center"/>
                    <w:rPr>
                      <w:color w:val="auto"/>
                      <w:spacing w:val="-6"/>
                      <w:szCs w:val="21"/>
                      <w:highlight w:val="none"/>
                    </w:rPr>
                  </w:pPr>
                  <w:r>
                    <w:rPr>
                      <w:color w:val="auto"/>
                      <w:spacing w:val="-6"/>
                      <w:szCs w:val="21"/>
                      <w:highlight w:val="none"/>
                    </w:rPr>
                    <w:t>指导本工程运营期管理单位做好沿线声环境保护目标的保护工作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420" w:hRule="atLeast"/>
                <w:jc w:val="center"/>
              </w:trPr>
              <w:tc>
                <w:tcPr>
                  <w:tcW w:w="379" w:type="dxa"/>
                  <w:vMerge w:val="continue"/>
                  <w:textDirection w:val="tbRlV"/>
                  <w:vAlign w:val="center"/>
                </w:tcPr>
                <w:p>
                  <w:pPr>
                    <w:adjustRightInd w:val="0"/>
                    <w:snapToGrid w:val="0"/>
                    <w:jc w:val="center"/>
                    <w:rPr>
                      <w:color w:val="auto"/>
                      <w:szCs w:val="21"/>
                      <w:highlight w:val="none"/>
                    </w:rPr>
                  </w:pPr>
                </w:p>
              </w:tc>
              <w:tc>
                <w:tcPr>
                  <w:tcW w:w="3721" w:type="dxa"/>
                  <w:gridSpan w:val="2"/>
                  <w:vAlign w:val="center"/>
                </w:tcPr>
                <w:p>
                  <w:pPr>
                    <w:adjustRightInd w:val="0"/>
                    <w:snapToGrid w:val="0"/>
                    <w:jc w:val="center"/>
                    <w:rPr>
                      <w:color w:val="auto"/>
                      <w:szCs w:val="21"/>
                      <w:highlight w:val="none"/>
                    </w:rPr>
                  </w:pPr>
                  <w:r>
                    <w:rPr>
                      <w:rFonts w:hint="eastAsia"/>
                      <w:color w:val="auto"/>
                      <w:szCs w:val="21"/>
                      <w:highlight w:val="none"/>
                    </w:rPr>
                    <w:t>环境管理</w:t>
                  </w:r>
                  <w:r>
                    <w:rPr>
                      <w:color w:val="auto"/>
                      <w:szCs w:val="21"/>
                      <w:highlight w:val="none"/>
                    </w:rPr>
                    <w:t>措施</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31</w:t>
                  </w:r>
                </w:p>
              </w:tc>
              <w:tc>
                <w:tcPr>
                  <w:tcW w:w="3070" w:type="dxa"/>
                  <w:vAlign w:val="center"/>
                </w:tcPr>
                <w:p>
                  <w:pPr>
                    <w:adjustRightInd w:val="0"/>
                    <w:snapToGrid w:val="0"/>
                    <w:jc w:val="center"/>
                    <w:rPr>
                      <w:color w:val="auto"/>
                      <w:spacing w:val="-6"/>
                      <w:szCs w:val="21"/>
                      <w:highlight w:val="none"/>
                    </w:rPr>
                  </w:pPr>
                  <w:r>
                    <w:rPr>
                      <w:rFonts w:hint="eastAsia"/>
                      <w:color w:val="auto"/>
                      <w:spacing w:val="-6"/>
                      <w:szCs w:val="21"/>
                      <w:highlight w:val="none"/>
                    </w:rPr>
                    <w:t>保证各项环保措施的落实和执行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71" w:hRule="atLeast"/>
                <w:jc w:val="center"/>
              </w:trPr>
              <w:tc>
                <w:tcPr>
                  <w:tcW w:w="4100" w:type="dxa"/>
                  <w:gridSpan w:val="3"/>
                  <w:vAlign w:val="center"/>
                </w:tcPr>
                <w:p>
                  <w:pPr>
                    <w:adjustRightInd w:val="0"/>
                    <w:snapToGrid w:val="0"/>
                    <w:jc w:val="center"/>
                    <w:rPr>
                      <w:color w:val="auto"/>
                      <w:szCs w:val="21"/>
                      <w:highlight w:val="none"/>
                    </w:rPr>
                  </w:pPr>
                  <w:r>
                    <w:rPr>
                      <w:color w:val="auto"/>
                      <w:szCs w:val="21"/>
                      <w:highlight w:val="none"/>
                    </w:rPr>
                    <w:t>合计</w:t>
                  </w:r>
                </w:p>
              </w:tc>
              <w:tc>
                <w:tcPr>
                  <w:tcW w:w="968" w:type="dxa"/>
                  <w:vAlign w:val="center"/>
                </w:tcPr>
                <w:p>
                  <w:pPr>
                    <w:adjustRightInd w:val="0"/>
                    <w:snapToGrid w:val="0"/>
                    <w:jc w:val="center"/>
                    <w:rPr>
                      <w:color w:val="auto"/>
                      <w:szCs w:val="21"/>
                      <w:highlight w:val="none"/>
                    </w:rPr>
                  </w:pPr>
                  <w:r>
                    <w:rPr>
                      <w:rFonts w:hint="eastAsia"/>
                      <w:color w:val="auto"/>
                      <w:szCs w:val="21"/>
                      <w:highlight w:val="none"/>
                    </w:rPr>
                    <w:t>9</w:t>
                  </w:r>
                  <w:r>
                    <w:rPr>
                      <w:rFonts w:hint="eastAsia"/>
                      <w:color w:val="auto"/>
                      <w:szCs w:val="21"/>
                      <w:highlight w:val="none"/>
                      <w:lang w:val="en-US" w:eastAsia="zh-CN"/>
                    </w:rPr>
                    <w:t>0</w:t>
                  </w:r>
                  <w:r>
                    <w:rPr>
                      <w:rFonts w:hint="eastAsia"/>
                      <w:color w:val="auto"/>
                      <w:szCs w:val="21"/>
                      <w:highlight w:val="none"/>
                    </w:rPr>
                    <w:t>6</w:t>
                  </w:r>
                </w:p>
              </w:tc>
              <w:tc>
                <w:tcPr>
                  <w:tcW w:w="3070" w:type="dxa"/>
                  <w:vAlign w:val="center"/>
                </w:tcPr>
                <w:p>
                  <w:pPr>
                    <w:adjustRightInd w:val="0"/>
                    <w:snapToGrid w:val="0"/>
                    <w:jc w:val="center"/>
                    <w:rPr>
                      <w:color w:val="auto"/>
                      <w:szCs w:val="21"/>
                      <w:highlight w:val="none"/>
                    </w:rPr>
                  </w:pPr>
                  <w:r>
                    <w:rPr>
                      <w:color w:val="auto"/>
                      <w:szCs w:val="21"/>
                      <w:highlight w:val="none"/>
                    </w:rPr>
                    <w:t>/</w:t>
                  </w:r>
                </w:p>
              </w:tc>
            </w:tr>
          </w:tbl>
          <w:p>
            <w:pPr>
              <w:adjustRightInd w:val="0"/>
              <w:snapToGrid w:val="0"/>
              <w:jc w:val="center"/>
              <w:rPr>
                <w:bCs/>
                <w:color w:val="auto"/>
                <w:szCs w:val="21"/>
                <w:highlight w:val="none"/>
              </w:rPr>
            </w:pPr>
          </w:p>
        </w:tc>
      </w:tr>
    </w:tbl>
    <w:p>
      <w:pPr>
        <w:rPr>
          <w:color w:val="auto"/>
          <w:highlight w:val="none"/>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ascii="黑体" w:hAnsi="黑体" w:eastAsia="黑体"/>
          <w:snapToGrid w:val="0"/>
          <w:color w:val="auto"/>
          <w:sz w:val="30"/>
          <w:szCs w:val="30"/>
          <w:highlight w:val="none"/>
        </w:rPr>
      </w:pPr>
      <w:bookmarkStart w:id="11" w:name="_Toc20033"/>
      <w:r>
        <w:rPr>
          <w:rFonts w:hint="eastAsia" w:ascii="黑体" w:hAnsi="黑体" w:eastAsia="黑体"/>
          <w:snapToGrid w:val="0"/>
          <w:color w:val="auto"/>
          <w:sz w:val="30"/>
          <w:szCs w:val="30"/>
          <w:highlight w:val="none"/>
        </w:rPr>
        <w:t>六、生态环境保护措施监督检查清单</w:t>
      </w:r>
      <w:bookmarkEnd w:id="11"/>
    </w:p>
    <w:tbl>
      <w:tblPr>
        <w:tblStyle w:val="23"/>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718"/>
        <w:gridCol w:w="883"/>
        <w:gridCol w:w="2778"/>
        <w:gridCol w:w="1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Merge w:val="restart"/>
            <w:tcBorders>
              <w:tl2br w:val="single" w:color="auto" w:sz="4" w:space="0"/>
            </w:tcBorders>
            <w:vAlign w:val="top"/>
          </w:tcPr>
          <w:p>
            <w:pPr>
              <w:pStyle w:val="18"/>
              <w:adjustRightInd w:val="0"/>
              <w:snapToGrid w:val="0"/>
              <w:spacing w:before="72" w:beforeLines="30" w:beforeAutospacing="0" w:after="0" w:afterAutospacing="0"/>
              <w:jc w:val="center"/>
              <w:rPr>
                <w:rFonts w:ascii="黑体" w:hAnsi="黑体" w:eastAsia="黑体" w:cs="宋体"/>
                <w:color w:val="auto"/>
                <w:kern w:val="2"/>
                <w:sz w:val="21"/>
                <w:szCs w:val="21"/>
                <w:highlight w:val="none"/>
              </w:rPr>
            </w:pPr>
            <w:r>
              <w:rPr>
                <w:rFonts w:hint="eastAsia" w:ascii="黑体" w:hAnsi="黑体" w:eastAsia="黑体" w:cs="宋体"/>
                <w:color w:val="auto"/>
                <w:kern w:val="2"/>
                <w:sz w:val="21"/>
                <w:szCs w:val="21"/>
                <w:highlight w:val="none"/>
              </w:rPr>
              <w:t xml:space="preserve">  </w:t>
            </w:r>
            <w:bookmarkStart w:id="12" w:name="_Toc9019"/>
            <w:r>
              <w:rPr>
                <w:rFonts w:hint="eastAsia" w:ascii="黑体" w:hAnsi="黑体" w:eastAsia="黑体" w:cs="宋体"/>
                <w:color w:val="auto"/>
                <w:kern w:val="2"/>
                <w:sz w:val="21"/>
                <w:szCs w:val="21"/>
                <w:highlight w:val="none"/>
              </w:rPr>
              <w:t>内容</w:t>
            </w:r>
            <w:bookmarkEnd w:id="12"/>
          </w:p>
          <w:p>
            <w:pPr>
              <w:pStyle w:val="18"/>
              <w:adjustRightInd w:val="0"/>
              <w:snapToGrid w:val="0"/>
              <w:spacing w:before="0" w:beforeAutospacing="0" w:after="0" w:afterAutospacing="0" w:line="14" w:lineRule="auto"/>
              <w:rPr>
                <w:rFonts w:hint="eastAsia" w:ascii="黑体" w:hAnsi="黑体" w:eastAsia="黑体" w:cs="宋体"/>
                <w:color w:val="auto"/>
                <w:kern w:val="2"/>
                <w:sz w:val="135"/>
                <w:szCs w:val="21"/>
                <w:highlight w:val="none"/>
              </w:rPr>
            </w:pPr>
            <w:r>
              <w:rPr>
                <w:rFonts w:hint="eastAsia" w:ascii="黑体" w:hAnsi="黑体" w:eastAsia="黑体" w:cs="宋体"/>
                <w:color w:val="auto"/>
                <w:kern w:val="2"/>
                <w:sz w:val="21"/>
                <w:szCs w:val="21"/>
                <w:highlight w:val="none"/>
              </w:rPr>
              <w:t xml:space="preserve"> </w:t>
            </w:r>
            <w:r>
              <w:rPr>
                <w:rFonts w:hint="eastAsia" w:ascii="黑体" w:hAnsi="黑体" w:eastAsia="黑体" w:cs="宋体"/>
                <w:color w:val="auto"/>
                <w:kern w:val="2"/>
                <w:sz w:val="135"/>
                <w:szCs w:val="21"/>
                <w:highlight w:val="none"/>
              </w:rPr>
              <w:t xml:space="preserve"> </w:t>
            </w:r>
          </w:p>
          <w:p>
            <w:pPr>
              <w:pStyle w:val="18"/>
              <w:adjustRightInd w:val="0"/>
              <w:snapToGrid w:val="0"/>
              <w:spacing w:before="0" w:beforeAutospacing="0" w:after="0" w:afterAutospacing="0"/>
              <w:outlineLvl w:val="0"/>
              <w:rPr>
                <w:rFonts w:hint="eastAsia" w:ascii="黑体" w:hAnsi="黑体" w:eastAsia="黑体" w:cs="宋体"/>
                <w:color w:val="auto"/>
                <w:kern w:val="2"/>
                <w:sz w:val="21"/>
                <w:szCs w:val="21"/>
                <w:highlight w:val="none"/>
              </w:rPr>
            </w:pPr>
            <w:bookmarkStart w:id="13" w:name="_Toc22170"/>
          </w:p>
          <w:p>
            <w:pPr>
              <w:pStyle w:val="18"/>
              <w:adjustRightInd w:val="0"/>
              <w:snapToGrid w:val="0"/>
              <w:spacing w:before="0" w:beforeAutospacing="0" w:after="0" w:afterAutospacing="0"/>
              <w:outlineLvl w:val="0"/>
              <w:rPr>
                <w:rFonts w:hint="eastAsia" w:ascii="黑体" w:hAnsi="黑体" w:eastAsia="黑体" w:cs="宋体"/>
                <w:color w:val="auto"/>
                <w:kern w:val="2"/>
                <w:sz w:val="21"/>
                <w:szCs w:val="21"/>
                <w:highlight w:val="none"/>
              </w:rPr>
            </w:pPr>
          </w:p>
          <w:p>
            <w:pPr>
              <w:pStyle w:val="18"/>
              <w:adjustRightInd w:val="0"/>
              <w:snapToGrid w:val="0"/>
              <w:spacing w:before="0" w:beforeAutospacing="0" w:after="0" w:afterAutospacing="0"/>
              <w:outlineLvl w:val="0"/>
              <w:rPr>
                <w:rFonts w:hint="eastAsia" w:ascii="黑体" w:hAnsi="黑体" w:eastAsia="黑体" w:cs="宋体"/>
                <w:color w:val="auto"/>
                <w:kern w:val="2"/>
                <w:sz w:val="21"/>
                <w:szCs w:val="21"/>
                <w:highlight w:val="none"/>
              </w:rPr>
            </w:pPr>
            <w:r>
              <w:rPr>
                <w:rFonts w:hint="eastAsia" w:ascii="黑体" w:hAnsi="黑体" w:eastAsia="黑体" w:cs="宋体"/>
                <w:color w:val="auto"/>
                <w:kern w:val="2"/>
                <w:sz w:val="21"/>
                <w:szCs w:val="21"/>
                <w:highlight w:val="none"/>
              </w:rPr>
              <w:t>要素</w:t>
            </w:r>
            <w:bookmarkEnd w:id="13"/>
          </w:p>
        </w:tc>
        <w:tc>
          <w:tcPr>
            <w:tcW w:w="3601" w:type="dxa"/>
            <w:gridSpan w:val="2"/>
            <w:vAlign w:val="center"/>
          </w:tcPr>
          <w:p>
            <w:pPr>
              <w:pStyle w:val="18"/>
              <w:adjustRightInd w:val="0"/>
              <w:snapToGrid w:val="0"/>
              <w:spacing w:before="0" w:beforeAutospacing="0" w:after="0" w:afterAutospacing="0"/>
              <w:jc w:val="center"/>
              <w:outlineLvl w:val="0"/>
              <w:rPr>
                <w:rFonts w:ascii="黑体" w:hAnsi="黑体" w:eastAsia="黑体" w:cs="宋体"/>
                <w:color w:val="auto"/>
                <w:kern w:val="2"/>
                <w:sz w:val="21"/>
                <w:szCs w:val="21"/>
                <w:highlight w:val="none"/>
              </w:rPr>
            </w:pPr>
            <w:bookmarkStart w:id="14" w:name="_Toc25285"/>
            <w:r>
              <w:rPr>
                <w:rFonts w:hint="eastAsia" w:ascii="黑体" w:hAnsi="黑体" w:eastAsia="黑体" w:cs="宋体"/>
                <w:color w:val="auto"/>
                <w:kern w:val="2"/>
                <w:sz w:val="21"/>
                <w:szCs w:val="21"/>
                <w:highlight w:val="none"/>
              </w:rPr>
              <w:t>施工期</w:t>
            </w:r>
            <w:bookmarkEnd w:id="14"/>
          </w:p>
        </w:tc>
        <w:tc>
          <w:tcPr>
            <w:tcW w:w="4063" w:type="dxa"/>
            <w:gridSpan w:val="2"/>
            <w:vAlign w:val="center"/>
          </w:tcPr>
          <w:p>
            <w:pPr>
              <w:pStyle w:val="18"/>
              <w:adjustRightInd w:val="0"/>
              <w:snapToGrid w:val="0"/>
              <w:spacing w:before="0" w:beforeAutospacing="0" w:after="0" w:afterAutospacing="0"/>
              <w:jc w:val="center"/>
              <w:outlineLvl w:val="0"/>
              <w:rPr>
                <w:rFonts w:ascii="黑体" w:hAnsi="黑体" w:eastAsia="黑体" w:cs="宋体"/>
                <w:color w:val="auto"/>
                <w:kern w:val="2"/>
                <w:sz w:val="21"/>
                <w:szCs w:val="21"/>
                <w:highlight w:val="none"/>
              </w:rPr>
            </w:pPr>
            <w:bookmarkStart w:id="15" w:name="_Toc21470"/>
            <w:r>
              <w:rPr>
                <w:rFonts w:hint="eastAsia" w:ascii="黑体" w:hAnsi="黑体" w:eastAsia="黑体" w:cs="宋体"/>
                <w:color w:val="auto"/>
                <w:kern w:val="2"/>
                <w:sz w:val="21"/>
                <w:szCs w:val="21"/>
                <w:highlight w:val="none"/>
              </w:rPr>
              <w:t>运营期</w:t>
            </w:r>
            <w:bookmarkEnd w:id="1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Merge w:val="continue"/>
            <w:vAlign w:val="top"/>
          </w:tcPr>
          <w:p>
            <w:pPr>
              <w:pStyle w:val="18"/>
              <w:adjustRightInd w:val="0"/>
              <w:snapToGrid w:val="0"/>
              <w:spacing w:before="0" w:beforeAutospacing="0" w:after="0" w:afterAutospacing="0"/>
              <w:ind w:firstLine="840"/>
              <w:jc w:val="center"/>
              <w:rPr>
                <w:rFonts w:ascii="黑体" w:hAnsi="黑体" w:eastAsia="黑体" w:cs="宋体"/>
                <w:color w:val="auto"/>
                <w:kern w:val="2"/>
                <w:sz w:val="21"/>
                <w:szCs w:val="21"/>
                <w:highlight w:val="none"/>
              </w:rPr>
            </w:pPr>
          </w:p>
        </w:tc>
        <w:tc>
          <w:tcPr>
            <w:tcW w:w="2718" w:type="dxa"/>
            <w:vAlign w:val="center"/>
          </w:tcPr>
          <w:p>
            <w:pPr>
              <w:pStyle w:val="18"/>
              <w:adjustRightInd w:val="0"/>
              <w:snapToGrid w:val="0"/>
              <w:spacing w:before="0" w:beforeAutospacing="0" w:after="0" w:afterAutospacing="0"/>
              <w:jc w:val="center"/>
              <w:outlineLvl w:val="0"/>
              <w:rPr>
                <w:rFonts w:ascii="黑体" w:hAnsi="黑体" w:eastAsia="黑体" w:cs="宋体"/>
                <w:color w:val="auto"/>
                <w:kern w:val="2"/>
                <w:sz w:val="21"/>
                <w:szCs w:val="21"/>
                <w:highlight w:val="none"/>
              </w:rPr>
            </w:pPr>
            <w:bookmarkStart w:id="16" w:name="_Toc26229"/>
            <w:r>
              <w:rPr>
                <w:rFonts w:hint="eastAsia" w:ascii="黑体" w:hAnsi="黑体" w:eastAsia="黑体" w:cs="宋体"/>
                <w:color w:val="auto"/>
                <w:kern w:val="2"/>
                <w:sz w:val="21"/>
                <w:szCs w:val="21"/>
                <w:highlight w:val="none"/>
              </w:rPr>
              <w:t>环境保护措施</w:t>
            </w:r>
            <w:bookmarkEnd w:id="16"/>
          </w:p>
        </w:tc>
        <w:tc>
          <w:tcPr>
            <w:tcW w:w="883" w:type="dxa"/>
            <w:vAlign w:val="center"/>
          </w:tcPr>
          <w:p>
            <w:pPr>
              <w:pStyle w:val="18"/>
              <w:adjustRightInd w:val="0"/>
              <w:snapToGrid w:val="0"/>
              <w:spacing w:before="0" w:beforeAutospacing="0" w:after="0" w:afterAutospacing="0"/>
              <w:jc w:val="center"/>
              <w:outlineLvl w:val="0"/>
              <w:rPr>
                <w:rFonts w:ascii="黑体" w:hAnsi="黑体" w:eastAsia="黑体" w:cs="宋体"/>
                <w:color w:val="auto"/>
                <w:kern w:val="2"/>
                <w:sz w:val="21"/>
                <w:szCs w:val="21"/>
                <w:highlight w:val="none"/>
              </w:rPr>
            </w:pPr>
            <w:bookmarkStart w:id="17" w:name="_Toc18682"/>
            <w:r>
              <w:rPr>
                <w:rFonts w:hint="eastAsia" w:ascii="黑体" w:hAnsi="黑体" w:eastAsia="黑体" w:cs="宋体"/>
                <w:color w:val="auto"/>
                <w:kern w:val="2"/>
                <w:sz w:val="21"/>
                <w:szCs w:val="21"/>
                <w:highlight w:val="none"/>
              </w:rPr>
              <w:t>验收要求</w:t>
            </w:r>
            <w:bookmarkEnd w:id="17"/>
          </w:p>
        </w:tc>
        <w:tc>
          <w:tcPr>
            <w:tcW w:w="2778" w:type="dxa"/>
            <w:vAlign w:val="center"/>
          </w:tcPr>
          <w:p>
            <w:pPr>
              <w:pStyle w:val="18"/>
              <w:adjustRightInd w:val="0"/>
              <w:snapToGrid w:val="0"/>
              <w:spacing w:before="0" w:beforeAutospacing="0" w:after="0" w:afterAutospacing="0"/>
              <w:jc w:val="center"/>
              <w:outlineLvl w:val="0"/>
              <w:rPr>
                <w:rFonts w:ascii="黑体" w:hAnsi="黑体" w:eastAsia="黑体" w:cs="宋体"/>
                <w:color w:val="auto"/>
                <w:kern w:val="2"/>
                <w:sz w:val="21"/>
                <w:szCs w:val="21"/>
                <w:highlight w:val="none"/>
              </w:rPr>
            </w:pPr>
            <w:bookmarkStart w:id="18" w:name="_Toc11966"/>
            <w:r>
              <w:rPr>
                <w:rFonts w:hint="eastAsia" w:ascii="黑体" w:hAnsi="黑体" w:eastAsia="黑体" w:cs="宋体"/>
                <w:color w:val="auto"/>
                <w:kern w:val="2"/>
                <w:sz w:val="21"/>
                <w:szCs w:val="21"/>
                <w:highlight w:val="none"/>
              </w:rPr>
              <w:t>环境保护措施</w:t>
            </w:r>
            <w:bookmarkEnd w:id="18"/>
          </w:p>
        </w:tc>
        <w:tc>
          <w:tcPr>
            <w:tcW w:w="1285" w:type="dxa"/>
            <w:vAlign w:val="center"/>
          </w:tcPr>
          <w:p>
            <w:pPr>
              <w:pStyle w:val="18"/>
              <w:adjustRightInd w:val="0"/>
              <w:snapToGrid w:val="0"/>
              <w:spacing w:before="0" w:beforeAutospacing="0" w:after="0" w:afterAutospacing="0"/>
              <w:jc w:val="center"/>
              <w:outlineLvl w:val="0"/>
              <w:rPr>
                <w:rFonts w:ascii="黑体" w:hAnsi="黑体" w:eastAsia="黑体" w:cs="宋体"/>
                <w:color w:val="auto"/>
                <w:kern w:val="2"/>
                <w:sz w:val="21"/>
                <w:szCs w:val="21"/>
                <w:highlight w:val="none"/>
              </w:rPr>
            </w:pPr>
            <w:bookmarkStart w:id="19" w:name="_Toc232"/>
            <w:r>
              <w:rPr>
                <w:rFonts w:hint="eastAsia" w:ascii="黑体" w:hAnsi="黑体" w:eastAsia="黑体" w:cs="宋体"/>
                <w:color w:val="auto"/>
                <w:kern w:val="2"/>
                <w:sz w:val="21"/>
                <w:szCs w:val="21"/>
                <w:highlight w:val="none"/>
              </w:rPr>
              <w:t>验收要求</w:t>
            </w:r>
            <w:bookmarkEnd w:id="1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陆生生态</w:t>
            </w:r>
          </w:p>
        </w:tc>
        <w:tc>
          <w:tcPr>
            <w:tcW w:w="2718" w:type="dxa"/>
            <w:vAlign w:val="center"/>
          </w:tcPr>
          <w:p>
            <w:pPr>
              <w:jc w:val="center"/>
              <w:rPr>
                <w:color w:val="auto"/>
                <w:szCs w:val="21"/>
                <w:highlight w:val="none"/>
              </w:rPr>
            </w:pPr>
            <w:r>
              <w:rPr>
                <w:rFonts w:hint="eastAsia"/>
                <w:color w:val="auto"/>
                <w:szCs w:val="21"/>
                <w:highlight w:val="none"/>
              </w:rPr>
              <w:t>①定期对古树名木的生长环境、生长情况、保护现状等进行动态监测和跟踪管理，并设立警示牌、保护标牌、围挡等保护措施。</w:t>
            </w:r>
          </w:p>
          <w:p>
            <w:pPr>
              <w:adjustRightInd w:val="0"/>
              <w:snapToGrid w:val="0"/>
              <w:rPr>
                <w:rFonts w:ascii="宋体" w:hAnsi="宋体" w:cs="宋体"/>
                <w:color w:val="auto"/>
                <w:szCs w:val="21"/>
                <w:highlight w:val="none"/>
              </w:rPr>
            </w:pPr>
            <w:r>
              <w:rPr>
                <w:rFonts w:hint="eastAsia"/>
                <w:color w:val="auto"/>
                <w:szCs w:val="21"/>
                <w:highlight w:val="none"/>
              </w:rPr>
              <w:t>②</w:t>
            </w:r>
            <w:r>
              <w:rPr>
                <w:color w:val="auto"/>
                <w:szCs w:val="21"/>
                <w:highlight w:val="none"/>
              </w:rPr>
              <w:t>施工期加强施工管理，避免在雨季施工，减少水土流失。</w:t>
            </w:r>
          </w:p>
        </w:tc>
        <w:tc>
          <w:tcPr>
            <w:tcW w:w="883" w:type="dxa"/>
            <w:vAlign w:val="center"/>
          </w:tcPr>
          <w:p>
            <w:pPr>
              <w:jc w:val="center"/>
              <w:rPr>
                <w:color w:val="auto"/>
                <w:szCs w:val="21"/>
                <w:highlight w:val="none"/>
              </w:rPr>
            </w:pPr>
            <w:r>
              <w:rPr>
                <w:rFonts w:hint="eastAsia"/>
                <w:color w:val="auto"/>
                <w:szCs w:val="21"/>
                <w:highlight w:val="none"/>
              </w:rPr>
              <w:t>①古树名木保护情况</w:t>
            </w:r>
            <w:r>
              <w:rPr>
                <w:color w:val="auto"/>
                <w:szCs w:val="21"/>
                <w:highlight w:val="none"/>
              </w:rPr>
              <w:t>；</w:t>
            </w:r>
          </w:p>
          <w:p>
            <w:pPr>
              <w:adjustRightInd w:val="0"/>
              <w:snapToGrid w:val="0"/>
              <w:rPr>
                <w:rFonts w:ascii="宋体" w:hAnsi="宋体" w:cs="宋体"/>
                <w:color w:val="auto"/>
                <w:szCs w:val="21"/>
                <w:highlight w:val="none"/>
              </w:rPr>
            </w:pPr>
            <w:r>
              <w:rPr>
                <w:rFonts w:hint="eastAsia"/>
                <w:color w:val="auto"/>
                <w:szCs w:val="21"/>
                <w:highlight w:val="none"/>
              </w:rPr>
              <w:t>②</w:t>
            </w:r>
            <w:r>
              <w:rPr>
                <w:color w:val="auto"/>
                <w:szCs w:val="21"/>
                <w:highlight w:val="none"/>
              </w:rPr>
              <w:t>排水工程、防护工程及其效果，水土流失治理情况。</w:t>
            </w:r>
          </w:p>
        </w:tc>
        <w:tc>
          <w:tcPr>
            <w:tcW w:w="2778" w:type="dxa"/>
            <w:vAlign w:val="center"/>
          </w:tcPr>
          <w:p>
            <w:pPr>
              <w:adjustRightInd w:val="0"/>
              <w:snapToGrid w:val="0"/>
              <w:rPr>
                <w:rFonts w:ascii="宋体" w:hAnsi="宋体" w:cs="宋体"/>
                <w:color w:val="auto"/>
                <w:szCs w:val="21"/>
                <w:highlight w:val="none"/>
              </w:rPr>
            </w:pPr>
            <w:r>
              <w:rPr>
                <w:color w:val="auto"/>
                <w:szCs w:val="21"/>
                <w:highlight w:val="none"/>
              </w:rPr>
              <w:t>应按照城市道路绿化要求，施工后期或营运初期按道路绿化设计的要求，及时完成道路红线范围内可绿化的地方的植树种草工作，并在营运期进行维护。用材必须经过植物检疫、避免从区域以外引入病虫害而造成严重后果。如遇雨季，对出现水土流失的地方有及时处理，防止侵蚀的扩大。</w:t>
            </w:r>
          </w:p>
        </w:tc>
        <w:tc>
          <w:tcPr>
            <w:tcW w:w="1285" w:type="dxa"/>
            <w:vAlign w:val="center"/>
          </w:tcPr>
          <w:p>
            <w:pPr>
              <w:adjustRightInd w:val="0"/>
              <w:snapToGrid w:val="0"/>
              <w:rPr>
                <w:rFonts w:ascii="宋体" w:hAnsi="宋体" w:cs="宋体"/>
                <w:color w:val="auto"/>
                <w:szCs w:val="21"/>
                <w:highlight w:val="none"/>
              </w:rPr>
            </w:pPr>
            <w:r>
              <w:rPr>
                <w:color w:val="auto"/>
                <w:szCs w:val="21"/>
                <w:highlight w:val="none"/>
              </w:rPr>
              <w:t>工程防护措施、植被恢复情况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水生生态</w:t>
            </w:r>
          </w:p>
        </w:tc>
        <w:tc>
          <w:tcPr>
            <w:tcW w:w="2718"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禁止向西湖直接排放施工废水，做好工程完工后生态环境的恢复工作，尽量减少植被破坏、水土流失对水生生物（主要是鱼类）的影响。</w:t>
            </w:r>
          </w:p>
        </w:tc>
        <w:tc>
          <w:tcPr>
            <w:tcW w:w="883" w:type="dxa"/>
            <w:vAlign w:val="center"/>
          </w:tcPr>
          <w:p>
            <w:pPr>
              <w:adjustRightInd w:val="0"/>
              <w:snapToGrid w:val="0"/>
              <w:rPr>
                <w:rFonts w:hint="eastAsia"/>
                <w:color w:val="auto"/>
                <w:highlight w:val="none"/>
              </w:rPr>
            </w:pPr>
            <w:r>
              <w:rPr>
                <w:rFonts w:hint="eastAsia"/>
                <w:color w:val="auto"/>
                <w:highlight w:val="none"/>
              </w:rPr>
              <w:t>①施工废水排放情况；</w:t>
            </w:r>
          </w:p>
          <w:p>
            <w:pPr>
              <w:pStyle w:val="13"/>
              <w:rPr>
                <w:rFonts w:hint="eastAsia"/>
                <w:color w:val="auto"/>
                <w:highlight w:val="none"/>
              </w:rPr>
            </w:pPr>
            <w:r>
              <w:rPr>
                <w:rFonts w:hint="eastAsia"/>
                <w:color w:val="auto"/>
                <w:sz w:val="21"/>
                <w:szCs w:val="21"/>
                <w:highlight w:val="none"/>
              </w:rPr>
              <w:t>②排水工程、防护工程及其效果，水土流失治理情况。</w:t>
            </w:r>
          </w:p>
        </w:tc>
        <w:tc>
          <w:tcPr>
            <w:tcW w:w="2778"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c>
          <w:tcPr>
            <w:tcW w:w="1285"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地表水环境</w:t>
            </w:r>
          </w:p>
        </w:tc>
        <w:tc>
          <w:tcPr>
            <w:tcW w:w="2718" w:type="dxa"/>
            <w:vAlign w:val="center"/>
          </w:tcPr>
          <w:p>
            <w:pPr>
              <w:jc w:val="center"/>
              <w:rPr>
                <w:color w:val="auto"/>
                <w:szCs w:val="21"/>
                <w:highlight w:val="none"/>
              </w:rPr>
            </w:pPr>
            <w:r>
              <w:rPr>
                <w:color w:val="auto"/>
                <w:szCs w:val="21"/>
                <w:highlight w:val="none"/>
              </w:rPr>
              <w:t>工程承包合同中应明确筑路材料的运输过程中防止洒漏条款，堆放场地不得设在沿线</w:t>
            </w:r>
            <w:r>
              <w:rPr>
                <w:rFonts w:hint="eastAsia"/>
                <w:color w:val="auto"/>
                <w:szCs w:val="21"/>
                <w:highlight w:val="none"/>
              </w:rPr>
              <w:t>西湖</w:t>
            </w:r>
            <w:r>
              <w:rPr>
                <w:color w:val="auto"/>
                <w:szCs w:val="21"/>
                <w:highlight w:val="none"/>
              </w:rPr>
              <w:t>附近，以免随雨水冲入水体造成污染；施工场地应距离地表水体一定的安全距离；</w:t>
            </w:r>
          </w:p>
          <w:p>
            <w:pPr>
              <w:jc w:val="center"/>
              <w:rPr>
                <w:color w:val="auto"/>
                <w:szCs w:val="21"/>
                <w:highlight w:val="none"/>
              </w:rPr>
            </w:pPr>
            <w:r>
              <w:rPr>
                <w:rFonts w:hint="eastAsia"/>
                <w:color w:val="auto"/>
                <w:szCs w:val="21"/>
                <w:highlight w:val="none"/>
              </w:rPr>
              <w:t>②</w:t>
            </w:r>
            <w:r>
              <w:rPr>
                <w:color w:val="auto"/>
                <w:szCs w:val="21"/>
                <w:highlight w:val="none"/>
              </w:rPr>
              <w:t>施工生产废水统一收集，经</w:t>
            </w:r>
            <w:r>
              <w:rPr>
                <w:rFonts w:hint="eastAsia"/>
                <w:color w:val="auto"/>
                <w:szCs w:val="21"/>
                <w:highlight w:val="none"/>
              </w:rPr>
              <w:t>沉淀池</w:t>
            </w:r>
            <w:r>
              <w:rPr>
                <w:color w:val="auto"/>
                <w:szCs w:val="21"/>
                <w:highlight w:val="none"/>
              </w:rPr>
              <w:t>沉淀处理后回用于道路洒水降尘，不外排。不得直接排入</w:t>
            </w:r>
            <w:r>
              <w:rPr>
                <w:rFonts w:hint="eastAsia"/>
                <w:color w:val="auto"/>
                <w:szCs w:val="21"/>
                <w:highlight w:val="none"/>
              </w:rPr>
              <w:t>西湖</w:t>
            </w:r>
            <w:r>
              <w:rPr>
                <w:color w:val="auto"/>
                <w:szCs w:val="21"/>
                <w:highlight w:val="none"/>
              </w:rPr>
              <w:t>；</w:t>
            </w:r>
          </w:p>
          <w:p>
            <w:pPr>
              <w:adjustRightInd w:val="0"/>
              <w:snapToGrid w:val="0"/>
              <w:rPr>
                <w:rFonts w:ascii="宋体" w:hAnsi="宋体" w:cs="宋体"/>
                <w:color w:val="auto"/>
                <w:szCs w:val="21"/>
                <w:highlight w:val="none"/>
              </w:rPr>
            </w:pPr>
            <w:r>
              <w:rPr>
                <w:rFonts w:hint="eastAsia"/>
                <w:color w:val="auto"/>
                <w:szCs w:val="21"/>
                <w:highlight w:val="none"/>
              </w:rPr>
              <w:t>③</w:t>
            </w:r>
            <w:r>
              <w:rPr>
                <w:color w:val="auto"/>
                <w:szCs w:val="21"/>
                <w:highlight w:val="none"/>
              </w:rPr>
              <w:t>施工营地结合附近的</w:t>
            </w:r>
            <w:r>
              <w:rPr>
                <w:rFonts w:hint="eastAsia"/>
                <w:color w:val="auto"/>
                <w:szCs w:val="21"/>
                <w:highlight w:val="none"/>
                <w:lang w:eastAsia="zh-CN"/>
              </w:rPr>
              <w:t>居民楼</w:t>
            </w:r>
            <w:r>
              <w:rPr>
                <w:color w:val="auto"/>
                <w:szCs w:val="21"/>
                <w:highlight w:val="none"/>
              </w:rPr>
              <w:t>设置，生活污水依托于当地现有的污水处理方式，不单独外排。</w:t>
            </w:r>
          </w:p>
        </w:tc>
        <w:tc>
          <w:tcPr>
            <w:tcW w:w="883" w:type="dxa"/>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w:t>
            </w:r>
          </w:p>
        </w:tc>
        <w:tc>
          <w:tcPr>
            <w:tcW w:w="2778" w:type="dxa"/>
            <w:vAlign w:val="center"/>
          </w:tcPr>
          <w:p>
            <w:pPr>
              <w:adjustRightInd w:val="0"/>
              <w:snapToGrid w:val="0"/>
              <w:rPr>
                <w:rFonts w:ascii="宋体" w:hAnsi="宋体" w:cs="宋体"/>
                <w:color w:val="auto"/>
                <w:szCs w:val="21"/>
                <w:highlight w:val="none"/>
              </w:rPr>
            </w:pPr>
            <w:r>
              <w:rPr>
                <w:color w:val="auto"/>
                <w:szCs w:val="21"/>
                <w:highlight w:val="none"/>
              </w:rPr>
              <w:t>加强运营期道路的管理，及时清除运输车辆抛洒在路面的污染物，保持路面清洁，定期检查道路的排水系统，确保排水系统畅通。</w:t>
            </w:r>
          </w:p>
        </w:tc>
        <w:tc>
          <w:tcPr>
            <w:tcW w:w="1285" w:type="dxa"/>
            <w:vAlign w:val="center"/>
          </w:tcPr>
          <w:p>
            <w:pPr>
              <w:adjustRightInd w:val="0"/>
              <w:snapToGrid w:val="0"/>
              <w:rPr>
                <w:rFonts w:ascii="宋体" w:hAnsi="宋体" w:cs="宋体"/>
                <w:color w:val="auto"/>
                <w:szCs w:val="21"/>
                <w:highlight w:val="none"/>
              </w:rPr>
            </w:pPr>
            <w:r>
              <w:rPr>
                <w:color w:val="auto"/>
                <w:szCs w:val="21"/>
                <w:highlight w:val="none"/>
              </w:rPr>
              <w:t>营运期期采取的排水系统管理措施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地下水及土壤环境</w:t>
            </w:r>
          </w:p>
        </w:tc>
        <w:tc>
          <w:tcPr>
            <w:tcW w:w="2718"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c>
          <w:tcPr>
            <w:tcW w:w="883"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c>
          <w:tcPr>
            <w:tcW w:w="2778"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c>
          <w:tcPr>
            <w:tcW w:w="1285"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声环境</w:t>
            </w:r>
          </w:p>
        </w:tc>
        <w:tc>
          <w:tcPr>
            <w:tcW w:w="2718" w:type="dxa"/>
            <w:vAlign w:val="center"/>
          </w:tcPr>
          <w:p>
            <w:pPr>
              <w:jc w:val="center"/>
              <w:rPr>
                <w:color w:val="auto"/>
                <w:szCs w:val="21"/>
                <w:highlight w:val="none"/>
              </w:rPr>
            </w:pPr>
            <w:r>
              <w:rPr>
                <w:rFonts w:hint="eastAsia"/>
                <w:color w:val="auto"/>
                <w:szCs w:val="21"/>
                <w:highlight w:val="none"/>
              </w:rPr>
              <w:t>①</w:t>
            </w:r>
            <w:r>
              <w:rPr>
                <w:color w:val="auto"/>
                <w:szCs w:val="21"/>
                <w:highlight w:val="none"/>
              </w:rPr>
              <w:t>对施工期噪声超标的</w:t>
            </w:r>
            <w:r>
              <w:rPr>
                <w:rFonts w:hint="eastAsia"/>
                <w:color w:val="auto"/>
                <w:szCs w:val="21"/>
                <w:highlight w:val="none"/>
              </w:rPr>
              <w:t>声环境保护目标</w:t>
            </w:r>
            <w:r>
              <w:rPr>
                <w:color w:val="auto"/>
                <w:szCs w:val="21"/>
                <w:highlight w:val="none"/>
              </w:rPr>
              <w:t>，根据实际情况，在</w:t>
            </w:r>
            <w:r>
              <w:rPr>
                <w:rFonts w:hint="eastAsia"/>
                <w:color w:val="auto"/>
                <w:szCs w:val="21"/>
                <w:highlight w:val="none"/>
              </w:rPr>
              <w:t>声环境保护目标</w:t>
            </w:r>
            <w:r>
              <w:rPr>
                <w:color w:val="auto"/>
                <w:szCs w:val="21"/>
                <w:highlight w:val="none"/>
              </w:rPr>
              <w:t>附近路段施工时应设置临时声屏障降噪。</w:t>
            </w:r>
          </w:p>
          <w:p>
            <w:pPr>
              <w:jc w:val="center"/>
              <w:rPr>
                <w:color w:val="auto"/>
                <w:szCs w:val="21"/>
                <w:highlight w:val="none"/>
              </w:rPr>
            </w:pPr>
            <w:r>
              <w:rPr>
                <w:rFonts w:hint="eastAsia"/>
                <w:color w:val="auto"/>
                <w:szCs w:val="21"/>
                <w:highlight w:val="none"/>
              </w:rPr>
              <w:t>②</w:t>
            </w:r>
            <w:r>
              <w:rPr>
                <w:color w:val="auto"/>
                <w:szCs w:val="21"/>
                <w:highlight w:val="none"/>
              </w:rPr>
              <w:t>强噪声施工机械（装载机、振捣器等）午间（12:00-14:30）、夜间（22:00-6:00）停止施工作业，如需连续作业应向当地环保部门申报。</w:t>
            </w:r>
          </w:p>
          <w:p>
            <w:pPr>
              <w:jc w:val="center"/>
              <w:rPr>
                <w:color w:val="auto"/>
                <w:szCs w:val="21"/>
                <w:highlight w:val="none"/>
              </w:rPr>
            </w:pPr>
            <w:r>
              <w:rPr>
                <w:rFonts w:hint="eastAsia"/>
                <w:color w:val="auto"/>
                <w:szCs w:val="21"/>
                <w:highlight w:val="none"/>
              </w:rPr>
              <w:t>③</w:t>
            </w:r>
            <w:r>
              <w:rPr>
                <w:color w:val="auto"/>
                <w:szCs w:val="21"/>
                <w:highlight w:val="none"/>
              </w:rPr>
              <w:t>合理安排施工活动，尽量缩短工期，减少施工噪声影响时间。避免强噪声施工机械在同一区域内同时使用。</w:t>
            </w:r>
          </w:p>
          <w:p>
            <w:pPr>
              <w:adjustRightInd w:val="0"/>
              <w:snapToGrid w:val="0"/>
              <w:jc w:val="center"/>
              <w:rPr>
                <w:rFonts w:ascii="宋体" w:hAnsi="宋体" w:cs="宋体"/>
                <w:color w:val="auto"/>
                <w:szCs w:val="21"/>
                <w:highlight w:val="none"/>
              </w:rPr>
            </w:pPr>
            <w:r>
              <w:rPr>
                <w:rFonts w:hint="eastAsia"/>
                <w:color w:val="auto"/>
                <w:szCs w:val="21"/>
                <w:highlight w:val="none"/>
              </w:rPr>
              <w:t>④</w:t>
            </w:r>
            <w:r>
              <w:rPr>
                <w:color w:val="auto"/>
                <w:szCs w:val="21"/>
                <w:highlight w:val="none"/>
              </w:rPr>
              <w:t>施工中注意选用效率高、噪声低的机械，如用液压工具代替气压工具等等，并注意对机械的正确操作及维修，使之维持最佳工作状态和最低声级水平。</w:t>
            </w:r>
          </w:p>
        </w:tc>
        <w:tc>
          <w:tcPr>
            <w:tcW w:w="883" w:type="dxa"/>
            <w:vAlign w:val="center"/>
          </w:tcPr>
          <w:p>
            <w:pPr>
              <w:jc w:val="left"/>
              <w:rPr>
                <w:rFonts w:ascii="宋体" w:hAnsi="宋体" w:cs="宋体"/>
                <w:color w:val="auto"/>
                <w:szCs w:val="21"/>
                <w:highlight w:val="none"/>
              </w:rPr>
            </w:pPr>
            <w:r>
              <w:rPr>
                <w:rFonts w:hint="eastAsia" w:ascii="宋体" w:hAnsi="宋体" w:cs="宋体"/>
                <w:color w:val="auto"/>
                <w:szCs w:val="21"/>
                <w:highlight w:val="none"/>
              </w:rPr>
              <w:t>/</w:t>
            </w:r>
          </w:p>
        </w:tc>
        <w:tc>
          <w:tcPr>
            <w:tcW w:w="2778" w:type="dxa"/>
            <w:vAlign w:val="center"/>
          </w:tcPr>
          <w:p>
            <w:pPr>
              <w:adjustRightInd w:val="0"/>
              <w:snapToGrid w:val="0"/>
              <w:rPr>
                <w:rFonts w:hint="eastAsia"/>
                <w:color w:val="auto"/>
                <w:highlight w:val="none"/>
              </w:rPr>
            </w:pPr>
            <w:r>
              <w:rPr>
                <w:rFonts w:hint="eastAsia"/>
                <w:color w:val="auto"/>
                <w:highlight w:val="none"/>
              </w:rPr>
              <w:t>①加强交通管理，严格执行限速和禁止超载等交通管制；居民区、学校等附近设置禁鸣标志。</w:t>
            </w:r>
          </w:p>
          <w:p>
            <w:pPr>
              <w:pStyle w:val="13"/>
              <w:rPr>
                <w:rFonts w:hint="eastAsia"/>
                <w:color w:val="auto"/>
                <w:sz w:val="21"/>
                <w:szCs w:val="24"/>
                <w:highlight w:val="none"/>
              </w:rPr>
            </w:pPr>
            <w:r>
              <w:rPr>
                <w:rFonts w:hint="eastAsia"/>
                <w:color w:val="auto"/>
                <w:sz w:val="21"/>
                <w:szCs w:val="24"/>
                <w:highlight w:val="none"/>
              </w:rPr>
              <w:t>②沿线噪声预测超标声环境保护目标结合实际情况，加装隔声窗、声屏障安装情况，以及采用绿化等降噪措施。</w:t>
            </w:r>
          </w:p>
          <w:p>
            <w:pPr>
              <w:rPr>
                <w:rFonts w:hint="eastAsia"/>
                <w:color w:val="auto"/>
                <w:highlight w:val="none"/>
              </w:rPr>
            </w:pPr>
            <w:r>
              <w:rPr>
                <w:rFonts w:hint="eastAsia"/>
                <w:color w:val="auto"/>
                <w:highlight w:val="none"/>
              </w:rPr>
              <w:t>③沿线噪声预测超标声环境保护目标结合实际情况，加装隔声窗、声屏障安装情况，以及采用绿化等降噪措施。</w:t>
            </w:r>
          </w:p>
        </w:tc>
        <w:tc>
          <w:tcPr>
            <w:tcW w:w="1285" w:type="dxa"/>
            <w:vAlign w:val="center"/>
          </w:tcPr>
          <w:p>
            <w:pPr>
              <w:adjustRightInd w:val="0"/>
              <w:snapToGrid w:val="0"/>
              <w:rPr>
                <w:rFonts w:hint="eastAsia" w:ascii="宋体" w:hAnsi="宋体" w:cs="宋体"/>
                <w:color w:val="auto"/>
                <w:szCs w:val="21"/>
                <w:highlight w:val="none"/>
              </w:rPr>
            </w:pPr>
            <w:r>
              <w:rPr>
                <w:color w:val="auto"/>
                <w:szCs w:val="21"/>
                <w:highlight w:val="none"/>
              </w:rPr>
              <w:t>营运期</w:t>
            </w:r>
            <w:r>
              <w:rPr>
                <w:rFonts w:hint="eastAsia"/>
                <w:color w:val="auto"/>
                <w:szCs w:val="21"/>
                <w:highlight w:val="none"/>
              </w:rPr>
              <w:t>声环境保护目标</w:t>
            </w:r>
            <w:r>
              <w:rPr>
                <w:color w:val="auto"/>
                <w:szCs w:val="21"/>
                <w:highlight w:val="none"/>
              </w:rPr>
              <w:t>噪声超标情况、</w:t>
            </w:r>
            <w:r>
              <w:rPr>
                <w:rFonts w:hint="eastAsia"/>
                <w:color w:val="auto"/>
                <w:szCs w:val="21"/>
                <w:highlight w:val="none"/>
              </w:rPr>
              <w:t>隔声窗、声屏障</w:t>
            </w:r>
            <w:r>
              <w:rPr>
                <w:color w:val="auto"/>
                <w:szCs w:val="21"/>
                <w:highlight w:val="none"/>
              </w:rPr>
              <w:t>安装情况</w:t>
            </w:r>
            <w:r>
              <w:rPr>
                <w:rFonts w:hint="eastAsia"/>
                <w:color w:val="auto"/>
                <w:szCs w:val="21"/>
                <w:highlight w:val="none"/>
              </w:rPr>
              <w:t>，绿化情况。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振动</w:t>
            </w:r>
          </w:p>
        </w:tc>
        <w:tc>
          <w:tcPr>
            <w:tcW w:w="2718"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c>
          <w:tcPr>
            <w:tcW w:w="883"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c>
          <w:tcPr>
            <w:tcW w:w="2778"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c>
          <w:tcPr>
            <w:tcW w:w="1285"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大气环境</w:t>
            </w:r>
          </w:p>
        </w:tc>
        <w:tc>
          <w:tcPr>
            <w:tcW w:w="2718" w:type="dxa"/>
            <w:vAlign w:val="center"/>
          </w:tcPr>
          <w:p>
            <w:pPr>
              <w:jc w:val="center"/>
              <w:rPr>
                <w:color w:val="auto"/>
                <w:szCs w:val="21"/>
                <w:highlight w:val="none"/>
              </w:rPr>
            </w:pPr>
            <w:r>
              <w:rPr>
                <w:rFonts w:hint="eastAsia"/>
                <w:color w:val="auto"/>
                <w:szCs w:val="21"/>
                <w:highlight w:val="none"/>
              </w:rPr>
              <w:t>①</w:t>
            </w:r>
            <w:r>
              <w:rPr>
                <w:color w:val="auto"/>
                <w:szCs w:val="21"/>
                <w:highlight w:val="none"/>
              </w:rPr>
              <w:t>土石方运输应向有关行政主管部门申请运输路线，车辆应当按照批准的路线和时间进行土石方的运输。</w:t>
            </w:r>
          </w:p>
          <w:p>
            <w:pPr>
              <w:jc w:val="center"/>
              <w:rPr>
                <w:color w:val="auto"/>
                <w:szCs w:val="21"/>
                <w:highlight w:val="none"/>
              </w:rPr>
            </w:pPr>
            <w:r>
              <w:rPr>
                <w:rFonts w:hint="eastAsia"/>
                <w:color w:val="auto"/>
                <w:szCs w:val="21"/>
                <w:highlight w:val="none"/>
              </w:rPr>
              <w:t>②</w:t>
            </w:r>
            <w:r>
              <w:rPr>
                <w:color w:val="auto"/>
                <w:szCs w:val="21"/>
                <w:highlight w:val="none"/>
              </w:rPr>
              <w:t>建设单位在施工期间，应设置施工标志牌。施工标志牌应当标明工程项目名称、建设单位、设计单位、施工单位、监理单位名称，项目经理姓名、联系电话，开工和计划竣工日期，施工许可证批准文号以及监督电话、当地环境保护主管部门的污染举报电话等。</w:t>
            </w:r>
          </w:p>
          <w:p>
            <w:pPr>
              <w:jc w:val="center"/>
              <w:rPr>
                <w:color w:val="auto"/>
                <w:szCs w:val="21"/>
                <w:highlight w:val="none"/>
              </w:rPr>
            </w:pPr>
            <w:r>
              <w:rPr>
                <w:rFonts w:hint="eastAsia"/>
                <w:color w:val="auto"/>
                <w:szCs w:val="21"/>
                <w:highlight w:val="none"/>
              </w:rPr>
              <w:t>③</w:t>
            </w:r>
            <w:r>
              <w:rPr>
                <w:color w:val="auto"/>
                <w:szCs w:val="21"/>
                <w:highlight w:val="none"/>
              </w:rPr>
              <w:t>对于裸露施工区地表压实处理并洒水。</w:t>
            </w:r>
          </w:p>
          <w:p>
            <w:pPr>
              <w:adjustRightInd w:val="0"/>
              <w:snapToGrid w:val="0"/>
              <w:jc w:val="center"/>
              <w:rPr>
                <w:rFonts w:ascii="宋体" w:hAnsi="宋体" w:cs="宋体"/>
                <w:color w:val="auto"/>
                <w:szCs w:val="21"/>
                <w:highlight w:val="none"/>
              </w:rPr>
            </w:pPr>
            <w:r>
              <w:rPr>
                <w:rFonts w:hint="eastAsia"/>
                <w:color w:val="auto"/>
                <w:szCs w:val="21"/>
                <w:highlight w:val="none"/>
              </w:rPr>
              <w:t>④</w:t>
            </w:r>
            <w:r>
              <w:rPr>
                <w:color w:val="auto"/>
                <w:szCs w:val="21"/>
                <w:highlight w:val="none"/>
              </w:rPr>
              <w:t>施工单位必须选用符合国家卫生防护标准的施工机械设备和运输工具，确保其废气排放符合国家有关标准。</w:t>
            </w:r>
          </w:p>
        </w:tc>
        <w:tc>
          <w:tcPr>
            <w:tcW w:w="883" w:type="dxa"/>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w:t>
            </w:r>
          </w:p>
        </w:tc>
        <w:tc>
          <w:tcPr>
            <w:tcW w:w="2778" w:type="dxa"/>
            <w:vAlign w:val="center"/>
          </w:tcPr>
          <w:p>
            <w:pPr>
              <w:jc w:val="center"/>
              <w:rPr>
                <w:color w:val="auto"/>
                <w:szCs w:val="21"/>
                <w:highlight w:val="none"/>
              </w:rPr>
            </w:pPr>
            <w:r>
              <w:rPr>
                <w:color w:val="auto"/>
                <w:szCs w:val="21"/>
                <w:highlight w:val="none"/>
              </w:rPr>
              <w:fldChar w:fldCharType="begin"/>
            </w:r>
            <w:r>
              <w:rPr>
                <w:color w:val="auto"/>
                <w:szCs w:val="21"/>
                <w:highlight w:val="none"/>
              </w:rPr>
              <w:instrText xml:space="preserve"> = 1 \* GB3 </w:instrText>
            </w:r>
            <w:r>
              <w:rPr>
                <w:color w:val="auto"/>
                <w:szCs w:val="21"/>
                <w:highlight w:val="none"/>
              </w:rPr>
              <w:fldChar w:fldCharType="separate"/>
            </w:r>
            <w:r>
              <w:rPr>
                <w:rFonts w:hint="eastAsia"/>
                <w:color w:val="auto"/>
                <w:szCs w:val="21"/>
                <w:highlight w:val="none"/>
              </w:rPr>
              <w:t>①</w:t>
            </w:r>
            <w:r>
              <w:rPr>
                <w:color w:val="auto"/>
                <w:szCs w:val="21"/>
                <w:highlight w:val="none"/>
              </w:rPr>
              <w:fldChar w:fldCharType="end"/>
            </w:r>
            <w:r>
              <w:rPr>
                <w:color w:val="auto"/>
                <w:szCs w:val="21"/>
                <w:highlight w:val="none"/>
              </w:rPr>
              <w:t>工程沿线进行绿化，以充分利用植被对环境空气的净化功能；</w:t>
            </w:r>
          </w:p>
          <w:p>
            <w:pPr>
              <w:adjustRightInd w:val="0"/>
              <w:snapToGrid w:val="0"/>
              <w:rPr>
                <w:rFonts w:ascii="宋体" w:hAnsi="宋体" w:cs="宋体"/>
                <w:color w:val="auto"/>
                <w:szCs w:val="21"/>
                <w:highlight w:val="none"/>
              </w:rPr>
            </w:pPr>
            <w:r>
              <w:rPr>
                <w:color w:val="auto"/>
                <w:szCs w:val="21"/>
                <w:highlight w:val="none"/>
              </w:rPr>
              <w:fldChar w:fldCharType="begin"/>
            </w:r>
            <w:r>
              <w:rPr>
                <w:color w:val="auto"/>
                <w:szCs w:val="21"/>
                <w:highlight w:val="none"/>
              </w:rPr>
              <w:instrText xml:space="preserve"> = 2 \* GB3 </w:instrText>
            </w:r>
            <w:r>
              <w:rPr>
                <w:color w:val="auto"/>
                <w:szCs w:val="21"/>
                <w:highlight w:val="none"/>
              </w:rPr>
              <w:fldChar w:fldCharType="separate"/>
            </w:r>
            <w:r>
              <w:rPr>
                <w:rFonts w:hint="eastAsia"/>
                <w:color w:val="auto"/>
                <w:szCs w:val="21"/>
                <w:highlight w:val="none"/>
              </w:rPr>
              <w:t>②</w:t>
            </w:r>
            <w:r>
              <w:rPr>
                <w:color w:val="auto"/>
                <w:szCs w:val="21"/>
                <w:highlight w:val="none"/>
              </w:rPr>
              <w:fldChar w:fldCharType="end"/>
            </w:r>
            <w:r>
              <w:rPr>
                <w:color w:val="auto"/>
                <w:szCs w:val="21"/>
                <w:highlight w:val="none"/>
              </w:rPr>
              <w:t>路面应及时保洁、清扫、洒水，尽量减少车辆通过时产生的扬尘。</w:t>
            </w:r>
          </w:p>
        </w:tc>
        <w:tc>
          <w:tcPr>
            <w:tcW w:w="1285" w:type="dxa"/>
            <w:vAlign w:val="center"/>
          </w:tcPr>
          <w:p>
            <w:pPr>
              <w:adjustRightInd w:val="0"/>
              <w:snapToGrid w:val="0"/>
              <w:rPr>
                <w:rFonts w:ascii="宋体" w:hAnsi="宋体" w:cs="宋体"/>
                <w:color w:val="auto"/>
                <w:szCs w:val="21"/>
                <w:highlight w:val="none"/>
              </w:rPr>
            </w:pPr>
            <w:r>
              <w:rPr>
                <w:color w:val="auto"/>
                <w:szCs w:val="21"/>
                <w:highlight w:val="none"/>
              </w:rPr>
              <w:t>运营期敏感点附近绿化情况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固体废物</w:t>
            </w:r>
          </w:p>
        </w:tc>
        <w:tc>
          <w:tcPr>
            <w:tcW w:w="2718" w:type="dxa"/>
            <w:vAlign w:val="center"/>
          </w:tcPr>
          <w:p>
            <w:pPr>
              <w:jc w:val="center"/>
              <w:rPr>
                <w:color w:val="auto"/>
                <w:szCs w:val="21"/>
                <w:highlight w:val="none"/>
              </w:rPr>
            </w:pPr>
            <w:r>
              <w:rPr>
                <w:color w:val="auto"/>
                <w:szCs w:val="21"/>
                <w:highlight w:val="none"/>
              </w:rPr>
              <w:fldChar w:fldCharType="begin"/>
            </w:r>
            <w:r>
              <w:rPr>
                <w:color w:val="auto"/>
                <w:szCs w:val="21"/>
                <w:highlight w:val="none"/>
              </w:rPr>
              <w:instrText xml:space="preserve"> = 1 \* GB3 </w:instrText>
            </w:r>
            <w:r>
              <w:rPr>
                <w:color w:val="auto"/>
                <w:szCs w:val="21"/>
                <w:highlight w:val="none"/>
              </w:rPr>
              <w:fldChar w:fldCharType="separate"/>
            </w:r>
            <w:r>
              <w:rPr>
                <w:rFonts w:hint="eastAsia"/>
                <w:color w:val="auto"/>
                <w:szCs w:val="21"/>
                <w:highlight w:val="none"/>
              </w:rPr>
              <w:t>①</w:t>
            </w:r>
            <w:r>
              <w:rPr>
                <w:color w:val="auto"/>
                <w:szCs w:val="21"/>
                <w:highlight w:val="none"/>
              </w:rPr>
              <w:fldChar w:fldCharType="end"/>
            </w:r>
            <w:r>
              <w:rPr>
                <w:color w:val="auto"/>
                <w:szCs w:val="21"/>
                <w:highlight w:val="none"/>
              </w:rPr>
              <w:t>施工垃圾临时堆放时，要选择适当地点，堆放有序；施工人员的生活垃圾、施工物料垃圾等分类收集，废弃物应在施工中回收利用；其余垃圾分类集中堆放，联系环卫部门及时清运。</w:t>
            </w:r>
          </w:p>
          <w:p>
            <w:pPr>
              <w:jc w:val="center"/>
              <w:rPr>
                <w:color w:val="auto"/>
                <w:szCs w:val="21"/>
                <w:highlight w:val="none"/>
              </w:rPr>
            </w:pPr>
            <w:r>
              <w:rPr>
                <w:rFonts w:hint="eastAsia"/>
                <w:color w:val="auto"/>
                <w:szCs w:val="21"/>
                <w:highlight w:val="none"/>
              </w:rPr>
              <w:t>②</w:t>
            </w:r>
            <w:r>
              <w:rPr>
                <w:color w:val="auto"/>
                <w:szCs w:val="21"/>
                <w:highlight w:val="none"/>
              </w:rPr>
              <w:t>对施工弃方晾晒点设置边坡防护工程，同时做好坡面、坡脚排水系统可减少水体污染及水土流失等环境影响。</w:t>
            </w:r>
          </w:p>
        </w:tc>
        <w:tc>
          <w:tcPr>
            <w:tcW w:w="883" w:type="dxa"/>
            <w:vAlign w:val="center"/>
          </w:tcPr>
          <w:p>
            <w:pPr>
              <w:adjustRightInd w:val="0"/>
              <w:snapToGrid w:val="0"/>
              <w:rPr>
                <w:rFonts w:ascii="宋体" w:hAnsi="宋体" w:cs="宋体"/>
                <w:color w:val="auto"/>
                <w:szCs w:val="21"/>
                <w:highlight w:val="none"/>
              </w:rPr>
            </w:pPr>
            <w:r>
              <w:rPr>
                <w:color w:val="auto"/>
                <w:szCs w:val="21"/>
                <w:highlight w:val="none"/>
              </w:rPr>
              <w:t>各类设施配套情况</w:t>
            </w:r>
          </w:p>
        </w:tc>
        <w:tc>
          <w:tcPr>
            <w:tcW w:w="2778" w:type="dxa"/>
            <w:vAlign w:val="center"/>
          </w:tcPr>
          <w:p>
            <w:pPr>
              <w:jc w:val="center"/>
              <w:rPr>
                <w:color w:val="auto"/>
                <w:szCs w:val="21"/>
                <w:highlight w:val="none"/>
              </w:rPr>
            </w:pPr>
            <w:r>
              <w:rPr>
                <w:rFonts w:hint="eastAsia"/>
                <w:color w:val="auto"/>
                <w:szCs w:val="21"/>
                <w:highlight w:val="none"/>
              </w:rPr>
              <w:t>①</w:t>
            </w:r>
            <w:r>
              <w:rPr>
                <w:color w:val="auto"/>
                <w:szCs w:val="21"/>
                <w:highlight w:val="none"/>
              </w:rPr>
              <w:t>在道路两侧设置分类垃圾箱，以便分类收集过往行人的生活垃圾；</w:t>
            </w:r>
          </w:p>
          <w:p>
            <w:pPr>
              <w:adjustRightInd w:val="0"/>
              <w:snapToGrid w:val="0"/>
              <w:rPr>
                <w:rFonts w:ascii="宋体" w:hAnsi="宋体" w:cs="宋体"/>
                <w:color w:val="auto"/>
                <w:szCs w:val="21"/>
                <w:highlight w:val="none"/>
              </w:rPr>
            </w:pPr>
            <w:r>
              <w:rPr>
                <w:rFonts w:hint="eastAsia"/>
                <w:color w:val="auto"/>
                <w:szCs w:val="21"/>
                <w:highlight w:val="none"/>
              </w:rPr>
              <w:t>②</w:t>
            </w:r>
            <w:r>
              <w:rPr>
                <w:color w:val="auto"/>
                <w:szCs w:val="21"/>
                <w:highlight w:val="none"/>
              </w:rPr>
              <w:t>加强对道路的管理，定时对路面进行保洁、养护，清理过往车辆遗弃的各种固体废物。</w:t>
            </w:r>
          </w:p>
        </w:tc>
        <w:tc>
          <w:tcPr>
            <w:tcW w:w="1285" w:type="dxa"/>
            <w:vAlign w:val="center"/>
          </w:tcPr>
          <w:p>
            <w:pPr>
              <w:adjustRightInd w:val="0"/>
              <w:snapToGrid w:val="0"/>
              <w:rPr>
                <w:rFonts w:ascii="宋体" w:hAnsi="宋体" w:cs="宋体"/>
                <w:color w:val="auto"/>
                <w:szCs w:val="21"/>
                <w:highlight w:val="none"/>
              </w:rPr>
            </w:pPr>
            <w:r>
              <w:rPr>
                <w:color w:val="auto"/>
                <w:szCs w:val="21"/>
                <w:highlight w:val="none"/>
              </w:rPr>
              <w:t>各类设施配套情况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电磁环境</w:t>
            </w:r>
          </w:p>
        </w:tc>
        <w:tc>
          <w:tcPr>
            <w:tcW w:w="2718" w:type="dxa"/>
            <w:vAlign w:val="center"/>
          </w:tcPr>
          <w:p>
            <w:pPr>
              <w:rPr>
                <w:color w:val="auto"/>
                <w:szCs w:val="21"/>
                <w:highlight w:val="none"/>
              </w:rPr>
            </w:pPr>
            <w:r>
              <w:rPr>
                <w:rFonts w:hint="eastAsia"/>
                <w:color w:val="auto"/>
                <w:szCs w:val="21"/>
                <w:highlight w:val="none"/>
              </w:rPr>
              <w:t>/</w:t>
            </w:r>
          </w:p>
        </w:tc>
        <w:tc>
          <w:tcPr>
            <w:tcW w:w="883"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c>
          <w:tcPr>
            <w:tcW w:w="2778"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c>
          <w:tcPr>
            <w:tcW w:w="1285"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环境管理</w:t>
            </w:r>
          </w:p>
        </w:tc>
        <w:tc>
          <w:tcPr>
            <w:tcW w:w="2718" w:type="dxa"/>
            <w:vAlign w:val="center"/>
          </w:tcPr>
          <w:p>
            <w:pPr>
              <w:jc w:val="center"/>
              <w:rPr>
                <w:rFonts w:hint="eastAsia"/>
                <w:color w:val="auto"/>
                <w:szCs w:val="21"/>
                <w:highlight w:val="none"/>
              </w:rPr>
            </w:pPr>
            <w:r>
              <w:rPr>
                <w:color w:val="auto"/>
                <w:szCs w:val="21"/>
                <w:highlight w:val="none"/>
              </w:rPr>
              <w:fldChar w:fldCharType="begin"/>
            </w:r>
            <w:r>
              <w:rPr>
                <w:color w:val="auto"/>
                <w:szCs w:val="21"/>
                <w:highlight w:val="none"/>
              </w:rPr>
              <w:instrText xml:space="preserve"> = 1 \* GB3 </w:instrText>
            </w:r>
            <w:r>
              <w:rPr>
                <w:color w:val="auto"/>
                <w:szCs w:val="21"/>
                <w:highlight w:val="none"/>
              </w:rPr>
              <w:fldChar w:fldCharType="separate"/>
            </w:r>
            <w:r>
              <w:rPr>
                <w:rFonts w:hint="eastAsia"/>
                <w:color w:val="auto"/>
                <w:szCs w:val="21"/>
                <w:highlight w:val="none"/>
              </w:rPr>
              <w:t>①</w:t>
            </w:r>
            <w:r>
              <w:rPr>
                <w:color w:val="auto"/>
                <w:szCs w:val="21"/>
                <w:highlight w:val="none"/>
              </w:rPr>
              <w:fldChar w:fldCharType="end"/>
            </w:r>
            <w:r>
              <w:rPr>
                <w:rFonts w:hint="eastAsia"/>
                <w:color w:val="auto"/>
                <w:szCs w:val="21"/>
                <w:highlight w:val="none"/>
              </w:rPr>
              <w:t>对路段挖方、填方等施工均应有临时排水沟及水土保持措施，施工后应迅速恢复植被或垦复耕地或植树、植草皮等</w:t>
            </w:r>
          </w:p>
          <w:p>
            <w:pPr>
              <w:jc w:val="center"/>
              <w:rPr>
                <w:rFonts w:hint="eastAsia"/>
                <w:color w:val="auto"/>
                <w:szCs w:val="21"/>
                <w:highlight w:val="none"/>
              </w:rPr>
            </w:pPr>
            <w:r>
              <w:rPr>
                <w:color w:val="auto"/>
                <w:szCs w:val="21"/>
                <w:highlight w:val="none"/>
              </w:rPr>
              <w:fldChar w:fldCharType="begin"/>
            </w:r>
            <w:r>
              <w:rPr>
                <w:color w:val="auto"/>
                <w:szCs w:val="21"/>
                <w:highlight w:val="none"/>
              </w:rPr>
              <w:instrText xml:space="preserve"> = 2 \* GB3 </w:instrText>
            </w:r>
            <w:r>
              <w:rPr>
                <w:color w:val="auto"/>
                <w:szCs w:val="21"/>
                <w:highlight w:val="none"/>
              </w:rPr>
              <w:fldChar w:fldCharType="separate"/>
            </w:r>
            <w:r>
              <w:rPr>
                <w:rFonts w:hint="eastAsia"/>
                <w:color w:val="auto"/>
                <w:szCs w:val="21"/>
                <w:highlight w:val="none"/>
              </w:rPr>
              <w:t>②</w:t>
            </w:r>
            <w:r>
              <w:rPr>
                <w:color w:val="auto"/>
                <w:szCs w:val="21"/>
                <w:highlight w:val="none"/>
              </w:rPr>
              <w:fldChar w:fldCharType="end"/>
            </w:r>
            <w:r>
              <w:rPr>
                <w:rFonts w:hint="eastAsia"/>
                <w:color w:val="auto"/>
                <w:szCs w:val="21"/>
                <w:highlight w:val="none"/>
              </w:rPr>
              <w:t>建设单位应制订施工噪声管理办法，对施工机械设备的噪声标准进行必要控制，禁止超标机械进场，调整作业时间，防止对周边原有交通造成干扰。</w:t>
            </w:r>
          </w:p>
          <w:p>
            <w:pPr>
              <w:jc w:val="center"/>
              <w:rPr>
                <w:rFonts w:hint="eastAsia" w:ascii="宋体" w:hAnsi="宋体" w:cs="宋体"/>
                <w:color w:val="auto"/>
                <w:szCs w:val="21"/>
                <w:highlight w:val="none"/>
              </w:rPr>
            </w:pPr>
            <w:r>
              <w:rPr>
                <w:color w:val="auto"/>
                <w:szCs w:val="21"/>
                <w:highlight w:val="none"/>
              </w:rPr>
              <w:fldChar w:fldCharType="begin"/>
            </w:r>
            <w:r>
              <w:rPr>
                <w:color w:val="auto"/>
                <w:szCs w:val="21"/>
                <w:highlight w:val="none"/>
              </w:rPr>
              <w:instrText xml:space="preserve"> = 3 \* GB3 </w:instrText>
            </w:r>
            <w:r>
              <w:rPr>
                <w:color w:val="auto"/>
                <w:szCs w:val="21"/>
                <w:highlight w:val="none"/>
              </w:rPr>
              <w:fldChar w:fldCharType="separate"/>
            </w:r>
            <w:r>
              <w:rPr>
                <w:rFonts w:hint="eastAsia"/>
                <w:color w:val="auto"/>
                <w:szCs w:val="21"/>
                <w:highlight w:val="none"/>
              </w:rPr>
              <w:t>③</w:t>
            </w:r>
            <w:r>
              <w:rPr>
                <w:color w:val="auto"/>
                <w:szCs w:val="21"/>
                <w:highlight w:val="none"/>
              </w:rPr>
              <w:fldChar w:fldCharType="end"/>
            </w:r>
            <w:r>
              <w:rPr>
                <w:rFonts w:hint="eastAsia"/>
                <w:color w:val="auto"/>
                <w:szCs w:val="21"/>
                <w:highlight w:val="none"/>
              </w:rPr>
              <w:t>运送土石料、水泥等的卡车不得超载土石料装料高度不得高于车厢边缘高度，以防止土石料泄漏；在施工路段、临时道路等在9 时至18 时段至少每天进行四次洒水。</w:t>
            </w:r>
          </w:p>
        </w:tc>
        <w:tc>
          <w:tcPr>
            <w:tcW w:w="883" w:type="dxa"/>
            <w:vAlign w:val="center"/>
          </w:tcPr>
          <w:p>
            <w:pPr>
              <w:adjustRightInd w:val="0"/>
              <w:snapToGrid w:val="0"/>
              <w:rPr>
                <w:rFonts w:ascii="宋体" w:hAnsi="宋体" w:cs="宋体"/>
                <w:color w:val="auto"/>
                <w:szCs w:val="21"/>
                <w:highlight w:val="none"/>
              </w:rPr>
            </w:pPr>
            <w:r>
              <w:rPr>
                <w:color w:val="auto"/>
                <w:szCs w:val="21"/>
                <w:highlight w:val="none"/>
              </w:rPr>
              <w:t>各类设施配套情况</w:t>
            </w:r>
          </w:p>
        </w:tc>
        <w:tc>
          <w:tcPr>
            <w:tcW w:w="2778" w:type="dxa"/>
            <w:vAlign w:val="center"/>
          </w:tcPr>
          <w:p>
            <w:pPr>
              <w:jc w:val="center"/>
              <w:rPr>
                <w:rFonts w:hint="eastAsia"/>
                <w:color w:val="auto"/>
                <w:szCs w:val="21"/>
                <w:highlight w:val="none"/>
              </w:rPr>
            </w:pPr>
            <w:r>
              <w:rPr>
                <w:color w:val="auto"/>
                <w:szCs w:val="21"/>
                <w:highlight w:val="none"/>
              </w:rPr>
              <w:fldChar w:fldCharType="begin"/>
            </w:r>
            <w:r>
              <w:rPr>
                <w:color w:val="auto"/>
                <w:szCs w:val="21"/>
                <w:highlight w:val="none"/>
              </w:rPr>
              <w:instrText xml:space="preserve"> = 1 \* GB3 </w:instrText>
            </w:r>
            <w:r>
              <w:rPr>
                <w:color w:val="auto"/>
                <w:szCs w:val="21"/>
                <w:highlight w:val="none"/>
              </w:rPr>
              <w:fldChar w:fldCharType="separate"/>
            </w:r>
            <w:r>
              <w:rPr>
                <w:rFonts w:hint="eastAsia"/>
                <w:color w:val="auto"/>
                <w:szCs w:val="21"/>
                <w:highlight w:val="none"/>
              </w:rPr>
              <w:t>①</w:t>
            </w:r>
            <w:r>
              <w:rPr>
                <w:color w:val="auto"/>
                <w:szCs w:val="21"/>
                <w:highlight w:val="none"/>
              </w:rPr>
              <w:fldChar w:fldCharType="end"/>
            </w:r>
            <w:r>
              <w:rPr>
                <w:rFonts w:hint="eastAsia"/>
                <w:color w:val="auto"/>
                <w:szCs w:val="21"/>
                <w:highlight w:val="none"/>
              </w:rPr>
              <w:t>负责运营期的水、气、声污染控制措施的实施和管理监督工作。</w:t>
            </w:r>
          </w:p>
          <w:p>
            <w:pPr>
              <w:jc w:val="center"/>
              <w:rPr>
                <w:rFonts w:hint="eastAsia"/>
                <w:color w:val="auto"/>
                <w:szCs w:val="21"/>
                <w:highlight w:val="none"/>
              </w:rPr>
            </w:pPr>
            <w:r>
              <w:rPr>
                <w:color w:val="auto"/>
                <w:szCs w:val="21"/>
                <w:highlight w:val="none"/>
              </w:rPr>
              <w:fldChar w:fldCharType="begin"/>
            </w:r>
            <w:r>
              <w:rPr>
                <w:color w:val="auto"/>
                <w:szCs w:val="21"/>
                <w:highlight w:val="none"/>
              </w:rPr>
              <w:instrText xml:space="preserve"> = 2 \* GB3 </w:instrText>
            </w:r>
            <w:r>
              <w:rPr>
                <w:color w:val="auto"/>
                <w:szCs w:val="21"/>
                <w:highlight w:val="none"/>
              </w:rPr>
              <w:fldChar w:fldCharType="separate"/>
            </w:r>
            <w:r>
              <w:rPr>
                <w:rFonts w:hint="eastAsia"/>
                <w:color w:val="auto"/>
                <w:szCs w:val="21"/>
                <w:highlight w:val="none"/>
              </w:rPr>
              <w:t>②</w:t>
            </w:r>
            <w:r>
              <w:rPr>
                <w:color w:val="auto"/>
                <w:szCs w:val="21"/>
                <w:highlight w:val="none"/>
              </w:rPr>
              <w:fldChar w:fldCharType="end"/>
            </w:r>
            <w:r>
              <w:rPr>
                <w:rFonts w:hint="eastAsia"/>
                <w:color w:val="auto"/>
                <w:szCs w:val="21"/>
                <w:highlight w:val="none"/>
              </w:rPr>
              <w:t>建设单位环保科应配合交通管理部门制定车辆运行管理条例，特别是车辆进出居民区禁止鸣笛，限制车速，以免影响道路沿线附近的居民区等。</w:t>
            </w:r>
          </w:p>
          <w:p>
            <w:pPr>
              <w:jc w:val="center"/>
              <w:rPr>
                <w:rFonts w:hint="eastAsia"/>
                <w:color w:val="auto"/>
                <w:szCs w:val="21"/>
                <w:highlight w:val="none"/>
              </w:rPr>
            </w:pPr>
            <w:r>
              <w:rPr>
                <w:color w:val="auto"/>
                <w:szCs w:val="21"/>
                <w:highlight w:val="none"/>
              </w:rPr>
              <w:fldChar w:fldCharType="begin"/>
            </w:r>
            <w:r>
              <w:rPr>
                <w:color w:val="auto"/>
                <w:szCs w:val="21"/>
                <w:highlight w:val="none"/>
              </w:rPr>
              <w:instrText xml:space="preserve"> = 3 \* GB3 </w:instrText>
            </w:r>
            <w:r>
              <w:rPr>
                <w:color w:val="auto"/>
                <w:szCs w:val="21"/>
                <w:highlight w:val="none"/>
              </w:rPr>
              <w:fldChar w:fldCharType="separate"/>
            </w:r>
            <w:r>
              <w:rPr>
                <w:rFonts w:hint="eastAsia"/>
                <w:color w:val="auto"/>
                <w:szCs w:val="21"/>
                <w:highlight w:val="none"/>
              </w:rPr>
              <w:t>③</w:t>
            </w:r>
            <w:r>
              <w:rPr>
                <w:color w:val="auto"/>
                <w:szCs w:val="21"/>
                <w:highlight w:val="none"/>
              </w:rPr>
              <w:fldChar w:fldCharType="end"/>
            </w:r>
            <w:r>
              <w:rPr>
                <w:rFonts w:hint="eastAsia"/>
                <w:color w:val="auto"/>
                <w:szCs w:val="21"/>
                <w:highlight w:val="none"/>
              </w:rPr>
              <w:t>配合路政、市政、园林部门做好水土保持工程和沿线绿化工程的养护工作。</w:t>
            </w:r>
          </w:p>
          <w:p>
            <w:pPr>
              <w:jc w:val="center"/>
              <w:rPr>
                <w:rFonts w:hint="eastAsia"/>
                <w:color w:val="auto"/>
                <w:szCs w:val="21"/>
                <w:highlight w:val="none"/>
              </w:rPr>
            </w:pPr>
            <w:r>
              <w:rPr>
                <w:rFonts w:hint="eastAsia"/>
                <w:color w:val="auto"/>
                <w:szCs w:val="21"/>
                <w:highlight w:val="none"/>
              </w:rPr>
              <w:fldChar w:fldCharType="begin"/>
            </w:r>
            <w:r>
              <w:rPr>
                <w:rFonts w:hint="eastAsia"/>
                <w:color w:val="auto"/>
                <w:szCs w:val="21"/>
                <w:highlight w:val="none"/>
              </w:rPr>
              <w:instrText xml:space="preserve"> = 4 \* GB3 \* MERGEFORMAT </w:instrText>
            </w:r>
            <w:r>
              <w:rPr>
                <w:rFonts w:hint="eastAsia"/>
                <w:color w:val="auto"/>
                <w:szCs w:val="21"/>
                <w:highlight w:val="none"/>
              </w:rPr>
              <w:fldChar w:fldCharType="separate"/>
            </w:r>
            <w:r>
              <w:rPr>
                <w:color w:val="auto"/>
                <w:szCs w:val="21"/>
                <w:highlight w:val="none"/>
              </w:rPr>
              <w:t>④</w:t>
            </w:r>
            <w:r>
              <w:rPr>
                <w:rFonts w:hint="eastAsia"/>
                <w:color w:val="auto"/>
                <w:szCs w:val="21"/>
                <w:highlight w:val="none"/>
              </w:rPr>
              <w:fldChar w:fldCharType="end"/>
            </w:r>
            <w:r>
              <w:rPr>
                <w:rFonts w:hint="eastAsia"/>
                <w:color w:val="auto"/>
                <w:szCs w:val="21"/>
                <w:highlight w:val="none"/>
              </w:rPr>
              <w:t>禁止漏油、不安装保护帆布的货车和超载车上路，防止造成水体污染和安全事故隐患。按相关规定严格控制危险化学品的运输。定期检查清理道路雨水排水系统，应保证畅通，维持良好状态。</w:t>
            </w:r>
          </w:p>
          <w:p>
            <w:pPr>
              <w:jc w:val="center"/>
              <w:rPr>
                <w:rFonts w:hint="eastAsia"/>
                <w:color w:val="auto"/>
                <w:szCs w:val="21"/>
                <w:highlight w:val="none"/>
              </w:rPr>
            </w:pPr>
          </w:p>
        </w:tc>
        <w:tc>
          <w:tcPr>
            <w:tcW w:w="1285" w:type="dxa"/>
            <w:vAlign w:val="center"/>
          </w:tcPr>
          <w:p>
            <w:pPr>
              <w:jc w:val="center"/>
              <w:rPr>
                <w:rFonts w:hint="eastAsia"/>
                <w:color w:val="auto"/>
                <w:szCs w:val="21"/>
                <w:highlight w:val="none"/>
              </w:rPr>
            </w:pPr>
            <w:r>
              <w:rPr>
                <w:rFonts w:hint="eastAsia"/>
                <w:color w:val="auto"/>
                <w:szCs w:val="21"/>
                <w:highlight w:val="none"/>
              </w:rPr>
              <w:t>各类设施配套情况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环境监理</w:t>
            </w:r>
          </w:p>
        </w:tc>
        <w:tc>
          <w:tcPr>
            <w:tcW w:w="2718" w:type="dxa"/>
            <w:vAlign w:val="center"/>
          </w:tcPr>
          <w:p>
            <w:pPr>
              <w:jc w:val="center"/>
              <w:rPr>
                <w:rFonts w:hint="eastAsia"/>
                <w:color w:val="auto"/>
                <w:szCs w:val="21"/>
                <w:highlight w:val="none"/>
              </w:rPr>
            </w:pPr>
            <w:r>
              <w:rPr>
                <w:color w:val="auto"/>
                <w:szCs w:val="21"/>
                <w:highlight w:val="none"/>
              </w:rPr>
              <w:fldChar w:fldCharType="begin"/>
            </w:r>
            <w:r>
              <w:rPr>
                <w:color w:val="auto"/>
                <w:szCs w:val="21"/>
                <w:highlight w:val="none"/>
              </w:rPr>
              <w:instrText xml:space="preserve"> = 1 \* GB3 </w:instrText>
            </w:r>
            <w:r>
              <w:rPr>
                <w:color w:val="auto"/>
                <w:szCs w:val="21"/>
                <w:highlight w:val="none"/>
              </w:rPr>
              <w:fldChar w:fldCharType="separate"/>
            </w:r>
            <w:r>
              <w:rPr>
                <w:rFonts w:hint="eastAsia"/>
                <w:color w:val="auto"/>
                <w:szCs w:val="21"/>
                <w:highlight w:val="none"/>
              </w:rPr>
              <w:t>①</w:t>
            </w:r>
            <w:r>
              <w:rPr>
                <w:color w:val="auto"/>
                <w:szCs w:val="21"/>
                <w:highlight w:val="none"/>
              </w:rPr>
              <w:fldChar w:fldCharType="end"/>
            </w:r>
            <w:r>
              <w:rPr>
                <w:rFonts w:hint="eastAsia"/>
                <w:color w:val="auto"/>
                <w:szCs w:val="21"/>
                <w:highlight w:val="none"/>
              </w:rPr>
              <w:t>使主体工程的施工符合环境保护的要求，如噪声、废气、污水等排放应达到有关的标准等；</w:t>
            </w:r>
          </w:p>
          <w:p>
            <w:pPr>
              <w:jc w:val="center"/>
              <w:rPr>
                <w:rFonts w:hint="eastAsia"/>
                <w:color w:val="auto"/>
                <w:szCs w:val="21"/>
                <w:highlight w:val="none"/>
              </w:rPr>
            </w:pPr>
            <w:r>
              <w:rPr>
                <w:color w:val="auto"/>
                <w:szCs w:val="21"/>
                <w:highlight w:val="none"/>
              </w:rPr>
              <w:fldChar w:fldCharType="begin"/>
            </w:r>
            <w:r>
              <w:rPr>
                <w:color w:val="auto"/>
                <w:szCs w:val="21"/>
                <w:highlight w:val="none"/>
              </w:rPr>
              <w:instrText xml:space="preserve"> = 2 \* GB3 </w:instrText>
            </w:r>
            <w:r>
              <w:rPr>
                <w:color w:val="auto"/>
                <w:szCs w:val="21"/>
                <w:highlight w:val="none"/>
              </w:rPr>
              <w:fldChar w:fldCharType="separate"/>
            </w:r>
            <w:r>
              <w:rPr>
                <w:rFonts w:hint="eastAsia"/>
                <w:color w:val="auto"/>
                <w:szCs w:val="21"/>
                <w:highlight w:val="none"/>
              </w:rPr>
              <w:t>②</w:t>
            </w:r>
            <w:r>
              <w:rPr>
                <w:color w:val="auto"/>
                <w:szCs w:val="21"/>
                <w:highlight w:val="none"/>
              </w:rPr>
              <w:fldChar w:fldCharType="end"/>
            </w:r>
            <w:r>
              <w:rPr>
                <w:rFonts w:hint="eastAsia"/>
                <w:color w:val="auto"/>
                <w:szCs w:val="21"/>
                <w:highlight w:val="none"/>
              </w:rPr>
              <w:t>落实为道路运营配套的污染治理设施的“三同时"工作执行情况进行技术监督。</w:t>
            </w:r>
          </w:p>
        </w:tc>
        <w:tc>
          <w:tcPr>
            <w:tcW w:w="883" w:type="dxa"/>
            <w:vAlign w:val="center"/>
          </w:tcPr>
          <w:p>
            <w:pPr>
              <w:adjustRightInd w:val="0"/>
              <w:snapToGrid w:val="0"/>
              <w:rPr>
                <w:rFonts w:hint="eastAsia"/>
                <w:color w:val="auto"/>
                <w:szCs w:val="21"/>
                <w:highlight w:val="none"/>
              </w:rPr>
            </w:pPr>
            <w:r>
              <w:rPr>
                <w:rFonts w:hint="eastAsia"/>
                <w:color w:val="auto"/>
                <w:szCs w:val="21"/>
                <w:highlight w:val="none"/>
              </w:rPr>
              <w:t>/</w:t>
            </w:r>
          </w:p>
        </w:tc>
        <w:tc>
          <w:tcPr>
            <w:tcW w:w="2778" w:type="dxa"/>
            <w:vAlign w:val="center"/>
          </w:tcPr>
          <w:p>
            <w:pPr>
              <w:adjustRightInd w:val="0"/>
              <w:snapToGrid w:val="0"/>
              <w:rPr>
                <w:rFonts w:hint="eastAsia"/>
                <w:color w:val="auto"/>
                <w:szCs w:val="21"/>
                <w:highlight w:val="none"/>
              </w:rPr>
            </w:pPr>
            <w:r>
              <w:rPr>
                <w:rFonts w:hint="eastAsia"/>
                <w:color w:val="auto"/>
                <w:szCs w:val="21"/>
                <w:highlight w:val="none"/>
              </w:rPr>
              <w:t>/</w:t>
            </w:r>
          </w:p>
        </w:tc>
        <w:tc>
          <w:tcPr>
            <w:tcW w:w="1285" w:type="dxa"/>
            <w:vAlign w:val="center"/>
          </w:tcPr>
          <w:p>
            <w:pPr>
              <w:adjustRightInd w:val="0"/>
              <w:snapToGrid w:val="0"/>
              <w:rPr>
                <w:rFonts w:hint="eastAsia"/>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环境监测</w:t>
            </w:r>
          </w:p>
        </w:tc>
        <w:tc>
          <w:tcPr>
            <w:tcW w:w="2718" w:type="dxa"/>
            <w:vAlign w:val="center"/>
          </w:tcPr>
          <w:p>
            <w:pPr>
              <w:adjustRightInd w:val="0"/>
              <w:snapToGrid w:val="0"/>
              <w:jc w:val="center"/>
              <w:rPr>
                <w:color w:val="auto"/>
                <w:szCs w:val="21"/>
                <w:highlight w:val="none"/>
              </w:rPr>
            </w:pPr>
            <w:r>
              <w:rPr>
                <w:color w:val="auto"/>
                <w:szCs w:val="21"/>
                <w:highlight w:val="none"/>
              </w:rPr>
              <w:t>项目沿线周边</w:t>
            </w:r>
            <w:r>
              <w:rPr>
                <w:rFonts w:hint="eastAsia"/>
                <w:color w:val="auto"/>
                <w:szCs w:val="21"/>
                <w:highlight w:val="none"/>
              </w:rPr>
              <w:t>200</w:t>
            </w:r>
            <w:r>
              <w:rPr>
                <w:color w:val="auto"/>
                <w:szCs w:val="21"/>
                <w:highlight w:val="none"/>
              </w:rPr>
              <w:t>m范围内</w:t>
            </w:r>
            <w:r>
              <w:rPr>
                <w:rFonts w:hint="eastAsia"/>
                <w:color w:val="auto"/>
                <w:szCs w:val="21"/>
                <w:highlight w:val="none"/>
              </w:rPr>
              <w:t>具有代表性的</w:t>
            </w:r>
            <w:r>
              <w:rPr>
                <w:color w:val="auto"/>
                <w:szCs w:val="21"/>
                <w:highlight w:val="none"/>
              </w:rPr>
              <w:t>声环境保护目标设监测点，每季度监测一次，</w:t>
            </w:r>
            <w:r>
              <w:rPr>
                <w:color w:val="auto"/>
                <w:kern w:val="0"/>
                <w:szCs w:val="21"/>
                <w:highlight w:val="none"/>
              </w:rPr>
              <w:t>1天/次，昼、夜 间各监测1次</w:t>
            </w:r>
          </w:p>
        </w:tc>
        <w:tc>
          <w:tcPr>
            <w:tcW w:w="883" w:type="dxa"/>
            <w:vAlign w:val="center"/>
          </w:tcPr>
          <w:p>
            <w:pPr>
              <w:adjustRightInd w:val="0"/>
              <w:snapToGrid w:val="0"/>
              <w:jc w:val="center"/>
              <w:rPr>
                <w:color w:val="auto"/>
                <w:szCs w:val="21"/>
                <w:highlight w:val="none"/>
              </w:rPr>
            </w:pPr>
            <w:r>
              <w:rPr>
                <w:color w:val="auto"/>
                <w:szCs w:val="21"/>
                <w:highlight w:val="none"/>
              </w:rPr>
              <w:t>达到</w:t>
            </w:r>
            <w:r>
              <w:rPr>
                <w:color w:val="auto"/>
                <w:highlight w:val="none"/>
              </w:rPr>
              <w:t>《建筑施工场界环境噪声排放标准》（GB12523-2011)中的标准限值。</w:t>
            </w:r>
          </w:p>
        </w:tc>
        <w:tc>
          <w:tcPr>
            <w:tcW w:w="2778" w:type="dxa"/>
            <w:vAlign w:val="center"/>
          </w:tcPr>
          <w:p>
            <w:pPr>
              <w:adjustRightInd w:val="0"/>
              <w:snapToGrid w:val="0"/>
              <w:jc w:val="center"/>
              <w:rPr>
                <w:color w:val="auto"/>
                <w:szCs w:val="21"/>
                <w:highlight w:val="none"/>
              </w:rPr>
            </w:pPr>
            <w:r>
              <w:rPr>
                <w:color w:val="auto"/>
                <w:szCs w:val="21"/>
                <w:highlight w:val="none"/>
              </w:rPr>
              <w:t>项目沿线周边</w:t>
            </w:r>
            <w:r>
              <w:rPr>
                <w:rFonts w:hint="eastAsia"/>
                <w:color w:val="auto"/>
                <w:szCs w:val="21"/>
                <w:highlight w:val="none"/>
              </w:rPr>
              <w:t>200</w:t>
            </w:r>
            <w:r>
              <w:rPr>
                <w:color w:val="auto"/>
                <w:szCs w:val="21"/>
                <w:highlight w:val="none"/>
              </w:rPr>
              <w:t>m范围内</w:t>
            </w:r>
            <w:r>
              <w:rPr>
                <w:rFonts w:hint="eastAsia"/>
                <w:color w:val="auto"/>
                <w:szCs w:val="21"/>
                <w:highlight w:val="none"/>
              </w:rPr>
              <w:t>具有代表性的</w:t>
            </w:r>
            <w:r>
              <w:rPr>
                <w:color w:val="auto"/>
                <w:szCs w:val="21"/>
                <w:highlight w:val="none"/>
              </w:rPr>
              <w:t>声环境保护目标设监测点，每年监测一次，</w:t>
            </w:r>
            <w:r>
              <w:rPr>
                <w:color w:val="auto"/>
                <w:kern w:val="0"/>
                <w:szCs w:val="21"/>
                <w:highlight w:val="none"/>
              </w:rPr>
              <w:t>1天/次，昼、夜 间各监测1次</w:t>
            </w:r>
          </w:p>
        </w:tc>
        <w:tc>
          <w:tcPr>
            <w:tcW w:w="1285" w:type="dxa"/>
            <w:vAlign w:val="center"/>
          </w:tcPr>
          <w:p>
            <w:pPr>
              <w:adjustRightInd w:val="0"/>
              <w:snapToGrid w:val="0"/>
              <w:jc w:val="center"/>
              <w:rPr>
                <w:color w:val="auto"/>
                <w:szCs w:val="21"/>
                <w:highlight w:val="none"/>
              </w:rPr>
            </w:pPr>
            <w:r>
              <w:rPr>
                <w:color w:val="auto"/>
                <w:szCs w:val="21"/>
                <w:highlight w:val="none"/>
              </w:rPr>
              <w:t>本项目道路及相交道路道路边界外35m内区域、高于三层楼房以上（含三层）的临街建筑面向道路一侧至边界线的区域执行4a类标准，其他区域执行2类标准。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58"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其他</w:t>
            </w:r>
          </w:p>
        </w:tc>
        <w:tc>
          <w:tcPr>
            <w:tcW w:w="2718" w:type="dxa"/>
            <w:vAlign w:val="center"/>
          </w:tcPr>
          <w:p>
            <w:pPr>
              <w:jc w:val="center"/>
              <w:rPr>
                <w:color w:val="auto"/>
                <w:szCs w:val="21"/>
                <w:highlight w:val="none"/>
              </w:rPr>
            </w:pPr>
            <w:r>
              <w:rPr>
                <w:color w:val="auto"/>
                <w:szCs w:val="21"/>
                <w:highlight w:val="none"/>
              </w:rPr>
              <w:fldChar w:fldCharType="begin"/>
            </w:r>
            <w:r>
              <w:rPr>
                <w:color w:val="auto"/>
                <w:szCs w:val="21"/>
                <w:highlight w:val="none"/>
              </w:rPr>
              <w:instrText xml:space="preserve"> = 1 \* GB3 </w:instrText>
            </w:r>
            <w:r>
              <w:rPr>
                <w:color w:val="auto"/>
                <w:szCs w:val="21"/>
                <w:highlight w:val="none"/>
              </w:rPr>
              <w:fldChar w:fldCharType="separate"/>
            </w:r>
            <w:r>
              <w:rPr>
                <w:rFonts w:hint="eastAsia"/>
                <w:color w:val="auto"/>
                <w:szCs w:val="21"/>
                <w:highlight w:val="none"/>
              </w:rPr>
              <w:t>①</w:t>
            </w:r>
            <w:r>
              <w:rPr>
                <w:color w:val="auto"/>
                <w:szCs w:val="21"/>
                <w:highlight w:val="none"/>
              </w:rPr>
              <w:fldChar w:fldCharType="end"/>
            </w:r>
            <w:r>
              <w:rPr>
                <w:color w:val="auto"/>
                <w:szCs w:val="21"/>
                <w:highlight w:val="none"/>
              </w:rPr>
              <w:t>按水土保持方案认真组织实施。</w:t>
            </w:r>
          </w:p>
          <w:p>
            <w:pPr>
              <w:adjustRightInd w:val="0"/>
              <w:snapToGrid w:val="0"/>
              <w:rPr>
                <w:rFonts w:ascii="宋体" w:hAnsi="宋体" w:cs="宋体"/>
                <w:color w:val="auto"/>
                <w:szCs w:val="21"/>
                <w:highlight w:val="none"/>
              </w:rPr>
            </w:pPr>
            <w:r>
              <w:rPr>
                <w:color w:val="auto"/>
                <w:szCs w:val="21"/>
                <w:highlight w:val="none"/>
              </w:rPr>
              <w:fldChar w:fldCharType="begin"/>
            </w:r>
            <w:r>
              <w:rPr>
                <w:color w:val="auto"/>
                <w:szCs w:val="21"/>
                <w:highlight w:val="none"/>
              </w:rPr>
              <w:instrText xml:space="preserve"> = 2 \* GB3 </w:instrText>
            </w:r>
            <w:r>
              <w:rPr>
                <w:color w:val="auto"/>
                <w:szCs w:val="21"/>
                <w:highlight w:val="none"/>
              </w:rPr>
              <w:fldChar w:fldCharType="separate"/>
            </w:r>
            <w:r>
              <w:rPr>
                <w:rFonts w:hint="eastAsia"/>
                <w:color w:val="auto"/>
                <w:szCs w:val="21"/>
                <w:highlight w:val="none"/>
              </w:rPr>
              <w:t>②</w:t>
            </w:r>
            <w:r>
              <w:rPr>
                <w:color w:val="auto"/>
                <w:szCs w:val="21"/>
                <w:highlight w:val="none"/>
              </w:rPr>
              <w:fldChar w:fldCharType="end"/>
            </w:r>
            <w:r>
              <w:rPr>
                <w:color w:val="auto"/>
                <w:szCs w:val="21"/>
                <w:highlight w:val="none"/>
              </w:rPr>
              <w:t>合理选择临时堆土场，尽量做到挖方的日产日清，减短堆土堆放时间；在临时堆土场周边设导流渠、简易沉砂池，使得可能流失的土砂能及时沉淀，减少对下方的影响；对临时堆土场进行临时防护，施工结束后进行土地恢复。</w:t>
            </w:r>
          </w:p>
        </w:tc>
        <w:tc>
          <w:tcPr>
            <w:tcW w:w="883" w:type="dxa"/>
            <w:vAlign w:val="center"/>
          </w:tcPr>
          <w:p>
            <w:pPr>
              <w:adjustRightInd w:val="0"/>
              <w:snapToGrid w:val="0"/>
              <w:rPr>
                <w:rFonts w:ascii="宋体" w:hAnsi="宋体" w:cs="宋体"/>
                <w:color w:val="auto"/>
                <w:szCs w:val="21"/>
                <w:highlight w:val="none"/>
              </w:rPr>
            </w:pPr>
            <w:r>
              <w:rPr>
                <w:color w:val="auto"/>
                <w:szCs w:val="21"/>
                <w:highlight w:val="none"/>
              </w:rPr>
              <w:t>符合“水保法”的要求。“三同时”要求并与景观环境相协调。</w:t>
            </w:r>
          </w:p>
        </w:tc>
        <w:tc>
          <w:tcPr>
            <w:tcW w:w="2778"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c>
          <w:tcPr>
            <w:tcW w:w="1285" w:type="dxa"/>
            <w:vAlign w:val="center"/>
          </w:tcPr>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w:t>
            </w:r>
          </w:p>
        </w:tc>
      </w:tr>
    </w:tbl>
    <w:p>
      <w:pPr>
        <w:pStyle w:val="18"/>
        <w:jc w:val="center"/>
        <w:rPr>
          <w:rFonts w:ascii="黑体" w:hAnsi="黑体" w:eastAsia="黑体"/>
          <w:snapToGrid w:val="0"/>
          <w:color w:val="auto"/>
          <w:sz w:val="30"/>
          <w:szCs w:val="30"/>
          <w:highlight w:val="none"/>
        </w:rPr>
      </w:pPr>
    </w:p>
    <w:p>
      <w:pPr>
        <w:pStyle w:val="18"/>
        <w:spacing w:before="0" w:beforeAutospacing="0" w:line="14" w:lineRule="auto"/>
        <w:jc w:val="center"/>
        <w:rPr>
          <w:rFonts w:hint="eastAsia" w:ascii="黑体" w:hAnsi="黑体" w:eastAsia="黑体"/>
          <w:snapToGrid w:val="0"/>
          <w:color w:val="auto"/>
          <w:sz w:val="30"/>
          <w:szCs w:val="30"/>
          <w:highlight w:val="none"/>
        </w:rPr>
      </w:pPr>
      <w:r>
        <w:rPr>
          <w:rFonts w:ascii="黑体" w:hAnsi="黑体" w:eastAsia="黑体"/>
          <w:snapToGrid w:val="0"/>
          <w:color w:val="auto"/>
          <w:sz w:val="30"/>
          <w:szCs w:val="30"/>
          <w:highlight w:val="none"/>
        </w:rPr>
        <w:br w:type="page"/>
      </w:r>
    </w:p>
    <w:p>
      <w:pPr>
        <w:pStyle w:val="18"/>
        <w:spacing w:before="192" w:beforeLines="80" w:beforeAutospacing="0"/>
        <w:jc w:val="center"/>
        <w:outlineLvl w:val="0"/>
        <w:rPr>
          <w:rFonts w:ascii="黑体" w:hAnsi="黑体" w:eastAsia="黑体"/>
          <w:snapToGrid w:val="0"/>
          <w:color w:val="auto"/>
          <w:sz w:val="30"/>
          <w:szCs w:val="30"/>
          <w:highlight w:val="none"/>
        </w:rPr>
      </w:pPr>
      <w:bookmarkStart w:id="20" w:name="_Toc15806"/>
      <w:r>
        <w:rPr>
          <w:rFonts w:hint="eastAsia" w:ascii="黑体" w:hAnsi="黑体" w:eastAsia="黑体"/>
          <w:snapToGrid w:val="0"/>
          <w:color w:val="auto"/>
          <w:sz w:val="30"/>
          <w:szCs w:val="30"/>
          <w:highlight w:val="none"/>
        </w:rPr>
        <w:t>七、结论</w:t>
      </w:r>
      <w:bookmarkEnd w:id="20"/>
    </w:p>
    <w:tbl>
      <w:tblPr>
        <w:tblStyle w:val="23"/>
        <w:tblW w:w="928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9289" w:type="dxa"/>
            <w:vAlign w:val="top"/>
          </w:tcPr>
          <w:p>
            <w:pPr>
              <w:adjustRightInd w:val="0"/>
              <w:snapToGrid w:val="0"/>
              <w:spacing w:line="360" w:lineRule="auto"/>
              <w:ind w:firstLine="482" w:firstLineChars="200"/>
              <w:outlineLvl w:val="2"/>
              <w:rPr>
                <w:rFonts w:hint="eastAsia" w:ascii="宋体" w:hAnsi="宋体" w:cs="宋体"/>
                <w:b/>
                <w:bCs/>
                <w:color w:val="auto"/>
                <w:sz w:val="24"/>
                <w:highlight w:val="none"/>
              </w:rPr>
            </w:pPr>
            <w:r>
              <w:rPr>
                <w:rFonts w:hint="eastAsia" w:ascii="宋体" w:hAnsi="宋体" w:cs="宋体"/>
                <w:b/>
                <w:bCs/>
                <w:color w:val="auto"/>
                <w:sz w:val="24"/>
                <w:highlight w:val="none"/>
              </w:rPr>
              <w:t>1、总结论</w:t>
            </w:r>
          </w:p>
          <w:p>
            <w:pPr>
              <w:adjustRightInd w:val="0"/>
              <w:snapToGrid w:val="0"/>
              <w:spacing w:line="360" w:lineRule="auto"/>
              <w:ind w:firstLine="480" w:firstLineChars="200"/>
              <w:outlineLvl w:val="2"/>
              <w:rPr>
                <w:color w:val="auto"/>
                <w:sz w:val="24"/>
                <w:highlight w:val="none"/>
              </w:rPr>
            </w:pPr>
            <w:r>
              <w:rPr>
                <w:rFonts w:hint="eastAsia" w:ascii="宋体" w:hAnsi="宋体" w:cs="宋体"/>
                <w:color w:val="auto"/>
                <w:sz w:val="24"/>
                <w:highlight w:val="none"/>
              </w:rPr>
              <w:t>福州市象山隧道拓宽改造工程的建设将进一步完善城市道路路网</w:t>
            </w:r>
            <w:r>
              <w:rPr>
                <w:color w:val="auto"/>
                <w:sz w:val="24"/>
                <w:highlight w:val="none"/>
              </w:rPr>
              <w:t>布局，提高城市道路的综合交通功能，有效缓解交通压力，有助于促进地区的开发建设，它的建设具有很大的社会和经济效益。项目属于国家《产业结构调整指导目录（2019年本）》中鼓励类项目，符合国家的产业政策，应予支持。项目选线方案符合片区总体规划，选线合理。</w:t>
            </w:r>
          </w:p>
          <w:p>
            <w:pPr>
              <w:adjustRightInd w:val="0"/>
              <w:snapToGrid w:val="0"/>
              <w:spacing w:line="360" w:lineRule="auto"/>
              <w:ind w:firstLine="480" w:firstLineChars="200"/>
              <w:outlineLvl w:val="2"/>
              <w:rPr>
                <w:rFonts w:hint="eastAsia" w:ascii="宋体" w:hAnsi="宋体" w:cs="宋体"/>
                <w:color w:val="auto"/>
                <w:sz w:val="24"/>
                <w:highlight w:val="none"/>
              </w:rPr>
            </w:pPr>
            <w:r>
              <w:rPr>
                <w:color w:val="auto"/>
                <w:sz w:val="24"/>
                <w:highlight w:val="none"/>
              </w:rPr>
              <w:t>项目建设将会对</w:t>
            </w:r>
            <w:r>
              <w:rPr>
                <w:rFonts w:hint="eastAsia" w:ascii="宋体" w:hAnsi="宋体" w:cs="宋体"/>
                <w:color w:val="auto"/>
                <w:sz w:val="24"/>
                <w:highlight w:val="none"/>
              </w:rPr>
              <w:t>沿线的生态环境、声环境、水环境以及沿线居民生活质量产生一定的不利影响，但在认真落实本报告中提出的各项减缓和保护措施，确保环保措施与主体工程建设的“三同时”制度，是可以有效预防和控制生态破坏和确保污染物达标排放。</w:t>
            </w:r>
          </w:p>
          <w:p>
            <w:pPr>
              <w:adjustRightInd w:val="0"/>
              <w:snapToGrid w:val="0"/>
              <w:spacing w:line="360" w:lineRule="auto"/>
              <w:ind w:firstLine="480" w:firstLineChars="200"/>
              <w:outlineLvl w:val="2"/>
              <w:rPr>
                <w:rFonts w:hint="eastAsia" w:ascii="宋体" w:hAnsi="宋体" w:cs="宋体"/>
                <w:color w:val="auto"/>
                <w:sz w:val="24"/>
                <w:highlight w:val="none"/>
              </w:rPr>
            </w:pPr>
            <w:r>
              <w:rPr>
                <w:rFonts w:hint="eastAsia" w:ascii="宋体" w:hAnsi="宋体" w:cs="宋体"/>
                <w:color w:val="auto"/>
                <w:sz w:val="24"/>
                <w:highlight w:val="none"/>
              </w:rPr>
              <w:t>评价认为，项目路线布设较合理，工程建设不存在重大的环境制约因素，在严格执行和认真落实报告表提出的各项措施的前提下，从环境影响角度分析，本项目建设是可行的。</w:t>
            </w:r>
          </w:p>
          <w:p>
            <w:pPr>
              <w:rPr>
                <w:color w:val="auto"/>
                <w:highlight w:val="none"/>
              </w:rPr>
            </w:pPr>
          </w:p>
          <w:p>
            <w:pPr>
              <w:autoSpaceDE w:val="0"/>
              <w:autoSpaceDN w:val="0"/>
              <w:adjustRightInd w:val="0"/>
              <w:snapToGrid w:val="0"/>
              <w:spacing w:line="360" w:lineRule="auto"/>
              <w:jc w:val="right"/>
              <w:rPr>
                <w:b/>
                <w:color w:val="auto"/>
                <w:sz w:val="24"/>
                <w:highlight w:val="none"/>
              </w:rPr>
            </w:pPr>
          </w:p>
          <w:p>
            <w:pPr>
              <w:autoSpaceDE w:val="0"/>
              <w:autoSpaceDN w:val="0"/>
              <w:adjustRightInd w:val="0"/>
              <w:snapToGrid w:val="0"/>
              <w:spacing w:line="360" w:lineRule="auto"/>
              <w:jc w:val="right"/>
              <w:rPr>
                <w:b/>
                <w:color w:val="auto"/>
                <w:sz w:val="24"/>
                <w:highlight w:val="none"/>
              </w:rPr>
            </w:pPr>
          </w:p>
          <w:p>
            <w:pPr>
              <w:adjustRightInd w:val="0"/>
              <w:snapToGrid w:val="0"/>
              <w:spacing w:line="360" w:lineRule="auto"/>
              <w:ind w:firstLine="420" w:firstLineChars="200"/>
              <w:jc w:val="right"/>
              <w:outlineLvl w:val="2"/>
              <w:rPr>
                <w:rFonts w:ascii="宋体" w:hAnsi="宋体" w:cs="宋体"/>
                <w:color w:val="auto"/>
                <w:szCs w:val="21"/>
                <w:highlight w:val="none"/>
              </w:rPr>
            </w:pPr>
          </w:p>
        </w:tc>
      </w:tr>
    </w:tbl>
    <w:p>
      <w:pPr>
        <w:rPr>
          <w:rFonts w:ascii="宋体"/>
          <w:color w:val="auto"/>
          <w:highlight w:val="none"/>
        </w:rPr>
      </w:pPr>
    </w:p>
    <w:p>
      <w:pPr>
        <w:pStyle w:val="18"/>
        <w:adjustRightInd w:val="0"/>
        <w:snapToGrid w:val="0"/>
        <w:spacing w:before="0" w:beforeAutospacing="0" w:after="0" w:afterAutospacing="0" w:line="648" w:lineRule="auto"/>
        <w:rPr>
          <w:rFonts w:ascii="黑体" w:hAnsi="黑体" w:eastAsia="黑体"/>
          <w:snapToGrid w:val="0"/>
          <w:color w:val="auto"/>
          <w:sz w:val="32"/>
          <w:szCs w:val="32"/>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9"/>
        <w:rPr>
          <w:color w:val="auto"/>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adjustRightInd w:val="0"/>
        <w:snapToGrid w:val="0"/>
        <w:spacing w:before="192" w:beforeLines="80"/>
        <w:jc w:val="center"/>
        <w:rPr>
          <w:rFonts w:hint="eastAsia" w:ascii="方正小标宋_GBK" w:eastAsia="方正小标宋_GBK"/>
          <w:bCs/>
          <w:color w:val="auto"/>
          <w:sz w:val="44"/>
          <w:szCs w:val="44"/>
          <w:highlight w:val="none"/>
        </w:rPr>
      </w:pPr>
      <w:r>
        <w:rPr>
          <w:rFonts w:hint="eastAsia" w:ascii="方正小标宋_GBK" w:eastAsia="方正小标宋_GBK"/>
          <w:bCs/>
          <w:color w:val="auto"/>
          <w:sz w:val="44"/>
          <w:szCs w:val="44"/>
          <w:highlight w:val="none"/>
        </w:rPr>
        <w:t>福州市象山隧道拓宽改造工程</w:t>
      </w:r>
    </w:p>
    <w:p>
      <w:pPr>
        <w:adjustRightInd w:val="0"/>
        <w:snapToGrid w:val="0"/>
        <w:spacing w:before="192" w:beforeLines="80"/>
        <w:jc w:val="center"/>
        <w:outlineLvl w:val="0"/>
        <w:rPr>
          <w:rFonts w:hint="eastAsia" w:ascii="楷体_GB2312" w:eastAsia="楷体_GB2312"/>
          <w:bCs/>
          <w:color w:val="auto"/>
          <w:sz w:val="32"/>
          <w:szCs w:val="32"/>
          <w:highlight w:val="none"/>
        </w:rPr>
      </w:pPr>
      <w:bookmarkStart w:id="21" w:name="_Toc16960"/>
      <w:r>
        <w:rPr>
          <w:rFonts w:hint="eastAsia" w:ascii="方正小标宋_GBK" w:eastAsia="方正小标宋_GBK"/>
          <w:bCs/>
          <w:color w:val="auto"/>
          <w:sz w:val="44"/>
          <w:szCs w:val="44"/>
          <w:highlight w:val="none"/>
        </w:rPr>
        <w:t>声环境影响专项评价</w:t>
      </w:r>
      <w:bookmarkEnd w:id="21"/>
    </w:p>
    <w:p>
      <w:pPr>
        <w:adjustRightInd w:val="0"/>
        <w:snapToGrid w:val="0"/>
        <w:spacing w:line="288" w:lineRule="auto"/>
        <w:jc w:val="center"/>
        <w:rPr>
          <w:rFonts w:ascii="华文仿宋" w:hAnsi="华文仿宋" w:eastAsia="华文仿宋" w:cs="华文仿宋"/>
          <w:color w:val="auto"/>
          <w:kern w:val="44"/>
          <w:sz w:val="44"/>
          <w:szCs w:val="44"/>
          <w:highlight w:val="none"/>
        </w:rPr>
      </w:pPr>
    </w:p>
    <w:p>
      <w:pPr>
        <w:pStyle w:val="9"/>
        <w:rPr>
          <w:rFonts w:ascii="华文仿宋" w:hAnsi="华文仿宋" w:eastAsia="华文仿宋" w:cs="华文仿宋"/>
          <w:color w:val="auto"/>
          <w:kern w:val="44"/>
          <w:sz w:val="44"/>
          <w:szCs w:val="44"/>
          <w:highlight w:val="none"/>
        </w:rPr>
      </w:pPr>
    </w:p>
    <w:p>
      <w:pPr>
        <w:rPr>
          <w:rFonts w:ascii="华文仿宋" w:hAnsi="华文仿宋" w:eastAsia="华文仿宋" w:cs="华文仿宋"/>
          <w:color w:val="auto"/>
          <w:kern w:val="44"/>
          <w:sz w:val="44"/>
          <w:szCs w:val="44"/>
          <w:highlight w:val="none"/>
        </w:rPr>
      </w:pPr>
    </w:p>
    <w:p>
      <w:pPr>
        <w:pStyle w:val="9"/>
        <w:rPr>
          <w:rFonts w:ascii="华文仿宋" w:hAnsi="华文仿宋" w:eastAsia="华文仿宋" w:cs="华文仿宋"/>
          <w:color w:val="auto"/>
          <w:kern w:val="44"/>
          <w:sz w:val="44"/>
          <w:szCs w:val="44"/>
          <w:highlight w:val="none"/>
        </w:rPr>
      </w:pPr>
    </w:p>
    <w:p>
      <w:pPr>
        <w:rPr>
          <w:rFonts w:ascii="华文仿宋" w:hAnsi="华文仿宋" w:eastAsia="华文仿宋" w:cs="华文仿宋"/>
          <w:color w:val="auto"/>
          <w:kern w:val="44"/>
          <w:sz w:val="44"/>
          <w:szCs w:val="44"/>
          <w:highlight w:val="none"/>
        </w:rPr>
      </w:pPr>
    </w:p>
    <w:p>
      <w:pPr>
        <w:pStyle w:val="9"/>
        <w:rPr>
          <w:rFonts w:ascii="华文仿宋" w:hAnsi="华文仿宋" w:eastAsia="华文仿宋" w:cs="华文仿宋"/>
          <w:color w:val="auto"/>
          <w:kern w:val="44"/>
          <w:sz w:val="44"/>
          <w:szCs w:val="44"/>
          <w:highlight w:val="none"/>
        </w:rPr>
      </w:pPr>
    </w:p>
    <w:p>
      <w:pPr>
        <w:rPr>
          <w:rFonts w:ascii="华文仿宋" w:hAnsi="华文仿宋" w:eastAsia="华文仿宋" w:cs="华文仿宋"/>
          <w:color w:val="auto"/>
          <w:kern w:val="44"/>
          <w:sz w:val="44"/>
          <w:szCs w:val="44"/>
          <w:highlight w:val="none"/>
        </w:rPr>
      </w:pPr>
    </w:p>
    <w:p>
      <w:pPr>
        <w:rPr>
          <w:rFonts w:ascii="华文仿宋" w:hAnsi="华文仿宋" w:eastAsia="华文仿宋" w:cs="华文仿宋"/>
          <w:color w:val="auto"/>
          <w:kern w:val="44"/>
          <w:sz w:val="44"/>
          <w:szCs w:val="44"/>
          <w:highlight w:val="none"/>
        </w:rPr>
      </w:pPr>
    </w:p>
    <w:p>
      <w:pPr>
        <w:pStyle w:val="9"/>
        <w:rPr>
          <w:color w:val="auto"/>
          <w:highlight w:val="none"/>
        </w:rPr>
      </w:pPr>
    </w:p>
    <w:p>
      <w:pPr>
        <w:pStyle w:val="9"/>
        <w:rPr>
          <w:color w:val="auto"/>
          <w:highlight w:val="none"/>
        </w:rPr>
      </w:pPr>
    </w:p>
    <w:p>
      <w:pPr>
        <w:pStyle w:val="9"/>
        <w:rPr>
          <w:color w:val="auto"/>
          <w:highlight w:val="none"/>
        </w:rPr>
      </w:pPr>
    </w:p>
    <w:p>
      <w:pPr>
        <w:pStyle w:val="9"/>
        <w:rPr>
          <w:color w:val="auto"/>
          <w:highlight w:val="none"/>
        </w:rPr>
      </w:pPr>
    </w:p>
    <w:p>
      <w:pPr>
        <w:jc w:val="center"/>
        <w:rPr>
          <w:rFonts w:eastAsia="黑体"/>
          <w:color w:val="auto"/>
          <w:sz w:val="28"/>
          <w:szCs w:val="28"/>
          <w:highlight w:val="none"/>
        </w:rPr>
        <w:sectPr>
          <w:footerReference r:id="rId7" w:type="default"/>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r>
        <w:rPr>
          <w:rFonts w:eastAsia="黑体"/>
          <w:color w:val="auto"/>
          <w:sz w:val="28"/>
          <w:szCs w:val="28"/>
          <w:highlight w:val="none"/>
        </w:rPr>
        <w:t>二</w:t>
      </w:r>
      <w:r>
        <w:rPr>
          <w:rFonts w:hint="eastAsia" w:eastAsia="黑体"/>
          <w:color w:val="auto"/>
          <w:sz w:val="28"/>
          <w:szCs w:val="28"/>
          <w:highlight w:val="none"/>
        </w:rPr>
        <w:t>零二二</w:t>
      </w:r>
      <w:r>
        <w:rPr>
          <w:rFonts w:eastAsia="黑体"/>
          <w:color w:val="auto"/>
          <w:sz w:val="28"/>
          <w:szCs w:val="28"/>
          <w:highlight w:val="none"/>
        </w:rPr>
        <w:t>年</w:t>
      </w:r>
      <w:r>
        <w:rPr>
          <w:rFonts w:hint="eastAsia" w:eastAsia="黑体"/>
          <w:color w:val="auto"/>
          <w:sz w:val="28"/>
          <w:szCs w:val="28"/>
          <w:highlight w:val="none"/>
        </w:rPr>
        <w:t>八</w:t>
      </w:r>
      <w:r>
        <w:rPr>
          <w:rFonts w:eastAsia="黑体"/>
          <w:color w:val="auto"/>
          <w:sz w:val="28"/>
          <w:szCs w:val="28"/>
          <w:highlight w:val="none"/>
        </w:rPr>
        <w:t>月</w:t>
      </w:r>
    </w:p>
    <w:p>
      <w:pPr>
        <w:spacing w:line="360" w:lineRule="auto"/>
        <w:jc w:val="center"/>
        <w:rPr>
          <w:b/>
          <w:bCs/>
          <w:color w:val="auto"/>
          <w:sz w:val="32"/>
          <w:szCs w:val="32"/>
          <w:highlight w:val="none"/>
        </w:rPr>
      </w:pPr>
      <w:r>
        <w:rPr>
          <w:rFonts w:ascii="宋体" w:hAnsi="宋体"/>
          <w:b/>
          <w:bCs/>
          <w:color w:val="auto"/>
          <w:sz w:val="32"/>
          <w:szCs w:val="32"/>
          <w:highlight w:val="none"/>
        </w:rPr>
        <w:t>目</w:t>
      </w:r>
      <w:r>
        <w:rPr>
          <w:rFonts w:hint="eastAsia" w:ascii="宋体" w:hAnsi="宋体"/>
          <w:b/>
          <w:bCs/>
          <w:color w:val="auto"/>
          <w:sz w:val="32"/>
          <w:szCs w:val="32"/>
          <w:highlight w:val="none"/>
        </w:rPr>
        <w:t xml:space="preserve">  </w:t>
      </w:r>
      <w:r>
        <w:rPr>
          <w:rFonts w:ascii="宋体" w:hAnsi="宋体"/>
          <w:b/>
          <w:bCs/>
          <w:color w:val="auto"/>
          <w:sz w:val="32"/>
          <w:szCs w:val="32"/>
          <w:highlight w:val="none"/>
        </w:rPr>
        <w:t>录</w:t>
      </w:r>
    </w:p>
    <w:p>
      <w:pPr>
        <w:pStyle w:val="47"/>
        <w:tabs>
          <w:tab w:val="right" w:leader="dot" w:pos="8306"/>
        </w:tabs>
        <w:spacing w:line="360" w:lineRule="auto"/>
        <w:rPr>
          <w:b/>
          <w:color w:val="auto"/>
          <w:sz w:val="24"/>
          <w:szCs w:val="24"/>
          <w:highlight w:val="none"/>
        </w:rPr>
      </w:pPr>
      <w:r>
        <w:rPr>
          <w:color w:val="auto"/>
          <w:sz w:val="24"/>
          <w:szCs w:val="24"/>
          <w:highlight w:val="none"/>
        </w:rPr>
        <w:fldChar w:fldCharType="begin"/>
      </w:r>
      <w:r>
        <w:rPr>
          <w:color w:val="auto"/>
          <w:sz w:val="24"/>
          <w:szCs w:val="24"/>
          <w:highlight w:val="none"/>
        </w:rPr>
        <w:instrText xml:space="preserve">TOC \o "1-2" \h \u </w:instrText>
      </w:r>
      <w:r>
        <w:rPr>
          <w:color w:val="auto"/>
          <w:sz w:val="24"/>
          <w:szCs w:val="24"/>
          <w:highlight w:val="none"/>
        </w:rPr>
        <w:fldChar w:fldCharType="separate"/>
      </w:r>
      <w:r>
        <w:rPr>
          <w:b/>
          <w:color w:val="auto"/>
          <w:sz w:val="24"/>
          <w:szCs w:val="24"/>
          <w:highlight w:val="none"/>
        </w:rPr>
        <w:fldChar w:fldCharType="begin"/>
      </w:r>
      <w:r>
        <w:rPr>
          <w:b/>
          <w:color w:val="auto"/>
          <w:sz w:val="24"/>
          <w:szCs w:val="24"/>
          <w:highlight w:val="none"/>
        </w:rPr>
        <w:instrText xml:space="preserve"> HYPERLINK \l _Toc23788 </w:instrText>
      </w:r>
      <w:r>
        <w:rPr>
          <w:b/>
          <w:color w:val="auto"/>
          <w:sz w:val="24"/>
          <w:szCs w:val="24"/>
          <w:highlight w:val="none"/>
        </w:rPr>
        <w:fldChar w:fldCharType="separate"/>
      </w:r>
      <w:r>
        <w:rPr>
          <w:b/>
          <w:snapToGrid w:val="0"/>
          <w:color w:val="auto"/>
          <w:sz w:val="24"/>
          <w:szCs w:val="24"/>
          <w:highlight w:val="none"/>
        </w:rPr>
        <w:t>1 总论</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_Toc23788 </w:instrText>
      </w:r>
      <w:r>
        <w:rPr>
          <w:b/>
          <w:color w:val="auto"/>
          <w:sz w:val="24"/>
          <w:szCs w:val="24"/>
          <w:highlight w:val="none"/>
        </w:rPr>
        <w:fldChar w:fldCharType="separate"/>
      </w:r>
      <w:r>
        <w:rPr>
          <w:b/>
          <w:color w:val="auto"/>
          <w:sz w:val="24"/>
          <w:szCs w:val="24"/>
          <w:highlight w:val="none"/>
        </w:rPr>
        <w:t>1</w:t>
      </w:r>
      <w:r>
        <w:rPr>
          <w:b/>
          <w:color w:val="auto"/>
          <w:sz w:val="24"/>
          <w:szCs w:val="24"/>
          <w:highlight w:val="none"/>
        </w:rPr>
        <w:fldChar w:fldCharType="end"/>
      </w:r>
      <w:r>
        <w:rPr>
          <w:b/>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_Toc23669 </w:instrText>
      </w:r>
      <w:r>
        <w:rPr>
          <w:color w:val="auto"/>
          <w:sz w:val="24"/>
          <w:szCs w:val="24"/>
          <w:highlight w:val="none"/>
        </w:rPr>
        <w:fldChar w:fldCharType="separate"/>
      </w:r>
      <w:r>
        <w:rPr>
          <w:snapToGrid w:val="0"/>
          <w:color w:val="auto"/>
          <w:sz w:val="24"/>
          <w:szCs w:val="24"/>
          <w:highlight w:val="none"/>
        </w:rPr>
        <w:t>1.1评价依据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_Toc23669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_Toc7332 </w:instrText>
      </w:r>
      <w:r>
        <w:rPr>
          <w:color w:val="auto"/>
          <w:sz w:val="24"/>
          <w:szCs w:val="24"/>
          <w:highlight w:val="none"/>
        </w:rPr>
        <w:fldChar w:fldCharType="separate"/>
      </w:r>
      <w:r>
        <w:rPr>
          <w:snapToGrid w:val="0"/>
          <w:color w:val="auto"/>
          <w:sz w:val="24"/>
          <w:szCs w:val="24"/>
          <w:highlight w:val="none"/>
        </w:rPr>
        <w:t>1.2评价原则</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_Toc7332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_Toc22375 </w:instrText>
      </w:r>
      <w:r>
        <w:rPr>
          <w:color w:val="auto"/>
          <w:sz w:val="24"/>
          <w:szCs w:val="24"/>
          <w:highlight w:val="none"/>
        </w:rPr>
        <w:fldChar w:fldCharType="separate"/>
      </w:r>
      <w:r>
        <w:rPr>
          <w:snapToGrid w:val="0"/>
          <w:color w:val="auto"/>
          <w:sz w:val="24"/>
          <w:szCs w:val="24"/>
          <w:highlight w:val="none"/>
        </w:rPr>
        <w:t>1.3评价标准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_Toc22375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_Toc19992 </w:instrText>
      </w:r>
      <w:r>
        <w:rPr>
          <w:color w:val="auto"/>
          <w:sz w:val="24"/>
          <w:szCs w:val="24"/>
          <w:highlight w:val="none"/>
        </w:rPr>
        <w:fldChar w:fldCharType="separate"/>
      </w:r>
      <w:r>
        <w:rPr>
          <w:snapToGrid w:val="0"/>
          <w:color w:val="auto"/>
          <w:sz w:val="24"/>
          <w:szCs w:val="24"/>
          <w:highlight w:val="none"/>
        </w:rPr>
        <w:t>1.4评价等级及范围</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_Toc19992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_Toc27203 </w:instrText>
      </w:r>
      <w:r>
        <w:rPr>
          <w:color w:val="auto"/>
          <w:sz w:val="24"/>
          <w:szCs w:val="24"/>
          <w:highlight w:val="none"/>
        </w:rPr>
        <w:fldChar w:fldCharType="separate"/>
      </w:r>
      <w:r>
        <w:rPr>
          <w:snapToGrid w:val="0"/>
          <w:color w:val="auto"/>
          <w:sz w:val="24"/>
          <w:szCs w:val="24"/>
          <w:highlight w:val="none"/>
        </w:rPr>
        <w:t>1.5 评价范围和时段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_Toc27203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_Toc30075 </w:instrText>
      </w:r>
      <w:r>
        <w:rPr>
          <w:color w:val="auto"/>
          <w:sz w:val="24"/>
          <w:szCs w:val="24"/>
          <w:highlight w:val="none"/>
        </w:rPr>
        <w:fldChar w:fldCharType="separate"/>
      </w:r>
      <w:r>
        <w:rPr>
          <w:snapToGrid w:val="0"/>
          <w:color w:val="auto"/>
          <w:sz w:val="24"/>
          <w:szCs w:val="24"/>
          <w:highlight w:val="none"/>
        </w:rPr>
        <w:t>1.6声环境保护目标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_Toc30075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color w:val="auto"/>
          <w:sz w:val="24"/>
          <w:szCs w:val="24"/>
          <w:highlight w:val="none"/>
        </w:rPr>
        <w:fldChar w:fldCharType="end"/>
      </w:r>
    </w:p>
    <w:p>
      <w:pPr>
        <w:pStyle w:val="47"/>
        <w:tabs>
          <w:tab w:val="right" w:leader="dot" w:pos="8306"/>
        </w:tabs>
        <w:spacing w:line="360" w:lineRule="auto"/>
        <w:rPr>
          <w:b/>
          <w:color w:val="auto"/>
          <w:sz w:val="24"/>
          <w:szCs w:val="24"/>
          <w:highlight w:val="none"/>
        </w:rPr>
      </w:pPr>
      <w:r>
        <w:rPr>
          <w:b/>
          <w:color w:val="auto"/>
          <w:sz w:val="24"/>
          <w:szCs w:val="24"/>
          <w:highlight w:val="none"/>
        </w:rPr>
        <w:fldChar w:fldCharType="begin"/>
      </w:r>
      <w:r>
        <w:rPr>
          <w:b/>
          <w:color w:val="auto"/>
          <w:sz w:val="24"/>
          <w:szCs w:val="24"/>
          <w:highlight w:val="none"/>
        </w:rPr>
        <w:instrText xml:space="preserve"> HYPERLINK \l _Toc21340 </w:instrText>
      </w:r>
      <w:r>
        <w:rPr>
          <w:b/>
          <w:color w:val="auto"/>
          <w:sz w:val="24"/>
          <w:szCs w:val="24"/>
          <w:highlight w:val="none"/>
        </w:rPr>
        <w:fldChar w:fldCharType="separate"/>
      </w:r>
      <w:r>
        <w:rPr>
          <w:b/>
          <w:snapToGrid w:val="0"/>
          <w:color w:val="auto"/>
          <w:sz w:val="24"/>
          <w:szCs w:val="24"/>
          <w:highlight w:val="none"/>
        </w:rPr>
        <w:t>2 工程概况</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_Toc21340 </w:instrText>
      </w:r>
      <w:r>
        <w:rPr>
          <w:b/>
          <w:color w:val="auto"/>
          <w:sz w:val="24"/>
          <w:szCs w:val="24"/>
          <w:highlight w:val="none"/>
        </w:rPr>
        <w:fldChar w:fldCharType="separate"/>
      </w:r>
      <w:r>
        <w:rPr>
          <w:b/>
          <w:color w:val="auto"/>
          <w:sz w:val="24"/>
          <w:szCs w:val="24"/>
          <w:highlight w:val="none"/>
        </w:rPr>
        <w:t>3</w:t>
      </w:r>
      <w:r>
        <w:rPr>
          <w:b/>
          <w:color w:val="auto"/>
          <w:sz w:val="24"/>
          <w:szCs w:val="24"/>
          <w:highlight w:val="none"/>
        </w:rPr>
        <w:fldChar w:fldCharType="end"/>
      </w:r>
      <w:r>
        <w:rPr>
          <w:b/>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_Toc7950 </w:instrText>
      </w:r>
      <w:r>
        <w:rPr>
          <w:color w:val="auto"/>
          <w:sz w:val="24"/>
          <w:szCs w:val="24"/>
          <w:highlight w:val="none"/>
        </w:rPr>
        <w:fldChar w:fldCharType="separate"/>
      </w:r>
      <w:r>
        <w:rPr>
          <w:snapToGrid w:val="0"/>
          <w:color w:val="auto"/>
          <w:sz w:val="24"/>
          <w:szCs w:val="24"/>
          <w:highlight w:val="none"/>
        </w:rPr>
        <w:t>2.1 工程基本情况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_Toc7950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_Toc8228 </w:instrText>
      </w:r>
      <w:r>
        <w:rPr>
          <w:color w:val="auto"/>
          <w:sz w:val="24"/>
          <w:szCs w:val="24"/>
          <w:highlight w:val="none"/>
        </w:rPr>
        <w:fldChar w:fldCharType="separate"/>
      </w:r>
      <w:r>
        <w:rPr>
          <w:snapToGrid w:val="0"/>
          <w:color w:val="auto"/>
          <w:sz w:val="24"/>
          <w:szCs w:val="24"/>
          <w:highlight w:val="none"/>
        </w:rPr>
        <w:t>2.3 交通量预测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_Toc8228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_Toc29652 </w:instrText>
      </w:r>
      <w:r>
        <w:rPr>
          <w:color w:val="auto"/>
          <w:sz w:val="24"/>
          <w:szCs w:val="24"/>
          <w:highlight w:val="none"/>
        </w:rPr>
        <w:fldChar w:fldCharType="separate"/>
      </w:r>
      <w:r>
        <w:rPr>
          <w:snapToGrid w:val="0"/>
          <w:color w:val="auto"/>
          <w:sz w:val="24"/>
          <w:szCs w:val="24"/>
          <w:highlight w:val="none"/>
        </w:rPr>
        <w:t>2.4 工程分析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_Toc29652 </w:instrText>
      </w:r>
      <w:r>
        <w:rPr>
          <w:color w:val="auto"/>
          <w:sz w:val="24"/>
          <w:szCs w:val="24"/>
          <w:highlight w:val="none"/>
        </w:rPr>
        <w:fldChar w:fldCharType="separate"/>
      </w:r>
      <w:r>
        <w:rPr>
          <w:color w:val="auto"/>
          <w:sz w:val="24"/>
          <w:szCs w:val="24"/>
          <w:highlight w:val="none"/>
        </w:rPr>
        <w:t>4</w:t>
      </w:r>
      <w:r>
        <w:rPr>
          <w:color w:val="auto"/>
          <w:sz w:val="24"/>
          <w:szCs w:val="24"/>
          <w:highlight w:val="none"/>
        </w:rPr>
        <w:fldChar w:fldCharType="end"/>
      </w:r>
      <w:r>
        <w:rPr>
          <w:color w:val="auto"/>
          <w:sz w:val="24"/>
          <w:szCs w:val="24"/>
          <w:highlight w:val="none"/>
        </w:rPr>
        <w:fldChar w:fldCharType="end"/>
      </w:r>
    </w:p>
    <w:p>
      <w:pPr>
        <w:pStyle w:val="47"/>
        <w:tabs>
          <w:tab w:val="right" w:leader="dot" w:pos="8306"/>
        </w:tabs>
        <w:spacing w:line="360" w:lineRule="auto"/>
        <w:rPr>
          <w:b/>
          <w:color w:val="auto"/>
          <w:sz w:val="24"/>
          <w:szCs w:val="24"/>
          <w:highlight w:val="none"/>
        </w:rPr>
      </w:pPr>
      <w:r>
        <w:rPr>
          <w:b/>
          <w:color w:val="auto"/>
          <w:sz w:val="24"/>
          <w:szCs w:val="24"/>
          <w:highlight w:val="none"/>
        </w:rPr>
        <w:fldChar w:fldCharType="begin"/>
      </w:r>
      <w:r>
        <w:rPr>
          <w:b/>
          <w:color w:val="auto"/>
          <w:sz w:val="24"/>
          <w:szCs w:val="24"/>
          <w:highlight w:val="none"/>
        </w:rPr>
        <w:instrText xml:space="preserve"> HYPERLINK \l _Toc10654 </w:instrText>
      </w:r>
      <w:r>
        <w:rPr>
          <w:b/>
          <w:color w:val="auto"/>
          <w:sz w:val="24"/>
          <w:szCs w:val="24"/>
          <w:highlight w:val="none"/>
        </w:rPr>
        <w:fldChar w:fldCharType="separate"/>
      </w:r>
      <w:r>
        <w:rPr>
          <w:b/>
          <w:snapToGrid w:val="0"/>
          <w:color w:val="auto"/>
          <w:sz w:val="24"/>
          <w:szCs w:val="24"/>
          <w:highlight w:val="none"/>
        </w:rPr>
        <w:t>3 声环境质量现状调查</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_Toc10654 </w:instrText>
      </w:r>
      <w:r>
        <w:rPr>
          <w:b/>
          <w:color w:val="auto"/>
          <w:sz w:val="24"/>
          <w:szCs w:val="24"/>
          <w:highlight w:val="none"/>
        </w:rPr>
        <w:fldChar w:fldCharType="separate"/>
      </w:r>
      <w:r>
        <w:rPr>
          <w:b/>
          <w:color w:val="auto"/>
          <w:sz w:val="24"/>
          <w:szCs w:val="24"/>
          <w:highlight w:val="none"/>
        </w:rPr>
        <w:t>7</w:t>
      </w:r>
      <w:r>
        <w:rPr>
          <w:b/>
          <w:color w:val="auto"/>
          <w:sz w:val="24"/>
          <w:szCs w:val="24"/>
          <w:highlight w:val="none"/>
        </w:rPr>
        <w:fldChar w:fldCharType="end"/>
      </w:r>
      <w:r>
        <w:rPr>
          <w:b/>
          <w:color w:val="auto"/>
          <w:sz w:val="24"/>
          <w:szCs w:val="24"/>
          <w:highlight w:val="none"/>
        </w:rPr>
        <w:fldChar w:fldCharType="end"/>
      </w:r>
    </w:p>
    <w:p>
      <w:pPr>
        <w:pStyle w:val="47"/>
        <w:tabs>
          <w:tab w:val="right" w:leader="dot" w:pos="8306"/>
        </w:tabs>
        <w:spacing w:line="360" w:lineRule="auto"/>
        <w:rPr>
          <w:b/>
          <w:color w:val="auto"/>
          <w:sz w:val="24"/>
          <w:szCs w:val="24"/>
          <w:highlight w:val="none"/>
        </w:rPr>
      </w:pPr>
      <w:r>
        <w:rPr>
          <w:b/>
          <w:color w:val="auto"/>
          <w:sz w:val="24"/>
          <w:szCs w:val="24"/>
          <w:highlight w:val="none"/>
        </w:rPr>
        <w:fldChar w:fldCharType="begin"/>
      </w:r>
      <w:r>
        <w:rPr>
          <w:b/>
          <w:color w:val="auto"/>
          <w:sz w:val="24"/>
          <w:szCs w:val="24"/>
          <w:highlight w:val="none"/>
        </w:rPr>
        <w:instrText xml:space="preserve"> HYPERLINK \l _Toc30379 </w:instrText>
      </w:r>
      <w:r>
        <w:rPr>
          <w:b/>
          <w:color w:val="auto"/>
          <w:sz w:val="24"/>
          <w:szCs w:val="24"/>
          <w:highlight w:val="none"/>
        </w:rPr>
        <w:fldChar w:fldCharType="separate"/>
      </w:r>
      <w:r>
        <w:rPr>
          <w:b/>
          <w:snapToGrid w:val="0"/>
          <w:color w:val="auto"/>
          <w:sz w:val="24"/>
          <w:szCs w:val="24"/>
          <w:highlight w:val="none"/>
        </w:rPr>
        <w:t>4 声环境影响预测与分析</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_Toc30379 </w:instrText>
      </w:r>
      <w:r>
        <w:rPr>
          <w:b/>
          <w:color w:val="auto"/>
          <w:sz w:val="24"/>
          <w:szCs w:val="24"/>
          <w:highlight w:val="none"/>
        </w:rPr>
        <w:fldChar w:fldCharType="separate"/>
      </w:r>
      <w:r>
        <w:rPr>
          <w:b/>
          <w:color w:val="auto"/>
          <w:sz w:val="24"/>
          <w:szCs w:val="24"/>
          <w:highlight w:val="none"/>
        </w:rPr>
        <w:t>14</w:t>
      </w:r>
      <w:r>
        <w:rPr>
          <w:b/>
          <w:color w:val="auto"/>
          <w:sz w:val="24"/>
          <w:szCs w:val="24"/>
          <w:highlight w:val="none"/>
        </w:rPr>
        <w:fldChar w:fldCharType="end"/>
      </w:r>
      <w:r>
        <w:rPr>
          <w:b/>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_Toc12235 </w:instrText>
      </w:r>
      <w:r>
        <w:rPr>
          <w:color w:val="auto"/>
          <w:sz w:val="24"/>
          <w:szCs w:val="24"/>
          <w:highlight w:val="none"/>
        </w:rPr>
        <w:fldChar w:fldCharType="separate"/>
      </w:r>
      <w:r>
        <w:rPr>
          <w:snapToGrid w:val="0"/>
          <w:color w:val="auto"/>
          <w:sz w:val="24"/>
          <w:szCs w:val="24"/>
          <w:highlight w:val="none"/>
        </w:rPr>
        <w:t>4.1 施工期声环境影响预测评价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_Toc12235 </w:instrText>
      </w:r>
      <w:r>
        <w:rPr>
          <w:color w:val="auto"/>
          <w:sz w:val="24"/>
          <w:szCs w:val="24"/>
          <w:highlight w:val="none"/>
        </w:rPr>
        <w:fldChar w:fldCharType="separate"/>
      </w:r>
      <w:r>
        <w:rPr>
          <w:color w:val="auto"/>
          <w:sz w:val="24"/>
          <w:szCs w:val="24"/>
          <w:highlight w:val="none"/>
        </w:rPr>
        <w:t>14</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_Toc5694 </w:instrText>
      </w:r>
      <w:r>
        <w:rPr>
          <w:color w:val="auto"/>
          <w:sz w:val="24"/>
          <w:szCs w:val="24"/>
          <w:highlight w:val="none"/>
        </w:rPr>
        <w:fldChar w:fldCharType="separate"/>
      </w:r>
      <w:r>
        <w:rPr>
          <w:snapToGrid w:val="0"/>
          <w:color w:val="auto"/>
          <w:sz w:val="24"/>
          <w:szCs w:val="24"/>
          <w:highlight w:val="none"/>
        </w:rPr>
        <w:t>4.2 营运期噪声影响预测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_Toc5694 </w:instrText>
      </w:r>
      <w:r>
        <w:rPr>
          <w:color w:val="auto"/>
          <w:sz w:val="24"/>
          <w:szCs w:val="24"/>
          <w:highlight w:val="none"/>
        </w:rPr>
        <w:fldChar w:fldCharType="separate"/>
      </w:r>
      <w:r>
        <w:rPr>
          <w:color w:val="auto"/>
          <w:sz w:val="24"/>
          <w:szCs w:val="24"/>
          <w:highlight w:val="none"/>
        </w:rPr>
        <w:t>16</w:t>
      </w:r>
      <w:r>
        <w:rPr>
          <w:color w:val="auto"/>
          <w:sz w:val="24"/>
          <w:szCs w:val="24"/>
          <w:highlight w:val="none"/>
        </w:rPr>
        <w:fldChar w:fldCharType="end"/>
      </w:r>
      <w:r>
        <w:rPr>
          <w:color w:val="auto"/>
          <w:sz w:val="24"/>
          <w:szCs w:val="24"/>
          <w:highlight w:val="none"/>
        </w:rPr>
        <w:fldChar w:fldCharType="end"/>
      </w:r>
    </w:p>
    <w:p>
      <w:pPr>
        <w:pStyle w:val="47"/>
        <w:tabs>
          <w:tab w:val="right" w:leader="dot" w:pos="8306"/>
        </w:tabs>
        <w:spacing w:line="360" w:lineRule="auto"/>
        <w:rPr>
          <w:b/>
          <w:color w:val="auto"/>
          <w:sz w:val="24"/>
          <w:szCs w:val="24"/>
          <w:highlight w:val="none"/>
        </w:rPr>
      </w:pPr>
      <w:r>
        <w:rPr>
          <w:b/>
          <w:color w:val="auto"/>
          <w:sz w:val="24"/>
          <w:szCs w:val="24"/>
          <w:highlight w:val="none"/>
        </w:rPr>
        <w:fldChar w:fldCharType="begin"/>
      </w:r>
      <w:r>
        <w:rPr>
          <w:b/>
          <w:color w:val="auto"/>
          <w:sz w:val="24"/>
          <w:szCs w:val="24"/>
          <w:highlight w:val="none"/>
        </w:rPr>
        <w:instrText xml:space="preserve"> HYPERLINK \l _Toc3996 </w:instrText>
      </w:r>
      <w:r>
        <w:rPr>
          <w:b/>
          <w:color w:val="auto"/>
          <w:sz w:val="24"/>
          <w:szCs w:val="24"/>
          <w:highlight w:val="none"/>
        </w:rPr>
        <w:fldChar w:fldCharType="separate"/>
      </w:r>
      <w:r>
        <w:rPr>
          <w:b/>
          <w:snapToGrid w:val="0"/>
          <w:color w:val="auto"/>
          <w:sz w:val="24"/>
          <w:szCs w:val="24"/>
          <w:highlight w:val="none"/>
        </w:rPr>
        <w:t>5 噪声防治措施</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_Toc3996 </w:instrText>
      </w:r>
      <w:r>
        <w:rPr>
          <w:b/>
          <w:color w:val="auto"/>
          <w:sz w:val="24"/>
          <w:szCs w:val="24"/>
          <w:highlight w:val="none"/>
        </w:rPr>
        <w:fldChar w:fldCharType="separate"/>
      </w:r>
      <w:r>
        <w:rPr>
          <w:b/>
          <w:color w:val="auto"/>
          <w:sz w:val="24"/>
          <w:szCs w:val="24"/>
          <w:highlight w:val="none"/>
        </w:rPr>
        <w:t>73</w:t>
      </w:r>
      <w:r>
        <w:rPr>
          <w:b/>
          <w:color w:val="auto"/>
          <w:sz w:val="24"/>
          <w:szCs w:val="24"/>
          <w:highlight w:val="none"/>
        </w:rPr>
        <w:fldChar w:fldCharType="end"/>
      </w:r>
      <w:r>
        <w:rPr>
          <w:b/>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_Toc14027 </w:instrText>
      </w:r>
      <w:r>
        <w:rPr>
          <w:color w:val="auto"/>
          <w:sz w:val="24"/>
          <w:szCs w:val="24"/>
          <w:highlight w:val="none"/>
        </w:rPr>
        <w:fldChar w:fldCharType="separate"/>
      </w:r>
      <w:r>
        <w:rPr>
          <w:snapToGrid w:val="0"/>
          <w:color w:val="auto"/>
          <w:sz w:val="24"/>
          <w:szCs w:val="24"/>
          <w:highlight w:val="none"/>
        </w:rPr>
        <w:t>5.1 施工期噪声防治措施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_Toc14027 </w:instrText>
      </w:r>
      <w:r>
        <w:rPr>
          <w:color w:val="auto"/>
          <w:sz w:val="24"/>
          <w:szCs w:val="24"/>
          <w:highlight w:val="none"/>
        </w:rPr>
        <w:fldChar w:fldCharType="separate"/>
      </w:r>
      <w:r>
        <w:rPr>
          <w:color w:val="auto"/>
          <w:sz w:val="24"/>
          <w:szCs w:val="24"/>
          <w:highlight w:val="none"/>
        </w:rPr>
        <w:t>73</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_Toc31507 </w:instrText>
      </w:r>
      <w:r>
        <w:rPr>
          <w:color w:val="auto"/>
          <w:sz w:val="24"/>
          <w:szCs w:val="24"/>
          <w:highlight w:val="none"/>
        </w:rPr>
        <w:fldChar w:fldCharType="separate"/>
      </w:r>
      <w:r>
        <w:rPr>
          <w:snapToGrid w:val="0"/>
          <w:color w:val="auto"/>
          <w:sz w:val="24"/>
          <w:szCs w:val="24"/>
          <w:highlight w:val="none"/>
        </w:rPr>
        <w:t>5.2 营运期交通噪声防治措施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_Toc31507 </w:instrText>
      </w:r>
      <w:r>
        <w:rPr>
          <w:color w:val="auto"/>
          <w:sz w:val="24"/>
          <w:szCs w:val="24"/>
          <w:highlight w:val="none"/>
        </w:rPr>
        <w:fldChar w:fldCharType="separate"/>
      </w:r>
      <w:r>
        <w:rPr>
          <w:color w:val="auto"/>
          <w:sz w:val="24"/>
          <w:szCs w:val="24"/>
          <w:highlight w:val="none"/>
        </w:rPr>
        <w:t>73</w:t>
      </w:r>
      <w:r>
        <w:rPr>
          <w:color w:val="auto"/>
          <w:sz w:val="24"/>
          <w:szCs w:val="24"/>
          <w:highlight w:val="none"/>
        </w:rPr>
        <w:fldChar w:fldCharType="end"/>
      </w:r>
      <w:r>
        <w:rPr>
          <w:color w:val="auto"/>
          <w:sz w:val="24"/>
          <w:szCs w:val="24"/>
          <w:highlight w:val="none"/>
        </w:rPr>
        <w:fldChar w:fldCharType="end"/>
      </w:r>
    </w:p>
    <w:p>
      <w:pPr>
        <w:pStyle w:val="47"/>
        <w:tabs>
          <w:tab w:val="right" w:leader="dot" w:pos="8306"/>
        </w:tabs>
        <w:spacing w:line="360" w:lineRule="auto"/>
        <w:rPr>
          <w:b/>
          <w:color w:val="auto"/>
          <w:sz w:val="24"/>
          <w:szCs w:val="24"/>
          <w:highlight w:val="none"/>
        </w:rPr>
      </w:pPr>
      <w:r>
        <w:rPr>
          <w:b/>
          <w:color w:val="auto"/>
          <w:sz w:val="24"/>
          <w:szCs w:val="24"/>
          <w:highlight w:val="none"/>
        </w:rPr>
        <w:fldChar w:fldCharType="begin"/>
      </w:r>
      <w:r>
        <w:rPr>
          <w:b/>
          <w:color w:val="auto"/>
          <w:sz w:val="24"/>
          <w:szCs w:val="24"/>
          <w:highlight w:val="none"/>
        </w:rPr>
        <w:instrText xml:space="preserve"> HYPERLINK \l _Toc26032 </w:instrText>
      </w:r>
      <w:r>
        <w:rPr>
          <w:b/>
          <w:color w:val="auto"/>
          <w:sz w:val="24"/>
          <w:szCs w:val="24"/>
          <w:highlight w:val="none"/>
        </w:rPr>
        <w:fldChar w:fldCharType="separate"/>
      </w:r>
      <w:r>
        <w:rPr>
          <w:b/>
          <w:snapToGrid w:val="0"/>
          <w:color w:val="auto"/>
          <w:sz w:val="24"/>
          <w:szCs w:val="24"/>
          <w:highlight w:val="none"/>
        </w:rPr>
        <w:t>6 声影响专项评价结论</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_Toc26032 </w:instrText>
      </w:r>
      <w:r>
        <w:rPr>
          <w:b/>
          <w:color w:val="auto"/>
          <w:sz w:val="24"/>
          <w:szCs w:val="24"/>
          <w:highlight w:val="none"/>
        </w:rPr>
        <w:fldChar w:fldCharType="separate"/>
      </w:r>
      <w:r>
        <w:rPr>
          <w:b/>
          <w:color w:val="auto"/>
          <w:sz w:val="24"/>
          <w:szCs w:val="24"/>
          <w:highlight w:val="none"/>
        </w:rPr>
        <w:t>79</w:t>
      </w:r>
      <w:r>
        <w:rPr>
          <w:b/>
          <w:color w:val="auto"/>
          <w:sz w:val="24"/>
          <w:szCs w:val="24"/>
          <w:highlight w:val="none"/>
        </w:rPr>
        <w:fldChar w:fldCharType="end"/>
      </w:r>
      <w:r>
        <w:rPr>
          <w:b/>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_Toc4274 </w:instrText>
      </w:r>
      <w:r>
        <w:rPr>
          <w:color w:val="auto"/>
          <w:sz w:val="24"/>
          <w:szCs w:val="24"/>
          <w:highlight w:val="none"/>
        </w:rPr>
        <w:fldChar w:fldCharType="separate"/>
      </w:r>
      <w:r>
        <w:rPr>
          <w:snapToGrid w:val="0"/>
          <w:color w:val="auto"/>
          <w:sz w:val="24"/>
          <w:szCs w:val="24"/>
          <w:highlight w:val="none"/>
        </w:rPr>
        <w:t>6.1 声环境质量现状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_Toc4274 </w:instrText>
      </w:r>
      <w:r>
        <w:rPr>
          <w:color w:val="auto"/>
          <w:sz w:val="24"/>
          <w:szCs w:val="24"/>
          <w:highlight w:val="none"/>
        </w:rPr>
        <w:fldChar w:fldCharType="separate"/>
      </w:r>
      <w:r>
        <w:rPr>
          <w:color w:val="auto"/>
          <w:sz w:val="24"/>
          <w:szCs w:val="24"/>
          <w:highlight w:val="none"/>
        </w:rPr>
        <w:t>79</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_Toc23442 </w:instrText>
      </w:r>
      <w:r>
        <w:rPr>
          <w:color w:val="auto"/>
          <w:sz w:val="24"/>
          <w:szCs w:val="24"/>
          <w:highlight w:val="none"/>
        </w:rPr>
        <w:fldChar w:fldCharType="separate"/>
      </w:r>
      <w:r>
        <w:rPr>
          <w:snapToGrid w:val="0"/>
          <w:color w:val="auto"/>
          <w:sz w:val="24"/>
          <w:szCs w:val="24"/>
          <w:highlight w:val="none"/>
        </w:rPr>
        <w:t>6.2 声环境影响分析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_Toc23442 </w:instrText>
      </w:r>
      <w:r>
        <w:rPr>
          <w:color w:val="auto"/>
          <w:sz w:val="24"/>
          <w:szCs w:val="24"/>
          <w:highlight w:val="none"/>
        </w:rPr>
        <w:fldChar w:fldCharType="separate"/>
      </w:r>
      <w:r>
        <w:rPr>
          <w:color w:val="auto"/>
          <w:sz w:val="24"/>
          <w:szCs w:val="24"/>
          <w:highlight w:val="none"/>
        </w:rPr>
        <w:t>79</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_Toc12779 </w:instrText>
      </w:r>
      <w:r>
        <w:rPr>
          <w:color w:val="auto"/>
          <w:sz w:val="24"/>
          <w:szCs w:val="24"/>
          <w:highlight w:val="none"/>
        </w:rPr>
        <w:fldChar w:fldCharType="separate"/>
      </w:r>
      <w:r>
        <w:rPr>
          <w:snapToGrid w:val="0"/>
          <w:color w:val="auto"/>
          <w:sz w:val="24"/>
          <w:szCs w:val="24"/>
          <w:highlight w:val="none"/>
        </w:rPr>
        <w:t>6.3 声环境保护措施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_Toc12779 </w:instrText>
      </w:r>
      <w:r>
        <w:rPr>
          <w:color w:val="auto"/>
          <w:sz w:val="24"/>
          <w:szCs w:val="24"/>
          <w:highlight w:val="none"/>
        </w:rPr>
        <w:fldChar w:fldCharType="separate"/>
      </w:r>
      <w:r>
        <w:rPr>
          <w:color w:val="auto"/>
          <w:sz w:val="24"/>
          <w:szCs w:val="24"/>
          <w:highlight w:val="none"/>
        </w:rPr>
        <w:t>80</w:t>
      </w:r>
      <w:r>
        <w:rPr>
          <w:color w:val="auto"/>
          <w:sz w:val="24"/>
          <w:szCs w:val="24"/>
          <w:highlight w:val="none"/>
        </w:rPr>
        <w:fldChar w:fldCharType="end"/>
      </w:r>
      <w:r>
        <w:rPr>
          <w:color w:val="auto"/>
          <w:sz w:val="24"/>
          <w:szCs w:val="24"/>
          <w:highlight w:val="none"/>
        </w:rPr>
        <w:fldChar w:fldCharType="end"/>
      </w:r>
    </w:p>
    <w:p>
      <w:pPr>
        <w:pStyle w:val="57"/>
        <w:tabs>
          <w:tab w:val="right" w:leader="dot" w:pos="8306"/>
        </w:tabs>
        <w:spacing w:line="360" w:lineRule="auto"/>
        <w:ind w:left="42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_Toc31198 </w:instrText>
      </w:r>
      <w:r>
        <w:rPr>
          <w:color w:val="auto"/>
          <w:sz w:val="24"/>
          <w:szCs w:val="24"/>
          <w:highlight w:val="none"/>
        </w:rPr>
        <w:fldChar w:fldCharType="separate"/>
      </w:r>
      <w:r>
        <w:rPr>
          <w:snapToGrid w:val="0"/>
          <w:color w:val="auto"/>
          <w:sz w:val="24"/>
          <w:szCs w:val="24"/>
          <w:highlight w:val="none"/>
        </w:rPr>
        <w:t>6.4 声环境影响结论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_Toc31198 </w:instrText>
      </w:r>
      <w:r>
        <w:rPr>
          <w:color w:val="auto"/>
          <w:sz w:val="24"/>
          <w:szCs w:val="24"/>
          <w:highlight w:val="none"/>
        </w:rPr>
        <w:fldChar w:fldCharType="separate"/>
      </w:r>
      <w:r>
        <w:rPr>
          <w:color w:val="auto"/>
          <w:sz w:val="24"/>
          <w:szCs w:val="24"/>
          <w:highlight w:val="none"/>
        </w:rPr>
        <w:t>81</w:t>
      </w:r>
      <w:r>
        <w:rPr>
          <w:color w:val="auto"/>
          <w:sz w:val="24"/>
          <w:szCs w:val="24"/>
          <w:highlight w:val="none"/>
        </w:rPr>
        <w:fldChar w:fldCharType="end"/>
      </w:r>
      <w:r>
        <w:rPr>
          <w:color w:val="auto"/>
          <w:sz w:val="24"/>
          <w:szCs w:val="24"/>
          <w:highlight w:val="none"/>
        </w:rPr>
        <w:fldChar w:fldCharType="end"/>
      </w:r>
    </w:p>
    <w:p>
      <w:pPr>
        <w:pStyle w:val="2"/>
        <w:spacing w:line="360" w:lineRule="auto"/>
        <w:rPr>
          <w:color w:val="auto"/>
          <w:highlight w:val="none"/>
        </w:rPr>
      </w:pPr>
      <w:r>
        <w:rPr>
          <w:b/>
          <w:color w:val="auto"/>
          <w:sz w:val="24"/>
          <w:highlight w:val="none"/>
        </w:rPr>
        <w:fldChar w:fldCharType="end"/>
      </w:r>
    </w:p>
    <w:p>
      <w:pPr>
        <w:ind w:firstLine="1040"/>
        <w:rPr>
          <w:rFonts w:eastAsia="仿宋"/>
          <w:color w:val="auto"/>
          <w:sz w:val="44"/>
          <w:szCs w:val="44"/>
          <w:highlight w:val="none"/>
        </w:rPr>
      </w:pPr>
    </w:p>
    <w:p>
      <w:pPr>
        <w:ind w:firstLine="1040"/>
        <w:rPr>
          <w:rFonts w:eastAsia="仿宋"/>
          <w:color w:val="auto"/>
          <w:sz w:val="44"/>
          <w:szCs w:val="44"/>
          <w:highlight w:val="none"/>
        </w:rPr>
        <w:sectPr>
          <w:footerReference r:id="rId8" w:type="default"/>
          <w:pgSz w:w="11906" w:h="16838"/>
          <w:pgMar w:top="1440" w:right="1800" w:bottom="1440" w:left="1800"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pPr>
        <w:adjustRightInd w:val="0"/>
        <w:snapToGrid w:val="0"/>
        <w:spacing w:before="240" w:beforeLines="100" w:after="240" w:afterLines="100" w:line="360" w:lineRule="auto"/>
        <w:outlineLvl w:val="0"/>
        <w:rPr>
          <w:rFonts w:eastAsia="黑体"/>
          <w:snapToGrid w:val="0"/>
          <w:color w:val="auto"/>
          <w:kern w:val="0"/>
          <w:sz w:val="30"/>
          <w:szCs w:val="30"/>
          <w:highlight w:val="none"/>
        </w:rPr>
      </w:pPr>
      <w:bookmarkStart w:id="22" w:name="_Toc437529102"/>
      <w:bookmarkStart w:id="23" w:name="_Toc23788"/>
      <w:r>
        <w:rPr>
          <w:rFonts w:eastAsia="黑体"/>
          <w:snapToGrid w:val="0"/>
          <w:color w:val="auto"/>
          <w:kern w:val="0"/>
          <w:sz w:val="30"/>
          <w:szCs w:val="30"/>
          <w:highlight w:val="none"/>
        </w:rPr>
        <w:t xml:space="preserve">1 </w:t>
      </w:r>
      <w:bookmarkEnd w:id="22"/>
      <w:r>
        <w:rPr>
          <w:rFonts w:hint="eastAsia" w:eastAsia="黑体"/>
          <w:snapToGrid w:val="0"/>
          <w:color w:val="auto"/>
          <w:kern w:val="0"/>
          <w:sz w:val="30"/>
          <w:szCs w:val="30"/>
          <w:highlight w:val="none"/>
        </w:rPr>
        <w:t>总论</w:t>
      </w:r>
      <w:bookmarkEnd w:id="23"/>
    </w:p>
    <w:p>
      <w:pPr>
        <w:adjustRightInd w:val="0"/>
        <w:snapToGrid w:val="0"/>
        <w:spacing w:before="120" w:beforeLines="50" w:after="120" w:afterLines="50" w:line="360" w:lineRule="auto"/>
        <w:outlineLvl w:val="1"/>
        <w:rPr>
          <w:rFonts w:eastAsia="黑体"/>
          <w:snapToGrid w:val="0"/>
          <w:color w:val="auto"/>
          <w:kern w:val="0"/>
          <w:sz w:val="28"/>
          <w:szCs w:val="28"/>
          <w:highlight w:val="none"/>
        </w:rPr>
      </w:pPr>
      <w:bookmarkStart w:id="24" w:name="_Toc437529103"/>
      <w:bookmarkStart w:id="25" w:name="_Toc290647182"/>
      <w:bookmarkStart w:id="26" w:name="_Toc290474316"/>
      <w:bookmarkStart w:id="27" w:name="_Toc290475339"/>
      <w:bookmarkStart w:id="28" w:name="_Toc343863822"/>
      <w:bookmarkStart w:id="29" w:name="_Toc285434626"/>
      <w:bookmarkStart w:id="30" w:name="_Toc23669"/>
      <w:r>
        <w:rPr>
          <w:rFonts w:eastAsia="黑体"/>
          <w:snapToGrid w:val="0"/>
          <w:color w:val="auto"/>
          <w:kern w:val="0"/>
          <w:sz w:val="28"/>
          <w:szCs w:val="28"/>
          <w:highlight w:val="none"/>
        </w:rPr>
        <w:t>1.1</w:t>
      </w:r>
      <w:bookmarkEnd w:id="24"/>
      <w:bookmarkEnd w:id="25"/>
      <w:bookmarkEnd w:id="26"/>
      <w:bookmarkEnd w:id="27"/>
      <w:bookmarkEnd w:id="28"/>
      <w:bookmarkEnd w:id="29"/>
      <w:r>
        <w:rPr>
          <w:rFonts w:eastAsia="黑体"/>
          <w:snapToGrid w:val="0"/>
          <w:color w:val="auto"/>
          <w:kern w:val="0"/>
          <w:sz w:val="28"/>
          <w:szCs w:val="28"/>
          <w:highlight w:val="none"/>
        </w:rPr>
        <w:t>评价依据</w:t>
      </w:r>
      <w:bookmarkEnd w:id="30"/>
    </w:p>
    <w:p>
      <w:pPr>
        <w:spacing w:line="360" w:lineRule="auto"/>
        <w:outlineLvl w:val="2"/>
        <w:rPr>
          <w:rFonts w:eastAsia="黑体"/>
          <w:color w:val="auto"/>
          <w:sz w:val="24"/>
          <w:highlight w:val="none"/>
        </w:rPr>
      </w:pPr>
      <w:r>
        <w:rPr>
          <w:rFonts w:hint="eastAsia" w:eastAsia="黑体"/>
          <w:color w:val="auto"/>
          <w:sz w:val="24"/>
          <w:highlight w:val="none"/>
        </w:rPr>
        <w:t>1.1</w:t>
      </w:r>
      <w:r>
        <w:rPr>
          <w:rFonts w:eastAsia="黑体"/>
          <w:color w:val="auto"/>
          <w:sz w:val="24"/>
          <w:highlight w:val="none"/>
        </w:rPr>
        <w:t>.1 法律法规</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（1）《中华人民共和国环境保护法》（2014 修订，2015 年1 月1 日起施行）；</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（2）《中华人民共和国环境影响评价法》（2018 年12 月29 日修订）；</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（3）《中华人民共和国环境噪声污染防治法》（2018 年12 月29 日修订）；</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（4）《建设项目环境影响评价分类管理名录》（2021 年版）；</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（5）《建设项目环境保护管理条例》（2017 年10 月1 日起施行）</w:t>
      </w:r>
      <w:r>
        <w:rPr>
          <w:rFonts w:hint="eastAsia"/>
          <w:snapToGrid w:val="0"/>
          <w:color w:val="auto"/>
          <w:kern w:val="0"/>
          <w:sz w:val="24"/>
          <w:highlight w:val="none"/>
        </w:rPr>
        <w:t>。</w:t>
      </w:r>
    </w:p>
    <w:p>
      <w:pPr>
        <w:spacing w:line="360" w:lineRule="auto"/>
        <w:outlineLvl w:val="2"/>
        <w:rPr>
          <w:rFonts w:eastAsia="黑体"/>
          <w:color w:val="auto"/>
          <w:sz w:val="24"/>
          <w:highlight w:val="none"/>
        </w:rPr>
      </w:pPr>
      <w:r>
        <w:rPr>
          <w:rFonts w:hint="eastAsia" w:eastAsia="黑体"/>
          <w:color w:val="auto"/>
          <w:sz w:val="24"/>
          <w:highlight w:val="none"/>
        </w:rPr>
        <w:t>1.1</w:t>
      </w:r>
      <w:r>
        <w:rPr>
          <w:rFonts w:eastAsia="黑体"/>
          <w:color w:val="auto"/>
          <w:sz w:val="24"/>
          <w:highlight w:val="none"/>
        </w:rPr>
        <w:t>.2 技术导则与规范</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（1）《建设项目环境影响评价技术导则</w:t>
      </w:r>
      <w:r>
        <w:rPr>
          <w:rFonts w:hint="eastAsia"/>
          <w:snapToGrid w:val="0"/>
          <w:color w:val="auto"/>
          <w:kern w:val="0"/>
          <w:sz w:val="24"/>
          <w:highlight w:val="none"/>
        </w:rPr>
        <w:t xml:space="preserve"> </w:t>
      </w:r>
      <w:r>
        <w:rPr>
          <w:snapToGrid w:val="0"/>
          <w:color w:val="auto"/>
          <w:kern w:val="0"/>
          <w:sz w:val="24"/>
          <w:highlight w:val="none"/>
        </w:rPr>
        <w:t>总纲》（HJ2.1-2016）；</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（2）《环境影响评价技术导则</w:t>
      </w:r>
      <w:r>
        <w:rPr>
          <w:rFonts w:hint="eastAsia"/>
          <w:snapToGrid w:val="0"/>
          <w:color w:val="auto"/>
          <w:kern w:val="0"/>
          <w:sz w:val="24"/>
          <w:highlight w:val="none"/>
        </w:rPr>
        <w:t>-</w:t>
      </w:r>
      <w:r>
        <w:rPr>
          <w:snapToGrid w:val="0"/>
          <w:color w:val="auto"/>
          <w:kern w:val="0"/>
          <w:sz w:val="24"/>
          <w:highlight w:val="none"/>
        </w:rPr>
        <w:t>声环境》（</w:t>
      </w:r>
      <w:r>
        <w:rPr>
          <w:rFonts w:hint="eastAsia"/>
          <w:snapToGrid w:val="0"/>
          <w:color w:val="auto"/>
          <w:kern w:val="0"/>
          <w:sz w:val="24"/>
          <w:highlight w:val="none"/>
        </w:rPr>
        <w:t>HJ2.4-2021</w:t>
      </w:r>
      <w:r>
        <w:rPr>
          <w:snapToGrid w:val="0"/>
          <w:color w:val="auto"/>
          <w:kern w:val="0"/>
          <w:sz w:val="24"/>
          <w:highlight w:val="none"/>
        </w:rPr>
        <w:t>）；</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（3）《地面交通噪声污染防治技术政策》（环发﹝2010﹞7 号）；</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（4）《公路建设项目环境影响评价规范》（JT GB03-2006）；</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（5）《声环境功能区划分技术规范》（GB/T 15190-2014）。</w:t>
      </w:r>
    </w:p>
    <w:p>
      <w:pPr>
        <w:spacing w:line="360" w:lineRule="auto"/>
        <w:outlineLvl w:val="2"/>
        <w:rPr>
          <w:rFonts w:eastAsia="黑体"/>
          <w:color w:val="auto"/>
          <w:sz w:val="24"/>
          <w:highlight w:val="none"/>
        </w:rPr>
      </w:pPr>
      <w:r>
        <w:rPr>
          <w:rFonts w:hint="eastAsia" w:eastAsia="黑体"/>
          <w:color w:val="auto"/>
          <w:sz w:val="24"/>
          <w:highlight w:val="none"/>
        </w:rPr>
        <w:t>1.1</w:t>
      </w:r>
      <w:r>
        <w:rPr>
          <w:rFonts w:eastAsia="黑体"/>
          <w:color w:val="auto"/>
          <w:sz w:val="24"/>
          <w:highlight w:val="none"/>
        </w:rPr>
        <w:t>.3 与项目有关的其他依据</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（1）《</w:t>
      </w:r>
      <w:r>
        <w:rPr>
          <w:rFonts w:hint="eastAsia"/>
          <w:snapToGrid w:val="0"/>
          <w:color w:val="auto"/>
          <w:kern w:val="0"/>
          <w:sz w:val="24"/>
          <w:highlight w:val="none"/>
        </w:rPr>
        <w:t>福州市象山隧道拓宽改造工程</w:t>
      </w:r>
      <w:r>
        <w:rPr>
          <w:snapToGrid w:val="0"/>
          <w:color w:val="auto"/>
          <w:kern w:val="0"/>
          <w:sz w:val="24"/>
          <w:highlight w:val="none"/>
        </w:rPr>
        <w:t>可行性研究报告》及其批复（20</w:t>
      </w:r>
      <w:r>
        <w:rPr>
          <w:rFonts w:hint="eastAsia"/>
          <w:snapToGrid w:val="0"/>
          <w:color w:val="auto"/>
          <w:kern w:val="0"/>
          <w:sz w:val="24"/>
          <w:highlight w:val="none"/>
        </w:rPr>
        <w:t>19.3.27</w:t>
      </w:r>
      <w:r>
        <w:rPr>
          <w:snapToGrid w:val="0"/>
          <w:color w:val="auto"/>
          <w:kern w:val="0"/>
          <w:sz w:val="24"/>
          <w:highlight w:val="none"/>
        </w:rPr>
        <w:t>）；</w:t>
      </w:r>
    </w:p>
    <w:p>
      <w:pPr>
        <w:adjustRightInd w:val="0"/>
        <w:snapToGrid w:val="0"/>
        <w:spacing w:line="360" w:lineRule="auto"/>
        <w:ind w:firstLine="480" w:firstLineChars="200"/>
        <w:rPr>
          <w:rFonts w:hint="eastAsia"/>
          <w:snapToGrid w:val="0"/>
          <w:color w:val="auto"/>
          <w:kern w:val="0"/>
          <w:sz w:val="24"/>
          <w:highlight w:val="none"/>
        </w:rPr>
      </w:pPr>
      <w:r>
        <w:rPr>
          <w:snapToGrid w:val="0"/>
          <w:color w:val="auto"/>
          <w:kern w:val="0"/>
          <w:sz w:val="24"/>
          <w:highlight w:val="none"/>
        </w:rPr>
        <w:t>（2）建设单位提供其他资料</w:t>
      </w:r>
      <w:r>
        <w:rPr>
          <w:rFonts w:hint="eastAsia"/>
          <w:snapToGrid w:val="0"/>
          <w:color w:val="auto"/>
          <w:kern w:val="0"/>
          <w:sz w:val="24"/>
          <w:highlight w:val="none"/>
        </w:rPr>
        <w:t>。</w:t>
      </w:r>
    </w:p>
    <w:p>
      <w:pPr>
        <w:adjustRightInd w:val="0"/>
        <w:snapToGrid w:val="0"/>
        <w:spacing w:before="120" w:beforeLines="50" w:after="120" w:afterLines="50" w:line="360" w:lineRule="auto"/>
        <w:outlineLvl w:val="1"/>
        <w:rPr>
          <w:rFonts w:eastAsia="黑体"/>
          <w:snapToGrid w:val="0"/>
          <w:color w:val="auto"/>
          <w:kern w:val="0"/>
          <w:sz w:val="28"/>
          <w:szCs w:val="28"/>
          <w:highlight w:val="none"/>
        </w:rPr>
      </w:pPr>
      <w:bookmarkStart w:id="31" w:name="_Toc7332"/>
      <w:r>
        <w:rPr>
          <w:rFonts w:eastAsia="黑体"/>
          <w:snapToGrid w:val="0"/>
          <w:color w:val="auto"/>
          <w:kern w:val="0"/>
          <w:sz w:val="28"/>
          <w:szCs w:val="28"/>
          <w:highlight w:val="none"/>
        </w:rPr>
        <w:t>1.</w:t>
      </w:r>
      <w:r>
        <w:rPr>
          <w:rFonts w:hint="eastAsia" w:eastAsia="黑体"/>
          <w:snapToGrid w:val="0"/>
          <w:color w:val="auto"/>
          <w:kern w:val="0"/>
          <w:sz w:val="28"/>
          <w:szCs w:val="28"/>
          <w:highlight w:val="none"/>
        </w:rPr>
        <w:t>2</w:t>
      </w:r>
      <w:r>
        <w:rPr>
          <w:rFonts w:eastAsia="黑体"/>
          <w:snapToGrid w:val="0"/>
          <w:color w:val="auto"/>
          <w:kern w:val="0"/>
          <w:sz w:val="28"/>
          <w:szCs w:val="28"/>
          <w:highlight w:val="none"/>
        </w:rPr>
        <w:t>评价原则</w:t>
      </w:r>
      <w:bookmarkEnd w:id="31"/>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评价原则：以国家环境保护法律、法规为依据，以《环境影响评价技术导则声环境》（</w:t>
      </w:r>
      <w:r>
        <w:rPr>
          <w:rFonts w:hint="eastAsia"/>
          <w:snapToGrid w:val="0"/>
          <w:color w:val="auto"/>
          <w:kern w:val="0"/>
          <w:sz w:val="24"/>
          <w:highlight w:val="none"/>
        </w:rPr>
        <w:t>HJ2.4-2021</w:t>
      </w:r>
      <w:r>
        <w:rPr>
          <w:snapToGrid w:val="0"/>
          <w:color w:val="auto"/>
          <w:kern w:val="0"/>
          <w:sz w:val="24"/>
          <w:highlight w:val="none"/>
        </w:rPr>
        <w:t>）为指导并参照交通部颁布的《公路建设项目环境影响评价规范》，在明确服务于拟建项目的基础上，结合项目特点，充分利用已有资料，补充必要的现状监测，并结合项目工程设计和预测数据，预测项目的施工期及运行期对环境的影响，最后从方案合理、技术可行的角度提出相应的环保措施与建议。</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评价方法如下：</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（1）评价按路段进行，采取“以点为主，点段结合，反馈评价区域”的评价原则；</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（2）现状评价采用现场监测、调研统计分析等方法；</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（3）环境保护目标做逐点评价；</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（4）具体对环境噪声采用模式计算法进行预测评价。</w:t>
      </w:r>
    </w:p>
    <w:p>
      <w:pPr>
        <w:adjustRightInd w:val="0"/>
        <w:snapToGrid w:val="0"/>
        <w:spacing w:before="120" w:beforeLines="50" w:after="120" w:afterLines="50" w:line="360" w:lineRule="auto"/>
        <w:outlineLvl w:val="1"/>
        <w:rPr>
          <w:rFonts w:eastAsia="黑体"/>
          <w:snapToGrid w:val="0"/>
          <w:color w:val="auto"/>
          <w:kern w:val="0"/>
          <w:sz w:val="28"/>
          <w:szCs w:val="28"/>
          <w:highlight w:val="none"/>
        </w:rPr>
      </w:pPr>
      <w:bookmarkStart w:id="32" w:name="_Toc22375"/>
      <w:r>
        <w:rPr>
          <w:rFonts w:eastAsia="黑体"/>
          <w:snapToGrid w:val="0"/>
          <w:color w:val="auto"/>
          <w:kern w:val="0"/>
          <w:sz w:val="28"/>
          <w:szCs w:val="28"/>
          <w:highlight w:val="none"/>
        </w:rPr>
        <w:t>1.</w:t>
      </w:r>
      <w:r>
        <w:rPr>
          <w:rFonts w:hint="eastAsia" w:eastAsia="黑体"/>
          <w:snapToGrid w:val="0"/>
          <w:color w:val="auto"/>
          <w:kern w:val="0"/>
          <w:sz w:val="28"/>
          <w:szCs w:val="28"/>
          <w:highlight w:val="none"/>
        </w:rPr>
        <w:t>3</w:t>
      </w:r>
      <w:r>
        <w:rPr>
          <w:rFonts w:eastAsia="黑体"/>
          <w:snapToGrid w:val="0"/>
          <w:color w:val="auto"/>
          <w:kern w:val="0"/>
          <w:sz w:val="28"/>
          <w:szCs w:val="28"/>
          <w:highlight w:val="none"/>
        </w:rPr>
        <w:t>评价标准</w:t>
      </w:r>
      <w:bookmarkEnd w:id="32"/>
    </w:p>
    <w:p>
      <w:pPr>
        <w:spacing w:line="360" w:lineRule="auto"/>
        <w:ind w:firstLine="480" w:firstLineChars="200"/>
        <w:rPr>
          <w:rFonts w:hint="eastAsia"/>
          <w:color w:val="auto"/>
          <w:kern w:val="0"/>
          <w:sz w:val="24"/>
          <w:highlight w:val="none"/>
        </w:rPr>
      </w:pPr>
      <w:r>
        <w:rPr>
          <w:color w:val="auto"/>
          <w:sz w:val="24"/>
          <w:highlight w:val="none"/>
        </w:rPr>
        <w:t>本项目道路等级为</w:t>
      </w:r>
      <w:r>
        <w:rPr>
          <w:rFonts w:hint="eastAsia"/>
          <w:color w:val="auto"/>
          <w:sz w:val="24"/>
          <w:highlight w:val="none"/>
        </w:rPr>
        <w:t>城主主干路</w:t>
      </w:r>
      <w:r>
        <w:rPr>
          <w:color w:val="auto"/>
          <w:sz w:val="24"/>
          <w:highlight w:val="none"/>
        </w:rPr>
        <w:t>，</w:t>
      </w:r>
      <w:r>
        <w:rPr>
          <w:rFonts w:hint="eastAsia"/>
          <w:color w:val="auto"/>
          <w:sz w:val="24"/>
          <w:highlight w:val="none"/>
        </w:rPr>
        <w:t>本项目道路边界外200m评价范围内，本项目</w:t>
      </w:r>
      <w:r>
        <w:rPr>
          <w:rFonts w:hint="eastAsia" w:cs="宋体"/>
          <w:color w:val="auto"/>
          <w:sz w:val="24"/>
          <w:highlight w:val="none"/>
        </w:rPr>
        <w:t>象山隧道、西二环北路及</w:t>
      </w:r>
      <w:r>
        <w:rPr>
          <w:rFonts w:hint="eastAsia"/>
          <w:color w:val="auto"/>
          <w:sz w:val="24"/>
          <w:highlight w:val="none"/>
        </w:rPr>
        <w:t>相交道路（梅峰支路、后县路）道路边界外35m内区域、高于三层楼房以上（含三层）的临街建筑面向道路一侧至边界线的区域执行4a类标准，其他区域执行2类标准。</w:t>
      </w:r>
    </w:p>
    <w:p>
      <w:pPr>
        <w:adjustRightInd w:val="0"/>
        <w:snapToGrid w:val="0"/>
        <w:spacing w:line="360" w:lineRule="auto"/>
        <w:ind w:firstLine="480" w:firstLineChars="200"/>
        <w:rPr>
          <w:snapToGrid w:val="0"/>
          <w:color w:val="auto"/>
          <w:kern w:val="0"/>
          <w:sz w:val="24"/>
          <w:highlight w:val="none"/>
        </w:rPr>
      </w:pPr>
      <w:r>
        <w:rPr>
          <w:rFonts w:hint="eastAsia"/>
          <w:snapToGrid w:val="0"/>
          <w:color w:val="auto"/>
          <w:kern w:val="0"/>
          <w:sz w:val="24"/>
          <w:highlight w:val="none"/>
        </w:rPr>
        <w:t>详见报告表“三、生态环境现状、保护目标及评价标准”章节中</w:t>
      </w:r>
      <w:r>
        <w:rPr>
          <w:snapToGrid w:val="0"/>
          <w:color w:val="auto"/>
          <w:kern w:val="0"/>
          <w:sz w:val="24"/>
          <w:highlight w:val="none"/>
        </w:rPr>
        <w:t>声环境</w:t>
      </w:r>
      <w:r>
        <w:rPr>
          <w:rFonts w:hint="eastAsia"/>
          <w:snapToGrid w:val="0"/>
          <w:color w:val="auto"/>
          <w:kern w:val="0"/>
          <w:sz w:val="24"/>
          <w:highlight w:val="none"/>
        </w:rPr>
        <w:t>评价</w:t>
      </w:r>
      <w:r>
        <w:rPr>
          <w:snapToGrid w:val="0"/>
          <w:color w:val="auto"/>
          <w:kern w:val="0"/>
          <w:sz w:val="24"/>
          <w:highlight w:val="none"/>
        </w:rPr>
        <w:t>标准。</w:t>
      </w:r>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33" w:name="_Toc19992"/>
      <w:r>
        <w:rPr>
          <w:rFonts w:hint="eastAsia" w:eastAsia="黑体"/>
          <w:snapToGrid w:val="0"/>
          <w:color w:val="auto"/>
          <w:kern w:val="0"/>
          <w:sz w:val="28"/>
          <w:szCs w:val="28"/>
          <w:highlight w:val="none"/>
        </w:rPr>
        <w:t>1.4评价等级及范围</w:t>
      </w:r>
      <w:bookmarkEnd w:id="33"/>
    </w:p>
    <w:p>
      <w:pPr>
        <w:snapToGrid w:val="0"/>
        <w:spacing w:line="360" w:lineRule="auto"/>
        <w:ind w:firstLine="480" w:firstLineChars="200"/>
        <w:rPr>
          <w:color w:val="auto"/>
          <w:sz w:val="24"/>
          <w:highlight w:val="none"/>
        </w:rPr>
      </w:pPr>
      <w:r>
        <w:rPr>
          <w:color w:val="auto"/>
          <w:sz w:val="24"/>
          <w:highlight w:val="none"/>
        </w:rPr>
        <w:t>根据本工程的建设规模、工程特点、所在区域环境特征，工程建设期和营运期对环境的影响程度和范围，按照《环境影响评价技术导则  声环境》（</w:t>
      </w:r>
      <w:r>
        <w:rPr>
          <w:rFonts w:hint="eastAsia"/>
          <w:color w:val="auto"/>
          <w:sz w:val="24"/>
          <w:highlight w:val="none"/>
        </w:rPr>
        <w:t>HJ2.4-2021</w:t>
      </w:r>
      <w:r>
        <w:rPr>
          <w:color w:val="auto"/>
          <w:sz w:val="24"/>
          <w:highlight w:val="none"/>
        </w:rPr>
        <w:t>）关于评价 工作等级的划分原则与方法，本项目评价工作等级划分详见表 1</w:t>
      </w:r>
      <w:r>
        <w:rPr>
          <w:rFonts w:hint="eastAsia"/>
          <w:color w:val="auto"/>
          <w:sz w:val="24"/>
          <w:highlight w:val="none"/>
        </w:rPr>
        <w:t>.4</w:t>
      </w:r>
      <w:r>
        <w:rPr>
          <w:color w:val="auto"/>
          <w:sz w:val="24"/>
          <w:highlight w:val="none"/>
        </w:rPr>
        <w:t>-</w:t>
      </w:r>
      <w:r>
        <w:rPr>
          <w:rFonts w:hint="eastAsia"/>
          <w:color w:val="auto"/>
          <w:sz w:val="24"/>
          <w:highlight w:val="none"/>
        </w:rPr>
        <w:t>1</w:t>
      </w:r>
      <w:r>
        <w:rPr>
          <w:color w:val="auto"/>
          <w:sz w:val="24"/>
          <w:highlight w:val="none"/>
        </w:rPr>
        <w:t>。</w:t>
      </w:r>
    </w:p>
    <w:p>
      <w:pPr>
        <w:ind w:firstLine="480"/>
        <w:jc w:val="center"/>
        <w:rPr>
          <w:b/>
          <w:bCs/>
          <w:color w:val="auto"/>
          <w:sz w:val="24"/>
          <w:highlight w:val="none"/>
        </w:rPr>
      </w:pPr>
      <w:r>
        <w:rPr>
          <w:b/>
          <w:bCs/>
          <w:color w:val="auto"/>
          <w:sz w:val="24"/>
          <w:highlight w:val="none"/>
        </w:rPr>
        <w:t>表1</w:t>
      </w:r>
      <w:r>
        <w:rPr>
          <w:rFonts w:hint="eastAsia"/>
          <w:b/>
          <w:bCs/>
          <w:color w:val="auto"/>
          <w:sz w:val="24"/>
          <w:highlight w:val="none"/>
        </w:rPr>
        <w:t>.4-1</w:t>
      </w:r>
      <w:r>
        <w:rPr>
          <w:b/>
          <w:bCs/>
          <w:color w:val="auto"/>
          <w:sz w:val="24"/>
          <w:highlight w:val="none"/>
        </w:rPr>
        <w:t xml:space="preserve"> 单项环境因素评价等级及评价范围</w:t>
      </w:r>
    </w:p>
    <w:tbl>
      <w:tblPr>
        <w:tblStyle w:val="23"/>
        <w:tblW w:w="922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71"/>
        <w:gridCol w:w="3091"/>
        <w:gridCol w:w="47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0" w:hRule="exact"/>
          <w:jc w:val="center"/>
        </w:trPr>
        <w:tc>
          <w:tcPr>
            <w:tcW w:w="1371" w:type="dxa"/>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rPr>
                <w:color w:val="auto"/>
                <w:kern w:val="0"/>
                <w:szCs w:val="21"/>
                <w:highlight w:val="none"/>
              </w:rPr>
            </w:pPr>
            <w:r>
              <w:rPr>
                <w:color w:val="auto"/>
                <w:kern w:val="0"/>
                <w:szCs w:val="21"/>
                <w:highlight w:val="none"/>
              </w:rPr>
              <w:t>工作等级</w:t>
            </w:r>
          </w:p>
        </w:tc>
        <w:tc>
          <w:tcPr>
            <w:tcW w:w="3091" w:type="dxa"/>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rPr>
                <w:color w:val="auto"/>
                <w:kern w:val="0"/>
                <w:szCs w:val="21"/>
                <w:highlight w:val="none"/>
              </w:rPr>
            </w:pPr>
            <w:r>
              <w:rPr>
                <w:color w:val="auto"/>
                <w:kern w:val="0"/>
                <w:szCs w:val="21"/>
                <w:highlight w:val="none"/>
              </w:rPr>
              <w:t>划分依据</w:t>
            </w:r>
          </w:p>
        </w:tc>
        <w:tc>
          <w:tcPr>
            <w:tcW w:w="4765" w:type="dxa"/>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rPr>
                <w:color w:val="auto"/>
                <w:kern w:val="0"/>
                <w:szCs w:val="21"/>
                <w:highlight w:val="none"/>
              </w:rPr>
            </w:pPr>
            <w:r>
              <w:rPr>
                <w:color w:val="auto"/>
                <w:kern w:val="0"/>
                <w:szCs w:val="21"/>
                <w:highlight w:val="none"/>
              </w:rPr>
              <w:t>本项目情况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46" w:hRule="exact"/>
          <w:jc w:val="center"/>
        </w:trPr>
        <w:tc>
          <w:tcPr>
            <w:tcW w:w="1371" w:type="dxa"/>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rPr>
                <w:color w:val="auto"/>
                <w:kern w:val="0"/>
                <w:szCs w:val="21"/>
                <w:highlight w:val="none"/>
              </w:rPr>
            </w:pPr>
            <w:r>
              <w:rPr>
                <w:color w:val="auto"/>
                <w:kern w:val="0"/>
                <w:szCs w:val="21"/>
                <w:highlight w:val="none"/>
              </w:rPr>
              <w:t>一级</w:t>
            </w:r>
          </w:p>
        </w:tc>
        <w:tc>
          <w:tcPr>
            <w:tcW w:w="3091" w:type="dxa"/>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rPr>
                <w:color w:val="auto"/>
                <w:kern w:val="0"/>
                <w:szCs w:val="21"/>
                <w:highlight w:val="none"/>
              </w:rPr>
            </w:pPr>
            <w:r>
              <w:rPr>
                <w:color w:val="auto"/>
                <w:kern w:val="0"/>
                <w:szCs w:val="21"/>
                <w:highlight w:val="none"/>
              </w:rPr>
              <w:t xml:space="preserve">依据 </w:t>
            </w:r>
            <w:r>
              <w:rPr>
                <w:rFonts w:hint="eastAsia"/>
                <w:color w:val="auto"/>
                <w:kern w:val="0"/>
                <w:szCs w:val="21"/>
                <w:highlight w:val="none"/>
              </w:rPr>
              <w:t>HJ2.4-2021</w:t>
            </w:r>
            <w:r>
              <w:rPr>
                <w:color w:val="auto"/>
                <w:kern w:val="0"/>
                <w:szCs w:val="21"/>
                <w:highlight w:val="none"/>
              </w:rPr>
              <w:t>，项目建设前后评价范围内</w:t>
            </w:r>
            <w:r>
              <w:rPr>
                <w:rFonts w:hint="eastAsia"/>
                <w:color w:val="auto"/>
                <w:kern w:val="0"/>
                <w:szCs w:val="21"/>
                <w:highlight w:val="none"/>
              </w:rPr>
              <w:t>声环境保护目标</w:t>
            </w:r>
            <w:r>
              <w:rPr>
                <w:color w:val="auto"/>
                <w:kern w:val="0"/>
                <w:szCs w:val="21"/>
                <w:highlight w:val="none"/>
              </w:rPr>
              <w:t>噪声级增高&gt;5dB(A)。</w:t>
            </w:r>
          </w:p>
        </w:tc>
        <w:tc>
          <w:tcPr>
            <w:tcW w:w="4765" w:type="dxa"/>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rPr>
                <w:color w:val="auto"/>
                <w:kern w:val="0"/>
                <w:szCs w:val="21"/>
                <w:highlight w:val="none"/>
              </w:rPr>
            </w:pPr>
            <w:r>
              <w:rPr>
                <w:color w:val="auto"/>
                <w:kern w:val="0"/>
                <w:szCs w:val="21"/>
                <w:highlight w:val="none"/>
              </w:rPr>
              <w:t>评价区域属于2类、4类区；至营运远期，</w:t>
            </w:r>
            <w:r>
              <w:rPr>
                <w:rFonts w:hint="eastAsia"/>
                <w:color w:val="auto"/>
                <w:kern w:val="0"/>
                <w:szCs w:val="21"/>
                <w:highlight w:val="none"/>
              </w:rPr>
              <w:t>声环境保护目标</w:t>
            </w:r>
            <w:r>
              <w:rPr>
                <w:color w:val="auto"/>
                <w:kern w:val="0"/>
                <w:szCs w:val="21"/>
                <w:highlight w:val="none"/>
              </w:rPr>
              <w:t>噪声级最大增加值</w:t>
            </w:r>
            <w:r>
              <w:rPr>
                <w:rFonts w:hint="eastAsia"/>
                <w:color w:val="auto"/>
                <w:kern w:val="0"/>
                <w:szCs w:val="21"/>
                <w:highlight w:val="none"/>
              </w:rPr>
              <w:t>7.26</w:t>
            </w:r>
            <w:r>
              <w:rPr>
                <w:color w:val="auto"/>
                <w:kern w:val="0"/>
                <w:szCs w:val="21"/>
                <w:highlight w:val="none"/>
              </w:rPr>
              <w:t>dB(A) &gt;5 dB(A)，评价等级定为一级。</w:t>
            </w:r>
          </w:p>
        </w:tc>
      </w:tr>
    </w:tbl>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34" w:name="_Toc27203"/>
      <w:r>
        <w:rPr>
          <w:rFonts w:hint="eastAsia" w:eastAsia="黑体"/>
          <w:snapToGrid w:val="0"/>
          <w:color w:val="auto"/>
          <w:kern w:val="0"/>
          <w:sz w:val="28"/>
          <w:szCs w:val="28"/>
          <w:highlight w:val="none"/>
        </w:rPr>
        <w:t>1.5 评价范围和时段</w:t>
      </w:r>
      <w:bookmarkEnd w:id="34"/>
    </w:p>
    <w:p>
      <w:pPr>
        <w:snapToGrid w:val="0"/>
        <w:spacing w:line="360" w:lineRule="auto"/>
        <w:ind w:firstLine="480" w:firstLineChars="200"/>
        <w:rPr>
          <w:rFonts w:hint="eastAsia"/>
          <w:color w:val="auto"/>
          <w:sz w:val="24"/>
          <w:highlight w:val="none"/>
        </w:rPr>
      </w:pPr>
      <w:r>
        <w:rPr>
          <w:rFonts w:hint="eastAsia"/>
          <w:color w:val="auto"/>
          <w:sz w:val="24"/>
          <w:highlight w:val="none"/>
        </w:rPr>
        <w:t>评价范围：依据《环境影响评价技术导则声环境》（HJ2.4-2021）评价范围的确定原则和本项目现场踏勘调查的实际情况，确定本项目声环境影响评价范围为：道路中心线外两侧200m 以内的范围，对学校、小区等声环境保护目标进行重点评价，如项目声源计算得到的贡献值到200m 处，仍不能满足相应功能区标准时，将评价范围扩大到满足标准值的距离。施工期根据施工作业活动分布情况，评价范围扩大到各施工作业点。</w:t>
      </w:r>
    </w:p>
    <w:p>
      <w:pPr>
        <w:snapToGrid w:val="0"/>
        <w:spacing w:line="360" w:lineRule="auto"/>
        <w:ind w:firstLine="480" w:firstLineChars="200"/>
        <w:rPr>
          <w:rFonts w:hint="eastAsia"/>
          <w:color w:val="auto"/>
          <w:sz w:val="24"/>
          <w:highlight w:val="none"/>
        </w:rPr>
      </w:pPr>
      <w:r>
        <w:rPr>
          <w:rFonts w:hint="eastAsia"/>
          <w:color w:val="auto"/>
          <w:sz w:val="24"/>
          <w:highlight w:val="none"/>
        </w:rPr>
        <w:t>评价时段：本次评价时段分为施工期和营运期，评价时段具体如下：</w:t>
      </w:r>
    </w:p>
    <w:p>
      <w:pPr>
        <w:snapToGrid w:val="0"/>
        <w:spacing w:line="360" w:lineRule="auto"/>
        <w:ind w:firstLine="480" w:firstLineChars="200"/>
        <w:rPr>
          <w:rFonts w:hint="eastAsia"/>
          <w:color w:val="auto"/>
          <w:sz w:val="24"/>
          <w:highlight w:val="none"/>
        </w:rPr>
      </w:pPr>
      <w:r>
        <w:rPr>
          <w:rFonts w:hint="eastAsia"/>
          <w:color w:val="auto"/>
          <w:sz w:val="24"/>
          <w:highlight w:val="none"/>
        </w:rPr>
        <w:t>1、施工期：</w:t>
      </w:r>
      <w:r>
        <w:rPr>
          <w:color w:val="auto"/>
          <w:sz w:val="24"/>
          <w:highlight w:val="none"/>
        </w:rPr>
        <w:t>202</w:t>
      </w:r>
      <w:r>
        <w:rPr>
          <w:rFonts w:hint="eastAsia"/>
          <w:color w:val="auto"/>
          <w:sz w:val="24"/>
          <w:highlight w:val="none"/>
        </w:rPr>
        <w:t>2</w:t>
      </w:r>
      <w:r>
        <w:rPr>
          <w:color w:val="auto"/>
          <w:sz w:val="24"/>
          <w:highlight w:val="none"/>
        </w:rPr>
        <w:t>年</w:t>
      </w:r>
      <w:r>
        <w:rPr>
          <w:rFonts w:hint="eastAsia"/>
          <w:color w:val="auto"/>
          <w:sz w:val="24"/>
          <w:highlight w:val="none"/>
        </w:rPr>
        <w:t>9</w:t>
      </w:r>
      <w:r>
        <w:rPr>
          <w:color w:val="auto"/>
          <w:sz w:val="24"/>
          <w:highlight w:val="none"/>
        </w:rPr>
        <w:t>月至202</w:t>
      </w:r>
      <w:r>
        <w:rPr>
          <w:rFonts w:hint="eastAsia"/>
          <w:color w:val="auto"/>
          <w:sz w:val="24"/>
          <w:highlight w:val="none"/>
        </w:rPr>
        <w:t>5</w:t>
      </w:r>
      <w:r>
        <w:rPr>
          <w:color w:val="auto"/>
          <w:sz w:val="24"/>
          <w:highlight w:val="none"/>
        </w:rPr>
        <w:t>年</w:t>
      </w:r>
      <w:r>
        <w:rPr>
          <w:rFonts w:hint="eastAsia"/>
          <w:color w:val="auto"/>
          <w:sz w:val="24"/>
          <w:highlight w:val="none"/>
        </w:rPr>
        <w:t>5</w:t>
      </w:r>
      <w:r>
        <w:rPr>
          <w:color w:val="auto"/>
          <w:sz w:val="24"/>
          <w:highlight w:val="none"/>
        </w:rPr>
        <w:t>月，项目总建设周期约</w:t>
      </w:r>
      <w:r>
        <w:rPr>
          <w:rFonts w:hint="eastAsia"/>
          <w:color w:val="auto"/>
          <w:sz w:val="24"/>
          <w:highlight w:val="none"/>
        </w:rPr>
        <w:t>33</w:t>
      </w:r>
      <w:r>
        <w:rPr>
          <w:color w:val="auto"/>
          <w:sz w:val="24"/>
          <w:highlight w:val="none"/>
        </w:rPr>
        <w:t>个月</w:t>
      </w:r>
      <w:r>
        <w:rPr>
          <w:rFonts w:hint="eastAsia"/>
          <w:color w:val="auto"/>
          <w:sz w:val="24"/>
          <w:highlight w:val="none"/>
        </w:rPr>
        <w:t>。</w:t>
      </w:r>
    </w:p>
    <w:p>
      <w:pPr>
        <w:snapToGrid w:val="0"/>
        <w:spacing w:line="360" w:lineRule="auto"/>
        <w:ind w:firstLine="480" w:firstLineChars="200"/>
        <w:rPr>
          <w:rFonts w:hint="eastAsia"/>
          <w:color w:val="auto"/>
          <w:sz w:val="24"/>
          <w:highlight w:val="none"/>
        </w:rPr>
      </w:pPr>
      <w:r>
        <w:rPr>
          <w:rFonts w:hint="eastAsia"/>
          <w:color w:val="auto"/>
          <w:sz w:val="24"/>
          <w:highlight w:val="none"/>
        </w:rPr>
        <w:t>2、营运期：按15年计，即从2025~2039年。</w:t>
      </w:r>
    </w:p>
    <w:p>
      <w:pPr>
        <w:snapToGrid w:val="0"/>
        <w:spacing w:line="360" w:lineRule="auto"/>
        <w:ind w:firstLine="480" w:firstLineChars="200"/>
        <w:rPr>
          <w:rFonts w:hint="eastAsia"/>
          <w:color w:val="auto"/>
          <w:sz w:val="24"/>
          <w:highlight w:val="none"/>
        </w:rPr>
      </w:pPr>
      <w:r>
        <w:rPr>
          <w:rFonts w:hint="eastAsia"/>
          <w:color w:val="auto"/>
          <w:sz w:val="24"/>
          <w:highlight w:val="none"/>
        </w:rPr>
        <w:t>项目噪声影响对营运期作预测评价，年限为项目竣工投入营运后的代表性水平年，取第1年、第7年和第15年（即近期2025年、中期2031年、远期2039年），并兼顾施工期影响。</w:t>
      </w:r>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35" w:name="_Toc30075"/>
      <w:r>
        <w:rPr>
          <w:rFonts w:hint="eastAsia" w:eastAsia="黑体"/>
          <w:snapToGrid w:val="0"/>
          <w:color w:val="auto"/>
          <w:kern w:val="0"/>
          <w:sz w:val="28"/>
          <w:szCs w:val="28"/>
          <w:highlight w:val="none"/>
        </w:rPr>
        <w:t>1.6声环境保护目标</w:t>
      </w:r>
      <w:bookmarkEnd w:id="35"/>
    </w:p>
    <w:p>
      <w:pPr>
        <w:snapToGrid w:val="0"/>
        <w:spacing w:line="360" w:lineRule="auto"/>
        <w:ind w:firstLine="480" w:firstLineChars="200"/>
        <w:rPr>
          <w:snapToGrid w:val="0"/>
          <w:color w:val="auto"/>
          <w:kern w:val="0"/>
          <w:sz w:val="24"/>
          <w:highlight w:val="none"/>
        </w:rPr>
      </w:pPr>
      <w:r>
        <w:rPr>
          <w:rFonts w:hint="eastAsia"/>
          <w:color w:val="auto"/>
          <w:sz w:val="24"/>
          <w:highlight w:val="none"/>
        </w:rPr>
        <w:t>项目中心线两侧各200m 范围内受影响声环境保护目标约30个。沿线声环境保护目标概况详见报告表中表3-2。</w:t>
      </w:r>
    </w:p>
    <w:p>
      <w:pPr>
        <w:pageBreakBefore/>
        <w:adjustRightInd w:val="0"/>
        <w:snapToGrid w:val="0"/>
        <w:spacing w:before="240" w:beforeLines="100" w:after="240" w:afterLines="100" w:line="360" w:lineRule="auto"/>
        <w:outlineLvl w:val="0"/>
        <w:rPr>
          <w:rFonts w:eastAsia="黑体"/>
          <w:snapToGrid w:val="0"/>
          <w:color w:val="auto"/>
          <w:kern w:val="0"/>
          <w:sz w:val="30"/>
          <w:szCs w:val="30"/>
          <w:highlight w:val="none"/>
        </w:rPr>
      </w:pPr>
      <w:bookmarkStart w:id="36" w:name="_Toc21340"/>
      <w:r>
        <w:rPr>
          <w:rFonts w:hint="eastAsia" w:eastAsia="黑体"/>
          <w:snapToGrid w:val="0"/>
          <w:color w:val="auto"/>
          <w:kern w:val="0"/>
          <w:sz w:val="30"/>
          <w:szCs w:val="30"/>
          <w:highlight w:val="none"/>
        </w:rPr>
        <w:t>2</w:t>
      </w:r>
      <w:r>
        <w:rPr>
          <w:rFonts w:eastAsia="黑体"/>
          <w:snapToGrid w:val="0"/>
          <w:color w:val="auto"/>
          <w:kern w:val="0"/>
          <w:sz w:val="30"/>
          <w:szCs w:val="30"/>
          <w:highlight w:val="none"/>
        </w:rPr>
        <w:t xml:space="preserve"> </w:t>
      </w:r>
      <w:r>
        <w:rPr>
          <w:rFonts w:hint="eastAsia" w:eastAsia="黑体"/>
          <w:snapToGrid w:val="0"/>
          <w:color w:val="auto"/>
          <w:kern w:val="0"/>
          <w:sz w:val="30"/>
          <w:szCs w:val="30"/>
          <w:highlight w:val="none"/>
        </w:rPr>
        <w:t>工程概况</w:t>
      </w:r>
      <w:bookmarkEnd w:id="36"/>
    </w:p>
    <w:p>
      <w:pPr>
        <w:adjustRightInd w:val="0"/>
        <w:snapToGrid w:val="0"/>
        <w:spacing w:before="120" w:beforeLines="50" w:after="120" w:afterLines="50" w:line="360" w:lineRule="auto"/>
        <w:outlineLvl w:val="1"/>
        <w:rPr>
          <w:rFonts w:eastAsia="黑体"/>
          <w:snapToGrid w:val="0"/>
          <w:color w:val="auto"/>
          <w:kern w:val="0"/>
          <w:sz w:val="28"/>
          <w:szCs w:val="28"/>
          <w:highlight w:val="none"/>
        </w:rPr>
      </w:pPr>
      <w:bookmarkStart w:id="37" w:name="_Toc7950"/>
      <w:r>
        <w:rPr>
          <w:rFonts w:hint="eastAsia" w:eastAsia="黑体"/>
          <w:snapToGrid w:val="0"/>
          <w:color w:val="auto"/>
          <w:kern w:val="0"/>
          <w:sz w:val="28"/>
          <w:szCs w:val="28"/>
          <w:highlight w:val="none"/>
        </w:rPr>
        <w:t>2</w:t>
      </w:r>
      <w:r>
        <w:rPr>
          <w:rFonts w:eastAsia="黑体"/>
          <w:snapToGrid w:val="0"/>
          <w:color w:val="auto"/>
          <w:kern w:val="0"/>
          <w:sz w:val="28"/>
          <w:szCs w:val="28"/>
          <w:highlight w:val="none"/>
        </w:rPr>
        <w:t xml:space="preserve">.1 </w:t>
      </w:r>
      <w:r>
        <w:rPr>
          <w:rFonts w:hint="eastAsia" w:eastAsia="黑体"/>
          <w:snapToGrid w:val="0"/>
          <w:color w:val="auto"/>
          <w:kern w:val="0"/>
          <w:sz w:val="28"/>
          <w:szCs w:val="28"/>
          <w:highlight w:val="none"/>
        </w:rPr>
        <w:t>工程基本情况</w:t>
      </w:r>
      <w:bookmarkEnd w:id="37"/>
    </w:p>
    <w:p>
      <w:pPr>
        <w:pStyle w:val="67"/>
        <w:rPr>
          <w:rFonts w:hint="eastAsia" w:cs="Times New Roman"/>
          <w:color w:val="auto"/>
          <w:highlight w:val="none"/>
        </w:rPr>
      </w:pPr>
      <w:r>
        <w:rPr>
          <w:rFonts w:hint="eastAsia" w:ascii="宋体" w:hAnsi="宋体"/>
          <w:color w:val="auto"/>
          <w:szCs w:val="21"/>
          <w:highlight w:val="none"/>
        </w:rPr>
        <w:t>福州市象山隧道拓宽改造工程</w:t>
      </w:r>
      <w:r>
        <w:rPr>
          <w:rFonts w:hint="eastAsia" w:cs="Times New Roman"/>
          <w:color w:val="auto"/>
          <w:highlight w:val="none"/>
        </w:rPr>
        <w:t>位于福州市</w:t>
      </w:r>
      <w:r>
        <w:rPr>
          <w:rFonts w:hint="eastAsia" w:ascii="宋体" w:hAnsi="宋体"/>
          <w:color w:val="auto"/>
          <w:szCs w:val="21"/>
          <w:highlight w:val="none"/>
        </w:rPr>
        <w:t>鼓楼区</w:t>
      </w:r>
      <w:r>
        <w:rPr>
          <w:rFonts w:hint="eastAsia" w:cs="Times New Roman"/>
          <w:color w:val="auto"/>
          <w:highlight w:val="none"/>
        </w:rPr>
        <w:t>。本项目由2条道路组成，道路建设规模如下：项目拓宽改造长度960米，其中，象山拓宽隧道长度200米（单洞长度），采用新建双层隧道方案，拓宽后的隧道上层限界宽度13.75米（单洞宽度），下层限界宽度12米（单洞宽度）；在隧道北洞口新建下穿通道U型槽135米及箱型通道100米，在隧道北侧现状铜盘高架新建拼宽二环高架下匝道桥，桥宽6.5米，总长120米；在隧道南侧原位还建二环掉头高架匝道桥，桥宽7.5米，总长340米。</w:t>
      </w:r>
    </w:p>
    <w:p>
      <w:pPr>
        <w:pStyle w:val="67"/>
        <w:rPr>
          <w:rFonts w:hint="eastAsia" w:cs="Times New Roman"/>
          <w:color w:val="auto"/>
          <w:highlight w:val="none"/>
        </w:rPr>
      </w:pPr>
      <w:r>
        <w:rPr>
          <w:rFonts w:hint="eastAsia" w:cs="Times New Roman"/>
          <w:color w:val="auto"/>
          <w:highlight w:val="none"/>
        </w:rPr>
        <w:t>项目主要建设内容包括道路、隧道、桥梁、交通、给排水、电气照明、景观等工程。</w:t>
      </w:r>
    </w:p>
    <w:p>
      <w:pPr>
        <w:snapToGrid w:val="0"/>
        <w:spacing w:line="360" w:lineRule="auto"/>
        <w:ind w:firstLine="480" w:firstLineChars="200"/>
        <w:rPr>
          <w:color w:val="auto"/>
          <w:sz w:val="24"/>
          <w:highlight w:val="none"/>
        </w:rPr>
      </w:pPr>
      <w:r>
        <w:rPr>
          <w:rFonts w:hint="eastAsia"/>
          <w:color w:val="auto"/>
          <w:sz w:val="24"/>
          <w:highlight w:val="none"/>
        </w:rPr>
        <w:t>详见报告表中“二、建设内容”。</w:t>
      </w:r>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38" w:name="_Toc8228"/>
      <w:r>
        <w:rPr>
          <w:rFonts w:hint="eastAsia" w:eastAsia="黑体"/>
          <w:snapToGrid w:val="0"/>
          <w:color w:val="auto"/>
          <w:kern w:val="0"/>
          <w:sz w:val="28"/>
          <w:szCs w:val="28"/>
          <w:highlight w:val="none"/>
        </w:rPr>
        <w:t>2.2 交通量预测</w:t>
      </w:r>
      <w:bookmarkEnd w:id="38"/>
    </w:p>
    <w:p>
      <w:pPr>
        <w:spacing w:line="360" w:lineRule="auto"/>
        <w:outlineLvl w:val="2"/>
        <w:rPr>
          <w:rFonts w:hint="eastAsia" w:eastAsia="黑体"/>
          <w:color w:val="auto"/>
          <w:sz w:val="24"/>
          <w:highlight w:val="none"/>
        </w:rPr>
      </w:pPr>
      <w:r>
        <w:rPr>
          <w:rFonts w:hint="eastAsia" w:eastAsia="黑体"/>
          <w:color w:val="auto"/>
          <w:sz w:val="24"/>
          <w:highlight w:val="none"/>
        </w:rPr>
        <w:t>2.2.1 相对交通量</w:t>
      </w:r>
    </w:p>
    <w:p>
      <w:pPr>
        <w:spacing w:line="360" w:lineRule="auto"/>
        <w:ind w:firstLine="480"/>
        <w:jc w:val="left"/>
        <w:rPr>
          <w:rFonts w:hint="eastAsia"/>
          <w:color w:val="auto"/>
          <w:sz w:val="24"/>
          <w:highlight w:val="none"/>
        </w:rPr>
      </w:pPr>
      <w:r>
        <w:rPr>
          <w:rFonts w:ascii="宋体" w:hAnsi="宋体"/>
          <w:color w:val="auto"/>
          <w:sz w:val="24"/>
          <w:highlight w:val="none"/>
        </w:rPr>
        <w:t>（</w:t>
      </w:r>
      <w:r>
        <w:rPr>
          <w:rFonts w:eastAsia="Times New Roman"/>
          <w:color w:val="auto"/>
          <w:sz w:val="24"/>
          <w:highlight w:val="none"/>
        </w:rPr>
        <w:t>1</w:t>
      </w:r>
      <w:r>
        <w:rPr>
          <w:rFonts w:ascii="宋体" w:hAnsi="宋体"/>
          <w:color w:val="auto"/>
          <w:sz w:val="24"/>
          <w:highlight w:val="none"/>
        </w:rPr>
        <w:t>）项目规划年交通量</w:t>
      </w:r>
    </w:p>
    <w:p>
      <w:pPr>
        <w:spacing w:line="360" w:lineRule="auto"/>
        <w:ind w:firstLine="480"/>
        <w:jc w:val="left"/>
        <w:rPr>
          <w:color w:val="auto"/>
          <w:sz w:val="24"/>
          <w:highlight w:val="none"/>
        </w:rPr>
      </w:pPr>
      <w:r>
        <w:rPr>
          <w:rFonts w:hint="eastAsia"/>
          <w:color w:val="auto"/>
          <w:sz w:val="24"/>
          <w:highlight w:val="none"/>
        </w:rPr>
        <w:t>根据“工可”报告，项目各规划年交通量见表2.2</w:t>
      </w:r>
      <w:r>
        <w:rPr>
          <w:color w:val="auto"/>
          <w:sz w:val="24"/>
          <w:highlight w:val="none"/>
        </w:rPr>
        <w:t>-</w:t>
      </w:r>
      <w:r>
        <w:rPr>
          <w:rFonts w:hint="eastAsia"/>
          <w:color w:val="auto"/>
          <w:sz w:val="24"/>
          <w:highlight w:val="none"/>
        </w:rPr>
        <w:t>1</w:t>
      </w:r>
      <w:r>
        <w:rPr>
          <w:color w:val="auto"/>
          <w:sz w:val="24"/>
          <w:highlight w:val="none"/>
        </w:rPr>
        <w:t>。</w:t>
      </w:r>
    </w:p>
    <w:p>
      <w:pPr>
        <w:snapToGrid w:val="0"/>
        <w:ind w:firstLine="480"/>
        <w:jc w:val="right"/>
        <w:rPr>
          <w:b/>
          <w:bCs/>
          <w:color w:val="auto"/>
          <w:sz w:val="24"/>
          <w:highlight w:val="none"/>
        </w:rPr>
      </w:pPr>
      <w:r>
        <w:rPr>
          <w:b/>
          <w:bCs/>
          <w:color w:val="auto"/>
          <w:sz w:val="24"/>
          <w:highlight w:val="none"/>
        </w:rPr>
        <w:t>表</w:t>
      </w:r>
      <w:r>
        <w:rPr>
          <w:rFonts w:hint="eastAsia"/>
          <w:b/>
          <w:bCs/>
          <w:color w:val="auto"/>
          <w:sz w:val="24"/>
          <w:highlight w:val="none"/>
        </w:rPr>
        <w:t>2.2</w:t>
      </w:r>
      <w:r>
        <w:rPr>
          <w:b/>
          <w:bCs/>
          <w:color w:val="auto"/>
          <w:sz w:val="24"/>
          <w:highlight w:val="none"/>
        </w:rPr>
        <w:t>-1   项目各规划年交通量            单位：pcu/d</w:t>
      </w:r>
    </w:p>
    <w:tbl>
      <w:tblPr>
        <w:tblStyle w:val="23"/>
        <w:tblW w:w="951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2401"/>
        <w:gridCol w:w="1501"/>
        <w:gridCol w:w="1557"/>
        <w:gridCol w:w="1373"/>
        <w:gridCol w:w="1366"/>
        <w:gridCol w:w="13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548" w:hRule="exact"/>
          <w:jc w:val="center"/>
        </w:trPr>
        <w:tc>
          <w:tcPr>
            <w:tcW w:w="2401" w:type="dxa"/>
            <w:tcBorders>
              <w:tl2br w:val="single" w:color="000000" w:sz="4" w:space="0"/>
            </w:tcBorders>
            <w:vAlign w:val="center"/>
          </w:tcPr>
          <w:p>
            <w:pPr>
              <w:adjustRightInd w:val="0"/>
              <w:snapToGrid w:val="0"/>
              <w:jc w:val="center"/>
              <w:rPr>
                <w:bCs/>
                <w:color w:val="auto"/>
                <w:spacing w:val="-2"/>
                <w:szCs w:val="21"/>
                <w:highlight w:val="none"/>
              </w:rPr>
            </w:pPr>
            <w:r>
              <w:rPr>
                <w:rFonts w:hint="eastAsia"/>
                <w:bCs/>
                <w:color w:val="auto"/>
                <w:spacing w:val="-2"/>
                <w:szCs w:val="21"/>
                <w:highlight w:val="none"/>
              </w:rPr>
              <w:t xml:space="preserve">            </w:t>
            </w:r>
            <w:r>
              <w:rPr>
                <w:bCs/>
                <w:color w:val="auto"/>
                <w:spacing w:val="-2"/>
                <w:szCs w:val="21"/>
                <w:highlight w:val="none"/>
              </w:rPr>
              <w:t>年份</w:t>
            </w:r>
          </w:p>
          <w:p>
            <w:pPr>
              <w:adjustRightInd w:val="0"/>
              <w:snapToGrid w:val="0"/>
              <w:rPr>
                <w:color w:val="auto"/>
                <w:szCs w:val="21"/>
                <w:highlight w:val="none"/>
              </w:rPr>
            </w:pPr>
            <w:r>
              <w:rPr>
                <w:bCs/>
                <w:color w:val="auto"/>
                <w:spacing w:val="-2"/>
                <w:szCs w:val="21"/>
                <w:highlight w:val="none"/>
              </w:rPr>
              <w:t>路段</w:t>
            </w:r>
          </w:p>
        </w:tc>
        <w:tc>
          <w:tcPr>
            <w:tcW w:w="1501" w:type="dxa"/>
            <w:vAlign w:val="center"/>
          </w:tcPr>
          <w:p>
            <w:pPr>
              <w:adjustRightInd w:val="0"/>
              <w:snapToGrid w:val="0"/>
              <w:jc w:val="center"/>
              <w:rPr>
                <w:color w:val="auto"/>
                <w:szCs w:val="21"/>
                <w:highlight w:val="none"/>
              </w:rPr>
            </w:pPr>
            <w:r>
              <w:rPr>
                <w:rFonts w:hint="eastAsia"/>
                <w:bCs/>
                <w:color w:val="auto"/>
                <w:spacing w:val="-2"/>
                <w:szCs w:val="21"/>
                <w:highlight w:val="none"/>
              </w:rPr>
              <w:t xml:space="preserve">2025 年 </w:t>
            </w:r>
          </w:p>
        </w:tc>
        <w:tc>
          <w:tcPr>
            <w:tcW w:w="1557" w:type="dxa"/>
            <w:vAlign w:val="center"/>
          </w:tcPr>
          <w:p>
            <w:pPr>
              <w:adjustRightInd w:val="0"/>
              <w:snapToGrid w:val="0"/>
              <w:jc w:val="center"/>
              <w:rPr>
                <w:color w:val="auto"/>
                <w:szCs w:val="21"/>
                <w:highlight w:val="none"/>
              </w:rPr>
            </w:pPr>
            <w:r>
              <w:rPr>
                <w:rFonts w:hint="eastAsia"/>
                <w:color w:val="auto"/>
                <w:szCs w:val="21"/>
                <w:highlight w:val="none"/>
              </w:rPr>
              <w:t xml:space="preserve">2029 年 </w:t>
            </w:r>
          </w:p>
        </w:tc>
        <w:tc>
          <w:tcPr>
            <w:tcW w:w="1373" w:type="dxa"/>
            <w:vAlign w:val="center"/>
          </w:tcPr>
          <w:p>
            <w:pPr>
              <w:adjustRightInd w:val="0"/>
              <w:snapToGrid w:val="0"/>
              <w:jc w:val="center"/>
              <w:rPr>
                <w:color w:val="auto"/>
                <w:szCs w:val="21"/>
                <w:highlight w:val="none"/>
              </w:rPr>
            </w:pPr>
            <w:r>
              <w:rPr>
                <w:rFonts w:hint="eastAsia"/>
                <w:color w:val="auto"/>
                <w:szCs w:val="21"/>
                <w:highlight w:val="none"/>
              </w:rPr>
              <w:t xml:space="preserve">2034 年 </w:t>
            </w:r>
          </w:p>
        </w:tc>
        <w:tc>
          <w:tcPr>
            <w:tcW w:w="1366" w:type="dxa"/>
            <w:vAlign w:val="center"/>
          </w:tcPr>
          <w:p>
            <w:pPr>
              <w:adjustRightInd w:val="0"/>
              <w:snapToGrid w:val="0"/>
              <w:jc w:val="center"/>
              <w:rPr>
                <w:color w:val="auto"/>
                <w:szCs w:val="21"/>
                <w:highlight w:val="none"/>
              </w:rPr>
            </w:pPr>
            <w:r>
              <w:rPr>
                <w:rFonts w:hint="eastAsia"/>
                <w:color w:val="auto"/>
                <w:szCs w:val="21"/>
                <w:highlight w:val="none"/>
              </w:rPr>
              <w:t>2039 年</w:t>
            </w:r>
          </w:p>
        </w:tc>
        <w:tc>
          <w:tcPr>
            <w:tcW w:w="1316" w:type="dxa"/>
            <w:vAlign w:val="center"/>
          </w:tcPr>
          <w:p>
            <w:pPr>
              <w:adjustRightInd w:val="0"/>
              <w:snapToGrid w:val="0"/>
              <w:jc w:val="center"/>
              <w:rPr>
                <w:color w:val="auto"/>
                <w:szCs w:val="21"/>
                <w:highlight w:val="none"/>
              </w:rPr>
            </w:pPr>
            <w:r>
              <w:rPr>
                <w:rFonts w:hint="eastAsia"/>
                <w:color w:val="auto"/>
                <w:szCs w:val="21"/>
                <w:highlight w:val="none"/>
              </w:rPr>
              <w:t>2044 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327" w:hRule="exact"/>
          <w:jc w:val="center"/>
        </w:trPr>
        <w:tc>
          <w:tcPr>
            <w:tcW w:w="2401" w:type="dxa"/>
            <w:vAlign w:val="center"/>
          </w:tcPr>
          <w:p>
            <w:pPr>
              <w:adjustRightInd w:val="0"/>
              <w:snapToGrid w:val="0"/>
              <w:jc w:val="center"/>
              <w:rPr>
                <w:color w:val="auto"/>
                <w:szCs w:val="21"/>
                <w:highlight w:val="none"/>
              </w:rPr>
            </w:pPr>
            <w:r>
              <w:rPr>
                <w:rFonts w:hint="eastAsia"/>
                <w:bCs/>
                <w:color w:val="auto"/>
                <w:spacing w:val="-2"/>
                <w:szCs w:val="21"/>
                <w:highlight w:val="none"/>
              </w:rPr>
              <w:t>隧道上层（辅路）</w:t>
            </w:r>
          </w:p>
        </w:tc>
        <w:tc>
          <w:tcPr>
            <w:tcW w:w="1501" w:type="dxa"/>
            <w:vAlign w:val="center"/>
          </w:tcPr>
          <w:p>
            <w:pPr>
              <w:widowControl/>
              <w:adjustRightInd w:val="0"/>
              <w:snapToGrid w:val="0"/>
              <w:jc w:val="center"/>
              <w:rPr>
                <w:color w:val="auto"/>
                <w:szCs w:val="21"/>
                <w:highlight w:val="none"/>
              </w:rPr>
            </w:pPr>
            <w:r>
              <w:rPr>
                <w:rFonts w:hint="eastAsia"/>
                <w:color w:val="auto"/>
                <w:szCs w:val="21"/>
                <w:highlight w:val="none"/>
              </w:rPr>
              <w:t>33198</w:t>
            </w:r>
          </w:p>
        </w:tc>
        <w:tc>
          <w:tcPr>
            <w:tcW w:w="1557" w:type="dxa"/>
            <w:vAlign w:val="center"/>
          </w:tcPr>
          <w:p>
            <w:pPr>
              <w:widowControl/>
              <w:adjustRightInd w:val="0"/>
              <w:snapToGrid w:val="0"/>
              <w:jc w:val="center"/>
              <w:rPr>
                <w:color w:val="auto"/>
                <w:szCs w:val="21"/>
                <w:highlight w:val="none"/>
              </w:rPr>
            </w:pPr>
            <w:r>
              <w:rPr>
                <w:rFonts w:hint="eastAsia"/>
                <w:color w:val="auto"/>
                <w:szCs w:val="21"/>
                <w:highlight w:val="none"/>
              </w:rPr>
              <w:t xml:space="preserve">33621 </w:t>
            </w:r>
          </w:p>
        </w:tc>
        <w:tc>
          <w:tcPr>
            <w:tcW w:w="1373" w:type="dxa"/>
            <w:vAlign w:val="center"/>
          </w:tcPr>
          <w:p>
            <w:pPr>
              <w:widowControl/>
              <w:adjustRightInd w:val="0"/>
              <w:snapToGrid w:val="0"/>
              <w:jc w:val="center"/>
              <w:rPr>
                <w:color w:val="auto"/>
                <w:szCs w:val="21"/>
                <w:highlight w:val="none"/>
              </w:rPr>
            </w:pPr>
            <w:r>
              <w:rPr>
                <w:rFonts w:hint="eastAsia"/>
                <w:color w:val="auto"/>
                <w:szCs w:val="21"/>
                <w:highlight w:val="none"/>
              </w:rPr>
              <w:t>33963</w:t>
            </w:r>
          </w:p>
        </w:tc>
        <w:tc>
          <w:tcPr>
            <w:tcW w:w="1366" w:type="dxa"/>
            <w:vAlign w:val="center"/>
          </w:tcPr>
          <w:p>
            <w:pPr>
              <w:widowControl/>
              <w:adjustRightInd w:val="0"/>
              <w:snapToGrid w:val="0"/>
              <w:jc w:val="center"/>
              <w:rPr>
                <w:color w:val="auto"/>
                <w:szCs w:val="21"/>
                <w:highlight w:val="none"/>
              </w:rPr>
            </w:pPr>
            <w:r>
              <w:rPr>
                <w:rFonts w:hint="eastAsia"/>
                <w:color w:val="auto"/>
                <w:szCs w:val="21"/>
                <w:highlight w:val="none"/>
              </w:rPr>
              <w:t>34458</w:t>
            </w:r>
          </w:p>
        </w:tc>
        <w:tc>
          <w:tcPr>
            <w:tcW w:w="1316" w:type="dxa"/>
            <w:vAlign w:val="center"/>
          </w:tcPr>
          <w:p>
            <w:pPr>
              <w:widowControl/>
              <w:adjustRightInd w:val="0"/>
              <w:snapToGrid w:val="0"/>
              <w:jc w:val="center"/>
              <w:rPr>
                <w:color w:val="auto"/>
                <w:szCs w:val="21"/>
                <w:highlight w:val="none"/>
              </w:rPr>
            </w:pPr>
            <w:r>
              <w:rPr>
                <w:rFonts w:hint="eastAsia"/>
                <w:color w:val="auto"/>
                <w:szCs w:val="21"/>
                <w:highlight w:val="none"/>
              </w:rPr>
              <w:t>34960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300" w:hRule="exact"/>
          <w:jc w:val="center"/>
        </w:trPr>
        <w:tc>
          <w:tcPr>
            <w:tcW w:w="2401" w:type="dxa"/>
            <w:vAlign w:val="center"/>
          </w:tcPr>
          <w:p>
            <w:pPr>
              <w:adjustRightInd w:val="0"/>
              <w:snapToGrid w:val="0"/>
              <w:jc w:val="center"/>
              <w:rPr>
                <w:color w:val="auto"/>
                <w:szCs w:val="21"/>
                <w:highlight w:val="none"/>
              </w:rPr>
            </w:pPr>
            <w:r>
              <w:rPr>
                <w:rFonts w:hint="eastAsia"/>
                <w:bCs/>
                <w:color w:val="auto"/>
                <w:spacing w:val="-2"/>
                <w:szCs w:val="21"/>
                <w:highlight w:val="none"/>
              </w:rPr>
              <w:t>隧道下层（主路）</w:t>
            </w:r>
          </w:p>
        </w:tc>
        <w:tc>
          <w:tcPr>
            <w:tcW w:w="1501" w:type="dxa"/>
            <w:vAlign w:val="center"/>
          </w:tcPr>
          <w:p>
            <w:pPr>
              <w:widowControl/>
              <w:adjustRightInd w:val="0"/>
              <w:snapToGrid w:val="0"/>
              <w:jc w:val="center"/>
              <w:rPr>
                <w:color w:val="auto"/>
                <w:szCs w:val="21"/>
                <w:highlight w:val="none"/>
              </w:rPr>
            </w:pPr>
            <w:r>
              <w:rPr>
                <w:rFonts w:hint="eastAsia"/>
                <w:color w:val="auto"/>
                <w:szCs w:val="21"/>
                <w:highlight w:val="none"/>
              </w:rPr>
              <w:t>39113</w:t>
            </w:r>
          </w:p>
        </w:tc>
        <w:tc>
          <w:tcPr>
            <w:tcW w:w="1557" w:type="dxa"/>
            <w:vAlign w:val="center"/>
          </w:tcPr>
          <w:p>
            <w:pPr>
              <w:widowControl/>
              <w:adjustRightInd w:val="0"/>
              <w:snapToGrid w:val="0"/>
              <w:jc w:val="center"/>
              <w:rPr>
                <w:color w:val="auto"/>
                <w:szCs w:val="21"/>
                <w:highlight w:val="none"/>
              </w:rPr>
            </w:pPr>
            <w:r>
              <w:rPr>
                <w:rFonts w:hint="eastAsia"/>
                <w:color w:val="auto"/>
                <w:szCs w:val="21"/>
                <w:highlight w:val="none"/>
              </w:rPr>
              <w:t>39683</w:t>
            </w:r>
          </w:p>
        </w:tc>
        <w:tc>
          <w:tcPr>
            <w:tcW w:w="1373" w:type="dxa"/>
            <w:vAlign w:val="center"/>
          </w:tcPr>
          <w:p>
            <w:pPr>
              <w:widowControl/>
              <w:adjustRightInd w:val="0"/>
              <w:snapToGrid w:val="0"/>
              <w:jc w:val="center"/>
              <w:rPr>
                <w:color w:val="auto"/>
                <w:szCs w:val="21"/>
                <w:highlight w:val="none"/>
              </w:rPr>
            </w:pPr>
            <w:r>
              <w:rPr>
                <w:rFonts w:hint="eastAsia"/>
                <w:color w:val="auto"/>
                <w:szCs w:val="21"/>
                <w:highlight w:val="none"/>
              </w:rPr>
              <w:t>40189</w:t>
            </w:r>
          </w:p>
        </w:tc>
        <w:tc>
          <w:tcPr>
            <w:tcW w:w="1366" w:type="dxa"/>
            <w:vAlign w:val="center"/>
          </w:tcPr>
          <w:p>
            <w:pPr>
              <w:widowControl/>
              <w:adjustRightInd w:val="0"/>
              <w:snapToGrid w:val="0"/>
              <w:jc w:val="center"/>
              <w:rPr>
                <w:color w:val="auto"/>
                <w:szCs w:val="21"/>
                <w:highlight w:val="none"/>
              </w:rPr>
            </w:pPr>
            <w:r>
              <w:rPr>
                <w:rFonts w:hint="eastAsia"/>
                <w:color w:val="auto"/>
                <w:szCs w:val="21"/>
                <w:highlight w:val="none"/>
              </w:rPr>
              <w:t xml:space="preserve">40656 </w:t>
            </w:r>
          </w:p>
        </w:tc>
        <w:tc>
          <w:tcPr>
            <w:tcW w:w="1316" w:type="dxa"/>
            <w:vAlign w:val="center"/>
          </w:tcPr>
          <w:p>
            <w:pPr>
              <w:widowControl/>
              <w:adjustRightInd w:val="0"/>
              <w:snapToGrid w:val="0"/>
              <w:jc w:val="center"/>
              <w:rPr>
                <w:color w:val="auto"/>
                <w:szCs w:val="21"/>
                <w:highlight w:val="none"/>
              </w:rPr>
            </w:pPr>
            <w:r>
              <w:rPr>
                <w:rFonts w:hint="eastAsia"/>
                <w:color w:val="auto"/>
                <w:szCs w:val="21"/>
                <w:highlight w:val="none"/>
              </w:rPr>
              <w:t xml:space="preserve">41070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300" w:hRule="exact"/>
          <w:jc w:val="center"/>
        </w:trPr>
        <w:tc>
          <w:tcPr>
            <w:tcW w:w="2401" w:type="dxa"/>
            <w:vAlign w:val="center"/>
          </w:tcPr>
          <w:p>
            <w:pPr>
              <w:adjustRightInd w:val="0"/>
              <w:snapToGrid w:val="0"/>
              <w:jc w:val="center"/>
              <w:rPr>
                <w:rFonts w:hint="eastAsia"/>
                <w:bCs/>
                <w:color w:val="auto"/>
                <w:spacing w:val="-2"/>
                <w:szCs w:val="21"/>
                <w:highlight w:val="none"/>
              </w:rPr>
            </w:pPr>
            <w:r>
              <w:rPr>
                <w:rFonts w:hint="eastAsia"/>
                <w:bCs/>
                <w:color w:val="auto"/>
                <w:spacing w:val="-2"/>
                <w:szCs w:val="21"/>
                <w:highlight w:val="none"/>
              </w:rPr>
              <w:t>900医院总院掉头匝道</w:t>
            </w:r>
          </w:p>
        </w:tc>
        <w:tc>
          <w:tcPr>
            <w:tcW w:w="1501" w:type="dxa"/>
            <w:vAlign w:val="bottom"/>
          </w:tcPr>
          <w:p>
            <w:pPr>
              <w:widowControl/>
              <w:jc w:val="center"/>
              <w:textAlignment w:val="bottom"/>
              <w:rPr>
                <w:rFonts w:hint="eastAsia"/>
                <w:color w:val="auto"/>
                <w:szCs w:val="21"/>
                <w:highlight w:val="none"/>
              </w:rPr>
            </w:pPr>
            <w:r>
              <w:rPr>
                <w:color w:val="auto"/>
                <w:kern w:val="0"/>
                <w:szCs w:val="21"/>
                <w:highlight w:val="none"/>
                <w:lang w:bidi="ar"/>
              </w:rPr>
              <w:t>8400</w:t>
            </w:r>
          </w:p>
        </w:tc>
        <w:tc>
          <w:tcPr>
            <w:tcW w:w="1557" w:type="dxa"/>
            <w:vAlign w:val="bottom"/>
          </w:tcPr>
          <w:p>
            <w:pPr>
              <w:widowControl/>
              <w:jc w:val="center"/>
              <w:textAlignment w:val="bottom"/>
              <w:rPr>
                <w:rFonts w:hint="eastAsia"/>
                <w:color w:val="auto"/>
                <w:szCs w:val="21"/>
                <w:highlight w:val="none"/>
              </w:rPr>
            </w:pPr>
            <w:r>
              <w:rPr>
                <w:color w:val="auto"/>
                <w:kern w:val="0"/>
                <w:szCs w:val="21"/>
                <w:highlight w:val="none"/>
                <w:lang w:bidi="ar"/>
              </w:rPr>
              <w:t>8498</w:t>
            </w:r>
          </w:p>
        </w:tc>
        <w:tc>
          <w:tcPr>
            <w:tcW w:w="1373" w:type="dxa"/>
            <w:vAlign w:val="bottom"/>
          </w:tcPr>
          <w:p>
            <w:pPr>
              <w:widowControl/>
              <w:jc w:val="center"/>
              <w:textAlignment w:val="bottom"/>
              <w:rPr>
                <w:rFonts w:hint="eastAsia"/>
                <w:color w:val="auto"/>
                <w:szCs w:val="21"/>
                <w:highlight w:val="none"/>
              </w:rPr>
            </w:pPr>
            <w:r>
              <w:rPr>
                <w:color w:val="auto"/>
                <w:kern w:val="0"/>
                <w:szCs w:val="21"/>
                <w:highlight w:val="none"/>
                <w:lang w:bidi="ar"/>
              </w:rPr>
              <w:t>8606</w:t>
            </w:r>
          </w:p>
        </w:tc>
        <w:tc>
          <w:tcPr>
            <w:tcW w:w="1366" w:type="dxa"/>
            <w:vAlign w:val="bottom"/>
          </w:tcPr>
          <w:p>
            <w:pPr>
              <w:widowControl/>
              <w:jc w:val="center"/>
              <w:textAlignment w:val="bottom"/>
              <w:rPr>
                <w:rFonts w:hint="eastAsia"/>
                <w:color w:val="auto"/>
                <w:szCs w:val="21"/>
                <w:highlight w:val="none"/>
              </w:rPr>
            </w:pPr>
            <w:r>
              <w:rPr>
                <w:color w:val="auto"/>
                <w:kern w:val="0"/>
                <w:szCs w:val="21"/>
                <w:highlight w:val="none"/>
                <w:lang w:bidi="ar"/>
              </w:rPr>
              <w:t>8706</w:t>
            </w:r>
          </w:p>
        </w:tc>
        <w:tc>
          <w:tcPr>
            <w:tcW w:w="1316" w:type="dxa"/>
            <w:vAlign w:val="center"/>
          </w:tcPr>
          <w:p>
            <w:pPr>
              <w:widowControl/>
              <w:adjustRightInd w:val="0"/>
              <w:snapToGrid w:val="0"/>
              <w:jc w:val="center"/>
              <w:rPr>
                <w:rFonts w:hint="eastAsia"/>
                <w:color w:val="auto"/>
                <w:szCs w:val="21"/>
                <w:highlight w:val="none"/>
              </w:rPr>
            </w:pPr>
            <w:r>
              <w:rPr>
                <w:rFonts w:hint="eastAsia"/>
                <w:color w:val="auto"/>
                <w:szCs w:val="21"/>
                <w:highlight w:val="none"/>
              </w:rPr>
              <w:t xml:space="preserve">8807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300" w:hRule="exact"/>
          <w:jc w:val="center"/>
        </w:trPr>
        <w:tc>
          <w:tcPr>
            <w:tcW w:w="2401" w:type="dxa"/>
            <w:vAlign w:val="center"/>
          </w:tcPr>
          <w:p>
            <w:pPr>
              <w:adjustRightInd w:val="0"/>
              <w:snapToGrid w:val="0"/>
              <w:jc w:val="center"/>
              <w:rPr>
                <w:rFonts w:hint="eastAsia"/>
                <w:bCs/>
                <w:color w:val="auto"/>
                <w:spacing w:val="-2"/>
                <w:szCs w:val="21"/>
                <w:highlight w:val="none"/>
              </w:rPr>
            </w:pPr>
            <w:r>
              <w:rPr>
                <w:rFonts w:hint="eastAsia"/>
                <w:bCs/>
                <w:color w:val="auto"/>
                <w:spacing w:val="-2"/>
                <w:szCs w:val="21"/>
                <w:highlight w:val="none"/>
              </w:rPr>
              <w:t>铜盘高架下匝道</w:t>
            </w:r>
          </w:p>
        </w:tc>
        <w:tc>
          <w:tcPr>
            <w:tcW w:w="1501" w:type="dxa"/>
            <w:vAlign w:val="bottom"/>
          </w:tcPr>
          <w:p>
            <w:pPr>
              <w:widowControl/>
              <w:jc w:val="center"/>
              <w:textAlignment w:val="bottom"/>
              <w:rPr>
                <w:rFonts w:hint="eastAsia"/>
                <w:color w:val="auto"/>
                <w:szCs w:val="21"/>
                <w:highlight w:val="none"/>
              </w:rPr>
            </w:pPr>
            <w:r>
              <w:rPr>
                <w:color w:val="auto"/>
                <w:kern w:val="0"/>
                <w:szCs w:val="21"/>
                <w:highlight w:val="none"/>
                <w:lang w:bidi="ar"/>
              </w:rPr>
              <w:t>5264</w:t>
            </w:r>
          </w:p>
        </w:tc>
        <w:tc>
          <w:tcPr>
            <w:tcW w:w="1557" w:type="dxa"/>
            <w:vAlign w:val="bottom"/>
          </w:tcPr>
          <w:p>
            <w:pPr>
              <w:widowControl/>
              <w:jc w:val="center"/>
              <w:textAlignment w:val="bottom"/>
              <w:rPr>
                <w:rFonts w:hint="eastAsia"/>
                <w:color w:val="auto"/>
                <w:szCs w:val="21"/>
                <w:highlight w:val="none"/>
              </w:rPr>
            </w:pPr>
            <w:r>
              <w:rPr>
                <w:color w:val="auto"/>
                <w:kern w:val="0"/>
                <w:szCs w:val="21"/>
                <w:highlight w:val="none"/>
                <w:lang w:bidi="ar"/>
              </w:rPr>
              <w:t>6103</w:t>
            </w:r>
          </w:p>
        </w:tc>
        <w:tc>
          <w:tcPr>
            <w:tcW w:w="1373" w:type="dxa"/>
            <w:vAlign w:val="bottom"/>
          </w:tcPr>
          <w:p>
            <w:pPr>
              <w:widowControl/>
              <w:jc w:val="center"/>
              <w:textAlignment w:val="bottom"/>
              <w:rPr>
                <w:rFonts w:hint="eastAsia"/>
                <w:color w:val="auto"/>
                <w:szCs w:val="21"/>
                <w:highlight w:val="none"/>
              </w:rPr>
            </w:pPr>
            <w:r>
              <w:rPr>
                <w:color w:val="auto"/>
                <w:kern w:val="0"/>
                <w:szCs w:val="21"/>
                <w:highlight w:val="none"/>
                <w:lang w:bidi="ar"/>
              </w:rPr>
              <w:t>7075</w:t>
            </w:r>
          </w:p>
        </w:tc>
        <w:tc>
          <w:tcPr>
            <w:tcW w:w="1366" w:type="dxa"/>
            <w:vAlign w:val="bottom"/>
          </w:tcPr>
          <w:p>
            <w:pPr>
              <w:widowControl/>
              <w:jc w:val="center"/>
              <w:textAlignment w:val="bottom"/>
              <w:rPr>
                <w:rFonts w:hint="eastAsia"/>
                <w:color w:val="auto"/>
                <w:szCs w:val="21"/>
                <w:highlight w:val="none"/>
              </w:rPr>
            </w:pPr>
            <w:r>
              <w:rPr>
                <w:color w:val="auto"/>
                <w:kern w:val="0"/>
                <w:szCs w:val="21"/>
                <w:highlight w:val="none"/>
                <w:lang w:bidi="ar"/>
              </w:rPr>
              <w:t>8202</w:t>
            </w:r>
          </w:p>
        </w:tc>
        <w:tc>
          <w:tcPr>
            <w:tcW w:w="1316" w:type="dxa"/>
            <w:vAlign w:val="center"/>
          </w:tcPr>
          <w:p>
            <w:pPr>
              <w:widowControl/>
              <w:adjustRightInd w:val="0"/>
              <w:snapToGrid w:val="0"/>
              <w:jc w:val="center"/>
              <w:rPr>
                <w:rFonts w:hint="eastAsia"/>
                <w:color w:val="auto"/>
                <w:szCs w:val="21"/>
                <w:highlight w:val="none"/>
              </w:rPr>
            </w:pPr>
            <w:r>
              <w:rPr>
                <w:rFonts w:hint="eastAsia"/>
                <w:color w:val="auto"/>
                <w:szCs w:val="21"/>
                <w:highlight w:val="none"/>
              </w:rPr>
              <w:t xml:space="preserve">9509 </w:t>
            </w:r>
          </w:p>
        </w:tc>
      </w:tr>
    </w:tbl>
    <w:p>
      <w:pPr>
        <w:spacing w:line="360" w:lineRule="auto"/>
        <w:ind w:firstLine="480"/>
        <w:jc w:val="left"/>
        <w:rPr>
          <w:color w:val="auto"/>
          <w:sz w:val="24"/>
          <w:highlight w:val="none"/>
        </w:rPr>
      </w:pPr>
      <w:r>
        <w:rPr>
          <w:color w:val="auto"/>
          <w:sz w:val="24"/>
          <w:highlight w:val="none"/>
        </w:rPr>
        <w:t>（</w:t>
      </w:r>
      <w:r>
        <w:rPr>
          <w:rFonts w:eastAsia="Times New Roman"/>
          <w:color w:val="auto"/>
          <w:sz w:val="24"/>
          <w:highlight w:val="none"/>
        </w:rPr>
        <w:t>2</w:t>
      </w:r>
      <w:r>
        <w:rPr>
          <w:color w:val="auto"/>
          <w:sz w:val="24"/>
          <w:highlight w:val="none"/>
        </w:rPr>
        <w:t>）环评预测年交通量</w:t>
      </w:r>
    </w:p>
    <w:p>
      <w:pPr>
        <w:spacing w:line="360" w:lineRule="auto"/>
        <w:ind w:firstLine="480"/>
        <w:jc w:val="left"/>
        <w:rPr>
          <w:color w:val="auto"/>
          <w:sz w:val="24"/>
          <w:highlight w:val="none"/>
        </w:rPr>
      </w:pPr>
      <w:r>
        <w:rPr>
          <w:color w:val="auto"/>
          <w:sz w:val="24"/>
          <w:highlight w:val="none"/>
        </w:rPr>
        <w:t>项目计划于</w:t>
      </w:r>
      <w:r>
        <w:rPr>
          <w:rFonts w:hint="eastAsia"/>
          <w:color w:val="auto"/>
          <w:sz w:val="24"/>
          <w:highlight w:val="none"/>
        </w:rPr>
        <w:t>2025年</w:t>
      </w:r>
      <w:r>
        <w:rPr>
          <w:color w:val="auto"/>
          <w:sz w:val="24"/>
          <w:highlight w:val="none"/>
        </w:rPr>
        <w:t>通车，</w:t>
      </w:r>
      <w:r>
        <w:rPr>
          <w:rFonts w:hint="eastAsia"/>
          <w:color w:val="auto"/>
          <w:sz w:val="24"/>
          <w:highlight w:val="none"/>
        </w:rPr>
        <w:t>评价水平年取代表性水平年第1年、第7年和第15年，即</w:t>
      </w:r>
      <w:r>
        <w:rPr>
          <w:color w:val="auto"/>
          <w:sz w:val="24"/>
          <w:highlight w:val="none"/>
        </w:rPr>
        <w:t>预测年限</w:t>
      </w:r>
      <w:r>
        <w:rPr>
          <w:rFonts w:hint="eastAsia"/>
          <w:color w:val="auto"/>
          <w:sz w:val="24"/>
          <w:highlight w:val="none"/>
        </w:rPr>
        <w:t>为2025年</w:t>
      </w:r>
      <w:r>
        <w:rPr>
          <w:color w:val="auto"/>
          <w:sz w:val="24"/>
          <w:highlight w:val="none"/>
        </w:rPr>
        <w:t>、</w:t>
      </w:r>
      <w:r>
        <w:rPr>
          <w:rFonts w:hint="eastAsia"/>
          <w:color w:val="auto"/>
          <w:sz w:val="24"/>
          <w:highlight w:val="none"/>
        </w:rPr>
        <w:t>2031年</w:t>
      </w:r>
      <w:r>
        <w:rPr>
          <w:color w:val="auto"/>
          <w:sz w:val="24"/>
          <w:highlight w:val="none"/>
        </w:rPr>
        <w:t>和</w:t>
      </w:r>
      <w:r>
        <w:rPr>
          <w:rFonts w:hint="eastAsia"/>
          <w:color w:val="auto"/>
          <w:sz w:val="24"/>
          <w:highlight w:val="none"/>
        </w:rPr>
        <w:t>2039年，</w:t>
      </w:r>
      <w:r>
        <w:rPr>
          <w:color w:val="auto"/>
          <w:sz w:val="24"/>
          <w:highlight w:val="none"/>
        </w:rPr>
        <w:t>结果见表</w:t>
      </w:r>
      <w:r>
        <w:rPr>
          <w:rFonts w:hint="eastAsia"/>
          <w:color w:val="auto"/>
          <w:sz w:val="24"/>
          <w:highlight w:val="none"/>
        </w:rPr>
        <w:t>2.2</w:t>
      </w:r>
      <w:r>
        <w:rPr>
          <w:color w:val="auto"/>
          <w:sz w:val="24"/>
          <w:highlight w:val="none"/>
        </w:rPr>
        <w:t>-</w:t>
      </w:r>
      <w:r>
        <w:rPr>
          <w:rFonts w:hint="eastAsia"/>
          <w:color w:val="auto"/>
          <w:sz w:val="24"/>
          <w:highlight w:val="none"/>
        </w:rPr>
        <w:t>2</w:t>
      </w:r>
      <w:r>
        <w:rPr>
          <w:color w:val="auto"/>
          <w:sz w:val="24"/>
          <w:highlight w:val="none"/>
        </w:rPr>
        <w:t>。</w:t>
      </w:r>
    </w:p>
    <w:p>
      <w:pPr>
        <w:snapToGrid w:val="0"/>
        <w:ind w:firstLine="480"/>
        <w:jc w:val="right"/>
        <w:rPr>
          <w:b/>
          <w:bCs/>
          <w:color w:val="auto"/>
          <w:sz w:val="24"/>
          <w:highlight w:val="none"/>
        </w:rPr>
      </w:pPr>
      <w:r>
        <w:rPr>
          <w:b/>
          <w:bCs/>
          <w:color w:val="auto"/>
          <w:sz w:val="24"/>
          <w:highlight w:val="none"/>
        </w:rPr>
        <w:t>表</w:t>
      </w:r>
      <w:r>
        <w:rPr>
          <w:rFonts w:hint="eastAsia"/>
          <w:b/>
          <w:bCs/>
          <w:color w:val="auto"/>
          <w:sz w:val="24"/>
          <w:highlight w:val="none"/>
        </w:rPr>
        <w:t xml:space="preserve">2.2-2 </w:t>
      </w:r>
      <w:r>
        <w:rPr>
          <w:b/>
          <w:bCs/>
          <w:color w:val="auto"/>
          <w:sz w:val="24"/>
          <w:highlight w:val="none"/>
        </w:rPr>
        <w:t xml:space="preserve"> 项目各预测年交通量</w:t>
      </w:r>
      <w:r>
        <w:rPr>
          <w:rFonts w:hint="eastAsia"/>
          <w:b/>
          <w:bCs/>
          <w:color w:val="auto"/>
          <w:sz w:val="24"/>
          <w:highlight w:val="none"/>
        </w:rPr>
        <w:t xml:space="preserve">           </w:t>
      </w:r>
      <w:r>
        <w:rPr>
          <w:b/>
          <w:bCs/>
          <w:color w:val="auto"/>
          <w:sz w:val="24"/>
          <w:highlight w:val="none"/>
        </w:rPr>
        <w:t>单位：pcu/d</w:t>
      </w:r>
    </w:p>
    <w:tbl>
      <w:tblPr>
        <w:tblStyle w:val="23"/>
        <w:tblW w:w="9514" w:type="dxa"/>
        <w:jc w:val="center"/>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2768"/>
        <w:gridCol w:w="2266"/>
        <w:gridCol w:w="2239"/>
        <w:gridCol w:w="2241"/>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372" w:hRule="atLeast"/>
          <w:jc w:val="center"/>
        </w:trPr>
        <w:tc>
          <w:tcPr>
            <w:tcW w:w="2768" w:type="dxa"/>
            <w:vAlign w:val="center"/>
          </w:tcPr>
          <w:p>
            <w:pPr>
              <w:jc w:val="center"/>
              <w:rPr>
                <w:color w:val="auto"/>
                <w:szCs w:val="21"/>
                <w:highlight w:val="none"/>
              </w:rPr>
            </w:pPr>
            <w:r>
              <w:rPr>
                <w:color w:val="auto"/>
                <w:szCs w:val="21"/>
                <w:highlight w:val="none"/>
              </w:rPr>
              <w:t>预测年</w:t>
            </w:r>
          </w:p>
        </w:tc>
        <w:tc>
          <w:tcPr>
            <w:tcW w:w="2266" w:type="dxa"/>
            <w:vAlign w:val="center"/>
          </w:tcPr>
          <w:p>
            <w:pPr>
              <w:jc w:val="center"/>
              <w:rPr>
                <w:rFonts w:hint="eastAsia"/>
                <w:color w:val="auto"/>
                <w:szCs w:val="21"/>
                <w:highlight w:val="none"/>
              </w:rPr>
            </w:pPr>
            <w:r>
              <w:rPr>
                <w:rFonts w:hint="eastAsia"/>
                <w:color w:val="auto"/>
                <w:szCs w:val="21"/>
                <w:highlight w:val="none"/>
              </w:rPr>
              <w:t>2025年</w:t>
            </w:r>
          </w:p>
        </w:tc>
        <w:tc>
          <w:tcPr>
            <w:tcW w:w="2239" w:type="dxa"/>
            <w:vAlign w:val="center"/>
          </w:tcPr>
          <w:p>
            <w:pPr>
              <w:jc w:val="center"/>
              <w:rPr>
                <w:rFonts w:hint="eastAsia"/>
                <w:color w:val="auto"/>
                <w:szCs w:val="21"/>
                <w:highlight w:val="none"/>
              </w:rPr>
            </w:pPr>
            <w:r>
              <w:rPr>
                <w:rFonts w:hint="eastAsia"/>
                <w:color w:val="auto"/>
                <w:szCs w:val="21"/>
                <w:highlight w:val="none"/>
              </w:rPr>
              <w:t>2031年</w:t>
            </w:r>
          </w:p>
        </w:tc>
        <w:tc>
          <w:tcPr>
            <w:tcW w:w="2241" w:type="dxa"/>
            <w:vAlign w:val="center"/>
          </w:tcPr>
          <w:p>
            <w:pPr>
              <w:jc w:val="center"/>
              <w:rPr>
                <w:rFonts w:hint="eastAsia"/>
                <w:color w:val="auto"/>
                <w:szCs w:val="21"/>
                <w:highlight w:val="none"/>
              </w:rPr>
            </w:pPr>
            <w:r>
              <w:rPr>
                <w:rFonts w:hint="eastAsia"/>
                <w:color w:val="auto"/>
                <w:szCs w:val="21"/>
                <w:highlight w:val="none"/>
              </w:rPr>
              <w:t>2039年</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270" w:hRule="atLeast"/>
          <w:jc w:val="center"/>
        </w:trPr>
        <w:tc>
          <w:tcPr>
            <w:tcW w:w="2768" w:type="dxa"/>
            <w:vAlign w:val="center"/>
          </w:tcPr>
          <w:p>
            <w:pPr>
              <w:adjustRightInd w:val="0"/>
              <w:snapToGrid w:val="0"/>
              <w:jc w:val="center"/>
              <w:rPr>
                <w:rFonts w:hint="eastAsia"/>
                <w:color w:val="auto"/>
                <w:szCs w:val="21"/>
                <w:highlight w:val="none"/>
              </w:rPr>
            </w:pPr>
            <w:r>
              <w:rPr>
                <w:rFonts w:hint="eastAsia"/>
                <w:bCs/>
                <w:color w:val="auto"/>
                <w:spacing w:val="-2"/>
                <w:szCs w:val="21"/>
                <w:highlight w:val="none"/>
              </w:rPr>
              <w:t>隧道上层（辅路）</w:t>
            </w:r>
          </w:p>
        </w:tc>
        <w:tc>
          <w:tcPr>
            <w:tcW w:w="2266" w:type="dxa"/>
            <w:vAlign w:val="center"/>
          </w:tcPr>
          <w:p>
            <w:pPr>
              <w:widowControl/>
              <w:jc w:val="center"/>
              <w:textAlignment w:val="center"/>
              <w:rPr>
                <w:color w:val="auto"/>
                <w:szCs w:val="21"/>
                <w:highlight w:val="none"/>
              </w:rPr>
            </w:pPr>
            <w:r>
              <w:rPr>
                <w:color w:val="auto"/>
                <w:kern w:val="0"/>
                <w:sz w:val="24"/>
                <w:highlight w:val="none"/>
                <w:lang w:bidi="ar"/>
              </w:rPr>
              <w:t xml:space="preserve">33198 </w:t>
            </w:r>
          </w:p>
        </w:tc>
        <w:tc>
          <w:tcPr>
            <w:tcW w:w="2239" w:type="dxa"/>
            <w:vAlign w:val="center"/>
          </w:tcPr>
          <w:p>
            <w:pPr>
              <w:widowControl/>
              <w:jc w:val="center"/>
              <w:textAlignment w:val="center"/>
              <w:rPr>
                <w:rFonts w:hint="eastAsia"/>
                <w:color w:val="auto"/>
                <w:szCs w:val="21"/>
                <w:highlight w:val="none"/>
              </w:rPr>
            </w:pPr>
            <w:r>
              <w:rPr>
                <w:color w:val="auto"/>
                <w:kern w:val="0"/>
                <w:sz w:val="24"/>
                <w:highlight w:val="none"/>
                <w:lang w:bidi="ar"/>
              </w:rPr>
              <w:t xml:space="preserve">33757 </w:t>
            </w:r>
          </w:p>
        </w:tc>
        <w:tc>
          <w:tcPr>
            <w:tcW w:w="2241" w:type="dxa"/>
            <w:vAlign w:val="center"/>
          </w:tcPr>
          <w:p>
            <w:pPr>
              <w:widowControl/>
              <w:jc w:val="center"/>
              <w:textAlignment w:val="center"/>
              <w:rPr>
                <w:color w:val="auto"/>
                <w:szCs w:val="21"/>
                <w:highlight w:val="none"/>
              </w:rPr>
            </w:pPr>
            <w:r>
              <w:rPr>
                <w:color w:val="auto"/>
                <w:kern w:val="0"/>
                <w:sz w:val="24"/>
                <w:highlight w:val="none"/>
                <w:lang w:bidi="ar"/>
              </w:rPr>
              <w:t xml:space="preserve">34458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12" w:hRule="atLeast"/>
          <w:jc w:val="center"/>
        </w:trPr>
        <w:tc>
          <w:tcPr>
            <w:tcW w:w="2768" w:type="dxa"/>
            <w:vAlign w:val="center"/>
          </w:tcPr>
          <w:p>
            <w:pPr>
              <w:adjustRightInd w:val="0"/>
              <w:snapToGrid w:val="0"/>
              <w:jc w:val="center"/>
              <w:rPr>
                <w:rFonts w:hint="eastAsia"/>
                <w:color w:val="auto"/>
                <w:szCs w:val="21"/>
                <w:highlight w:val="none"/>
              </w:rPr>
            </w:pPr>
            <w:r>
              <w:rPr>
                <w:rFonts w:hint="eastAsia"/>
                <w:bCs/>
                <w:color w:val="auto"/>
                <w:spacing w:val="-2"/>
                <w:szCs w:val="21"/>
                <w:highlight w:val="none"/>
              </w:rPr>
              <w:t>隧道下层（主路）</w:t>
            </w:r>
          </w:p>
        </w:tc>
        <w:tc>
          <w:tcPr>
            <w:tcW w:w="2266" w:type="dxa"/>
            <w:vAlign w:val="center"/>
          </w:tcPr>
          <w:p>
            <w:pPr>
              <w:jc w:val="center"/>
              <w:rPr>
                <w:color w:val="auto"/>
                <w:szCs w:val="21"/>
                <w:highlight w:val="none"/>
              </w:rPr>
            </w:pPr>
            <w:r>
              <w:rPr>
                <w:color w:val="auto"/>
                <w:szCs w:val="21"/>
                <w:highlight w:val="none"/>
              </w:rPr>
              <w:t xml:space="preserve">39113 </w:t>
            </w:r>
          </w:p>
        </w:tc>
        <w:tc>
          <w:tcPr>
            <w:tcW w:w="2239" w:type="dxa"/>
            <w:vAlign w:val="center"/>
          </w:tcPr>
          <w:p>
            <w:pPr>
              <w:jc w:val="center"/>
              <w:rPr>
                <w:rFonts w:hint="eastAsia"/>
                <w:color w:val="auto"/>
                <w:szCs w:val="21"/>
                <w:highlight w:val="none"/>
              </w:rPr>
            </w:pPr>
            <w:r>
              <w:rPr>
                <w:color w:val="auto"/>
                <w:szCs w:val="21"/>
                <w:highlight w:val="none"/>
              </w:rPr>
              <w:t xml:space="preserve">39885 </w:t>
            </w:r>
          </w:p>
        </w:tc>
        <w:tc>
          <w:tcPr>
            <w:tcW w:w="2241" w:type="dxa"/>
            <w:vAlign w:val="center"/>
          </w:tcPr>
          <w:p>
            <w:pPr>
              <w:jc w:val="center"/>
              <w:rPr>
                <w:color w:val="auto"/>
                <w:szCs w:val="21"/>
                <w:highlight w:val="none"/>
              </w:rPr>
            </w:pPr>
            <w:r>
              <w:rPr>
                <w:color w:val="auto"/>
                <w:szCs w:val="21"/>
                <w:highlight w:val="none"/>
              </w:rPr>
              <w:t xml:space="preserve">40656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12" w:hRule="atLeast"/>
          <w:jc w:val="center"/>
        </w:trPr>
        <w:tc>
          <w:tcPr>
            <w:tcW w:w="2768" w:type="dxa"/>
            <w:vAlign w:val="center"/>
          </w:tcPr>
          <w:p>
            <w:pPr>
              <w:adjustRightInd w:val="0"/>
              <w:snapToGrid w:val="0"/>
              <w:jc w:val="center"/>
              <w:rPr>
                <w:rFonts w:hint="eastAsia"/>
                <w:bCs/>
                <w:color w:val="auto"/>
                <w:spacing w:val="-2"/>
                <w:szCs w:val="21"/>
                <w:highlight w:val="none"/>
              </w:rPr>
            </w:pPr>
            <w:r>
              <w:rPr>
                <w:rFonts w:hint="eastAsia"/>
                <w:bCs/>
                <w:color w:val="auto"/>
                <w:spacing w:val="-2"/>
                <w:szCs w:val="21"/>
                <w:highlight w:val="none"/>
              </w:rPr>
              <w:t>900医院总院掉头匝道</w:t>
            </w:r>
          </w:p>
        </w:tc>
        <w:tc>
          <w:tcPr>
            <w:tcW w:w="2266" w:type="dxa"/>
            <w:vAlign w:val="center"/>
          </w:tcPr>
          <w:p>
            <w:pPr>
              <w:widowControl/>
              <w:jc w:val="center"/>
              <w:textAlignment w:val="center"/>
              <w:rPr>
                <w:color w:val="auto"/>
                <w:szCs w:val="21"/>
                <w:highlight w:val="none"/>
              </w:rPr>
            </w:pPr>
            <w:r>
              <w:rPr>
                <w:color w:val="auto"/>
                <w:kern w:val="0"/>
                <w:sz w:val="24"/>
                <w:highlight w:val="none"/>
                <w:lang w:bidi="ar"/>
              </w:rPr>
              <w:t xml:space="preserve">8400 </w:t>
            </w:r>
          </w:p>
        </w:tc>
        <w:tc>
          <w:tcPr>
            <w:tcW w:w="2239" w:type="dxa"/>
            <w:vAlign w:val="center"/>
          </w:tcPr>
          <w:p>
            <w:pPr>
              <w:widowControl/>
              <w:jc w:val="center"/>
              <w:textAlignment w:val="center"/>
              <w:rPr>
                <w:color w:val="auto"/>
                <w:szCs w:val="21"/>
                <w:highlight w:val="none"/>
              </w:rPr>
            </w:pPr>
            <w:r>
              <w:rPr>
                <w:color w:val="auto"/>
                <w:kern w:val="0"/>
                <w:sz w:val="24"/>
                <w:highlight w:val="none"/>
                <w:lang w:bidi="ar"/>
              </w:rPr>
              <w:t xml:space="preserve">8541 </w:t>
            </w:r>
          </w:p>
        </w:tc>
        <w:tc>
          <w:tcPr>
            <w:tcW w:w="2241" w:type="dxa"/>
            <w:vAlign w:val="center"/>
          </w:tcPr>
          <w:p>
            <w:pPr>
              <w:widowControl/>
              <w:jc w:val="center"/>
              <w:textAlignment w:val="center"/>
              <w:rPr>
                <w:color w:val="auto"/>
                <w:szCs w:val="21"/>
                <w:highlight w:val="none"/>
              </w:rPr>
            </w:pPr>
            <w:r>
              <w:rPr>
                <w:color w:val="auto"/>
                <w:kern w:val="0"/>
                <w:sz w:val="24"/>
                <w:highlight w:val="none"/>
                <w:lang w:bidi="ar"/>
              </w:rPr>
              <w:t xml:space="preserve">8706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Ex>
        <w:trPr>
          <w:trHeight w:val="412" w:hRule="atLeast"/>
          <w:jc w:val="center"/>
        </w:trPr>
        <w:tc>
          <w:tcPr>
            <w:tcW w:w="2768" w:type="dxa"/>
            <w:vAlign w:val="center"/>
          </w:tcPr>
          <w:p>
            <w:pPr>
              <w:adjustRightInd w:val="0"/>
              <w:snapToGrid w:val="0"/>
              <w:jc w:val="center"/>
              <w:rPr>
                <w:rFonts w:hint="eastAsia"/>
                <w:bCs/>
                <w:color w:val="auto"/>
                <w:spacing w:val="-2"/>
                <w:szCs w:val="21"/>
                <w:highlight w:val="none"/>
              </w:rPr>
            </w:pPr>
            <w:r>
              <w:rPr>
                <w:rFonts w:hint="eastAsia"/>
                <w:bCs/>
                <w:color w:val="auto"/>
                <w:spacing w:val="-2"/>
                <w:szCs w:val="21"/>
                <w:highlight w:val="none"/>
              </w:rPr>
              <w:t>铜盘高架下匝道</w:t>
            </w:r>
          </w:p>
        </w:tc>
        <w:tc>
          <w:tcPr>
            <w:tcW w:w="2266" w:type="dxa"/>
            <w:vAlign w:val="center"/>
          </w:tcPr>
          <w:p>
            <w:pPr>
              <w:widowControl/>
              <w:jc w:val="center"/>
              <w:textAlignment w:val="center"/>
              <w:rPr>
                <w:color w:val="auto"/>
                <w:szCs w:val="21"/>
                <w:highlight w:val="none"/>
              </w:rPr>
            </w:pPr>
            <w:r>
              <w:rPr>
                <w:color w:val="auto"/>
                <w:kern w:val="0"/>
                <w:sz w:val="24"/>
                <w:highlight w:val="none"/>
                <w:lang w:bidi="ar"/>
              </w:rPr>
              <w:t xml:space="preserve">5264 </w:t>
            </w:r>
          </w:p>
        </w:tc>
        <w:tc>
          <w:tcPr>
            <w:tcW w:w="2239" w:type="dxa"/>
            <w:vAlign w:val="center"/>
          </w:tcPr>
          <w:p>
            <w:pPr>
              <w:widowControl/>
              <w:jc w:val="center"/>
              <w:textAlignment w:val="center"/>
              <w:rPr>
                <w:color w:val="auto"/>
                <w:szCs w:val="21"/>
                <w:highlight w:val="none"/>
              </w:rPr>
            </w:pPr>
            <w:r>
              <w:rPr>
                <w:color w:val="auto"/>
                <w:kern w:val="0"/>
                <w:sz w:val="24"/>
                <w:highlight w:val="none"/>
                <w:lang w:bidi="ar"/>
              </w:rPr>
              <w:t xml:space="preserve">6475 </w:t>
            </w:r>
          </w:p>
        </w:tc>
        <w:tc>
          <w:tcPr>
            <w:tcW w:w="2241" w:type="dxa"/>
            <w:vAlign w:val="center"/>
          </w:tcPr>
          <w:p>
            <w:pPr>
              <w:widowControl/>
              <w:jc w:val="center"/>
              <w:textAlignment w:val="center"/>
              <w:rPr>
                <w:color w:val="auto"/>
                <w:szCs w:val="21"/>
                <w:highlight w:val="none"/>
              </w:rPr>
            </w:pPr>
            <w:r>
              <w:rPr>
                <w:color w:val="auto"/>
                <w:kern w:val="0"/>
                <w:sz w:val="24"/>
                <w:highlight w:val="none"/>
                <w:lang w:bidi="ar"/>
              </w:rPr>
              <w:t xml:space="preserve">8202 </w:t>
            </w:r>
          </w:p>
        </w:tc>
      </w:tr>
    </w:tbl>
    <w:p>
      <w:pPr>
        <w:spacing w:line="360" w:lineRule="auto"/>
        <w:outlineLvl w:val="2"/>
        <w:rPr>
          <w:rFonts w:hint="eastAsia" w:eastAsia="黑体"/>
          <w:color w:val="auto"/>
          <w:sz w:val="24"/>
          <w:highlight w:val="none"/>
        </w:rPr>
      </w:pPr>
      <w:r>
        <w:rPr>
          <w:rFonts w:hint="eastAsia" w:eastAsia="黑体"/>
          <w:color w:val="auto"/>
          <w:sz w:val="24"/>
          <w:highlight w:val="none"/>
        </w:rPr>
        <w:t>2.2.2 相关交通特性分析</w:t>
      </w:r>
    </w:p>
    <w:p>
      <w:pPr>
        <w:spacing w:before="120" w:beforeLines="50" w:line="360" w:lineRule="auto"/>
        <w:ind w:firstLine="480"/>
        <w:jc w:val="left"/>
        <w:rPr>
          <w:color w:val="auto"/>
          <w:sz w:val="24"/>
          <w:highlight w:val="none"/>
        </w:rPr>
      </w:pPr>
      <w:r>
        <w:rPr>
          <w:color w:val="auto"/>
          <w:sz w:val="24"/>
          <w:highlight w:val="none"/>
        </w:rPr>
        <w:t>不同的车型排放的噪声和尾气不同，对环境的影响也不相同。</w:t>
      </w:r>
    </w:p>
    <w:p>
      <w:pPr>
        <w:spacing w:line="360" w:lineRule="auto"/>
        <w:ind w:firstLine="480"/>
        <w:jc w:val="left"/>
        <w:rPr>
          <w:color w:val="auto"/>
          <w:sz w:val="24"/>
          <w:highlight w:val="none"/>
        </w:rPr>
      </w:pPr>
      <w:r>
        <w:rPr>
          <w:color w:val="auto"/>
          <w:sz w:val="24"/>
          <w:highlight w:val="none"/>
        </w:rPr>
        <w:t>(1)车型分类方法</w:t>
      </w:r>
    </w:p>
    <w:p>
      <w:pPr>
        <w:spacing w:line="360" w:lineRule="auto"/>
        <w:ind w:firstLine="480"/>
        <w:jc w:val="left"/>
        <w:rPr>
          <w:rFonts w:hint="eastAsia"/>
          <w:color w:val="auto"/>
          <w:sz w:val="24"/>
          <w:highlight w:val="none"/>
        </w:rPr>
      </w:pPr>
      <w:r>
        <w:rPr>
          <w:rFonts w:hint="eastAsia"/>
          <w:color w:val="auto"/>
          <w:sz w:val="24"/>
          <w:highlight w:val="none"/>
        </w:rPr>
        <w:t>车型分类方法按照 JTG B01 中有关车型划分的标准进行，交通量换算根据工程设计文件提供的小客车标准车型，按照不同折算系数分别折算成大、中、小型车，</w:t>
      </w:r>
      <w:r>
        <w:rPr>
          <w:color w:val="auto"/>
          <w:sz w:val="24"/>
          <w:highlight w:val="none"/>
        </w:rPr>
        <w:t>车型分类依据见表</w:t>
      </w:r>
      <w:r>
        <w:rPr>
          <w:rFonts w:hint="eastAsia"/>
          <w:color w:val="auto"/>
          <w:sz w:val="24"/>
          <w:highlight w:val="none"/>
        </w:rPr>
        <w:t>2.2</w:t>
      </w:r>
      <w:r>
        <w:rPr>
          <w:color w:val="auto"/>
          <w:sz w:val="24"/>
          <w:highlight w:val="none"/>
        </w:rPr>
        <w:t>-</w:t>
      </w:r>
      <w:r>
        <w:rPr>
          <w:rFonts w:hint="eastAsia"/>
          <w:color w:val="auto"/>
          <w:sz w:val="24"/>
          <w:highlight w:val="none"/>
        </w:rPr>
        <w:t>3</w:t>
      </w:r>
      <w:r>
        <w:rPr>
          <w:color w:val="auto"/>
          <w:sz w:val="24"/>
          <w:highlight w:val="none"/>
        </w:rPr>
        <w:t>。</w:t>
      </w:r>
    </w:p>
    <w:p>
      <w:pPr>
        <w:snapToGrid w:val="0"/>
        <w:ind w:firstLine="480"/>
        <w:jc w:val="center"/>
        <w:rPr>
          <w:rFonts w:hint="eastAsia"/>
          <w:b/>
          <w:bCs/>
          <w:color w:val="auto"/>
          <w:sz w:val="24"/>
          <w:highlight w:val="none"/>
        </w:rPr>
      </w:pPr>
      <w:r>
        <w:rPr>
          <w:b/>
          <w:bCs/>
          <w:color w:val="auto"/>
          <w:sz w:val="24"/>
          <w:highlight w:val="none"/>
        </w:rPr>
        <w:t>表</w:t>
      </w:r>
      <w:r>
        <w:rPr>
          <w:rFonts w:hint="eastAsia"/>
          <w:b/>
          <w:bCs/>
          <w:color w:val="auto"/>
          <w:sz w:val="24"/>
          <w:highlight w:val="none"/>
        </w:rPr>
        <w:t>2.2</w:t>
      </w:r>
      <w:r>
        <w:rPr>
          <w:b/>
          <w:bCs/>
          <w:color w:val="auto"/>
          <w:sz w:val="24"/>
          <w:highlight w:val="none"/>
        </w:rPr>
        <w:t>-</w:t>
      </w:r>
      <w:r>
        <w:rPr>
          <w:rFonts w:hint="eastAsia"/>
          <w:b/>
          <w:bCs/>
          <w:color w:val="auto"/>
          <w:sz w:val="24"/>
          <w:highlight w:val="none"/>
        </w:rPr>
        <w:t>3</w:t>
      </w:r>
      <w:r>
        <w:rPr>
          <w:b/>
          <w:bCs/>
          <w:color w:val="auto"/>
          <w:sz w:val="24"/>
          <w:highlight w:val="none"/>
        </w:rPr>
        <w:t xml:space="preserve">  </w:t>
      </w:r>
      <w:r>
        <w:rPr>
          <w:rFonts w:hint="eastAsia"/>
          <w:b/>
          <w:bCs/>
          <w:color w:val="auto"/>
          <w:sz w:val="24"/>
          <w:highlight w:val="none"/>
        </w:rPr>
        <w:t>车型分类表</w:t>
      </w:r>
    </w:p>
    <w:tbl>
      <w:tblPr>
        <w:tblStyle w:val="23"/>
        <w:tblW w:w="9296" w:type="dxa"/>
        <w:jc w:val="center"/>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84"/>
        <w:gridCol w:w="1838"/>
        <w:gridCol w:w="1838"/>
        <w:gridCol w:w="443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atLeast"/>
          <w:jc w:val="center"/>
        </w:trPr>
        <w:tc>
          <w:tcPr>
            <w:tcW w:w="1184" w:type="dxa"/>
            <w:tcBorders>
              <w:left w:val="nil"/>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车型</w:t>
            </w:r>
          </w:p>
        </w:tc>
        <w:tc>
          <w:tcPr>
            <w:tcW w:w="1838" w:type="dxa"/>
            <w:tcBorders>
              <w:left w:val="single" w:color="000000" w:sz="4" w:space="0"/>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汽车代表车型</w:t>
            </w:r>
          </w:p>
        </w:tc>
        <w:tc>
          <w:tcPr>
            <w:tcW w:w="1838" w:type="dxa"/>
            <w:tcBorders>
              <w:left w:val="single" w:color="000000" w:sz="4" w:space="0"/>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车辆折算系数</w:t>
            </w:r>
          </w:p>
        </w:tc>
        <w:tc>
          <w:tcPr>
            <w:tcW w:w="4436" w:type="dxa"/>
            <w:tcBorders>
              <w:left w:val="single" w:color="000000" w:sz="4" w:space="0"/>
              <w:bottom w:val="single" w:color="000000" w:sz="4" w:space="0"/>
              <w:right w:val="nil"/>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车型划分标准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atLeast"/>
          <w:jc w:val="center"/>
        </w:trPr>
        <w:tc>
          <w:tcPr>
            <w:tcW w:w="1184" w:type="dxa"/>
            <w:tcBorders>
              <w:top w:val="single" w:color="000000" w:sz="4" w:space="0"/>
              <w:left w:val="nil"/>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小</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小客车</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1.0</w:t>
            </w:r>
          </w:p>
        </w:tc>
        <w:tc>
          <w:tcPr>
            <w:tcW w:w="4436" w:type="dxa"/>
            <w:tcBorders>
              <w:top w:val="single" w:color="000000" w:sz="4" w:space="0"/>
              <w:left w:val="single" w:color="000000" w:sz="4" w:space="0"/>
              <w:bottom w:val="single" w:color="000000" w:sz="4" w:space="0"/>
              <w:right w:val="nil"/>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座位≤19 座的客车和载质量≤2 t 货车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atLeast"/>
          <w:jc w:val="center"/>
        </w:trPr>
        <w:tc>
          <w:tcPr>
            <w:tcW w:w="1184" w:type="dxa"/>
            <w:tcBorders>
              <w:top w:val="single" w:color="000000" w:sz="4" w:space="0"/>
              <w:left w:val="nil"/>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中</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中型车</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1.5</w:t>
            </w:r>
          </w:p>
        </w:tc>
        <w:tc>
          <w:tcPr>
            <w:tcW w:w="4436" w:type="dxa"/>
            <w:tcBorders>
              <w:top w:val="single" w:color="000000" w:sz="4" w:space="0"/>
              <w:left w:val="single" w:color="000000" w:sz="4" w:space="0"/>
              <w:bottom w:val="single" w:color="000000" w:sz="4" w:space="0"/>
              <w:right w:val="nil"/>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座位＞19 座的客车和 2 t＜载质量≤7 t 货车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atLeast"/>
          <w:jc w:val="center"/>
        </w:trPr>
        <w:tc>
          <w:tcPr>
            <w:tcW w:w="1184" w:type="dxa"/>
            <w:vMerge w:val="restart"/>
            <w:tcBorders>
              <w:top w:val="single" w:color="000000" w:sz="4" w:space="0"/>
              <w:left w:val="nil"/>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大</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大型车</w:t>
            </w:r>
          </w:p>
        </w:tc>
        <w:tc>
          <w:tcPr>
            <w:tcW w:w="183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2.5</w:t>
            </w:r>
          </w:p>
        </w:tc>
        <w:tc>
          <w:tcPr>
            <w:tcW w:w="4436" w:type="dxa"/>
            <w:tcBorders>
              <w:top w:val="single" w:color="000000" w:sz="4" w:space="0"/>
              <w:left w:val="single" w:color="000000" w:sz="4" w:space="0"/>
              <w:bottom w:val="single" w:color="000000" w:sz="4" w:space="0"/>
              <w:right w:val="nil"/>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7 t＜载质量≤20 t 货车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atLeast"/>
          <w:jc w:val="center"/>
        </w:trPr>
        <w:tc>
          <w:tcPr>
            <w:tcW w:w="1184" w:type="dxa"/>
            <w:vMerge w:val="continue"/>
            <w:tcBorders>
              <w:top w:val="single" w:color="000000" w:sz="4" w:space="0"/>
              <w:left w:val="nil"/>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p>
        </w:tc>
        <w:tc>
          <w:tcPr>
            <w:tcW w:w="1838"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汽车列车</w:t>
            </w:r>
          </w:p>
        </w:tc>
        <w:tc>
          <w:tcPr>
            <w:tcW w:w="1838"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4.0</w:t>
            </w:r>
          </w:p>
        </w:tc>
        <w:tc>
          <w:tcPr>
            <w:tcW w:w="4436" w:type="dxa"/>
            <w:tcBorders>
              <w:top w:val="single" w:color="000000" w:sz="4" w:space="0"/>
              <w:left w:val="single" w:color="000000" w:sz="4" w:space="0"/>
              <w:right w:val="nil"/>
            </w:tcBorders>
            <w:vAlign w:val="center"/>
          </w:tcPr>
          <w:p>
            <w:pPr>
              <w:autoSpaceDE w:val="0"/>
              <w:autoSpaceDN w:val="0"/>
              <w:adjustRightInd w:val="0"/>
              <w:snapToGrid w:val="0"/>
              <w:jc w:val="center"/>
              <w:textAlignment w:val="baseline"/>
              <w:rPr>
                <w:color w:val="auto"/>
                <w:kern w:val="28"/>
                <w:szCs w:val="21"/>
                <w:highlight w:val="none"/>
              </w:rPr>
            </w:pPr>
            <w:r>
              <w:rPr>
                <w:color w:val="auto"/>
                <w:kern w:val="28"/>
                <w:szCs w:val="21"/>
                <w:highlight w:val="none"/>
              </w:rPr>
              <w:t>载质量＞20 t 的货车</w:t>
            </w:r>
          </w:p>
        </w:tc>
      </w:tr>
    </w:tbl>
    <w:p>
      <w:pPr>
        <w:snapToGrid w:val="0"/>
        <w:spacing w:before="120" w:line="360" w:lineRule="auto"/>
        <w:ind w:firstLine="480"/>
        <w:jc w:val="left"/>
        <w:rPr>
          <w:color w:val="auto"/>
          <w:sz w:val="24"/>
          <w:highlight w:val="none"/>
        </w:rPr>
      </w:pPr>
      <w:r>
        <w:rPr>
          <w:color w:val="auto"/>
          <w:sz w:val="24"/>
          <w:highlight w:val="none"/>
        </w:rPr>
        <w:t>(</w:t>
      </w:r>
      <w:r>
        <w:rPr>
          <w:rFonts w:hint="eastAsia"/>
          <w:color w:val="auto"/>
          <w:sz w:val="24"/>
          <w:highlight w:val="none"/>
        </w:rPr>
        <w:t>2</w:t>
      </w:r>
      <w:r>
        <w:rPr>
          <w:color w:val="auto"/>
          <w:sz w:val="24"/>
          <w:highlight w:val="none"/>
        </w:rPr>
        <w:t>)车型流量比</w:t>
      </w:r>
    </w:p>
    <w:p>
      <w:pPr>
        <w:spacing w:line="360" w:lineRule="auto"/>
        <w:ind w:firstLine="480"/>
        <w:jc w:val="left"/>
        <w:rPr>
          <w:color w:val="auto"/>
          <w:sz w:val="24"/>
          <w:highlight w:val="none"/>
        </w:rPr>
      </w:pPr>
      <w:r>
        <w:rPr>
          <w:rFonts w:hint="eastAsia"/>
          <w:color w:val="auto"/>
          <w:sz w:val="24"/>
          <w:highlight w:val="none"/>
        </w:rPr>
        <w:t>①</w:t>
      </w:r>
      <w:r>
        <w:rPr>
          <w:color w:val="auto"/>
          <w:sz w:val="24"/>
          <w:highlight w:val="none"/>
        </w:rPr>
        <w:t>道路设计车型比为：小型车：中型车：大型车=</w:t>
      </w:r>
      <w:r>
        <w:rPr>
          <w:rFonts w:hint="eastAsia"/>
          <w:color w:val="auto"/>
          <w:sz w:val="24"/>
          <w:highlight w:val="none"/>
        </w:rPr>
        <w:t>8</w:t>
      </w:r>
      <w:r>
        <w:rPr>
          <w:color w:val="auto"/>
          <w:sz w:val="24"/>
          <w:highlight w:val="none"/>
        </w:rPr>
        <w:t>.5：1：</w:t>
      </w:r>
      <w:r>
        <w:rPr>
          <w:rFonts w:hint="eastAsia"/>
          <w:color w:val="auto"/>
          <w:sz w:val="24"/>
          <w:highlight w:val="none"/>
        </w:rPr>
        <w:t>0.5</w:t>
      </w:r>
      <w:r>
        <w:rPr>
          <w:color w:val="auto"/>
          <w:sz w:val="24"/>
          <w:highlight w:val="none"/>
        </w:rPr>
        <w:t>；</w:t>
      </w:r>
    </w:p>
    <w:p>
      <w:pPr>
        <w:adjustRightInd w:val="0"/>
        <w:snapToGrid w:val="0"/>
        <w:spacing w:line="360" w:lineRule="auto"/>
        <w:ind w:firstLine="480"/>
        <w:rPr>
          <w:color w:val="auto"/>
          <w:sz w:val="24"/>
          <w:highlight w:val="none"/>
        </w:rPr>
      </w:pPr>
      <w:r>
        <w:rPr>
          <w:rFonts w:hint="eastAsia"/>
          <w:color w:val="auto"/>
          <w:sz w:val="24"/>
          <w:highlight w:val="none"/>
        </w:rPr>
        <w:t>②</w:t>
      </w:r>
      <w:r>
        <w:rPr>
          <w:color w:val="auto"/>
          <w:sz w:val="24"/>
          <w:highlight w:val="none"/>
        </w:rPr>
        <w:t>设计昼间交通量（06：00～22：00）按日平均交通量的90%计，夜间交通量（22：00～06：00）按日平均交通量的10%计；</w:t>
      </w:r>
    </w:p>
    <w:p>
      <w:pPr>
        <w:adjustRightInd w:val="0"/>
        <w:snapToGrid w:val="0"/>
        <w:spacing w:line="360" w:lineRule="auto"/>
        <w:ind w:firstLine="480"/>
        <w:rPr>
          <w:rFonts w:hint="eastAsia"/>
          <w:color w:val="auto"/>
          <w:sz w:val="24"/>
          <w:highlight w:val="none"/>
        </w:rPr>
      </w:pPr>
      <w:r>
        <w:rPr>
          <w:rFonts w:hint="eastAsia"/>
          <w:color w:val="auto"/>
          <w:sz w:val="24"/>
          <w:highlight w:val="none"/>
        </w:rPr>
        <w:t>③</w:t>
      </w:r>
      <w:r>
        <w:rPr>
          <w:color w:val="auto"/>
          <w:sz w:val="24"/>
          <w:highlight w:val="none"/>
        </w:rPr>
        <w:t>高峰小时交通量按照日平均交通量</w:t>
      </w:r>
      <w:r>
        <w:rPr>
          <w:rFonts w:hint="eastAsia"/>
          <w:color w:val="auto"/>
          <w:sz w:val="24"/>
          <w:highlight w:val="none"/>
        </w:rPr>
        <w:t>10%</w:t>
      </w:r>
      <w:r>
        <w:rPr>
          <w:color w:val="auto"/>
          <w:sz w:val="24"/>
          <w:highlight w:val="none"/>
        </w:rPr>
        <w:t>计算</w:t>
      </w:r>
      <w:r>
        <w:rPr>
          <w:rFonts w:hint="eastAsia"/>
          <w:color w:val="auto"/>
          <w:sz w:val="24"/>
          <w:highlight w:val="none"/>
        </w:rPr>
        <w:t>。</w:t>
      </w:r>
    </w:p>
    <w:p>
      <w:pPr>
        <w:spacing w:line="360" w:lineRule="auto"/>
        <w:outlineLvl w:val="2"/>
        <w:rPr>
          <w:rFonts w:hint="eastAsia" w:eastAsia="黑体"/>
          <w:color w:val="auto"/>
          <w:sz w:val="24"/>
          <w:highlight w:val="none"/>
        </w:rPr>
      </w:pPr>
      <w:r>
        <w:rPr>
          <w:rFonts w:hint="eastAsia" w:eastAsia="黑体"/>
          <w:color w:val="auto"/>
          <w:sz w:val="24"/>
          <w:highlight w:val="none"/>
        </w:rPr>
        <w:t>2.2.3 绝对交通量</w:t>
      </w:r>
    </w:p>
    <w:p>
      <w:pPr>
        <w:adjustRightInd w:val="0"/>
        <w:snapToGrid w:val="0"/>
        <w:spacing w:line="360" w:lineRule="auto"/>
        <w:ind w:firstLine="480"/>
        <w:rPr>
          <w:rFonts w:hint="eastAsia"/>
          <w:color w:val="auto"/>
          <w:sz w:val="24"/>
          <w:highlight w:val="none"/>
        </w:rPr>
      </w:pPr>
      <w:r>
        <w:rPr>
          <w:rFonts w:hint="eastAsia"/>
          <w:color w:val="auto"/>
          <w:sz w:val="24"/>
          <w:highlight w:val="none"/>
        </w:rPr>
        <w:t>由项目各预测年交通量、车型折算系数、车型比、昼夜比及高峰小时系数计算可得项目各预测年交通量，见表2.2-5。</w:t>
      </w:r>
    </w:p>
    <w:p>
      <w:pPr>
        <w:snapToGrid w:val="0"/>
        <w:ind w:firstLine="480"/>
        <w:jc w:val="right"/>
        <w:rPr>
          <w:b/>
          <w:bCs/>
          <w:color w:val="auto"/>
          <w:sz w:val="24"/>
          <w:highlight w:val="none"/>
        </w:rPr>
      </w:pPr>
      <w:r>
        <w:rPr>
          <w:b/>
          <w:bCs/>
          <w:color w:val="auto"/>
          <w:sz w:val="24"/>
          <w:highlight w:val="none"/>
        </w:rPr>
        <w:t>表</w:t>
      </w:r>
      <w:r>
        <w:rPr>
          <w:rFonts w:hint="eastAsia"/>
          <w:b/>
          <w:bCs/>
          <w:color w:val="auto"/>
          <w:sz w:val="24"/>
          <w:highlight w:val="none"/>
        </w:rPr>
        <w:t>2.2-5</w:t>
      </w:r>
      <w:r>
        <w:rPr>
          <w:b/>
          <w:bCs/>
          <w:color w:val="auto"/>
          <w:sz w:val="24"/>
          <w:highlight w:val="none"/>
        </w:rPr>
        <w:t xml:space="preserve"> </w:t>
      </w:r>
      <w:r>
        <w:rPr>
          <w:rFonts w:hint="eastAsia"/>
          <w:b/>
          <w:bCs/>
          <w:color w:val="auto"/>
          <w:sz w:val="24"/>
          <w:highlight w:val="none"/>
        </w:rPr>
        <w:t>项目各预测年交通量结果         单位：辆/h</w:t>
      </w:r>
    </w:p>
    <w:tbl>
      <w:tblPr>
        <w:tblStyle w:val="23"/>
        <w:tblW w:w="9181"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68"/>
        <w:gridCol w:w="1200"/>
        <w:gridCol w:w="750"/>
        <w:gridCol w:w="600"/>
        <w:gridCol w:w="657"/>
        <w:gridCol w:w="600"/>
        <w:gridCol w:w="543"/>
        <w:gridCol w:w="544"/>
        <w:gridCol w:w="619"/>
        <w:gridCol w:w="619"/>
        <w:gridCol w:w="562"/>
        <w:gridCol w:w="600"/>
        <w:gridCol w:w="619"/>
        <w:gridCol w:w="60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94" w:hRule="atLeast"/>
          <w:jc w:val="center"/>
        </w:trPr>
        <w:tc>
          <w:tcPr>
            <w:tcW w:w="668" w:type="dxa"/>
            <w:vMerge w:val="restart"/>
            <w:vAlign w:val="center"/>
          </w:tcPr>
          <w:p>
            <w:pPr>
              <w:adjustRightInd w:val="0"/>
              <w:snapToGrid w:val="0"/>
              <w:jc w:val="center"/>
              <w:rPr>
                <w:color w:val="auto"/>
                <w:kern w:val="0"/>
                <w:szCs w:val="21"/>
                <w:highlight w:val="none"/>
              </w:rPr>
            </w:pPr>
            <w:r>
              <w:rPr>
                <w:color w:val="auto"/>
                <w:kern w:val="0"/>
                <w:szCs w:val="21"/>
                <w:highlight w:val="none"/>
              </w:rPr>
              <w:t>道路名称</w:t>
            </w:r>
          </w:p>
        </w:tc>
        <w:tc>
          <w:tcPr>
            <w:tcW w:w="1200" w:type="dxa"/>
            <w:vMerge w:val="restart"/>
            <w:vAlign w:val="center"/>
          </w:tcPr>
          <w:p>
            <w:pPr>
              <w:adjustRightInd w:val="0"/>
              <w:snapToGrid w:val="0"/>
              <w:jc w:val="center"/>
              <w:rPr>
                <w:color w:val="auto"/>
                <w:kern w:val="0"/>
                <w:szCs w:val="21"/>
                <w:highlight w:val="none"/>
              </w:rPr>
            </w:pPr>
            <w:r>
              <w:rPr>
                <w:color w:val="auto"/>
                <w:kern w:val="0"/>
                <w:szCs w:val="21"/>
                <w:highlight w:val="none"/>
              </w:rPr>
              <w:t>车型</w:t>
            </w:r>
          </w:p>
        </w:tc>
        <w:tc>
          <w:tcPr>
            <w:tcW w:w="2607" w:type="dxa"/>
            <w:gridSpan w:val="4"/>
            <w:vAlign w:val="center"/>
          </w:tcPr>
          <w:p>
            <w:pPr>
              <w:adjustRightInd w:val="0"/>
              <w:snapToGrid w:val="0"/>
              <w:jc w:val="center"/>
              <w:rPr>
                <w:color w:val="auto"/>
                <w:kern w:val="0"/>
                <w:szCs w:val="21"/>
                <w:highlight w:val="none"/>
              </w:rPr>
            </w:pPr>
            <w:r>
              <w:rPr>
                <w:rFonts w:hint="eastAsia"/>
                <w:color w:val="auto"/>
                <w:kern w:val="0"/>
                <w:szCs w:val="21"/>
                <w:highlight w:val="none"/>
              </w:rPr>
              <w:t>2025年</w:t>
            </w:r>
          </w:p>
        </w:tc>
        <w:tc>
          <w:tcPr>
            <w:tcW w:w="2325" w:type="dxa"/>
            <w:gridSpan w:val="4"/>
            <w:vAlign w:val="center"/>
          </w:tcPr>
          <w:p>
            <w:pPr>
              <w:adjustRightInd w:val="0"/>
              <w:snapToGrid w:val="0"/>
              <w:jc w:val="center"/>
              <w:rPr>
                <w:color w:val="auto"/>
                <w:kern w:val="0"/>
                <w:szCs w:val="21"/>
                <w:highlight w:val="none"/>
              </w:rPr>
            </w:pPr>
            <w:r>
              <w:rPr>
                <w:rFonts w:hint="eastAsia"/>
                <w:color w:val="auto"/>
                <w:kern w:val="0"/>
                <w:szCs w:val="21"/>
                <w:highlight w:val="none"/>
              </w:rPr>
              <w:t>2031年</w:t>
            </w:r>
          </w:p>
        </w:tc>
        <w:tc>
          <w:tcPr>
            <w:tcW w:w="2381" w:type="dxa"/>
            <w:gridSpan w:val="4"/>
            <w:vAlign w:val="center"/>
          </w:tcPr>
          <w:p>
            <w:pPr>
              <w:adjustRightInd w:val="0"/>
              <w:snapToGrid w:val="0"/>
              <w:jc w:val="center"/>
              <w:rPr>
                <w:color w:val="auto"/>
                <w:kern w:val="0"/>
                <w:szCs w:val="21"/>
                <w:highlight w:val="none"/>
              </w:rPr>
            </w:pPr>
            <w:r>
              <w:rPr>
                <w:rFonts w:hint="eastAsia"/>
                <w:color w:val="auto"/>
                <w:kern w:val="0"/>
                <w:szCs w:val="21"/>
                <w:highlight w:val="none"/>
              </w:rPr>
              <w:t>2039年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Merge w:val="continue"/>
            <w:vAlign w:val="center"/>
          </w:tcPr>
          <w:p>
            <w:pPr>
              <w:adjustRightInd w:val="0"/>
              <w:snapToGrid w:val="0"/>
              <w:jc w:val="center"/>
              <w:rPr>
                <w:color w:val="auto"/>
                <w:kern w:val="0"/>
                <w:szCs w:val="21"/>
                <w:highlight w:val="none"/>
              </w:rPr>
            </w:pPr>
          </w:p>
        </w:tc>
        <w:tc>
          <w:tcPr>
            <w:tcW w:w="750"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昼间</w:t>
            </w:r>
          </w:p>
        </w:tc>
        <w:tc>
          <w:tcPr>
            <w:tcW w:w="600"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夜间</w:t>
            </w:r>
          </w:p>
        </w:tc>
        <w:tc>
          <w:tcPr>
            <w:tcW w:w="657" w:type="dxa"/>
            <w:vAlign w:val="center"/>
          </w:tcPr>
          <w:p>
            <w:pPr>
              <w:adjustRightInd w:val="0"/>
              <w:snapToGrid w:val="0"/>
              <w:jc w:val="center"/>
              <w:rPr>
                <w:rFonts w:hint="eastAsia"/>
                <w:color w:val="auto"/>
                <w:kern w:val="0"/>
                <w:szCs w:val="21"/>
                <w:highlight w:val="none"/>
              </w:rPr>
            </w:pPr>
            <w:r>
              <w:rPr>
                <w:color w:val="auto"/>
                <w:kern w:val="0"/>
                <w:szCs w:val="21"/>
                <w:highlight w:val="none"/>
              </w:rPr>
              <w:t>日均</w:t>
            </w:r>
          </w:p>
        </w:tc>
        <w:tc>
          <w:tcPr>
            <w:tcW w:w="600"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高峰</w:t>
            </w:r>
          </w:p>
        </w:tc>
        <w:tc>
          <w:tcPr>
            <w:tcW w:w="543"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昼间</w:t>
            </w:r>
          </w:p>
        </w:tc>
        <w:tc>
          <w:tcPr>
            <w:tcW w:w="544"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夜间</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日均</w:t>
            </w:r>
          </w:p>
        </w:tc>
        <w:tc>
          <w:tcPr>
            <w:tcW w:w="619"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高峰</w:t>
            </w:r>
          </w:p>
        </w:tc>
        <w:tc>
          <w:tcPr>
            <w:tcW w:w="562"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昼间</w:t>
            </w:r>
          </w:p>
        </w:tc>
        <w:tc>
          <w:tcPr>
            <w:tcW w:w="600"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夜间</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日均</w:t>
            </w:r>
          </w:p>
        </w:tc>
        <w:tc>
          <w:tcPr>
            <w:tcW w:w="600" w:type="dxa"/>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高峰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restart"/>
            <w:vAlign w:val="center"/>
          </w:tcPr>
          <w:p>
            <w:pPr>
              <w:adjustRightInd w:val="0"/>
              <w:snapToGrid w:val="0"/>
              <w:jc w:val="center"/>
              <w:rPr>
                <w:rFonts w:hint="eastAsia"/>
                <w:color w:val="auto"/>
                <w:kern w:val="0"/>
                <w:szCs w:val="21"/>
                <w:highlight w:val="none"/>
              </w:rPr>
            </w:pPr>
            <w:r>
              <w:rPr>
                <w:rFonts w:hint="eastAsia"/>
                <w:bCs/>
                <w:color w:val="auto"/>
                <w:spacing w:val="-2"/>
                <w:szCs w:val="21"/>
                <w:highlight w:val="none"/>
              </w:rPr>
              <w:t>隧道上层（辅路）</w:t>
            </w:r>
          </w:p>
        </w:tc>
        <w:tc>
          <w:tcPr>
            <w:tcW w:w="1200" w:type="dxa"/>
            <w:vAlign w:val="center"/>
          </w:tcPr>
          <w:p>
            <w:pPr>
              <w:snapToGrid w:val="0"/>
              <w:jc w:val="center"/>
              <w:rPr>
                <w:color w:val="auto"/>
                <w:kern w:val="0"/>
                <w:szCs w:val="21"/>
                <w:highlight w:val="none"/>
              </w:rPr>
            </w:pPr>
            <w:r>
              <w:rPr>
                <w:color w:val="auto"/>
                <w:kern w:val="0"/>
                <w:szCs w:val="21"/>
                <w:highlight w:val="none"/>
              </w:rPr>
              <w:t>小型车（S）</w:t>
            </w:r>
          </w:p>
        </w:tc>
        <w:tc>
          <w:tcPr>
            <w:tcW w:w="750" w:type="dxa"/>
            <w:vAlign w:val="center"/>
          </w:tcPr>
          <w:p>
            <w:pPr>
              <w:adjustRightInd w:val="0"/>
              <w:snapToGrid w:val="0"/>
              <w:jc w:val="center"/>
              <w:rPr>
                <w:color w:val="auto"/>
                <w:kern w:val="0"/>
                <w:szCs w:val="21"/>
                <w:highlight w:val="none"/>
              </w:rPr>
            </w:pPr>
            <w:r>
              <w:rPr>
                <w:color w:val="auto"/>
                <w:kern w:val="0"/>
                <w:szCs w:val="21"/>
                <w:highlight w:val="none"/>
              </w:rPr>
              <w:t xml:space="preserve">1323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294 </w:t>
            </w:r>
          </w:p>
        </w:tc>
        <w:tc>
          <w:tcPr>
            <w:tcW w:w="657"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980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2116 </w:t>
            </w:r>
          </w:p>
        </w:tc>
        <w:tc>
          <w:tcPr>
            <w:tcW w:w="543"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1345 </w:t>
            </w:r>
          </w:p>
        </w:tc>
        <w:tc>
          <w:tcPr>
            <w:tcW w:w="544"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299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996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2152 </w:t>
            </w:r>
          </w:p>
        </w:tc>
        <w:tc>
          <w:tcPr>
            <w:tcW w:w="562"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1373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305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1017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2197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中型车（M）</w:t>
            </w:r>
          </w:p>
        </w:tc>
        <w:tc>
          <w:tcPr>
            <w:tcW w:w="75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156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35 </w:t>
            </w:r>
          </w:p>
        </w:tc>
        <w:tc>
          <w:tcPr>
            <w:tcW w:w="657"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115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249 </w:t>
            </w:r>
          </w:p>
        </w:tc>
        <w:tc>
          <w:tcPr>
            <w:tcW w:w="543"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158 </w:t>
            </w:r>
          </w:p>
        </w:tc>
        <w:tc>
          <w:tcPr>
            <w:tcW w:w="544"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35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117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253 </w:t>
            </w:r>
          </w:p>
        </w:tc>
        <w:tc>
          <w:tcPr>
            <w:tcW w:w="562"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162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36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120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258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大型车（L）</w:t>
            </w:r>
          </w:p>
        </w:tc>
        <w:tc>
          <w:tcPr>
            <w:tcW w:w="75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78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17 </w:t>
            </w:r>
          </w:p>
        </w:tc>
        <w:tc>
          <w:tcPr>
            <w:tcW w:w="657"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58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124 </w:t>
            </w:r>
          </w:p>
        </w:tc>
        <w:tc>
          <w:tcPr>
            <w:tcW w:w="543"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79 </w:t>
            </w:r>
          </w:p>
        </w:tc>
        <w:tc>
          <w:tcPr>
            <w:tcW w:w="544"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18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59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127 </w:t>
            </w:r>
          </w:p>
        </w:tc>
        <w:tc>
          <w:tcPr>
            <w:tcW w:w="562"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81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18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60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129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合计</w:t>
            </w:r>
          </w:p>
        </w:tc>
        <w:tc>
          <w:tcPr>
            <w:tcW w:w="75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1556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346 </w:t>
            </w:r>
          </w:p>
        </w:tc>
        <w:tc>
          <w:tcPr>
            <w:tcW w:w="657"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1153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2490 </w:t>
            </w:r>
          </w:p>
        </w:tc>
        <w:tc>
          <w:tcPr>
            <w:tcW w:w="543"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1582 </w:t>
            </w:r>
          </w:p>
        </w:tc>
        <w:tc>
          <w:tcPr>
            <w:tcW w:w="544"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352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1172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2532 </w:t>
            </w:r>
          </w:p>
        </w:tc>
        <w:tc>
          <w:tcPr>
            <w:tcW w:w="562"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1615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359 </w:t>
            </w:r>
          </w:p>
        </w:tc>
        <w:tc>
          <w:tcPr>
            <w:tcW w:w="619"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1196 </w:t>
            </w:r>
          </w:p>
        </w:tc>
        <w:tc>
          <w:tcPr>
            <w:tcW w:w="600" w:type="dxa"/>
            <w:vAlign w:val="center"/>
          </w:tcPr>
          <w:p>
            <w:pPr>
              <w:adjustRightInd w:val="0"/>
              <w:snapToGrid w:val="0"/>
              <w:jc w:val="center"/>
              <w:rPr>
                <w:rFonts w:hint="eastAsia"/>
                <w:color w:val="auto"/>
                <w:kern w:val="0"/>
                <w:szCs w:val="21"/>
                <w:highlight w:val="none"/>
              </w:rPr>
            </w:pPr>
            <w:r>
              <w:rPr>
                <w:color w:val="auto"/>
                <w:kern w:val="0"/>
                <w:szCs w:val="21"/>
                <w:highlight w:val="none"/>
              </w:rPr>
              <w:t xml:space="preserve">2584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restart"/>
            <w:vAlign w:val="center"/>
          </w:tcPr>
          <w:p>
            <w:pPr>
              <w:adjustRightInd w:val="0"/>
              <w:snapToGrid w:val="0"/>
              <w:jc w:val="center"/>
              <w:rPr>
                <w:rFonts w:hint="eastAsia"/>
                <w:color w:val="auto"/>
                <w:kern w:val="0"/>
                <w:szCs w:val="21"/>
                <w:highlight w:val="none"/>
              </w:rPr>
            </w:pPr>
            <w:r>
              <w:rPr>
                <w:rFonts w:hint="eastAsia"/>
                <w:bCs/>
                <w:color w:val="auto"/>
                <w:spacing w:val="-2"/>
                <w:szCs w:val="21"/>
                <w:highlight w:val="none"/>
              </w:rPr>
              <w:t>隧道下层（主路）</w:t>
            </w:r>
          </w:p>
        </w:tc>
        <w:tc>
          <w:tcPr>
            <w:tcW w:w="1200" w:type="dxa"/>
            <w:vAlign w:val="center"/>
          </w:tcPr>
          <w:p>
            <w:pPr>
              <w:snapToGrid w:val="0"/>
              <w:jc w:val="center"/>
              <w:rPr>
                <w:color w:val="auto"/>
                <w:kern w:val="0"/>
                <w:szCs w:val="21"/>
                <w:highlight w:val="none"/>
              </w:rPr>
            </w:pPr>
            <w:r>
              <w:rPr>
                <w:color w:val="auto"/>
                <w:kern w:val="0"/>
                <w:szCs w:val="21"/>
                <w:highlight w:val="none"/>
              </w:rPr>
              <w:t>小型车（S）</w:t>
            </w:r>
          </w:p>
        </w:tc>
        <w:tc>
          <w:tcPr>
            <w:tcW w:w="750" w:type="dxa"/>
            <w:vAlign w:val="center"/>
          </w:tcPr>
          <w:p>
            <w:pPr>
              <w:adjustRightInd w:val="0"/>
              <w:snapToGrid w:val="0"/>
              <w:jc w:val="center"/>
              <w:rPr>
                <w:color w:val="auto"/>
                <w:kern w:val="0"/>
                <w:szCs w:val="21"/>
                <w:highlight w:val="none"/>
              </w:rPr>
            </w:pPr>
            <w:r>
              <w:rPr>
                <w:color w:val="auto"/>
                <w:kern w:val="0"/>
                <w:szCs w:val="21"/>
                <w:highlight w:val="none"/>
              </w:rPr>
              <w:t xml:space="preserve">1558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346 </w:t>
            </w:r>
          </w:p>
        </w:tc>
        <w:tc>
          <w:tcPr>
            <w:tcW w:w="657" w:type="dxa"/>
            <w:vAlign w:val="center"/>
          </w:tcPr>
          <w:p>
            <w:pPr>
              <w:adjustRightInd w:val="0"/>
              <w:snapToGrid w:val="0"/>
              <w:jc w:val="center"/>
              <w:rPr>
                <w:color w:val="auto"/>
                <w:kern w:val="0"/>
                <w:szCs w:val="21"/>
                <w:highlight w:val="none"/>
              </w:rPr>
            </w:pPr>
            <w:r>
              <w:rPr>
                <w:color w:val="auto"/>
                <w:kern w:val="0"/>
                <w:szCs w:val="21"/>
                <w:highlight w:val="none"/>
              </w:rPr>
              <w:t xml:space="preserve">1154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2493 </w:t>
            </w:r>
          </w:p>
        </w:tc>
        <w:tc>
          <w:tcPr>
            <w:tcW w:w="543" w:type="dxa"/>
            <w:vAlign w:val="center"/>
          </w:tcPr>
          <w:p>
            <w:pPr>
              <w:adjustRightInd w:val="0"/>
              <w:snapToGrid w:val="0"/>
              <w:jc w:val="center"/>
              <w:rPr>
                <w:color w:val="auto"/>
                <w:kern w:val="0"/>
                <w:szCs w:val="21"/>
                <w:highlight w:val="none"/>
              </w:rPr>
            </w:pPr>
            <w:r>
              <w:rPr>
                <w:color w:val="auto"/>
                <w:kern w:val="0"/>
                <w:szCs w:val="21"/>
                <w:highlight w:val="none"/>
              </w:rPr>
              <w:t xml:space="preserve">1589 </w:t>
            </w:r>
          </w:p>
        </w:tc>
        <w:tc>
          <w:tcPr>
            <w:tcW w:w="544" w:type="dxa"/>
            <w:vAlign w:val="center"/>
          </w:tcPr>
          <w:p>
            <w:pPr>
              <w:adjustRightInd w:val="0"/>
              <w:snapToGrid w:val="0"/>
              <w:jc w:val="center"/>
              <w:rPr>
                <w:color w:val="auto"/>
                <w:kern w:val="0"/>
                <w:szCs w:val="21"/>
                <w:highlight w:val="none"/>
              </w:rPr>
            </w:pPr>
            <w:r>
              <w:rPr>
                <w:color w:val="auto"/>
                <w:kern w:val="0"/>
                <w:szCs w:val="21"/>
                <w:highlight w:val="none"/>
              </w:rPr>
              <w:t xml:space="preserve">353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1177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2543 </w:t>
            </w:r>
          </w:p>
        </w:tc>
        <w:tc>
          <w:tcPr>
            <w:tcW w:w="562" w:type="dxa"/>
            <w:vAlign w:val="center"/>
          </w:tcPr>
          <w:p>
            <w:pPr>
              <w:adjustRightInd w:val="0"/>
              <w:snapToGrid w:val="0"/>
              <w:jc w:val="center"/>
              <w:rPr>
                <w:color w:val="auto"/>
                <w:kern w:val="0"/>
                <w:szCs w:val="21"/>
                <w:highlight w:val="none"/>
              </w:rPr>
            </w:pPr>
            <w:r>
              <w:rPr>
                <w:color w:val="auto"/>
                <w:kern w:val="0"/>
                <w:szCs w:val="21"/>
                <w:highlight w:val="none"/>
              </w:rPr>
              <w:t xml:space="preserve">1620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360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1200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2592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中型车（M）</w:t>
            </w:r>
          </w:p>
        </w:tc>
        <w:tc>
          <w:tcPr>
            <w:tcW w:w="750" w:type="dxa"/>
            <w:vAlign w:val="center"/>
          </w:tcPr>
          <w:p>
            <w:pPr>
              <w:adjustRightInd w:val="0"/>
              <w:snapToGrid w:val="0"/>
              <w:jc w:val="center"/>
              <w:rPr>
                <w:color w:val="auto"/>
                <w:kern w:val="0"/>
                <w:szCs w:val="21"/>
                <w:highlight w:val="none"/>
              </w:rPr>
            </w:pPr>
            <w:r>
              <w:rPr>
                <w:color w:val="auto"/>
                <w:kern w:val="0"/>
                <w:szCs w:val="21"/>
                <w:highlight w:val="none"/>
              </w:rPr>
              <w:t xml:space="preserve">183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41 </w:t>
            </w:r>
          </w:p>
        </w:tc>
        <w:tc>
          <w:tcPr>
            <w:tcW w:w="657" w:type="dxa"/>
            <w:vAlign w:val="center"/>
          </w:tcPr>
          <w:p>
            <w:pPr>
              <w:adjustRightInd w:val="0"/>
              <w:snapToGrid w:val="0"/>
              <w:jc w:val="center"/>
              <w:rPr>
                <w:color w:val="auto"/>
                <w:kern w:val="0"/>
                <w:szCs w:val="21"/>
                <w:highlight w:val="none"/>
              </w:rPr>
            </w:pPr>
            <w:r>
              <w:rPr>
                <w:color w:val="auto"/>
                <w:kern w:val="0"/>
                <w:szCs w:val="21"/>
                <w:highlight w:val="none"/>
              </w:rPr>
              <w:t xml:space="preserve">136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293 </w:t>
            </w:r>
          </w:p>
        </w:tc>
        <w:tc>
          <w:tcPr>
            <w:tcW w:w="543" w:type="dxa"/>
            <w:vAlign w:val="center"/>
          </w:tcPr>
          <w:p>
            <w:pPr>
              <w:adjustRightInd w:val="0"/>
              <w:snapToGrid w:val="0"/>
              <w:jc w:val="center"/>
              <w:rPr>
                <w:color w:val="auto"/>
                <w:kern w:val="0"/>
                <w:szCs w:val="21"/>
                <w:highlight w:val="none"/>
              </w:rPr>
            </w:pPr>
            <w:r>
              <w:rPr>
                <w:color w:val="auto"/>
                <w:kern w:val="0"/>
                <w:szCs w:val="21"/>
                <w:highlight w:val="none"/>
              </w:rPr>
              <w:t xml:space="preserve">187 </w:t>
            </w:r>
          </w:p>
        </w:tc>
        <w:tc>
          <w:tcPr>
            <w:tcW w:w="544" w:type="dxa"/>
            <w:vAlign w:val="center"/>
          </w:tcPr>
          <w:p>
            <w:pPr>
              <w:adjustRightInd w:val="0"/>
              <w:snapToGrid w:val="0"/>
              <w:jc w:val="center"/>
              <w:rPr>
                <w:color w:val="auto"/>
                <w:kern w:val="0"/>
                <w:szCs w:val="21"/>
                <w:highlight w:val="none"/>
              </w:rPr>
            </w:pPr>
            <w:r>
              <w:rPr>
                <w:color w:val="auto"/>
                <w:kern w:val="0"/>
                <w:szCs w:val="21"/>
                <w:highlight w:val="none"/>
              </w:rPr>
              <w:t xml:space="preserve">42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138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299 </w:t>
            </w:r>
          </w:p>
        </w:tc>
        <w:tc>
          <w:tcPr>
            <w:tcW w:w="562" w:type="dxa"/>
            <w:vAlign w:val="center"/>
          </w:tcPr>
          <w:p>
            <w:pPr>
              <w:adjustRightInd w:val="0"/>
              <w:snapToGrid w:val="0"/>
              <w:jc w:val="center"/>
              <w:rPr>
                <w:color w:val="auto"/>
                <w:kern w:val="0"/>
                <w:szCs w:val="21"/>
                <w:highlight w:val="none"/>
              </w:rPr>
            </w:pPr>
            <w:r>
              <w:rPr>
                <w:color w:val="auto"/>
                <w:kern w:val="0"/>
                <w:szCs w:val="21"/>
                <w:highlight w:val="none"/>
              </w:rPr>
              <w:t xml:space="preserve">191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42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141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305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大型车（L）</w:t>
            </w:r>
          </w:p>
        </w:tc>
        <w:tc>
          <w:tcPr>
            <w:tcW w:w="750" w:type="dxa"/>
            <w:vAlign w:val="center"/>
          </w:tcPr>
          <w:p>
            <w:pPr>
              <w:adjustRightInd w:val="0"/>
              <w:snapToGrid w:val="0"/>
              <w:jc w:val="center"/>
              <w:rPr>
                <w:color w:val="auto"/>
                <w:kern w:val="0"/>
                <w:szCs w:val="21"/>
                <w:highlight w:val="none"/>
              </w:rPr>
            </w:pPr>
            <w:r>
              <w:rPr>
                <w:color w:val="auto"/>
                <w:kern w:val="0"/>
                <w:szCs w:val="21"/>
                <w:highlight w:val="none"/>
              </w:rPr>
              <w:t xml:space="preserve">92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20 </w:t>
            </w:r>
          </w:p>
        </w:tc>
        <w:tc>
          <w:tcPr>
            <w:tcW w:w="657" w:type="dxa"/>
            <w:vAlign w:val="center"/>
          </w:tcPr>
          <w:p>
            <w:pPr>
              <w:adjustRightInd w:val="0"/>
              <w:snapToGrid w:val="0"/>
              <w:jc w:val="center"/>
              <w:rPr>
                <w:color w:val="auto"/>
                <w:kern w:val="0"/>
                <w:szCs w:val="21"/>
                <w:highlight w:val="none"/>
              </w:rPr>
            </w:pPr>
            <w:r>
              <w:rPr>
                <w:color w:val="auto"/>
                <w:kern w:val="0"/>
                <w:szCs w:val="21"/>
                <w:highlight w:val="none"/>
              </w:rPr>
              <w:t xml:space="preserve">68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147 </w:t>
            </w:r>
          </w:p>
        </w:tc>
        <w:tc>
          <w:tcPr>
            <w:tcW w:w="543" w:type="dxa"/>
            <w:vAlign w:val="center"/>
          </w:tcPr>
          <w:p>
            <w:pPr>
              <w:adjustRightInd w:val="0"/>
              <w:snapToGrid w:val="0"/>
              <w:jc w:val="center"/>
              <w:rPr>
                <w:color w:val="auto"/>
                <w:kern w:val="0"/>
                <w:szCs w:val="21"/>
                <w:highlight w:val="none"/>
              </w:rPr>
            </w:pPr>
            <w:r>
              <w:rPr>
                <w:color w:val="auto"/>
                <w:kern w:val="0"/>
                <w:szCs w:val="21"/>
                <w:highlight w:val="none"/>
              </w:rPr>
              <w:t xml:space="preserve">93 </w:t>
            </w:r>
          </w:p>
        </w:tc>
        <w:tc>
          <w:tcPr>
            <w:tcW w:w="544" w:type="dxa"/>
            <w:vAlign w:val="center"/>
          </w:tcPr>
          <w:p>
            <w:pPr>
              <w:adjustRightInd w:val="0"/>
              <w:snapToGrid w:val="0"/>
              <w:jc w:val="center"/>
              <w:rPr>
                <w:color w:val="auto"/>
                <w:kern w:val="0"/>
                <w:szCs w:val="21"/>
                <w:highlight w:val="none"/>
              </w:rPr>
            </w:pPr>
            <w:r>
              <w:rPr>
                <w:color w:val="auto"/>
                <w:kern w:val="0"/>
                <w:szCs w:val="21"/>
                <w:highlight w:val="none"/>
              </w:rPr>
              <w:t xml:space="preserve">21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69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150 </w:t>
            </w:r>
          </w:p>
        </w:tc>
        <w:tc>
          <w:tcPr>
            <w:tcW w:w="562" w:type="dxa"/>
            <w:vAlign w:val="center"/>
          </w:tcPr>
          <w:p>
            <w:pPr>
              <w:adjustRightInd w:val="0"/>
              <w:snapToGrid w:val="0"/>
              <w:jc w:val="center"/>
              <w:rPr>
                <w:color w:val="auto"/>
                <w:kern w:val="0"/>
                <w:szCs w:val="21"/>
                <w:highlight w:val="none"/>
              </w:rPr>
            </w:pPr>
            <w:r>
              <w:rPr>
                <w:color w:val="auto"/>
                <w:kern w:val="0"/>
                <w:szCs w:val="21"/>
                <w:highlight w:val="none"/>
              </w:rPr>
              <w:t xml:space="preserve">95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21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71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152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合计</w:t>
            </w:r>
          </w:p>
        </w:tc>
        <w:tc>
          <w:tcPr>
            <w:tcW w:w="750" w:type="dxa"/>
            <w:vAlign w:val="center"/>
          </w:tcPr>
          <w:p>
            <w:pPr>
              <w:adjustRightInd w:val="0"/>
              <w:snapToGrid w:val="0"/>
              <w:jc w:val="center"/>
              <w:rPr>
                <w:color w:val="auto"/>
                <w:kern w:val="0"/>
                <w:szCs w:val="21"/>
                <w:highlight w:val="none"/>
              </w:rPr>
            </w:pPr>
            <w:r>
              <w:rPr>
                <w:color w:val="auto"/>
                <w:kern w:val="0"/>
                <w:szCs w:val="21"/>
                <w:highlight w:val="none"/>
              </w:rPr>
              <w:t xml:space="preserve">1833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407 </w:t>
            </w:r>
          </w:p>
        </w:tc>
        <w:tc>
          <w:tcPr>
            <w:tcW w:w="657" w:type="dxa"/>
            <w:vAlign w:val="center"/>
          </w:tcPr>
          <w:p>
            <w:pPr>
              <w:adjustRightInd w:val="0"/>
              <w:snapToGrid w:val="0"/>
              <w:jc w:val="center"/>
              <w:rPr>
                <w:color w:val="auto"/>
                <w:kern w:val="0"/>
                <w:szCs w:val="21"/>
                <w:highlight w:val="none"/>
              </w:rPr>
            </w:pPr>
            <w:r>
              <w:rPr>
                <w:color w:val="auto"/>
                <w:kern w:val="0"/>
                <w:szCs w:val="21"/>
                <w:highlight w:val="none"/>
              </w:rPr>
              <w:t xml:space="preserve">1358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2933 </w:t>
            </w:r>
          </w:p>
        </w:tc>
        <w:tc>
          <w:tcPr>
            <w:tcW w:w="543" w:type="dxa"/>
            <w:vAlign w:val="center"/>
          </w:tcPr>
          <w:p>
            <w:pPr>
              <w:adjustRightInd w:val="0"/>
              <w:snapToGrid w:val="0"/>
              <w:jc w:val="center"/>
              <w:rPr>
                <w:color w:val="auto"/>
                <w:kern w:val="0"/>
                <w:szCs w:val="21"/>
                <w:highlight w:val="none"/>
              </w:rPr>
            </w:pPr>
            <w:r>
              <w:rPr>
                <w:color w:val="auto"/>
                <w:kern w:val="0"/>
                <w:szCs w:val="21"/>
                <w:highlight w:val="none"/>
              </w:rPr>
              <w:t xml:space="preserve">1870 </w:t>
            </w:r>
          </w:p>
        </w:tc>
        <w:tc>
          <w:tcPr>
            <w:tcW w:w="544" w:type="dxa"/>
            <w:vAlign w:val="center"/>
          </w:tcPr>
          <w:p>
            <w:pPr>
              <w:adjustRightInd w:val="0"/>
              <w:snapToGrid w:val="0"/>
              <w:jc w:val="center"/>
              <w:rPr>
                <w:color w:val="auto"/>
                <w:kern w:val="0"/>
                <w:szCs w:val="21"/>
                <w:highlight w:val="none"/>
              </w:rPr>
            </w:pPr>
            <w:r>
              <w:rPr>
                <w:color w:val="auto"/>
                <w:kern w:val="0"/>
                <w:szCs w:val="21"/>
                <w:highlight w:val="none"/>
              </w:rPr>
              <w:t xml:space="preserve">415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1385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2991 </w:t>
            </w:r>
          </w:p>
        </w:tc>
        <w:tc>
          <w:tcPr>
            <w:tcW w:w="562" w:type="dxa"/>
            <w:vAlign w:val="center"/>
          </w:tcPr>
          <w:p>
            <w:pPr>
              <w:adjustRightInd w:val="0"/>
              <w:snapToGrid w:val="0"/>
              <w:jc w:val="center"/>
              <w:rPr>
                <w:color w:val="auto"/>
                <w:kern w:val="0"/>
                <w:szCs w:val="21"/>
                <w:highlight w:val="none"/>
              </w:rPr>
            </w:pPr>
            <w:r>
              <w:rPr>
                <w:color w:val="auto"/>
                <w:kern w:val="0"/>
                <w:szCs w:val="21"/>
                <w:highlight w:val="none"/>
              </w:rPr>
              <w:t xml:space="preserve">1906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424 </w:t>
            </w:r>
          </w:p>
        </w:tc>
        <w:tc>
          <w:tcPr>
            <w:tcW w:w="619" w:type="dxa"/>
            <w:vAlign w:val="center"/>
          </w:tcPr>
          <w:p>
            <w:pPr>
              <w:adjustRightInd w:val="0"/>
              <w:snapToGrid w:val="0"/>
              <w:jc w:val="center"/>
              <w:rPr>
                <w:color w:val="auto"/>
                <w:kern w:val="0"/>
                <w:szCs w:val="21"/>
                <w:highlight w:val="none"/>
              </w:rPr>
            </w:pPr>
            <w:r>
              <w:rPr>
                <w:color w:val="auto"/>
                <w:kern w:val="0"/>
                <w:szCs w:val="21"/>
                <w:highlight w:val="none"/>
              </w:rPr>
              <w:t xml:space="preserve">1412 </w:t>
            </w:r>
          </w:p>
        </w:tc>
        <w:tc>
          <w:tcPr>
            <w:tcW w:w="600" w:type="dxa"/>
            <w:vAlign w:val="center"/>
          </w:tcPr>
          <w:p>
            <w:pPr>
              <w:adjustRightInd w:val="0"/>
              <w:snapToGrid w:val="0"/>
              <w:jc w:val="center"/>
              <w:rPr>
                <w:color w:val="auto"/>
                <w:kern w:val="0"/>
                <w:szCs w:val="21"/>
                <w:highlight w:val="none"/>
              </w:rPr>
            </w:pPr>
            <w:r>
              <w:rPr>
                <w:color w:val="auto"/>
                <w:kern w:val="0"/>
                <w:szCs w:val="21"/>
                <w:highlight w:val="none"/>
              </w:rPr>
              <w:t xml:space="preserve">3049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restart"/>
            <w:vAlign w:val="center"/>
          </w:tcPr>
          <w:p>
            <w:pPr>
              <w:adjustRightInd w:val="0"/>
              <w:snapToGrid w:val="0"/>
              <w:jc w:val="center"/>
              <w:rPr>
                <w:color w:val="auto"/>
                <w:kern w:val="0"/>
                <w:szCs w:val="21"/>
                <w:highlight w:val="none"/>
              </w:rPr>
            </w:pPr>
            <w:bookmarkStart w:id="39" w:name="_Toc29652"/>
            <w:r>
              <w:rPr>
                <w:rFonts w:hint="eastAsia"/>
                <w:bCs/>
                <w:color w:val="auto"/>
                <w:spacing w:val="-2"/>
                <w:szCs w:val="21"/>
                <w:highlight w:val="none"/>
              </w:rPr>
              <w:t>900医院总院掉头匝道</w:t>
            </w:r>
          </w:p>
        </w:tc>
        <w:tc>
          <w:tcPr>
            <w:tcW w:w="1200" w:type="dxa"/>
            <w:vAlign w:val="center"/>
          </w:tcPr>
          <w:p>
            <w:pPr>
              <w:snapToGrid w:val="0"/>
              <w:jc w:val="center"/>
              <w:rPr>
                <w:color w:val="auto"/>
                <w:kern w:val="0"/>
                <w:szCs w:val="21"/>
                <w:highlight w:val="none"/>
              </w:rPr>
            </w:pPr>
            <w:r>
              <w:rPr>
                <w:color w:val="auto"/>
                <w:kern w:val="0"/>
                <w:szCs w:val="21"/>
                <w:highlight w:val="none"/>
              </w:rPr>
              <w:t>小型车（S）</w:t>
            </w:r>
          </w:p>
        </w:tc>
        <w:tc>
          <w:tcPr>
            <w:tcW w:w="75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335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74 </w:t>
            </w:r>
          </w:p>
        </w:tc>
        <w:tc>
          <w:tcPr>
            <w:tcW w:w="657"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248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536 </w:t>
            </w:r>
          </w:p>
        </w:tc>
        <w:tc>
          <w:tcPr>
            <w:tcW w:w="543"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340 </w:t>
            </w:r>
          </w:p>
        </w:tc>
        <w:tc>
          <w:tcPr>
            <w:tcW w:w="544" w:type="dxa"/>
            <w:vAlign w:val="center"/>
          </w:tcPr>
          <w:p>
            <w:pPr>
              <w:widowControl/>
              <w:jc w:val="center"/>
              <w:textAlignment w:val="center"/>
              <w:rPr>
                <w:color w:val="auto"/>
                <w:kern w:val="0"/>
                <w:szCs w:val="21"/>
                <w:highlight w:val="none"/>
              </w:rPr>
            </w:pPr>
            <w:r>
              <w:rPr>
                <w:color w:val="auto"/>
                <w:kern w:val="0"/>
                <w:sz w:val="24"/>
                <w:highlight w:val="none"/>
                <w:lang w:bidi="ar"/>
              </w:rPr>
              <w:t xml:space="preserve">76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252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544 </w:t>
            </w:r>
          </w:p>
        </w:tc>
        <w:tc>
          <w:tcPr>
            <w:tcW w:w="562"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347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77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257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555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中型车（M）</w:t>
            </w:r>
          </w:p>
        </w:tc>
        <w:tc>
          <w:tcPr>
            <w:tcW w:w="75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39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9 </w:t>
            </w:r>
          </w:p>
        </w:tc>
        <w:tc>
          <w:tcPr>
            <w:tcW w:w="657"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29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63 </w:t>
            </w:r>
          </w:p>
        </w:tc>
        <w:tc>
          <w:tcPr>
            <w:tcW w:w="543"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40 </w:t>
            </w:r>
          </w:p>
        </w:tc>
        <w:tc>
          <w:tcPr>
            <w:tcW w:w="544" w:type="dxa"/>
            <w:vAlign w:val="center"/>
          </w:tcPr>
          <w:p>
            <w:pPr>
              <w:widowControl/>
              <w:jc w:val="center"/>
              <w:textAlignment w:val="center"/>
              <w:rPr>
                <w:color w:val="auto"/>
                <w:kern w:val="0"/>
                <w:szCs w:val="21"/>
                <w:highlight w:val="none"/>
              </w:rPr>
            </w:pPr>
            <w:r>
              <w:rPr>
                <w:color w:val="auto"/>
                <w:kern w:val="0"/>
                <w:sz w:val="24"/>
                <w:highlight w:val="none"/>
                <w:lang w:bidi="ar"/>
              </w:rPr>
              <w:t xml:space="preserve">9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30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64 </w:t>
            </w:r>
          </w:p>
        </w:tc>
        <w:tc>
          <w:tcPr>
            <w:tcW w:w="562"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41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9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30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65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大型车（L）</w:t>
            </w:r>
          </w:p>
        </w:tc>
        <w:tc>
          <w:tcPr>
            <w:tcW w:w="75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20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 </w:t>
            </w:r>
          </w:p>
        </w:tc>
        <w:tc>
          <w:tcPr>
            <w:tcW w:w="657"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15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32 </w:t>
            </w:r>
          </w:p>
        </w:tc>
        <w:tc>
          <w:tcPr>
            <w:tcW w:w="543"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20 </w:t>
            </w:r>
          </w:p>
        </w:tc>
        <w:tc>
          <w:tcPr>
            <w:tcW w:w="544"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15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32 </w:t>
            </w:r>
          </w:p>
        </w:tc>
        <w:tc>
          <w:tcPr>
            <w:tcW w:w="562"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20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5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15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33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合计</w:t>
            </w:r>
          </w:p>
        </w:tc>
        <w:tc>
          <w:tcPr>
            <w:tcW w:w="75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394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88 </w:t>
            </w:r>
          </w:p>
        </w:tc>
        <w:tc>
          <w:tcPr>
            <w:tcW w:w="657"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292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630 </w:t>
            </w:r>
          </w:p>
        </w:tc>
        <w:tc>
          <w:tcPr>
            <w:tcW w:w="543"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400 </w:t>
            </w:r>
          </w:p>
        </w:tc>
        <w:tc>
          <w:tcPr>
            <w:tcW w:w="544" w:type="dxa"/>
            <w:vAlign w:val="center"/>
          </w:tcPr>
          <w:p>
            <w:pPr>
              <w:widowControl/>
              <w:jc w:val="center"/>
              <w:textAlignment w:val="center"/>
              <w:rPr>
                <w:color w:val="auto"/>
                <w:kern w:val="0"/>
                <w:szCs w:val="21"/>
                <w:highlight w:val="none"/>
              </w:rPr>
            </w:pPr>
            <w:r>
              <w:rPr>
                <w:color w:val="auto"/>
                <w:kern w:val="0"/>
                <w:sz w:val="24"/>
                <w:highlight w:val="none"/>
                <w:lang w:bidi="ar"/>
              </w:rPr>
              <w:t xml:space="preserve">89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297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641 </w:t>
            </w:r>
          </w:p>
        </w:tc>
        <w:tc>
          <w:tcPr>
            <w:tcW w:w="562"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408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91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302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653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restart"/>
            <w:vAlign w:val="center"/>
          </w:tcPr>
          <w:p>
            <w:pPr>
              <w:adjustRightInd w:val="0"/>
              <w:snapToGrid w:val="0"/>
              <w:jc w:val="center"/>
              <w:rPr>
                <w:color w:val="auto"/>
                <w:kern w:val="0"/>
                <w:szCs w:val="21"/>
                <w:highlight w:val="none"/>
              </w:rPr>
            </w:pPr>
            <w:r>
              <w:rPr>
                <w:rFonts w:hint="eastAsia"/>
                <w:bCs/>
                <w:color w:val="auto"/>
                <w:spacing w:val="-2"/>
                <w:szCs w:val="21"/>
                <w:highlight w:val="none"/>
              </w:rPr>
              <w:t>铜盘高架下匝道</w:t>
            </w:r>
          </w:p>
        </w:tc>
        <w:tc>
          <w:tcPr>
            <w:tcW w:w="1200" w:type="dxa"/>
            <w:vAlign w:val="center"/>
          </w:tcPr>
          <w:p>
            <w:pPr>
              <w:snapToGrid w:val="0"/>
              <w:jc w:val="center"/>
              <w:rPr>
                <w:color w:val="auto"/>
                <w:kern w:val="0"/>
                <w:szCs w:val="21"/>
                <w:highlight w:val="none"/>
              </w:rPr>
            </w:pPr>
            <w:r>
              <w:rPr>
                <w:color w:val="auto"/>
                <w:kern w:val="0"/>
                <w:szCs w:val="21"/>
                <w:highlight w:val="none"/>
              </w:rPr>
              <w:t>小型车（S）</w:t>
            </w:r>
          </w:p>
        </w:tc>
        <w:tc>
          <w:tcPr>
            <w:tcW w:w="75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210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47 </w:t>
            </w:r>
          </w:p>
        </w:tc>
        <w:tc>
          <w:tcPr>
            <w:tcW w:w="657"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155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336 </w:t>
            </w:r>
          </w:p>
        </w:tc>
        <w:tc>
          <w:tcPr>
            <w:tcW w:w="543"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258 </w:t>
            </w:r>
          </w:p>
        </w:tc>
        <w:tc>
          <w:tcPr>
            <w:tcW w:w="544" w:type="dxa"/>
            <w:vAlign w:val="center"/>
          </w:tcPr>
          <w:p>
            <w:pPr>
              <w:widowControl/>
              <w:jc w:val="center"/>
              <w:textAlignment w:val="center"/>
              <w:rPr>
                <w:color w:val="auto"/>
                <w:kern w:val="0"/>
                <w:szCs w:val="21"/>
                <w:highlight w:val="none"/>
              </w:rPr>
            </w:pPr>
            <w:r>
              <w:rPr>
                <w:color w:val="auto"/>
                <w:kern w:val="0"/>
                <w:sz w:val="24"/>
                <w:highlight w:val="none"/>
                <w:lang w:bidi="ar"/>
              </w:rPr>
              <w:t xml:space="preserve">57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191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413 </w:t>
            </w:r>
          </w:p>
        </w:tc>
        <w:tc>
          <w:tcPr>
            <w:tcW w:w="562"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327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73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242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523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中型车（M）</w:t>
            </w:r>
          </w:p>
        </w:tc>
        <w:tc>
          <w:tcPr>
            <w:tcW w:w="75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25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5 </w:t>
            </w:r>
          </w:p>
        </w:tc>
        <w:tc>
          <w:tcPr>
            <w:tcW w:w="657"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18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39 </w:t>
            </w:r>
          </w:p>
        </w:tc>
        <w:tc>
          <w:tcPr>
            <w:tcW w:w="543"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30 </w:t>
            </w:r>
          </w:p>
        </w:tc>
        <w:tc>
          <w:tcPr>
            <w:tcW w:w="544" w:type="dxa"/>
            <w:vAlign w:val="center"/>
          </w:tcPr>
          <w:p>
            <w:pPr>
              <w:widowControl/>
              <w:jc w:val="center"/>
              <w:textAlignment w:val="center"/>
              <w:rPr>
                <w:color w:val="auto"/>
                <w:kern w:val="0"/>
                <w:szCs w:val="21"/>
                <w:highlight w:val="none"/>
              </w:rPr>
            </w:pPr>
            <w:r>
              <w:rPr>
                <w:color w:val="auto"/>
                <w:kern w:val="0"/>
                <w:sz w:val="24"/>
                <w:highlight w:val="none"/>
                <w:lang w:bidi="ar"/>
              </w:rPr>
              <w:t xml:space="preserve">7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22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49 </w:t>
            </w:r>
          </w:p>
        </w:tc>
        <w:tc>
          <w:tcPr>
            <w:tcW w:w="562"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38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9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28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62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大型车（L）</w:t>
            </w:r>
          </w:p>
        </w:tc>
        <w:tc>
          <w:tcPr>
            <w:tcW w:w="75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12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 </w:t>
            </w:r>
          </w:p>
        </w:tc>
        <w:tc>
          <w:tcPr>
            <w:tcW w:w="657" w:type="dxa"/>
            <w:vAlign w:val="center"/>
          </w:tcPr>
          <w:p>
            <w:pPr>
              <w:widowControl/>
              <w:jc w:val="center"/>
              <w:textAlignment w:val="center"/>
              <w:rPr>
                <w:color w:val="auto"/>
                <w:kern w:val="0"/>
                <w:szCs w:val="21"/>
                <w:highlight w:val="none"/>
              </w:rPr>
            </w:pPr>
            <w:r>
              <w:rPr>
                <w:color w:val="auto"/>
                <w:kern w:val="0"/>
                <w:sz w:val="24"/>
                <w:highlight w:val="none"/>
                <w:lang w:bidi="ar"/>
              </w:rPr>
              <w:t xml:space="preserve">9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20 </w:t>
            </w:r>
          </w:p>
        </w:tc>
        <w:tc>
          <w:tcPr>
            <w:tcW w:w="543"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15 </w:t>
            </w:r>
          </w:p>
        </w:tc>
        <w:tc>
          <w:tcPr>
            <w:tcW w:w="544"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11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24 </w:t>
            </w:r>
          </w:p>
        </w:tc>
        <w:tc>
          <w:tcPr>
            <w:tcW w:w="562"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19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14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31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Ex>
        <w:trPr>
          <w:trHeight w:val="374" w:hRule="atLeast"/>
          <w:jc w:val="center"/>
        </w:trPr>
        <w:tc>
          <w:tcPr>
            <w:tcW w:w="668" w:type="dxa"/>
            <w:vMerge w:val="continue"/>
            <w:vAlign w:val="center"/>
          </w:tcPr>
          <w:p>
            <w:pPr>
              <w:adjustRightInd w:val="0"/>
              <w:snapToGrid w:val="0"/>
              <w:jc w:val="center"/>
              <w:rPr>
                <w:color w:val="auto"/>
                <w:kern w:val="0"/>
                <w:szCs w:val="21"/>
                <w:highlight w:val="none"/>
              </w:rPr>
            </w:pPr>
          </w:p>
        </w:tc>
        <w:tc>
          <w:tcPr>
            <w:tcW w:w="1200" w:type="dxa"/>
            <w:vAlign w:val="center"/>
          </w:tcPr>
          <w:p>
            <w:pPr>
              <w:snapToGrid w:val="0"/>
              <w:jc w:val="center"/>
              <w:rPr>
                <w:color w:val="auto"/>
                <w:kern w:val="0"/>
                <w:szCs w:val="21"/>
                <w:highlight w:val="none"/>
              </w:rPr>
            </w:pPr>
            <w:r>
              <w:rPr>
                <w:color w:val="auto"/>
                <w:kern w:val="0"/>
                <w:szCs w:val="21"/>
                <w:highlight w:val="none"/>
              </w:rPr>
              <w:t>合计</w:t>
            </w:r>
          </w:p>
        </w:tc>
        <w:tc>
          <w:tcPr>
            <w:tcW w:w="75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247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55 </w:t>
            </w:r>
          </w:p>
        </w:tc>
        <w:tc>
          <w:tcPr>
            <w:tcW w:w="657" w:type="dxa"/>
            <w:vAlign w:val="center"/>
          </w:tcPr>
          <w:p>
            <w:pPr>
              <w:widowControl/>
              <w:jc w:val="center"/>
              <w:textAlignment w:val="center"/>
              <w:rPr>
                <w:color w:val="auto"/>
                <w:kern w:val="0"/>
                <w:szCs w:val="21"/>
                <w:highlight w:val="none"/>
              </w:rPr>
            </w:pPr>
            <w:r>
              <w:rPr>
                <w:color w:val="auto"/>
                <w:kern w:val="0"/>
                <w:sz w:val="24"/>
                <w:highlight w:val="none"/>
                <w:lang w:bidi="ar"/>
              </w:rPr>
              <w:t xml:space="preserve">183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395 </w:t>
            </w:r>
          </w:p>
        </w:tc>
        <w:tc>
          <w:tcPr>
            <w:tcW w:w="543"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303 </w:t>
            </w:r>
          </w:p>
        </w:tc>
        <w:tc>
          <w:tcPr>
            <w:tcW w:w="544" w:type="dxa"/>
            <w:vAlign w:val="center"/>
          </w:tcPr>
          <w:p>
            <w:pPr>
              <w:widowControl/>
              <w:jc w:val="center"/>
              <w:textAlignment w:val="center"/>
              <w:rPr>
                <w:color w:val="auto"/>
                <w:kern w:val="0"/>
                <w:szCs w:val="21"/>
                <w:highlight w:val="none"/>
              </w:rPr>
            </w:pPr>
            <w:r>
              <w:rPr>
                <w:color w:val="auto"/>
                <w:kern w:val="0"/>
                <w:sz w:val="24"/>
                <w:highlight w:val="none"/>
                <w:lang w:bidi="ar"/>
              </w:rPr>
              <w:t xml:space="preserve">67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225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486 </w:t>
            </w:r>
          </w:p>
        </w:tc>
        <w:tc>
          <w:tcPr>
            <w:tcW w:w="562" w:type="dxa"/>
            <w:vAlign w:val="center"/>
          </w:tcPr>
          <w:p>
            <w:pPr>
              <w:widowControl/>
              <w:jc w:val="center"/>
              <w:textAlignment w:val="center"/>
              <w:rPr>
                <w:color w:val="auto"/>
                <w:kern w:val="0"/>
                <w:szCs w:val="21"/>
                <w:highlight w:val="none"/>
              </w:rPr>
            </w:pPr>
            <w:r>
              <w:rPr>
                <w:color w:val="auto"/>
                <w:kern w:val="0"/>
                <w:sz w:val="24"/>
                <w:highlight w:val="none"/>
                <w:lang w:bidi="ar"/>
              </w:rPr>
              <w:t xml:space="preserve">384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85 </w:t>
            </w:r>
          </w:p>
        </w:tc>
        <w:tc>
          <w:tcPr>
            <w:tcW w:w="619" w:type="dxa"/>
            <w:vAlign w:val="center"/>
          </w:tcPr>
          <w:p>
            <w:pPr>
              <w:widowControl/>
              <w:jc w:val="center"/>
              <w:textAlignment w:val="center"/>
              <w:rPr>
                <w:color w:val="auto"/>
                <w:kern w:val="0"/>
                <w:szCs w:val="21"/>
                <w:highlight w:val="none"/>
              </w:rPr>
            </w:pPr>
            <w:r>
              <w:rPr>
                <w:color w:val="auto"/>
                <w:kern w:val="0"/>
                <w:sz w:val="24"/>
                <w:highlight w:val="none"/>
                <w:lang w:bidi="ar"/>
              </w:rPr>
              <w:t xml:space="preserve">285 </w:t>
            </w:r>
          </w:p>
        </w:tc>
        <w:tc>
          <w:tcPr>
            <w:tcW w:w="600" w:type="dxa"/>
            <w:vAlign w:val="center"/>
          </w:tcPr>
          <w:p>
            <w:pPr>
              <w:widowControl/>
              <w:jc w:val="center"/>
              <w:textAlignment w:val="center"/>
              <w:rPr>
                <w:color w:val="auto"/>
                <w:kern w:val="0"/>
                <w:szCs w:val="21"/>
                <w:highlight w:val="none"/>
              </w:rPr>
            </w:pPr>
            <w:r>
              <w:rPr>
                <w:color w:val="auto"/>
                <w:kern w:val="0"/>
                <w:sz w:val="24"/>
                <w:highlight w:val="none"/>
                <w:lang w:bidi="ar"/>
              </w:rPr>
              <w:t xml:space="preserve">615 </w:t>
            </w:r>
          </w:p>
        </w:tc>
      </w:tr>
    </w:tbl>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r>
        <w:rPr>
          <w:rFonts w:hint="eastAsia" w:eastAsia="黑体"/>
          <w:snapToGrid w:val="0"/>
          <w:color w:val="auto"/>
          <w:kern w:val="0"/>
          <w:sz w:val="28"/>
          <w:szCs w:val="28"/>
          <w:highlight w:val="none"/>
        </w:rPr>
        <w:t>2.3 工程分析</w:t>
      </w:r>
      <w:bookmarkEnd w:id="39"/>
    </w:p>
    <w:p>
      <w:pPr>
        <w:spacing w:line="360" w:lineRule="auto"/>
        <w:outlineLvl w:val="2"/>
        <w:rPr>
          <w:rFonts w:hint="eastAsia" w:eastAsia="黑体"/>
          <w:color w:val="auto"/>
          <w:sz w:val="24"/>
          <w:highlight w:val="none"/>
        </w:rPr>
      </w:pPr>
      <w:r>
        <w:rPr>
          <w:rFonts w:hint="eastAsia" w:eastAsia="黑体"/>
          <w:color w:val="auto"/>
          <w:sz w:val="24"/>
          <w:highlight w:val="none"/>
        </w:rPr>
        <w:t>2.3.1 施工期噪声污染源分析</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施工期的主要噪声源是施工机械作业时产生的噪声，这类噪声级一般在</w:t>
      </w:r>
      <w:r>
        <w:rPr>
          <w:rFonts w:hAnsi="宋体"/>
          <w:color w:val="auto"/>
          <w:sz w:val="24"/>
          <w:highlight w:val="none"/>
        </w:rPr>
        <w:t>85dB</w:t>
      </w:r>
      <w:r>
        <w:rPr>
          <w:rFonts w:hint="eastAsia" w:hAnsi="宋体"/>
          <w:color w:val="auto"/>
          <w:sz w:val="24"/>
          <w:highlight w:val="none"/>
        </w:rPr>
        <w:t>以上，施工现场主要噪声源为机械噪声。</w:t>
      </w:r>
    </w:p>
    <w:p>
      <w:pPr>
        <w:adjustRightInd w:val="0"/>
        <w:snapToGrid w:val="0"/>
        <w:ind w:firstLine="480"/>
        <w:jc w:val="right"/>
        <w:rPr>
          <w:rFonts w:hint="eastAsia" w:eastAsia="黑体"/>
          <w:color w:val="auto"/>
          <w:sz w:val="24"/>
          <w:highlight w:val="none"/>
        </w:rPr>
      </w:pPr>
      <w:r>
        <w:rPr>
          <w:b/>
          <w:bCs/>
          <w:color w:val="auto"/>
          <w:sz w:val="24"/>
          <w:highlight w:val="none"/>
        </w:rPr>
        <w:t>表</w:t>
      </w:r>
      <w:r>
        <w:rPr>
          <w:rFonts w:hint="eastAsia"/>
          <w:b/>
          <w:bCs/>
          <w:color w:val="auto"/>
          <w:sz w:val="24"/>
          <w:highlight w:val="none"/>
        </w:rPr>
        <w:t>2.3-1</w:t>
      </w:r>
      <w:r>
        <w:rPr>
          <w:b/>
          <w:bCs/>
          <w:color w:val="auto"/>
          <w:sz w:val="24"/>
          <w:highlight w:val="none"/>
        </w:rPr>
        <w:t xml:space="preserve">  </w:t>
      </w:r>
      <w:r>
        <w:rPr>
          <w:rFonts w:hint="eastAsia"/>
          <w:b/>
          <w:bCs/>
          <w:color w:val="auto"/>
          <w:sz w:val="24"/>
          <w:highlight w:val="none"/>
        </w:rPr>
        <w:t>道路</w:t>
      </w:r>
      <w:r>
        <w:rPr>
          <w:b/>
          <w:bCs/>
          <w:color w:val="auto"/>
          <w:sz w:val="24"/>
          <w:highlight w:val="none"/>
        </w:rPr>
        <w:t xml:space="preserve">工程施工机械噪声值 </w:t>
      </w:r>
      <w:r>
        <w:rPr>
          <w:rFonts w:hint="eastAsia"/>
          <w:b/>
          <w:bCs/>
          <w:color w:val="auto"/>
          <w:sz w:val="24"/>
          <w:highlight w:val="none"/>
        </w:rPr>
        <w:t xml:space="preserve"> </w:t>
      </w:r>
      <w:r>
        <w:rPr>
          <w:b/>
          <w:bCs/>
          <w:color w:val="auto"/>
          <w:sz w:val="24"/>
          <w:highlight w:val="none"/>
        </w:rPr>
        <w:t xml:space="preserve"> </w:t>
      </w:r>
      <w:r>
        <w:rPr>
          <w:rFonts w:hint="eastAsia"/>
          <w:b/>
          <w:bCs/>
          <w:color w:val="auto"/>
          <w:sz w:val="24"/>
          <w:highlight w:val="none"/>
        </w:rPr>
        <w:t xml:space="preserve">     单位：</w:t>
      </w:r>
      <w:r>
        <w:rPr>
          <w:b/>
          <w:bCs/>
          <w:color w:val="auto"/>
          <w:sz w:val="24"/>
          <w:highlight w:val="none"/>
        </w:rPr>
        <w:t>dB</w:t>
      </w:r>
      <w:r>
        <w:rPr>
          <w:rFonts w:hint="eastAsia"/>
          <w:b/>
          <w:bCs/>
          <w:color w:val="auto"/>
          <w:sz w:val="24"/>
          <w:highlight w:val="none"/>
        </w:rPr>
        <w:t>（A）</w:t>
      </w:r>
    </w:p>
    <w:tbl>
      <w:tblPr>
        <w:tblStyle w:val="23"/>
        <w:tblW w:w="928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2743"/>
        <w:gridCol w:w="3808"/>
        <w:gridCol w:w="17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22" w:type="dxa"/>
            <w:vAlign w:val="center"/>
          </w:tcPr>
          <w:p>
            <w:pPr>
              <w:adjustRightInd w:val="0"/>
              <w:snapToGrid w:val="0"/>
              <w:jc w:val="center"/>
              <w:rPr>
                <w:b/>
                <w:color w:val="auto"/>
                <w:szCs w:val="21"/>
                <w:highlight w:val="none"/>
              </w:rPr>
            </w:pPr>
            <w:r>
              <w:rPr>
                <w:b/>
                <w:color w:val="auto"/>
                <w:szCs w:val="21"/>
                <w:highlight w:val="none"/>
              </w:rPr>
              <w:t>序号</w:t>
            </w:r>
          </w:p>
        </w:tc>
        <w:tc>
          <w:tcPr>
            <w:tcW w:w="2743" w:type="dxa"/>
            <w:vAlign w:val="center"/>
          </w:tcPr>
          <w:p>
            <w:pPr>
              <w:adjustRightInd w:val="0"/>
              <w:snapToGrid w:val="0"/>
              <w:jc w:val="center"/>
              <w:rPr>
                <w:b/>
                <w:color w:val="auto"/>
                <w:szCs w:val="21"/>
                <w:highlight w:val="none"/>
              </w:rPr>
            </w:pPr>
            <w:r>
              <w:rPr>
                <w:b/>
                <w:color w:val="auto"/>
                <w:szCs w:val="21"/>
                <w:highlight w:val="none"/>
              </w:rPr>
              <w:t>机械类型</w:t>
            </w:r>
          </w:p>
        </w:tc>
        <w:tc>
          <w:tcPr>
            <w:tcW w:w="3808" w:type="dxa"/>
            <w:vAlign w:val="center"/>
          </w:tcPr>
          <w:p>
            <w:pPr>
              <w:adjustRightInd w:val="0"/>
              <w:snapToGrid w:val="0"/>
              <w:jc w:val="center"/>
              <w:rPr>
                <w:b/>
                <w:color w:val="auto"/>
                <w:szCs w:val="21"/>
                <w:highlight w:val="none"/>
              </w:rPr>
            </w:pPr>
            <w:r>
              <w:rPr>
                <w:b/>
                <w:color w:val="auto"/>
                <w:szCs w:val="21"/>
                <w:highlight w:val="none"/>
              </w:rPr>
              <w:t>测点距施工机械距离</w:t>
            </w:r>
            <w:r>
              <w:rPr>
                <w:rFonts w:hint="eastAsia"/>
                <w:b/>
                <w:color w:val="auto"/>
                <w:szCs w:val="21"/>
                <w:highlight w:val="none"/>
              </w:rPr>
              <w:t>m</w:t>
            </w:r>
          </w:p>
        </w:tc>
        <w:tc>
          <w:tcPr>
            <w:tcW w:w="1713" w:type="dxa"/>
            <w:vAlign w:val="center"/>
          </w:tcPr>
          <w:p>
            <w:pPr>
              <w:adjustRightInd w:val="0"/>
              <w:snapToGrid w:val="0"/>
              <w:jc w:val="center"/>
              <w:rPr>
                <w:b/>
                <w:color w:val="auto"/>
                <w:szCs w:val="21"/>
                <w:highlight w:val="none"/>
              </w:rPr>
            </w:pPr>
            <w:r>
              <w:rPr>
                <w:b/>
                <w:color w:val="auto"/>
                <w:szCs w:val="21"/>
                <w:highlight w:val="none"/>
              </w:rPr>
              <w:t>最大声级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22" w:type="dxa"/>
            <w:vAlign w:val="center"/>
          </w:tcPr>
          <w:p>
            <w:pPr>
              <w:adjustRightInd w:val="0"/>
              <w:snapToGrid w:val="0"/>
              <w:jc w:val="center"/>
              <w:rPr>
                <w:color w:val="auto"/>
                <w:szCs w:val="21"/>
                <w:highlight w:val="none"/>
              </w:rPr>
            </w:pPr>
            <w:r>
              <w:rPr>
                <w:color w:val="auto"/>
                <w:szCs w:val="21"/>
                <w:highlight w:val="none"/>
              </w:rPr>
              <w:t>1</w:t>
            </w:r>
          </w:p>
        </w:tc>
        <w:tc>
          <w:tcPr>
            <w:tcW w:w="2743" w:type="dxa"/>
            <w:vAlign w:val="center"/>
          </w:tcPr>
          <w:p>
            <w:pPr>
              <w:adjustRightInd w:val="0"/>
              <w:snapToGrid w:val="0"/>
              <w:jc w:val="center"/>
              <w:rPr>
                <w:color w:val="auto"/>
                <w:szCs w:val="21"/>
                <w:highlight w:val="none"/>
              </w:rPr>
            </w:pPr>
            <w:r>
              <w:rPr>
                <w:color w:val="auto"/>
                <w:szCs w:val="21"/>
                <w:highlight w:val="none"/>
              </w:rPr>
              <w:t>轮式装载机</w:t>
            </w:r>
          </w:p>
        </w:tc>
        <w:tc>
          <w:tcPr>
            <w:tcW w:w="3808" w:type="dxa"/>
            <w:vAlign w:val="center"/>
          </w:tcPr>
          <w:p>
            <w:pPr>
              <w:adjustRightInd w:val="0"/>
              <w:snapToGrid w:val="0"/>
              <w:jc w:val="center"/>
              <w:rPr>
                <w:color w:val="auto"/>
                <w:szCs w:val="21"/>
                <w:highlight w:val="none"/>
              </w:rPr>
            </w:pPr>
            <w:r>
              <w:rPr>
                <w:color w:val="auto"/>
                <w:szCs w:val="21"/>
                <w:highlight w:val="none"/>
              </w:rPr>
              <w:t>5</w:t>
            </w:r>
          </w:p>
        </w:tc>
        <w:tc>
          <w:tcPr>
            <w:tcW w:w="1713" w:type="dxa"/>
            <w:vAlign w:val="center"/>
          </w:tcPr>
          <w:p>
            <w:pPr>
              <w:adjustRightInd w:val="0"/>
              <w:snapToGrid w:val="0"/>
              <w:jc w:val="center"/>
              <w:rPr>
                <w:color w:val="auto"/>
                <w:szCs w:val="21"/>
                <w:highlight w:val="none"/>
              </w:rPr>
            </w:pPr>
            <w:r>
              <w:rPr>
                <w:color w:val="auto"/>
                <w:szCs w:val="21"/>
                <w:highlight w:val="none"/>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22" w:type="dxa"/>
            <w:vAlign w:val="center"/>
          </w:tcPr>
          <w:p>
            <w:pPr>
              <w:adjustRightInd w:val="0"/>
              <w:snapToGrid w:val="0"/>
              <w:jc w:val="center"/>
              <w:rPr>
                <w:color w:val="auto"/>
                <w:szCs w:val="21"/>
                <w:highlight w:val="none"/>
              </w:rPr>
            </w:pPr>
            <w:r>
              <w:rPr>
                <w:color w:val="auto"/>
                <w:szCs w:val="21"/>
                <w:highlight w:val="none"/>
              </w:rPr>
              <w:t>2</w:t>
            </w:r>
          </w:p>
        </w:tc>
        <w:tc>
          <w:tcPr>
            <w:tcW w:w="2743" w:type="dxa"/>
            <w:vAlign w:val="center"/>
          </w:tcPr>
          <w:p>
            <w:pPr>
              <w:adjustRightInd w:val="0"/>
              <w:snapToGrid w:val="0"/>
              <w:jc w:val="center"/>
              <w:rPr>
                <w:color w:val="auto"/>
                <w:szCs w:val="21"/>
                <w:highlight w:val="none"/>
              </w:rPr>
            </w:pPr>
            <w:r>
              <w:rPr>
                <w:color w:val="auto"/>
                <w:szCs w:val="21"/>
                <w:highlight w:val="none"/>
              </w:rPr>
              <w:t>平地机</w:t>
            </w:r>
          </w:p>
        </w:tc>
        <w:tc>
          <w:tcPr>
            <w:tcW w:w="3808" w:type="dxa"/>
            <w:vAlign w:val="center"/>
          </w:tcPr>
          <w:p>
            <w:pPr>
              <w:adjustRightInd w:val="0"/>
              <w:snapToGrid w:val="0"/>
              <w:jc w:val="center"/>
              <w:rPr>
                <w:color w:val="auto"/>
                <w:szCs w:val="21"/>
                <w:highlight w:val="none"/>
              </w:rPr>
            </w:pPr>
            <w:r>
              <w:rPr>
                <w:color w:val="auto"/>
                <w:szCs w:val="21"/>
                <w:highlight w:val="none"/>
              </w:rPr>
              <w:t>5</w:t>
            </w:r>
          </w:p>
        </w:tc>
        <w:tc>
          <w:tcPr>
            <w:tcW w:w="1713" w:type="dxa"/>
            <w:vAlign w:val="center"/>
          </w:tcPr>
          <w:p>
            <w:pPr>
              <w:adjustRightInd w:val="0"/>
              <w:snapToGrid w:val="0"/>
              <w:jc w:val="center"/>
              <w:rPr>
                <w:color w:val="auto"/>
                <w:szCs w:val="21"/>
                <w:highlight w:val="none"/>
              </w:rPr>
            </w:pPr>
            <w:r>
              <w:rPr>
                <w:color w:val="auto"/>
                <w:szCs w:val="21"/>
                <w:highlight w:val="none"/>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22" w:type="dxa"/>
            <w:vAlign w:val="center"/>
          </w:tcPr>
          <w:p>
            <w:pPr>
              <w:adjustRightInd w:val="0"/>
              <w:snapToGrid w:val="0"/>
              <w:jc w:val="center"/>
              <w:rPr>
                <w:color w:val="auto"/>
                <w:szCs w:val="21"/>
                <w:highlight w:val="none"/>
              </w:rPr>
            </w:pPr>
            <w:r>
              <w:rPr>
                <w:color w:val="auto"/>
                <w:szCs w:val="21"/>
                <w:highlight w:val="none"/>
              </w:rPr>
              <w:t>3</w:t>
            </w:r>
          </w:p>
        </w:tc>
        <w:tc>
          <w:tcPr>
            <w:tcW w:w="2743" w:type="dxa"/>
            <w:vAlign w:val="center"/>
          </w:tcPr>
          <w:p>
            <w:pPr>
              <w:adjustRightInd w:val="0"/>
              <w:snapToGrid w:val="0"/>
              <w:jc w:val="center"/>
              <w:rPr>
                <w:color w:val="auto"/>
                <w:szCs w:val="21"/>
                <w:highlight w:val="none"/>
              </w:rPr>
            </w:pPr>
            <w:r>
              <w:rPr>
                <w:color w:val="auto"/>
                <w:szCs w:val="21"/>
                <w:highlight w:val="none"/>
              </w:rPr>
              <w:t>振动式压路机</w:t>
            </w:r>
          </w:p>
        </w:tc>
        <w:tc>
          <w:tcPr>
            <w:tcW w:w="3808" w:type="dxa"/>
            <w:vAlign w:val="center"/>
          </w:tcPr>
          <w:p>
            <w:pPr>
              <w:adjustRightInd w:val="0"/>
              <w:snapToGrid w:val="0"/>
              <w:jc w:val="center"/>
              <w:rPr>
                <w:color w:val="auto"/>
                <w:szCs w:val="21"/>
                <w:highlight w:val="none"/>
              </w:rPr>
            </w:pPr>
            <w:r>
              <w:rPr>
                <w:color w:val="auto"/>
                <w:szCs w:val="21"/>
                <w:highlight w:val="none"/>
              </w:rPr>
              <w:t>5</w:t>
            </w:r>
          </w:p>
        </w:tc>
        <w:tc>
          <w:tcPr>
            <w:tcW w:w="1713" w:type="dxa"/>
            <w:vAlign w:val="center"/>
          </w:tcPr>
          <w:p>
            <w:pPr>
              <w:adjustRightInd w:val="0"/>
              <w:snapToGrid w:val="0"/>
              <w:jc w:val="center"/>
              <w:rPr>
                <w:color w:val="auto"/>
                <w:szCs w:val="21"/>
                <w:highlight w:val="none"/>
              </w:rPr>
            </w:pPr>
            <w:r>
              <w:rPr>
                <w:color w:val="auto"/>
                <w:szCs w:val="21"/>
                <w:highlight w:val="none"/>
              </w:rPr>
              <w:t>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22" w:type="dxa"/>
            <w:vAlign w:val="center"/>
          </w:tcPr>
          <w:p>
            <w:pPr>
              <w:adjustRightInd w:val="0"/>
              <w:snapToGrid w:val="0"/>
              <w:jc w:val="center"/>
              <w:rPr>
                <w:color w:val="auto"/>
                <w:szCs w:val="21"/>
                <w:highlight w:val="none"/>
              </w:rPr>
            </w:pPr>
            <w:r>
              <w:rPr>
                <w:color w:val="auto"/>
                <w:szCs w:val="21"/>
                <w:highlight w:val="none"/>
              </w:rPr>
              <w:t>4</w:t>
            </w:r>
          </w:p>
        </w:tc>
        <w:tc>
          <w:tcPr>
            <w:tcW w:w="2743" w:type="dxa"/>
            <w:vAlign w:val="center"/>
          </w:tcPr>
          <w:p>
            <w:pPr>
              <w:adjustRightInd w:val="0"/>
              <w:snapToGrid w:val="0"/>
              <w:jc w:val="center"/>
              <w:rPr>
                <w:color w:val="auto"/>
                <w:szCs w:val="21"/>
                <w:highlight w:val="none"/>
              </w:rPr>
            </w:pPr>
            <w:r>
              <w:rPr>
                <w:color w:val="auto"/>
                <w:szCs w:val="21"/>
                <w:highlight w:val="none"/>
              </w:rPr>
              <w:t>双轮双振压路机</w:t>
            </w:r>
          </w:p>
        </w:tc>
        <w:tc>
          <w:tcPr>
            <w:tcW w:w="3808" w:type="dxa"/>
            <w:vAlign w:val="center"/>
          </w:tcPr>
          <w:p>
            <w:pPr>
              <w:adjustRightInd w:val="0"/>
              <w:snapToGrid w:val="0"/>
              <w:jc w:val="center"/>
              <w:rPr>
                <w:color w:val="auto"/>
                <w:szCs w:val="21"/>
                <w:highlight w:val="none"/>
              </w:rPr>
            </w:pPr>
            <w:r>
              <w:rPr>
                <w:color w:val="auto"/>
                <w:szCs w:val="21"/>
                <w:highlight w:val="none"/>
              </w:rPr>
              <w:t>5</w:t>
            </w:r>
          </w:p>
        </w:tc>
        <w:tc>
          <w:tcPr>
            <w:tcW w:w="1713" w:type="dxa"/>
            <w:vAlign w:val="center"/>
          </w:tcPr>
          <w:p>
            <w:pPr>
              <w:adjustRightInd w:val="0"/>
              <w:snapToGrid w:val="0"/>
              <w:jc w:val="center"/>
              <w:rPr>
                <w:color w:val="auto"/>
                <w:szCs w:val="21"/>
                <w:highlight w:val="none"/>
              </w:rPr>
            </w:pPr>
            <w:r>
              <w:rPr>
                <w:color w:val="auto"/>
                <w:szCs w:val="21"/>
                <w:highlight w:val="none"/>
              </w:rPr>
              <w:t>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22" w:type="dxa"/>
            <w:vAlign w:val="center"/>
          </w:tcPr>
          <w:p>
            <w:pPr>
              <w:adjustRightInd w:val="0"/>
              <w:snapToGrid w:val="0"/>
              <w:jc w:val="center"/>
              <w:rPr>
                <w:color w:val="auto"/>
                <w:szCs w:val="21"/>
                <w:highlight w:val="none"/>
              </w:rPr>
            </w:pPr>
            <w:r>
              <w:rPr>
                <w:color w:val="auto"/>
                <w:szCs w:val="21"/>
                <w:highlight w:val="none"/>
              </w:rPr>
              <w:t>5</w:t>
            </w:r>
          </w:p>
        </w:tc>
        <w:tc>
          <w:tcPr>
            <w:tcW w:w="2743" w:type="dxa"/>
            <w:vAlign w:val="center"/>
          </w:tcPr>
          <w:p>
            <w:pPr>
              <w:adjustRightInd w:val="0"/>
              <w:snapToGrid w:val="0"/>
              <w:jc w:val="center"/>
              <w:rPr>
                <w:color w:val="auto"/>
                <w:szCs w:val="21"/>
                <w:highlight w:val="none"/>
              </w:rPr>
            </w:pPr>
            <w:r>
              <w:rPr>
                <w:color w:val="auto"/>
                <w:szCs w:val="21"/>
                <w:highlight w:val="none"/>
              </w:rPr>
              <w:t>三轮压路机</w:t>
            </w:r>
          </w:p>
        </w:tc>
        <w:tc>
          <w:tcPr>
            <w:tcW w:w="3808" w:type="dxa"/>
            <w:vAlign w:val="center"/>
          </w:tcPr>
          <w:p>
            <w:pPr>
              <w:adjustRightInd w:val="0"/>
              <w:snapToGrid w:val="0"/>
              <w:jc w:val="center"/>
              <w:rPr>
                <w:color w:val="auto"/>
                <w:szCs w:val="21"/>
                <w:highlight w:val="none"/>
              </w:rPr>
            </w:pPr>
            <w:r>
              <w:rPr>
                <w:color w:val="auto"/>
                <w:szCs w:val="21"/>
                <w:highlight w:val="none"/>
              </w:rPr>
              <w:t>5</w:t>
            </w:r>
          </w:p>
        </w:tc>
        <w:tc>
          <w:tcPr>
            <w:tcW w:w="1713" w:type="dxa"/>
            <w:vAlign w:val="center"/>
          </w:tcPr>
          <w:p>
            <w:pPr>
              <w:adjustRightInd w:val="0"/>
              <w:snapToGrid w:val="0"/>
              <w:jc w:val="center"/>
              <w:rPr>
                <w:color w:val="auto"/>
                <w:szCs w:val="21"/>
                <w:highlight w:val="none"/>
              </w:rPr>
            </w:pPr>
            <w:r>
              <w:rPr>
                <w:color w:val="auto"/>
                <w:szCs w:val="21"/>
                <w:highlight w:val="none"/>
              </w:rPr>
              <w:t>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22" w:type="dxa"/>
            <w:vAlign w:val="center"/>
          </w:tcPr>
          <w:p>
            <w:pPr>
              <w:adjustRightInd w:val="0"/>
              <w:snapToGrid w:val="0"/>
              <w:jc w:val="center"/>
              <w:rPr>
                <w:color w:val="auto"/>
                <w:szCs w:val="21"/>
                <w:highlight w:val="none"/>
              </w:rPr>
            </w:pPr>
            <w:r>
              <w:rPr>
                <w:color w:val="auto"/>
                <w:szCs w:val="21"/>
                <w:highlight w:val="none"/>
              </w:rPr>
              <w:t>6</w:t>
            </w:r>
          </w:p>
        </w:tc>
        <w:tc>
          <w:tcPr>
            <w:tcW w:w="2743" w:type="dxa"/>
            <w:vAlign w:val="center"/>
          </w:tcPr>
          <w:p>
            <w:pPr>
              <w:adjustRightInd w:val="0"/>
              <w:snapToGrid w:val="0"/>
              <w:jc w:val="center"/>
              <w:rPr>
                <w:color w:val="auto"/>
                <w:szCs w:val="21"/>
                <w:highlight w:val="none"/>
              </w:rPr>
            </w:pPr>
            <w:r>
              <w:rPr>
                <w:color w:val="auto"/>
                <w:szCs w:val="21"/>
                <w:highlight w:val="none"/>
              </w:rPr>
              <w:t>轮胎压路机</w:t>
            </w:r>
          </w:p>
        </w:tc>
        <w:tc>
          <w:tcPr>
            <w:tcW w:w="3808" w:type="dxa"/>
            <w:vAlign w:val="center"/>
          </w:tcPr>
          <w:p>
            <w:pPr>
              <w:adjustRightInd w:val="0"/>
              <w:snapToGrid w:val="0"/>
              <w:jc w:val="center"/>
              <w:rPr>
                <w:color w:val="auto"/>
                <w:szCs w:val="21"/>
                <w:highlight w:val="none"/>
              </w:rPr>
            </w:pPr>
            <w:r>
              <w:rPr>
                <w:color w:val="auto"/>
                <w:szCs w:val="21"/>
                <w:highlight w:val="none"/>
              </w:rPr>
              <w:t>5</w:t>
            </w:r>
          </w:p>
        </w:tc>
        <w:tc>
          <w:tcPr>
            <w:tcW w:w="1713" w:type="dxa"/>
            <w:vAlign w:val="center"/>
          </w:tcPr>
          <w:p>
            <w:pPr>
              <w:adjustRightInd w:val="0"/>
              <w:snapToGrid w:val="0"/>
              <w:jc w:val="center"/>
              <w:rPr>
                <w:color w:val="auto"/>
                <w:szCs w:val="21"/>
                <w:highlight w:val="none"/>
              </w:rPr>
            </w:pPr>
            <w:r>
              <w:rPr>
                <w:color w:val="auto"/>
                <w:szCs w:val="21"/>
                <w:highlight w:val="none"/>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22" w:type="dxa"/>
            <w:vAlign w:val="center"/>
          </w:tcPr>
          <w:p>
            <w:pPr>
              <w:adjustRightInd w:val="0"/>
              <w:snapToGrid w:val="0"/>
              <w:jc w:val="center"/>
              <w:rPr>
                <w:color w:val="auto"/>
                <w:szCs w:val="21"/>
                <w:highlight w:val="none"/>
              </w:rPr>
            </w:pPr>
            <w:r>
              <w:rPr>
                <w:color w:val="auto"/>
                <w:szCs w:val="21"/>
                <w:highlight w:val="none"/>
              </w:rPr>
              <w:t>7</w:t>
            </w:r>
          </w:p>
        </w:tc>
        <w:tc>
          <w:tcPr>
            <w:tcW w:w="2743" w:type="dxa"/>
            <w:vAlign w:val="center"/>
          </w:tcPr>
          <w:p>
            <w:pPr>
              <w:adjustRightInd w:val="0"/>
              <w:snapToGrid w:val="0"/>
              <w:jc w:val="center"/>
              <w:rPr>
                <w:color w:val="auto"/>
                <w:szCs w:val="21"/>
                <w:highlight w:val="none"/>
              </w:rPr>
            </w:pPr>
            <w:r>
              <w:rPr>
                <w:color w:val="auto"/>
                <w:szCs w:val="21"/>
                <w:highlight w:val="none"/>
              </w:rPr>
              <w:t>摊铺机</w:t>
            </w:r>
          </w:p>
        </w:tc>
        <w:tc>
          <w:tcPr>
            <w:tcW w:w="3808" w:type="dxa"/>
            <w:vAlign w:val="center"/>
          </w:tcPr>
          <w:p>
            <w:pPr>
              <w:adjustRightInd w:val="0"/>
              <w:snapToGrid w:val="0"/>
              <w:jc w:val="center"/>
              <w:rPr>
                <w:color w:val="auto"/>
                <w:szCs w:val="21"/>
                <w:highlight w:val="none"/>
              </w:rPr>
            </w:pPr>
            <w:r>
              <w:rPr>
                <w:color w:val="auto"/>
                <w:szCs w:val="21"/>
                <w:highlight w:val="none"/>
              </w:rPr>
              <w:t>5</w:t>
            </w:r>
          </w:p>
        </w:tc>
        <w:tc>
          <w:tcPr>
            <w:tcW w:w="1713" w:type="dxa"/>
            <w:vAlign w:val="center"/>
          </w:tcPr>
          <w:p>
            <w:pPr>
              <w:adjustRightInd w:val="0"/>
              <w:snapToGrid w:val="0"/>
              <w:jc w:val="center"/>
              <w:rPr>
                <w:color w:val="auto"/>
                <w:szCs w:val="21"/>
                <w:highlight w:val="none"/>
              </w:rPr>
            </w:pPr>
            <w:r>
              <w:rPr>
                <w:color w:val="auto"/>
                <w:szCs w:val="21"/>
                <w:highlight w:val="none"/>
              </w:rPr>
              <w:t>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22" w:type="dxa"/>
            <w:vAlign w:val="center"/>
          </w:tcPr>
          <w:p>
            <w:pPr>
              <w:adjustRightInd w:val="0"/>
              <w:snapToGrid w:val="0"/>
              <w:jc w:val="center"/>
              <w:rPr>
                <w:color w:val="auto"/>
                <w:szCs w:val="21"/>
                <w:highlight w:val="none"/>
              </w:rPr>
            </w:pPr>
            <w:r>
              <w:rPr>
                <w:color w:val="auto"/>
                <w:szCs w:val="21"/>
                <w:highlight w:val="none"/>
              </w:rPr>
              <w:t>8</w:t>
            </w:r>
          </w:p>
        </w:tc>
        <w:tc>
          <w:tcPr>
            <w:tcW w:w="2743" w:type="dxa"/>
            <w:vAlign w:val="center"/>
          </w:tcPr>
          <w:p>
            <w:pPr>
              <w:adjustRightInd w:val="0"/>
              <w:snapToGrid w:val="0"/>
              <w:jc w:val="center"/>
              <w:rPr>
                <w:color w:val="auto"/>
                <w:szCs w:val="21"/>
                <w:highlight w:val="none"/>
              </w:rPr>
            </w:pPr>
            <w:r>
              <w:rPr>
                <w:color w:val="auto"/>
                <w:szCs w:val="21"/>
                <w:highlight w:val="none"/>
              </w:rPr>
              <w:t>推土机</w:t>
            </w:r>
          </w:p>
        </w:tc>
        <w:tc>
          <w:tcPr>
            <w:tcW w:w="3808" w:type="dxa"/>
            <w:vAlign w:val="center"/>
          </w:tcPr>
          <w:p>
            <w:pPr>
              <w:adjustRightInd w:val="0"/>
              <w:snapToGrid w:val="0"/>
              <w:jc w:val="center"/>
              <w:rPr>
                <w:color w:val="auto"/>
                <w:szCs w:val="21"/>
                <w:highlight w:val="none"/>
              </w:rPr>
            </w:pPr>
            <w:r>
              <w:rPr>
                <w:color w:val="auto"/>
                <w:szCs w:val="21"/>
                <w:highlight w:val="none"/>
              </w:rPr>
              <w:t>5</w:t>
            </w:r>
          </w:p>
        </w:tc>
        <w:tc>
          <w:tcPr>
            <w:tcW w:w="1713" w:type="dxa"/>
            <w:vAlign w:val="center"/>
          </w:tcPr>
          <w:p>
            <w:pPr>
              <w:adjustRightInd w:val="0"/>
              <w:snapToGrid w:val="0"/>
              <w:jc w:val="center"/>
              <w:rPr>
                <w:color w:val="auto"/>
                <w:szCs w:val="21"/>
                <w:highlight w:val="none"/>
              </w:rPr>
            </w:pPr>
            <w:r>
              <w:rPr>
                <w:color w:val="auto"/>
                <w:szCs w:val="21"/>
                <w:highlight w:val="none"/>
              </w:rPr>
              <w:t>86</w:t>
            </w:r>
          </w:p>
        </w:tc>
      </w:tr>
    </w:tbl>
    <w:p>
      <w:pPr>
        <w:spacing w:line="360" w:lineRule="auto"/>
        <w:outlineLvl w:val="2"/>
        <w:rPr>
          <w:rFonts w:hint="eastAsia" w:eastAsia="黑体"/>
          <w:color w:val="auto"/>
          <w:sz w:val="24"/>
          <w:highlight w:val="none"/>
        </w:rPr>
      </w:pPr>
      <w:r>
        <w:rPr>
          <w:rFonts w:hint="eastAsia" w:eastAsia="黑体"/>
          <w:color w:val="auto"/>
          <w:sz w:val="24"/>
          <w:highlight w:val="none"/>
        </w:rPr>
        <w:t>2.3.2 营运期噪声污染源分析</w:t>
      </w:r>
    </w:p>
    <w:p>
      <w:pPr>
        <w:spacing w:line="360" w:lineRule="auto"/>
        <w:ind w:firstLine="480"/>
        <w:rPr>
          <w:snapToGrid w:val="0"/>
          <w:color w:val="auto"/>
          <w:kern w:val="0"/>
          <w:sz w:val="24"/>
          <w:highlight w:val="none"/>
        </w:rPr>
      </w:pPr>
      <w:r>
        <w:rPr>
          <w:rFonts w:hint="eastAsia"/>
          <w:snapToGrid w:val="0"/>
          <w:color w:val="auto"/>
          <w:kern w:val="0"/>
          <w:sz w:val="24"/>
          <w:highlight w:val="none"/>
        </w:rPr>
        <w:t>道路</w:t>
      </w:r>
      <w:r>
        <w:rPr>
          <w:snapToGrid w:val="0"/>
          <w:color w:val="auto"/>
          <w:kern w:val="0"/>
          <w:sz w:val="24"/>
          <w:highlight w:val="none"/>
        </w:rPr>
        <w:t>投入营运后，在</w:t>
      </w:r>
      <w:r>
        <w:rPr>
          <w:rFonts w:hint="eastAsia"/>
          <w:snapToGrid w:val="0"/>
          <w:color w:val="auto"/>
          <w:kern w:val="0"/>
          <w:sz w:val="24"/>
          <w:highlight w:val="none"/>
        </w:rPr>
        <w:t>道路</w:t>
      </w:r>
      <w:r>
        <w:rPr>
          <w:snapToGrid w:val="0"/>
          <w:color w:val="auto"/>
          <w:kern w:val="0"/>
          <w:sz w:val="24"/>
          <w:highlight w:val="none"/>
        </w:rPr>
        <w:t>上行驶的机动车辆的噪声源为非稳态源，车辆行驶时其发动机、冷却系统以及传动系统等部件均会产生噪声；行驶中引起的气流湍动、排气系统、轮胎与路面的摩擦等也会产生噪声；由于</w:t>
      </w:r>
      <w:r>
        <w:rPr>
          <w:rFonts w:hint="eastAsia"/>
          <w:snapToGrid w:val="0"/>
          <w:color w:val="auto"/>
          <w:kern w:val="0"/>
          <w:sz w:val="24"/>
          <w:highlight w:val="none"/>
        </w:rPr>
        <w:t>道路</w:t>
      </w:r>
      <w:r>
        <w:rPr>
          <w:snapToGrid w:val="0"/>
          <w:color w:val="auto"/>
          <w:kern w:val="0"/>
          <w:sz w:val="24"/>
          <w:highlight w:val="none"/>
        </w:rPr>
        <w:t>路面平整度等原因而使行驶中的汽车产生整车噪声。交通噪声的大小与车速、车流量、机动车类型、道路结构、道路表面覆盖物、道路两侧建筑物、地形等多因素有关。</w:t>
      </w:r>
    </w:p>
    <w:p>
      <w:pPr>
        <w:spacing w:line="360" w:lineRule="auto"/>
        <w:ind w:firstLine="480"/>
        <w:rPr>
          <w:snapToGrid w:val="0"/>
          <w:color w:val="auto"/>
          <w:kern w:val="0"/>
          <w:sz w:val="24"/>
          <w:highlight w:val="none"/>
        </w:rPr>
      </w:pPr>
      <w:r>
        <w:rPr>
          <w:snapToGrid w:val="0"/>
          <w:color w:val="auto"/>
          <w:kern w:val="0"/>
          <w:sz w:val="24"/>
          <w:highlight w:val="none"/>
        </w:rPr>
        <w:t>(1)车型</w:t>
      </w:r>
    </w:p>
    <w:p>
      <w:pPr>
        <w:spacing w:line="360" w:lineRule="auto"/>
        <w:ind w:firstLine="480"/>
        <w:rPr>
          <w:snapToGrid w:val="0"/>
          <w:color w:val="auto"/>
          <w:kern w:val="0"/>
          <w:sz w:val="24"/>
          <w:highlight w:val="none"/>
        </w:rPr>
      </w:pPr>
      <w:r>
        <w:rPr>
          <w:snapToGrid w:val="0"/>
          <w:color w:val="auto"/>
          <w:kern w:val="0"/>
          <w:sz w:val="24"/>
          <w:highlight w:val="none"/>
        </w:rPr>
        <w:t>车型分类分为大、中、小型，如表</w:t>
      </w:r>
      <w:r>
        <w:rPr>
          <w:rFonts w:hint="eastAsia"/>
          <w:snapToGrid w:val="0"/>
          <w:color w:val="auto"/>
          <w:kern w:val="0"/>
          <w:sz w:val="24"/>
          <w:highlight w:val="none"/>
        </w:rPr>
        <w:t>2.3</w:t>
      </w:r>
      <w:r>
        <w:rPr>
          <w:snapToGrid w:val="0"/>
          <w:color w:val="auto"/>
          <w:kern w:val="0"/>
          <w:sz w:val="24"/>
          <w:highlight w:val="none"/>
        </w:rPr>
        <w:t>-</w:t>
      </w:r>
      <w:r>
        <w:rPr>
          <w:rFonts w:hint="eastAsia"/>
          <w:snapToGrid w:val="0"/>
          <w:color w:val="auto"/>
          <w:kern w:val="0"/>
          <w:sz w:val="24"/>
          <w:highlight w:val="none"/>
        </w:rPr>
        <w:t>2</w:t>
      </w:r>
      <w:r>
        <w:rPr>
          <w:snapToGrid w:val="0"/>
          <w:color w:val="auto"/>
          <w:kern w:val="0"/>
          <w:sz w:val="24"/>
          <w:highlight w:val="none"/>
        </w:rPr>
        <w:t>所示。</w:t>
      </w:r>
    </w:p>
    <w:p>
      <w:pPr>
        <w:adjustRightInd w:val="0"/>
        <w:snapToGrid w:val="0"/>
        <w:ind w:firstLine="480"/>
        <w:jc w:val="center"/>
        <w:rPr>
          <w:b/>
          <w:bCs/>
          <w:color w:val="auto"/>
          <w:sz w:val="24"/>
          <w:highlight w:val="none"/>
        </w:rPr>
      </w:pPr>
      <w:r>
        <w:rPr>
          <w:b/>
          <w:bCs/>
          <w:color w:val="auto"/>
          <w:sz w:val="24"/>
          <w:highlight w:val="none"/>
        </w:rPr>
        <w:t>表</w:t>
      </w:r>
      <w:r>
        <w:rPr>
          <w:rFonts w:hint="eastAsia"/>
          <w:b/>
          <w:bCs/>
          <w:color w:val="auto"/>
          <w:sz w:val="24"/>
          <w:highlight w:val="none"/>
        </w:rPr>
        <w:t>2.3</w:t>
      </w:r>
      <w:r>
        <w:rPr>
          <w:b/>
          <w:bCs/>
          <w:color w:val="auto"/>
          <w:sz w:val="24"/>
          <w:highlight w:val="none"/>
        </w:rPr>
        <w:t>-</w:t>
      </w:r>
      <w:r>
        <w:rPr>
          <w:rFonts w:hint="eastAsia"/>
          <w:b/>
          <w:bCs/>
          <w:color w:val="auto"/>
          <w:sz w:val="24"/>
          <w:highlight w:val="none"/>
        </w:rPr>
        <w:t>2</w:t>
      </w:r>
      <w:r>
        <w:rPr>
          <w:b/>
          <w:bCs/>
          <w:color w:val="auto"/>
          <w:sz w:val="24"/>
          <w:highlight w:val="none"/>
        </w:rPr>
        <w:t xml:space="preserve">  车型分类标准</w:t>
      </w:r>
    </w:p>
    <w:tbl>
      <w:tblPr>
        <w:tblStyle w:val="23"/>
        <w:tblW w:w="951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62"/>
        <w:gridCol w:w="47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762" w:type="dxa"/>
            <w:vAlign w:val="center"/>
          </w:tcPr>
          <w:p>
            <w:pPr>
              <w:widowControl/>
              <w:jc w:val="center"/>
              <w:rPr>
                <w:b/>
                <w:bCs/>
                <w:color w:val="auto"/>
                <w:kern w:val="0"/>
                <w:szCs w:val="21"/>
                <w:highlight w:val="none"/>
              </w:rPr>
            </w:pPr>
            <w:r>
              <w:rPr>
                <w:b/>
                <w:bCs/>
                <w:color w:val="auto"/>
                <w:kern w:val="0"/>
                <w:szCs w:val="21"/>
                <w:highlight w:val="none"/>
              </w:rPr>
              <w:t>车型</w:t>
            </w:r>
          </w:p>
        </w:tc>
        <w:tc>
          <w:tcPr>
            <w:tcW w:w="4752" w:type="dxa"/>
            <w:vAlign w:val="center"/>
          </w:tcPr>
          <w:p>
            <w:pPr>
              <w:widowControl/>
              <w:jc w:val="center"/>
              <w:rPr>
                <w:b/>
                <w:bCs/>
                <w:color w:val="auto"/>
                <w:kern w:val="0"/>
                <w:szCs w:val="21"/>
                <w:highlight w:val="none"/>
              </w:rPr>
            </w:pPr>
            <w:r>
              <w:rPr>
                <w:b/>
                <w:bCs/>
                <w:color w:val="auto"/>
                <w:kern w:val="0"/>
                <w:szCs w:val="21"/>
                <w:highlight w:val="none"/>
              </w:rPr>
              <w:t>汽车总质量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jc w:val="center"/>
        </w:trPr>
        <w:tc>
          <w:tcPr>
            <w:tcW w:w="4762" w:type="dxa"/>
            <w:vAlign w:val="center"/>
          </w:tcPr>
          <w:p>
            <w:pPr>
              <w:widowControl/>
              <w:jc w:val="center"/>
              <w:rPr>
                <w:color w:val="auto"/>
                <w:kern w:val="0"/>
                <w:szCs w:val="21"/>
                <w:highlight w:val="none"/>
              </w:rPr>
            </w:pPr>
            <w:r>
              <w:rPr>
                <w:color w:val="auto"/>
                <w:kern w:val="0"/>
                <w:szCs w:val="21"/>
                <w:highlight w:val="none"/>
              </w:rPr>
              <w:t>小型车(s)</w:t>
            </w:r>
          </w:p>
        </w:tc>
        <w:tc>
          <w:tcPr>
            <w:tcW w:w="4752" w:type="dxa"/>
            <w:vAlign w:val="center"/>
          </w:tcPr>
          <w:p>
            <w:pPr>
              <w:widowControl/>
              <w:jc w:val="center"/>
              <w:rPr>
                <w:color w:val="auto"/>
                <w:kern w:val="0"/>
                <w:szCs w:val="21"/>
                <w:highlight w:val="none"/>
              </w:rPr>
            </w:pPr>
            <w:r>
              <w:rPr>
                <w:color w:val="auto"/>
                <w:kern w:val="0"/>
                <w:szCs w:val="21"/>
                <w:highlight w:val="none"/>
              </w:rPr>
              <w:t>≤3.5t，M1，M2，N1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jc w:val="center"/>
        </w:trPr>
        <w:tc>
          <w:tcPr>
            <w:tcW w:w="4762" w:type="dxa"/>
            <w:vAlign w:val="center"/>
          </w:tcPr>
          <w:p>
            <w:pPr>
              <w:widowControl/>
              <w:jc w:val="center"/>
              <w:rPr>
                <w:color w:val="auto"/>
                <w:kern w:val="0"/>
                <w:szCs w:val="21"/>
                <w:highlight w:val="none"/>
              </w:rPr>
            </w:pPr>
            <w:r>
              <w:rPr>
                <w:color w:val="auto"/>
                <w:kern w:val="0"/>
                <w:szCs w:val="21"/>
                <w:highlight w:val="none"/>
              </w:rPr>
              <w:t>中型车(m)</w:t>
            </w:r>
          </w:p>
        </w:tc>
        <w:tc>
          <w:tcPr>
            <w:tcW w:w="4752" w:type="dxa"/>
            <w:vAlign w:val="center"/>
          </w:tcPr>
          <w:p>
            <w:pPr>
              <w:widowControl/>
              <w:jc w:val="center"/>
              <w:rPr>
                <w:color w:val="auto"/>
                <w:kern w:val="0"/>
                <w:szCs w:val="21"/>
                <w:highlight w:val="none"/>
              </w:rPr>
            </w:pPr>
            <w:r>
              <w:rPr>
                <w:color w:val="auto"/>
                <w:kern w:val="0"/>
                <w:szCs w:val="21"/>
                <w:highlight w:val="none"/>
              </w:rPr>
              <w:t>3.5t ~12t，M2，M3，N2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jc w:val="center"/>
        </w:trPr>
        <w:tc>
          <w:tcPr>
            <w:tcW w:w="4762" w:type="dxa"/>
            <w:vAlign w:val="center"/>
          </w:tcPr>
          <w:p>
            <w:pPr>
              <w:widowControl/>
              <w:jc w:val="center"/>
              <w:rPr>
                <w:color w:val="auto"/>
                <w:kern w:val="0"/>
                <w:szCs w:val="21"/>
                <w:highlight w:val="none"/>
              </w:rPr>
            </w:pPr>
            <w:r>
              <w:rPr>
                <w:color w:val="auto"/>
                <w:kern w:val="0"/>
                <w:szCs w:val="21"/>
                <w:highlight w:val="none"/>
              </w:rPr>
              <w:t>大型车(l)</w:t>
            </w:r>
          </w:p>
        </w:tc>
        <w:tc>
          <w:tcPr>
            <w:tcW w:w="4752" w:type="dxa"/>
            <w:vAlign w:val="center"/>
          </w:tcPr>
          <w:p>
            <w:pPr>
              <w:widowControl/>
              <w:jc w:val="center"/>
              <w:rPr>
                <w:color w:val="auto"/>
                <w:kern w:val="0"/>
                <w:szCs w:val="21"/>
                <w:highlight w:val="none"/>
              </w:rPr>
            </w:pPr>
            <w:r>
              <w:rPr>
                <w:color w:val="auto"/>
                <w:kern w:val="0"/>
                <w:szCs w:val="21"/>
                <w:highlight w:val="none"/>
              </w:rPr>
              <w:t>＞12t，N3</w:t>
            </w:r>
          </w:p>
        </w:tc>
      </w:tr>
    </w:tbl>
    <w:p>
      <w:pPr>
        <w:spacing w:before="120" w:beforeLines="50" w:line="360" w:lineRule="auto"/>
        <w:ind w:firstLine="480"/>
        <w:rPr>
          <w:snapToGrid w:val="0"/>
          <w:color w:val="auto"/>
          <w:kern w:val="0"/>
          <w:sz w:val="24"/>
          <w:highlight w:val="none"/>
        </w:rPr>
      </w:pPr>
      <w:r>
        <w:rPr>
          <w:snapToGrid w:val="0"/>
          <w:color w:val="auto"/>
          <w:kern w:val="0"/>
          <w:sz w:val="24"/>
          <w:highlight w:val="none"/>
        </w:rPr>
        <w:t>(2)车流量</w:t>
      </w:r>
    </w:p>
    <w:p>
      <w:pPr>
        <w:spacing w:line="360" w:lineRule="auto"/>
        <w:ind w:firstLine="480"/>
        <w:rPr>
          <w:snapToGrid w:val="0"/>
          <w:color w:val="auto"/>
          <w:kern w:val="0"/>
          <w:sz w:val="24"/>
          <w:highlight w:val="none"/>
        </w:rPr>
      </w:pPr>
      <w:r>
        <w:rPr>
          <w:snapToGrid w:val="0"/>
          <w:color w:val="auto"/>
          <w:kern w:val="0"/>
          <w:sz w:val="24"/>
          <w:highlight w:val="none"/>
        </w:rPr>
        <w:t>各车型车流量折算成当量小客车流量时的折算系数按照《公路工程技术标准》(JTGB01-2003)及《关于调整公路交通情况调查车型分类及车辆折算系数的通知》。将各车型根据吨位分为小型车(3.5t以下)、中型车(3.5～12t)和大型车(12t以上)。全部车辆均折算为小型车，大、中、小车转换比例为：一辆大车折合3辆小车，一辆中车折合1.5辆小车。</w:t>
      </w:r>
    </w:p>
    <w:p>
      <w:pPr>
        <w:spacing w:line="360" w:lineRule="auto"/>
        <w:ind w:firstLine="480"/>
        <w:rPr>
          <w:snapToGrid w:val="0"/>
          <w:color w:val="auto"/>
          <w:kern w:val="0"/>
          <w:sz w:val="24"/>
          <w:highlight w:val="none"/>
        </w:rPr>
      </w:pPr>
      <w:r>
        <w:rPr>
          <w:snapToGrid w:val="0"/>
          <w:color w:val="auto"/>
          <w:kern w:val="0"/>
          <w:sz w:val="24"/>
          <w:highlight w:val="none"/>
        </w:rPr>
        <w:t>(2)车速</w:t>
      </w:r>
    </w:p>
    <w:p>
      <w:pPr>
        <w:spacing w:line="360" w:lineRule="auto"/>
        <w:ind w:firstLine="480"/>
        <w:rPr>
          <w:rFonts w:hint="eastAsia"/>
          <w:color w:val="auto"/>
          <w:sz w:val="24"/>
          <w:highlight w:val="none"/>
        </w:rPr>
      </w:pPr>
      <w:r>
        <w:rPr>
          <w:rFonts w:hint="eastAsia"/>
          <w:color w:val="auto"/>
          <w:sz w:val="24"/>
          <w:highlight w:val="none"/>
        </w:rPr>
        <w:t>本项目道路设计车速：主线50km/h，辅路40km/h，作为预测车速进行噪声预测计算。</w:t>
      </w:r>
    </w:p>
    <w:p>
      <w:pPr>
        <w:spacing w:line="360" w:lineRule="auto"/>
        <w:ind w:firstLine="480"/>
        <w:rPr>
          <w:snapToGrid w:val="0"/>
          <w:color w:val="auto"/>
          <w:kern w:val="0"/>
          <w:sz w:val="24"/>
          <w:highlight w:val="none"/>
        </w:rPr>
      </w:pPr>
      <w:r>
        <w:rPr>
          <w:snapToGrid w:val="0"/>
          <w:color w:val="auto"/>
          <w:kern w:val="0"/>
          <w:sz w:val="24"/>
          <w:highlight w:val="none"/>
        </w:rPr>
        <w:t>(4)噪声辐射声级</w:t>
      </w:r>
    </w:p>
    <w:p>
      <w:pPr>
        <w:spacing w:line="360" w:lineRule="auto"/>
        <w:ind w:firstLine="480"/>
        <w:rPr>
          <w:snapToGrid w:val="0"/>
          <w:color w:val="auto"/>
          <w:kern w:val="0"/>
          <w:sz w:val="24"/>
          <w:highlight w:val="none"/>
        </w:rPr>
      </w:pPr>
      <w:r>
        <w:rPr>
          <w:snapToGrid w:val="0"/>
          <w:color w:val="auto"/>
          <w:kern w:val="0"/>
          <w:sz w:val="24"/>
          <w:highlight w:val="none"/>
        </w:rPr>
        <w:t>各车型在参照点(7.5m处)的平均辐射噪声级Loi按下式计算：</w:t>
      </w:r>
    </w:p>
    <w:p>
      <w:pPr>
        <w:spacing w:line="360" w:lineRule="auto"/>
        <w:ind w:firstLine="468" w:firstLineChars="195"/>
        <w:rPr>
          <w:color w:val="auto"/>
          <w:sz w:val="24"/>
          <w:highlight w:val="none"/>
        </w:rPr>
      </w:pPr>
      <w:r>
        <w:rPr>
          <w:color w:val="auto"/>
          <w:sz w:val="24"/>
          <w:highlight w:val="none"/>
        </w:rPr>
        <w:t>小型车：</w:t>
      </w:r>
      <w:r>
        <w:rPr>
          <w:i/>
          <w:color w:val="auto"/>
          <w:sz w:val="24"/>
          <w:highlight w:val="none"/>
        </w:rPr>
        <w:t>L</w:t>
      </w:r>
      <w:r>
        <w:rPr>
          <w:i/>
          <w:color w:val="auto"/>
          <w:sz w:val="24"/>
          <w:highlight w:val="none"/>
          <w:vertAlign w:val="subscript"/>
        </w:rPr>
        <w:t>oS</w:t>
      </w:r>
      <w:r>
        <w:rPr>
          <w:color w:val="auto"/>
          <w:sz w:val="24"/>
          <w:highlight w:val="none"/>
        </w:rPr>
        <w:t>=12.6+34.73lg</w:t>
      </w:r>
      <w:r>
        <w:rPr>
          <w:i/>
          <w:color w:val="auto"/>
          <w:sz w:val="24"/>
          <w:highlight w:val="none"/>
        </w:rPr>
        <w:t>V</w:t>
      </w:r>
      <w:r>
        <w:rPr>
          <w:i/>
          <w:color w:val="auto"/>
          <w:sz w:val="24"/>
          <w:highlight w:val="none"/>
          <w:vertAlign w:val="subscript"/>
        </w:rPr>
        <w:t>S</w:t>
      </w:r>
      <w:r>
        <w:rPr>
          <w:color w:val="auto"/>
          <w:sz w:val="24"/>
          <w:highlight w:val="none"/>
        </w:rPr>
        <w:t>；</w:t>
      </w:r>
    </w:p>
    <w:p>
      <w:pPr>
        <w:spacing w:line="360" w:lineRule="auto"/>
        <w:ind w:firstLine="468" w:firstLineChars="195"/>
        <w:rPr>
          <w:color w:val="auto"/>
          <w:sz w:val="24"/>
          <w:highlight w:val="none"/>
        </w:rPr>
      </w:pPr>
      <w:r>
        <w:rPr>
          <w:color w:val="auto"/>
          <w:sz w:val="24"/>
          <w:highlight w:val="none"/>
        </w:rPr>
        <w:t>中型车：</w:t>
      </w:r>
      <w:r>
        <w:rPr>
          <w:i/>
          <w:color w:val="auto"/>
          <w:sz w:val="24"/>
          <w:highlight w:val="none"/>
        </w:rPr>
        <w:t>L</w:t>
      </w:r>
      <w:r>
        <w:rPr>
          <w:i/>
          <w:color w:val="auto"/>
          <w:sz w:val="24"/>
          <w:highlight w:val="none"/>
          <w:vertAlign w:val="subscript"/>
        </w:rPr>
        <w:t>oM</w:t>
      </w:r>
      <w:r>
        <w:rPr>
          <w:color w:val="auto"/>
          <w:sz w:val="24"/>
          <w:highlight w:val="none"/>
        </w:rPr>
        <w:t>=8.8+40.48lg</w:t>
      </w:r>
      <w:r>
        <w:rPr>
          <w:i/>
          <w:color w:val="auto"/>
          <w:sz w:val="24"/>
          <w:highlight w:val="none"/>
        </w:rPr>
        <w:t>V</w:t>
      </w:r>
      <w:r>
        <w:rPr>
          <w:i/>
          <w:color w:val="auto"/>
          <w:sz w:val="24"/>
          <w:highlight w:val="none"/>
          <w:vertAlign w:val="subscript"/>
        </w:rPr>
        <w:t>M</w:t>
      </w:r>
      <w:r>
        <w:rPr>
          <w:color w:val="auto"/>
          <w:sz w:val="24"/>
          <w:highlight w:val="none"/>
        </w:rPr>
        <w:t>；</w:t>
      </w:r>
    </w:p>
    <w:p>
      <w:pPr>
        <w:spacing w:line="360" w:lineRule="auto"/>
        <w:ind w:firstLine="468" w:firstLineChars="195"/>
        <w:rPr>
          <w:color w:val="auto"/>
          <w:sz w:val="24"/>
          <w:highlight w:val="none"/>
        </w:rPr>
      </w:pPr>
      <w:r>
        <w:rPr>
          <w:color w:val="auto"/>
          <w:sz w:val="24"/>
          <w:highlight w:val="none"/>
        </w:rPr>
        <w:t>大型车：</w:t>
      </w:r>
      <w:r>
        <w:rPr>
          <w:i/>
          <w:color w:val="auto"/>
          <w:sz w:val="24"/>
          <w:highlight w:val="none"/>
        </w:rPr>
        <w:t>L</w:t>
      </w:r>
      <w:r>
        <w:rPr>
          <w:i/>
          <w:color w:val="auto"/>
          <w:sz w:val="24"/>
          <w:highlight w:val="none"/>
          <w:vertAlign w:val="subscript"/>
        </w:rPr>
        <w:t>oL</w:t>
      </w:r>
      <w:r>
        <w:rPr>
          <w:color w:val="auto"/>
          <w:sz w:val="24"/>
          <w:highlight w:val="none"/>
        </w:rPr>
        <w:t>=22.0+36.32lg</w:t>
      </w:r>
      <w:r>
        <w:rPr>
          <w:i/>
          <w:color w:val="auto"/>
          <w:sz w:val="24"/>
          <w:highlight w:val="none"/>
        </w:rPr>
        <w:t>V</w:t>
      </w:r>
      <w:r>
        <w:rPr>
          <w:i/>
          <w:color w:val="auto"/>
          <w:sz w:val="24"/>
          <w:highlight w:val="none"/>
          <w:vertAlign w:val="subscript"/>
        </w:rPr>
        <w:t>L</w:t>
      </w:r>
      <w:r>
        <w:rPr>
          <w:color w:val="auto"/>
          <w:sz w:val="24"/>
          <w:highlight w:val="none"/>
        </w:rPr>
        <w:t>。</w:t>
      </w:r>
    </w:p>
    <w:p>
      <w:pPr>
        <w:spacing w:line="360" w:lineRule="auto"/>
        <w:ind w:firstLine="480"/>
        <w:rPr>
          <w:snapToGrid w:val="0"/>
          <w:color w:val="auto"/>
          <w:kern w:val="0"/>
          <w:sz w:val="24"/>
          <w:highlight w:val="none"/>
        </w:rPr>
      </w:pPr>
      <w:r>
        <w:rPr>
          <w:snapToGrid w:val="0"/>
          <w:color w:val="auto"/>
          <w:kern w:val="0"/>
          <w:sz w:val="24"/>
          <w:highlight w:val="none"/>
        </w:rPr>
        <w:t>式中：右下角注S、M、L分别代表小、中、大车型；</w:t>
      </w:r>
    </w:p>
    <w:p>
      <w:pPr>
        <w:spacing w:line="360" w:lineRule="auto"/>
        <w:ind w:firstLine="1197" w:firstLineChars="499"/>
        <w:rPr>
          <w:color w:val="auto"/>
          <w:sz w:val="24"/>
          <w:highlight w:val="none"/>
        </w:rPr>
      </w:pPr>
      <w:r>
        <w:rPr>
          <w:i/>
          <w:color w:val="auto"/>
          <w:sz w:val="24"/>
          <w:highlight w:val="none"/>
        </w:rPr>
        <w:t>V</w:t>
      </w:r>
      <w:r>
        <w:rPr>
          <w:i/>
          <w:color w:val="auto"/>
          <w:sz w:val="24"/>
          <w:highlight w:val="none"/>
          <w:vertAlign w:val="subscript"/>
        </w:rPr>
        <w:t>i</w:t>
      </w:r>
      <w:r>
        <w:rPr>
          <w:color w:val="auto"/>
          <w:sz w:val="24"/>
          <w:highlight w:val="none"/>
        </w:rPr>
        <w:t>－该车型车辆的平均行驶速度，km/h。</w:t>
      </w:r>
    </w:p>
    <w:p>
      <w:pPr>
        <w:spacing w:line="360" w:lineRule="auto"/>
        <w:ind w:firstLine="480"/>
        <w:rPr>
          <w:snapToGrid w:val="0"/>
          <w:color w:val="auto"/>
          <w:kern w:val="0"/>
          <w:sz w:val="24"/>
          <w:highlight w:val="none"/>
        </w:rPr>
      </w:pPr>
      <w:r>
        <w:rPr>
          <w:snapToGrid w:val="0"/>
          <w:color w:val="auto"/>
          <w:kern w:val="0"/>
          <w:sz w:val="24"/>
          <w:highlight w:val="none"/>
        </w:rPr>
        <w:t>根据以上公式，计算项目运营各期</w:t>
      </w:r>
      <w:r>
        <w:rPr>
          <w:rFonts w:hint="eastAsia"/>
          <w:snapToGrid w:val="0"/>
          <w:color w:val="auto"/>
          <w:kern w:val="0"/>
          <w:sz w:val="24"/>
          <w:highlight w:val="none"/>
        </w:rPr>
        <w:t>单车</w:t>
      </w:r>
      <w:r>
        <w:rPr>
          <w:snapToGrid w:val="0"/>
          <w:color w:val="auto"/>
          <w:kern w:val="0"/>
          <w:sz w:val="24"/>
          <w:highlight w:val="none"/>
        </w:rPr>
        <w:t>7.5m处平均辐射声级见</w:t>
      </w:r>
      <w:r>
        <w:rPr>
          <w:rFonts w:hint="eastAsia"/>
          <w:snapToGrid w:val="0"/>
          <w:color w:val="auto"/>
          <w:kern w:val="0"/>
          <w:sz w:val="24"/>
          <w:highlight w:val="none"/>
        </w:rPr>
        <w:t>2.3</w:t>
      </w:r>
      <w:r>
        <w:rPr>
          <w:snapToGrid w:val="0"/>
          <w:color w:val="auto"/>
          <w:kern w:val="0"/>
          <w:sz w:val="24"/>
          <w:highlight w:val="none"/>
        </w:rPr>
        <w:t>-</w:t>
      </w:r>
      <w:r>
        <w:rPr>
          <w:rFonts w:hint="eastAsia"/>
          <w:snapToGrid w:val="0"/>
          <w:color w:val="auto"/>
          <w:kern w:val="0"/>
          <w:sz w:val="24"/>
          <w:highlight w:val="none"/>
        </w:rPr>
        <w:t>3</w:t>
      </w:r>
      <w:r>
        <w:rPr>
          <w:snapToGrid w:val="0"/>
          <w:color w:val="auto"/>
          <w:kern w:val="0"/>
          <w:sz w:val="24"/>
          <w:highlight w:val="none"/>
        </w:rPr>
        <w:t>。</w:t>
      </w:r>
    </w:p>
    <w:p>
      <w:pPr>
        <w:adjustRightInd w:val="0"/>
        <w:snapToGrid w:val="0"/>
        <w:ind w:firstLine="480"/>
        <w:jc w:val="right"/>
        <w:rPr>
          <w:rFonts w:hint="eastAsia"/>
          <w:b/>
          <w:bCs/>
          <w:color w:val="auto"/>
          <w:sz w:val="24"/>
          <w:highlight w:val="none"/>
        </w:rPr>
      </w:pPr>
      <w:r>
        <w:rPr>
          <w:b/>
          <w:bCs/>
          <w:color w:val="auto"/>
          <w:sz w:val="24"/>
          <w:highlight w:val="none"/>
        </w:rPr>
        <w:t>表</w:t>
      </w:r>
      <w:r>
        <w:rPr>
          <w:rFonts w:hint="eastAsia"/>
          <w:b/>
          <w:bCs/>
          <w:color w:val="auto"/>
          <w:sz w:val="24"/>
          <w:highlight w:val="none"/>
        </w:rPr>
        <w:t>2.3</w:t>
      </w:r>
      <w:r>
        <w:rPr>
          <w:b/>
          <w:bCs/>
          <w:color w:val="auto"/>
          <w:sz w:val="24"/>
          <w:highlight w:val="none"/>
        </w:rPr>
        <w:t>-</w:t>
      </w:r>
      <w:r>
        <w:rPr>
          <w:rFonts w:hint="eastAsia"/>
          <w:b/>
          <w:bCs/>
          <w:color w:val="auto"/>
          <w:sz w:val="24"/>
          <w:highlight w:val="none"/>
        </w:rPr>
        <w:t>3</w:t>
      </w:r>
      <w:r>
        <w:rPr>
          <w:b/>
          <w:bCs/>
          <w:color w:val="auto"/>
          <w:sz w:val="24"/>
          <w:highlight w:val="none"/>
        </w:rPr>
        <w:t xml:space="preserve">  运营各期各车型综合噪声排放源强</w:t>
      </w:r>
      <w:r>
        <w:rPr>
          <w:rFonts w:hint="eastAsia"/>
          <w:b/>
          <w:bCs/>
          <w:color w:val="auto"/>
          <w:sz w:val="24"/>
          <w:highlight w:val="none"/>
        </w:rPr>
        <w:t xml:space="preserve">    单位：dB（A）</w:t>
      </w:r>
    </w:p>
    <w:tbl>
      <w:tblPr>
        <w:tblStyle w:val="23"/>
        <w:tblW w:w="899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085"/>
        <w:gridCol w:w="1158"/>
        <w:gridCol w:w="1161"/>
        <w:gridCol w:w="1159"/>
        <w:gridCol w:w="1160"/>
        <w:gridCol w:w="1158"/>
        <w:gridCol w:w="1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blHeader/>
          <w:jc w:val="center"/>
        </w:trPr>
        <w:tc>
          <w:tcPr>
            <w:tcW w:w="956" w:type="dxa"/>
            <w:vMerge w:val="restart"/>
            <w:vAlign w:val="center"/>
          </w:tcPr>
          <w:p>
            <w:pPr>
              <w:widowControl/>
              <w:jc w:val="center"/>
              <w:rPr>
                <w:rFonts w:hint="eastAsia"/>
                <w:color w:val="auto"/>
                <w:kern w:val="0"/>
                <w:szCs w:val="21"/>
                <w:highlight w:val="none"/>
              </w:rPr>
            </w:pPr>
            <w:r>
              <w:rPr>
                <w:rFonts w:hint="eastAsia"/>
                <w:color w:val="auto"/>
                <w:kern w:val="0"/>
                <w:szCs w:val="21"/>
                <w:highlight w:val="none"/>
              </w:rPr>
              <w:t>路段</w:t>
            </w:r>
          </w:p>
        </w:tc>
        <w:tc>
          <w:tcPr>
            <w:tcW w:w="1085" w:type="dxa"/>
            <w:vMerge w:val="restart"/>
            <w:vAlign w:val="center"/>
          </w:tcPr>
          <w:p>
            <w:pPr>
              <w:widowControl/>
              <w:jc w:val="center"/>
              <w:rPr>
                <w:rFonts w:hint="eastAsia"/>
                <w:color w:val="auto"/>
                <w:kern w:val="0"/>
                <w:szCs w:val="21"/>
                <w:highlight w:val="none"/>
              </w:rPr>
            </w:pPr>
            <w:r>
              <w:rPr>
                <w:rFonts w:hint="eastAsia"/>
                <w:color w:val="auto"/>
                <w:kern w:val="0"/>
                <w:szCs w:val="21"/>
                <w:highlight w:val="none"/>
              </w:rPr>
              <w:t>车型</w:t>
            </w:r>
          </w:p>
        </w:tc>
        <w:tc>
          <w:tcPr>
            <w:tcW w:w="2319" w:type="dxa"/>
            <w:gridSpan w:val="2"/>
            <w:vAlign w:val="center"/>
          </w:tcPr>
          <w:p>
            <w:pPr>
              <w:widowControl/>
              <w:jc w:val="center"/>
              <w:rPr>
                <w:rFonts w:hint="eastAsia"/>
                <w:color w:val="auto"/>
                <w:kern w:val="0"/>
                <w:szCs w:val="21"/>
                <w:highlight w:val="none"/>
              </w:rPr>
            </w:pPr>
            <w:r>
              <w:rPr>
                <w:rFonts w:hint="eastAsia"/>
                <w:color w:val="auto"/>
                <w:kern w:val="0"/>
                <w:szCs w:val="21"/>
                <w:highlight w:val="none"/>
              </w:rPr>
              <w:t>2025年</w:t>
            </w:r>
          </w:p>
        </w:tc>
        <w:tc>
          <w:tcPr>
            <w:tcW w:w="2319" w:type="dxa"/>
            <w:gridSpan w:val="2"/>
            <w:vAlign w:val="center"/>
          </w:tcPr>
          <w:p>
            <w:pPr>
              <w:widowControl/>
              <w:jc w:val="center"/>
              <w:rPr>
                <w:rFonts w:hint="eastAsia"/>
                <w:color w:val="auto"/>
                <w:kern w:val="0"/>
                <w:szCs w:val="21"/>
                <w:highlight w:val="none"/>
              </w:rPr>
            </w:pPr>
            <w:r>
              <w:rPr>
                <w:rFonts w:hint="eastAsia"/>
                <w:color w:val="auto"/>
                <w:kern w:val="0"/>
                <w:szCs w:val="21"/>
                <w:highlight w:val="none"/>
              </w:rPr>
              <w:t>2031年</w:t>
            </w:r>
          </w:p>
        </w:tc>
        <w:tc>
          <w:tcPr>
            <w:tcW w:w="2320" w:type="dxa"/>
            <w:gridSpan w:val="2"/>
            <w:vAlign w:val="center"/>
          </w:tcPr>
          <w:p>
            <w:pPr>
              <w:widowControl/>
              <w:jc w:val="center"/>
              <w:rPr>
                <w:rFonts w:hint="eastAsia"/>
                <w:color w:val="auto"/>
                <w:kern w:val="0"/>
                <w:szCs w:val="21"/>
                <w:highlight w:val="none"/>
              </w:rPr>
            </w:pPr>
            <w:r>
              <w:rPr>
                <w:rFonts w:hint="eastAsia"/>
                <w:color w:val="auto"/>
                <w:kern w:val="0"/>
                <w:szCs w:val="21"/>
                <w:highlight w:val="none"/>
              </w:rPr>
              <w:t>2039年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blHeader/>
          <w:jc w:val="center"/>
        </w:trPr>
        <w:tc>
          <w:tcPr>
            <w:tcW w:w="956" w:type="dxa"/>
            <w:vMerge w:val="continue"/>
            <w:vAlign w:val="center"/>
          </w:tcPr>
          <w:p>
            <w:pPr>
              <w:widowControl/>
              <w:jc w:val="center"/>
              <w:rPr>
                <w:rFonts w:hint="eastAsia"/>
                <w:color w:val="auto"/>
                <w:kern w:val="0"/>
                <w:szCs w:val="21"/>
                <w:highlight w:val="none"/>
              </w:rPr>
            </w:pPr>
          </w:p>
        </w:tc>
        <w:tc>
          <w:tcPr>
            <w:tcW w:w="1085" w:type="dxa"/>
            <w:vMerge w:val="continue"/>
            <w:vAlign w:val="center"/>
          </w:tcPr>
          <w:p>
            <w:pPr>
              <w:widowControl/>
              <w:jc w:val="center"/>
              <w:rPr>
                <w:rFonts w:hint="eastAsia"/>
                <w:color w:val="auto"/>
                <w:kern w:val="0"/>
                <w:szCs w:val="21"/>
                <w:highlight w:val="none"/>
              </w:rPr>
            </w:pP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昼间</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夜间</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昼间</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夜间</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昼间</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restart"/>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隧道上层</w:t>
            </w:r>
            <w:r>
              <w:rPr>
                <w:rFonts w:hint="eastAsia"/>
                <w:bCs/>
                <w:color w:val="auto"/>
                <w:spacing w:val="-2"/>
                <w:szCs w:val="21"/>
                <w:highlight w:val="none"/>
              </w:rPr>
              <w:t>（辅路）</w:t>
            </w: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小型车</w:t>
            </w:r>
          </w:p>
        </w:tc>
        <w:tc>
          <w:tcPr>
            <w:tcW w:w="1158" w:type="dxa"/>
            <w:vAlign w:val="center"/>
          </w:tcPr>
          <w:p>
            <w:pPr>
              <w:widowControl/>
              <w:jc w:val="center"/>
              <w:rPr>
                <w:color w:val="auto"/>
                <w:kern w:val="0"/>
                <w:szCs w:val="21"/>
                <w:highlight w:val="none"/>
              </w:rPr>
            </w:pPr>
            <w:r>
              <w:rPr>
                <w:color w:val="auto"/>
                <w:kern w:val="0"/>
                <w:szCs w:val="21"/>
                <w:highlight w:val="none"/>
              </w:rPr>
              <w:t>64.24</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65.62</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64.20</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65.61</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64.15</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65.61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continue"/>
            <w:vAlign w:val="center"/>
          </w:tcPr>
          <w:p>
            <w:pPr>
              <w:widowControl/>
              <w:jc w:val="center"/>
              <w:rPr>
                <w:rFonts w:hint="eastAsia"/>
                <w:color w:val="auto"/>
                <w:kern w:val="0"/>
                <w:szCs w:val="21"/>
                <w:highlight w:val="none"/>
              </w:rPr>
            </w:pP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中型车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65.26</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64.63</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65.25</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64.64</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65.24</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64.66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continue"/>
            <w:vAlign w:val="center"/>
          </w:tcPr>
          <w:p>
            <w:pPr>
              <w:widowControl/>
              <w:jc w:val="center"/>
              <w:rPr>
                <w:rFonts w:hint="eastAsia"/>
                <w:color w:val="auto"/>
                <w:kern w:val="0"/>
                <w:szCs w:val="21"/>
                <w:highlight w:val="none"/>
              </w:rPr>
            </w:pP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大型车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72.63</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72.06</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72.63</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72.06</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72.63</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72.07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restart"/>
            <w:vAlign w:val="center"/>
          </w:tcPr>
          <w:p>
            <w:pPr>
              <w:adjustRightInd w:val="0"/>
              <w:snapToGrid w:val="0"/>
              <w:jc w:val="center"/>
              <w:rPr>
                <w:rFonts w:hint="eastAsia"/>
                <w:color w:val="auto"/>
                <w:kern w:val="0"/>
                <w:szCs w:val="21"/>
                <w:highlight w:val="none"/>
              </w:rPr>
            </w:pPr>
            <w:r>
              <w:rPr>
                <w:rFonts w:hint="eastAsia"/>
                <w:bCs/>
                <w:color w:val="auto"/>
                <w:spacing w:val="-2"/>
                <w:szCs w:val="21"/>
                <w:highlight w:val="none"/>
              </w:rPr>
              <w:t>隧道下层（主路）</w:t>
            </w: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小型车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67.17</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68.94</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67.10</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68.94</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67.04</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68.93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continue"/>
            <w:vAlign w:val="center"/>
          </w:tcPr>
          <w:p>
            <w:pPr>
              <w:widowControl/>
              <w:jc w:val="center"/>
              <w:rPr>
                <w:rFonts w:hint="eastAsia"/>
                <w:color w:val="auto"/>
                <w:kern w:val="0"/>
                <w:szCs w:val="21"/>
                <w:highlight w:val="none"/>
              </w:rPr>
            </w:pP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中型车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69.07</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68.65</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69.06</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68.66</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69.04</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68.67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continue"/>
            <w:vAlign w:val="center"/>
          </w:tcPr>
          <w:p>
            <w:pPr>
              <w:widowControl/>
              <w:jc w:val="center"/>
              <w:rPr>
                <w:rFonts w:hint="eastAsia"/>
                <w:color w:val="auto"/>
                <w:kern w:val="0"/>
                <w:szCs w:val="21"/>
                <w:highlight w:val="none"/>
              </w:rPr>
            </w:pP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大型车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76.13</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75.64</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76.12</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75.65</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76.11</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75.65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restart"/>
            <w:vAlign w:val="center"/>
          </w:tcPr>
          <w:p>
            <w:pPr>
              <w:widowControl/>
              <w:jc w:val="center"/>
              <w:rPr>
                <w:rFonts w:hint="eastAsia"/>
                <w:color w:val="auto"/>
                <w:kern w:val="0"/>
                <w:szCs w:val="21"/>
                <w:highlight w:val="none"/>
              </w:rPr>
            </w:pPr>
            <w:r>
              <w:rPr>
                <w:rFonts w:hint="eastAsia"/>
                <w:bCs/>
                <w:color w:val="auto"/>
                <w:spacing w:val="-2"/>
                <w:szCs w:val="21"/>
                <w:highlight w:val="none"/>
              </w:rPr>
              <w:t>900医院总院掉头匝道</w:t>
            </w: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小型车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61.25</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61.42</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59.84</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61.27</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59.79</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61.27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continue"/>
            <w:vAlign w:val="center"/>
          </w:tcPr>
          <w:p>
            <w:pPr>
              <w:widowControl/>
              <w:jc w:val="center"/>
              <w:rPr>
                <w:rFonts w:hint="eastAsia"/>
                <w:color w:val="auto"/>
                <w:kern w:val="0"/>
                <w:szCs w:val="21"/>
                <w:highlight w:val="none"/>
              </w:rPr>
            </w:pP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中型车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59.65</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59.09</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60.19</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59.59</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60.18</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59.59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continue"/>
            <w:vAlign w:val="center"/>
          </w:tcPr>
          <w:p>
            <w:pPr>
              <w:widowControl/>
              <w:jc w:val="center"/>
              <w:rPr>
                <w:rFonts w:hint="eastAsia"/>
                <w:color w:val="auto"/>
                <w:kern w:val="0"/>
                <w:szCs w:val="21"/>
                <w:highlight w:val="none"/>
              </w:rPr>
            </w:pP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大型车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67.57</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67.20</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68.09</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67.53</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68.09</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67.54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restart"/>
            <w:vAlign w:val="center"/>
          </w:tcPr>
          <w:p>
            <w:pPr>
              <w:widowControl/>
              <w:jc w:val="center"/>
              <w:rPr>
                <w:rFonts w:hint="eastAsia"/>
                <w:color w:val="auto"/>
                <w:kern w:val="0"/>
                <w:szCs w:val="21"/>
                <w:highlight w:val="none"/>
              </w:rPr>
            </w:pPr>
            <w:r>
              <w:rPr>
                <w:rFonts w:hint="eastAsia"/>
                <w:bCs/>
                <w:color w:val="auto"/>
                <w:spacing w:val="-2"/>
                <w:szCs w:val="21"/>
                <w:highlight w:val="none"/>
              </w:rPr>
              <w:t>铜盘高架下匝道</w:t>
            </w: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小型车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60.68</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61.35</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60.68</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61.35</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63.67</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65.56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continue"/>
            <w:vAlign w:val="center"/>
          </w:tcPr>
          <w:p>
            <w:pPr>
              <w:widowControl/>
              <w:jc w:val="center"/>
              <w:rPr>
                <w:rFonts w:hint="eastAsia"/>
                <w:color w:val="auto"/>
                <w:kern w:val="0"/>
                <w:szCs w:val="21"/>
                <w:highlight w:val="none"/>
              </w:rPr>
            </w:pP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中型车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60.17</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59.36</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60.17</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59.36</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65.11</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64.74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56" w:type="dxa"/>
            <w:vMerge w:val="continue"/>
            <w:vAlign w:val="center"/>
          </w:tcPr>
          <w:p>
            <w:pPr>
              <w:widowControl/>
              <w:jc w:val="center"/>
              <w:rPr>
                <w:rFonts w:hint="eastAsia"/>
                <w:color w:val="auto"/>
                <w:kern w:val="0"/>
                <w:szCs w:val="21"/>
                <w:highlight w:val="none"/>
              </w:rPr>
            </w:pPr>
          </w:p>
        </w:tc>
        <w:tc>
          <w:tcPr>
            <w:tcW w:w="1085" w:type="dxa"/>
            <w:vAlign w:val="center"/>
          </w:tcPr>
          <w:p>
            <w:pPr>
              <w:widowControl/>
              <w:jc w:val="center"/>
              <w:rPr>
                <w:rFonts w:hint="eastAsia"/>
                <w:color w:val="auto"/>
                <w:kern w:val="0"/>
                <w:szCs w:val="21"/>
                <w:highlight w:val="none"/>
              </w:rPr>
            </w:pPr>
            <w:r>
              <w:rPr>
                <w:rFonts w:hint="eastAsia"/>
                <w:color w:val="auto"/>
                <w:kern w:val="0"/>
                <w:szCs w:val="21"/>
                <w:highlight w:val="none"/>
              </w:rPr>
              <w:t>大型车</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67.98</w:t>
            </w:r>
          </w:p>
        </w:tc>
        <w:tc>
          <w:tcPr>
            <w:tcW w:w="1161" w:type="dxa"/>
            <w:vAlign w:val="center"/>
          </w:tcPr>
          <w:p>
            <w:pPr>
              <w:widowControl/>
              <w:jc w:val="center"/>
              <w:rPr>
                <w:rFonts w:hint="eastAsia"/>
                <w:color w:val="auto"/>
                <w:kern w:val="0"/>
                <w:szCs w:val="21"/>
                <w:highlight w:val="none"/>
              </w:rPr>
            </w:pPr>
            <w:r>
              <w:rPr>
                <w:rFonts w:hint="eastAsia"/>
                <w:color w:val="auto"/>
                <w:kern w:val="0"/>
                <w:szCs w:val="21"/>
                <w:highlight w:val="none"/>
              </w:rPr>
              <w:t>67.38</w:t>
            </w:r>
          </w:p>
        </w:tc>
        <w:tc>
          <w:tcPr>
            <w:tcW w:w="1159" w:type="dxa"/>
            <w:vAlign w:val="center"/>
          </w:tcPr>
          <w:p>
            <w:pPr>
              <w:widowControl/>
              <w:jc w:val="center"/>
              <w:rPr>
                <w:rFonts w:hint="eastAsia"/>
                <w:color w:val="auto"/>
                <w:kern w:val="0"/>
                <w:szCs w:val="21"/>
                <w:highlight w:val="none"/>
              </w:rPr>
            </w:pPr>
            <w:r>
              <w:rPr>
                <w:rFonts w:hint="eastAsia"/>
                <w:color w:val="auto"/>
                <w:kern w:val="0"/>
                <w:szCs w:val="21"/>
                <w:highlight w:val="none"/>
              </w:rPr>
              <w:t>67.98</w:t>
            </w:r>
          </w:p>
        </w:tc>
        <w:tc>
          <w:tcPr>
            <w:tcW w:w="1160" w:type="dxa"/>
            <w:vAlign w:val="center"/>
          </w:tcPr>
          <w:p>
            <w:pPr>
              <w:widowControl/>
              <w:jc w:val="center"/>
              <w:rPr>
                <w:rFonts w:hint="eastAsia"/>
                <w:color w:val="auto"/>
                <w:kern w:val="0"/>
                <w:szCs w:val="21"/>
                <w:highlight w:val="none"/>
              </w:rPr>
            </w:pPr>
            <w:r>
              <w:rPr>
                <w:rFonts w:hint="eastAsia"/>
                <w:color w:val="auto"/>
                <w:kern w:val="0"/>
                <w:szCs w:val="21"/>
                <w:highlight w:val="none"/>
              </w:rPr>
              <w:t>67.38</w:t>
            </w:r>
          </w:p>
        </w:tc>
        <w:tc>
          <w:tcPr>
            <w:tcW w:w="1158" w:type="dxa"/>
            <w:vAlign w:val="center"/>
          </w:tcPr>
          <w:p>
            <w:pPr>
              <w:widowControl/>
              <w:jc w:val="center"/>
              <w:rPr>
                <w:rFonts w:hint="eastAsia"/>
                <w:color w:val="auto"/>
                <w:kern w:val="0"/>
                <w:szCs w:val="21"/>
                <w:highlight w:val="none"/>
              </w:rPr>
            </w:pPr>
            <w:r>
              <w:rPr>
                <w:rFonts w:hint="eastAsia"/>
                <w:color w:val="auto"/>
                <w:kern w:val="0"/>
                <w:szCs w:val="21"/>
                <w:highlight w:val="none"/>
              </w:rPr>
              <w:t>72.59</w:t>
            </w:r>
          </w:p>
        </w:tc>
        <w:tc>
          <w:tcPr>
            <w:tcW w:w="1162" w:type="dxa"/>
            <w:vAlign w:val="center"/>
          </w:tcPr>
          <w:p>
            <w:pPr>
              <w:widowControl/>
              <w:jc w:val="center"/>
              <w:rPr>
                <w:rFonts w:hint="eastAsia"/>
                <w:color w:val="auto"/>
                <w:kern w:val="0"/>
                <w:szCs w:val="21"/>
                <w:highlight w:val="none"/>
              </w:rPr>
            </w:pPr>
            <w:r>
              <w:rPr>
                <w:rFonts w:hint="eastAsia"/>
                <w:color w:val="auto"/>
                <w:kern w:val="0"/>
                <w:szCs w:val="21"/>
                <w:highlight w:val="none"/>
              </w:rPr>
              <w:t>72.14</w:t>
            </w:r>
          </w:p>
        </w:tc>
      </w:tr>
    </w:tbl>
    <w:p>
      <w:pPr>
        <w:adjustRightInd w:val="0"/>
        <w:snapToGrid w:val="0"/>
        <w:spacing w:line="360" w:lineRule="auto"/>
        <w:ind w:firstLine="480"/>
        <w:rPr>
          <w:rFonts w:hint="eastAsia"/>
          <w:color w:val="auto"/>
          <w:sz w:val="24"/>
          <w:highlight w:val="none"/>
        </w:rPr>
      </w:pPr>
    </w:p>
    <w:p>
      <w:pPr>
        <w:pageBreakBefore/>
        <w:adjustRightInd w:val="0"/>
        <w:snapToGrid w:val="0"/>
        <w:spacing w:before="120" w:beforeLines="50" w:line="360" w:lineRule="auto"/>
        <w:outlineLvl w:val="0"/>
        <w:rPr>
          <w:rFonts w:eastAsia="黑体"/>
          <w:snapToGrid w:val="0"/>
          <w:color w:val="auto"/>
          <w:kern w:val="0"/>
          <w:sz w:val="30"/>
          <w:szCs w:val="30"/>
          <w:highlight w:val="none"/>
        </w:rPr>
      </w:pPr>
      <w:bookmarkStart w:id="40" w:name="_Toc10654"/>
      <w:r>
        <w:rPr>
          <w:rFonts w:hint="eastAsia" w:eastAsia="黑体"/>
          <w:snapToGrid w:val="0"/>
          <w:color w:val="auto"/>
          <w:kern w:val="0"/>
          <w:sz w:val="30"/>
          <w:szCs w:val="30"/>
          <w:highlight w:val="none"/>
        </w:rPr>
        <w:t>3</w:t>
      </w:r>
      <w:r>
        <w:rPr>
          <w:rFonts w:eastAsia="黑体"/>
          <w:snapToGrid w:val="0"/>
          <w:color w:val="auto"/>
          <w:kern w:val="0"/>
          <w:sz w:val="30"/>
          <w:szCs w:val="30"/>
          <w:highlight w:val="none"/>
        </w:rPr>
        <w:t xml:space="preserve"> </w:t>
      </w:r>
      <w:r>
        <w:rPr>
          <w:rFonts w:hint="eastAsia" w:eastAsia="黑体"/>
          <w:snapToGrid w:val="0"/>
          <w:color w:val="auto"/>
          <w:kern w:val="0"/>
          <w:sz w:val="30"/>
          <w:szCs w:val="30"/>
          <w:highlight w:val="none"/>
        </w:rPr>
        <w:t>声环境质量现状调查</w:t>
      </w:r>
      <w:bookmarkEnd w:id="40"/>
    </w:p>
    <w:p>
      <w:pPr>
        <w:adjustRightInd w:val="0"/>
        <w:snapToGrid w:val="0"/>
        <w:spacing w:line="360" w:lineRule="auto"/>
        <w:ind w:firstLine="480" w:firstLineChars="200"/>
        <w:jc w:val="left"/>
        <w:rPr>
          <w:rFonts w:hint="eastAsia"/>
          <w:color w:val="auto"/>
          <w:kern w:val="0"/>
          <w:sz w:val="24"/>
          <w:highlight w:val="none"/>
          <w:lang w:val="zh-CN"/>
        </w:rPr>
      </w:pPr>
      <w:r>
        <w:rPr>
          <w:rFonts w:hint="eastAsia"/>
          <w:color w:val="auto"/>
          <w:kern w:val="0"/>
          <w:sz w:val="24"/>
          <w:highlight w:val="none"/>
          <w:lang w:val="zh-CN"/>
        </w:rPr>
        <w:t>为了解区域声环境现状，本评价委托福建科林检测技术有限公司于202</w:t>
      </w:r>
      <w:r>
        <w:rPr>
          <w:rFonts w:hint="eastAsia"/>
          <w:color w:val="auto"/>
          <w:kern w:val="0"/>
          <w:sz w:val="24"/>
          <w:highlight w:val="none"/>
          <w:lang w:val="en-US" w:eastAsia="zh-CN"/>
        </w:rPr>
        <w:t>2</w:t>
      </w:r>
      <w:r>
        <w:rPr>
          <w:rFonts w:hint="eastAsia"/>
          <w:color w:val="auto"/>
          <w:kern w:val="0"/>
          <w:sz w:val="24"/>
          <w:highlight w:val="none"/>
          <w:lang w:val="zh-CN"/>
        </w:rPr>
        <w:t>年</w:t>
      </w:r>
      <w:r>
        <w:rPr>
          <w:rFonts w:hint="eastAsia"/>
          <w:color w:val="auto"/>
          <w:kern w:val="0"/>
          <w:sz w:val="24"/>
          <w:highlight w:val="none"/>
        </w:rPr>
        <w:t>4</w:t>
      </w:r>
      <w:r>
        <w:rPr>
          <w:rFonts w:hint="eastAsia"/>
          <w:color w:val="auto"/>
          <w:kern w:val="0"/>
          <w:sz w:val="24"/>
          <w:highlight w:val="none"/>
          <w:lang w:val="zh-CN"/>
        </w:rPr>
        <w:t>月</w:t>
      </w:r>
      <w:r>
        <w:rPr>
          <w:rFonts w:hint="eastAsia"/>
          <w:color w:val="auto"/>
          <w:kern w:val="0"/>
          <w:sz w:val="24"/>
          <w:highlight w:val="none"/>
          <w:lang w:val="en-US" w:eastAsia="zh-CN"/>
        </w:rPr>
        <w:t>6</w:t>
      </w:r>
      <w:r>
        <w:rPr>
          <w:rFonts w:hint="eastAsia"/>
          <w:color w:val="auto"/>
          <w:kern w:val="0"/>
          <w:sz w:val="24"/>
          <w:highlight w:val="none"/>
          <w:lang w:val="zh-CN"/>
        </w:rPr>
        <w:t>日</w:t>
      </w:r>
      <w:r>
        <w:rPr>
          <w:rFonts w:hint="eastAsia"/>
          <w:color w:val="auto"/>
          <w:kern w:val="0"/>
          <w:sz w:val="24"/>
          <w:highlight w:val="none"/>
        </w:rPr>
        <w:t>~4月</w:t>
      </w:r>
      <w:r>
        <w:rPr>
          <w:rFonts w:hint="eastAsia"/>
          <w:color w:val="auto"/>
          <w:kern w:val="0"/>
          <w:sz w:val="24"/>
          <w:highlight w:val="none"/>
          <w:lang w:val="en-US" w:eastAsia="zh-CN"/>
        </w:rPr>
        <w:t>7</w:t>
      </w:r>
      <w:r>
        <w:rPr>
          <w:rFonts w:hint="eastAsia"/>
          <w:color w:val="auto"/>
          <w:kern w:val="0"/>
          <w:sz w:val="24"/>
          <w:highlight w:val="none"/>
        </w:rPr>
        <w:t>日</w:t>
      </w:r>
      <w:r>
        <w:rPr>
          <w:rFonts w:hint="eastAsia"/>
          <w:color w:val="auto"/>
          <w:kern w:val="0"/>
          <w:sz w:val="24"/>
          <w:highlight w:val="none"/>
          <w:lang w:val="zh-CN"/>
        </w:rPr>
        <w:t>对道路沿线及声环境保护目标进行噪声现状进行测量，监测点位详见图3.</w:t>
      </w:r>
      <w:r>
        <w:rPr>
          <w:rFonts w:hint="eastAsia"/>
          <w:color w:val="auto"/>
          <w:kern w:val="0"/>
          <w:sz w:val="24"/>
          <w:highlight w:val="none"/>
        </w:rPr>
        <w:t>1</w:t>
      </w:r>
      <w:r>
        <w:rPr>
          <w:rFonts w:hint="eastAsia"/>
          <w:color w:val="auto"/>
          <w:kern w:val="0"/>
          <w:sz w:val="24"/>
          <w:highlight w:val="none"/>
          <w:lang w:val="zh-CN"/>
        </w:rPr>
        <w:t>-</w:t>
      </w:r>
      <w:r>
        <w:rPr>
          <w:rFonts w:hint="eastAsia"/>
          <w:color w:val="auto"/>
          <w:kern w:val="0"/>
          <w:sz w:val="24"/>
          <w:highlight w:val="none"/>
        </w:rPr>
        <w:t>1</w:t>
      </w:r>
      <w:r>
        <w:rPr>
          <w:rFonts w:hint="eastAsia"/>
          <w:color w:val="auto"/>
          <w:kern w:val="0"/>
          <w:sz w:val="24"/>
          <w:highlight w:val="none"/>
          <w:lang w:val="zh-CN"/>
        </w:rPr>
        <w:t>。</w:t>
      </w:r>
    </w:p>
    <w:p>
      <w:pPr>
        <w:adjustRightInd w:val="0"/>
        <w:snapToGrid w:val="0"/>
        <w:spacing w:line="360" w:lineRule="auto"/>
        <w:ind w:firstLine="480" w:firstLineChars="200"/>
        <w:jc w:val="left"/>
        <w:rPr>
          <w:rFonts w:hint="eastAsia"/>
          <w:color w:val="auto"/>
          <w:kern w:val="0"/>
          <w:sz w:val="24"/>
          <w:highlight w:val="none"/>
          <w:lang w:val="zh-CN"/>
        </w:rPr>
      </w:pPr>
      <w:bookmarkStart w:id="41" w:name="_Toc5278"/>
      <w:r>
        <w:rPr>
          <w:rFonts w:hint="eastAsia"/>
          <w:color w:val="auto"/>
          <w:kern w:val="0"/>
          <w:sz w:val="24"/>
          <w:highlight w:val="none"/>
          <w:lang w:val="zh-CN"/>
        </w:rPr>
        <w:t>（1）监测内容及方法</w:t>
      </w:r>
      <w:bookmarkEnd w:id="41"/>
    </w:p>
    <w:p>
      <w:pPr>
        <w:adjustRightInd w:val="0"/>
        <w:snapToGrid w:val="0"/>
        <w:spacing w:line="360" w:lineRule="auto"/>
        <w:ind w:firstLine="480" w:firstLineChars="200"/>
        <w:jc w:val="left"/>
        <w:rPr>
          <w:rFonts w:hint="eastAsia"/>
          <w:color w:val="auto"/>
          <w:kern w:val="0"/>
          <w:sz w:val="24"/>
          <w:highlight w:val="none"/>
          <w:lang w:val="zh-CN"/>
        </w:rPr>
      </w:pPr>
      <w:r>
        <w:rPr>
          <w:rFonts w:hint="eastAsia"/>
          <w:color w:val="auto"/>
          <w:kern w:val="0"/>
          <w:sz w:val="24"/>
          <w:highlight w:val="none"/>
          <w:lang w:val="zh-CN"/>
        </w:rPr>
        <w:t>①监测方法：按《声环境质量标准》（GB3096-2008）中的规定进行。</w:t>
      </w:r>
    </w:p>
    <w:p>
      <w:pPr>
        <w:adjustRightInd w:val="0"/>
        <w:snapToGrid w:val="0"/>
        <w:spacing w:line="360" w:lineRule="auto"/>
        <w:ind w:firstLine="480" w:firstLineChars="200"/>
        <w:jc w:val="left"/>
        <w:rPr>
          <w:rFonts w:hint="eastAsia"/>
          <w:color w:val="auto"/>
          <w:kern w:val="0"/>
          <w:sz w:val="24"/>
          <w:highlight w:val="none"/>
          <w:lang w:val="zh-CN"/>
        </w:rPr>
      </w:pPr>
      <w:r>
        <w:rPr>
          <w:rFonts w:hint="eastAsia"/>
          <w:color w:val="auto"/>
          <w:kern w:val="0"/>
          <w:sz w:val="24"/>
          <w:highlight w:val="none"/>
          <w:lang w:val="zh-CN"/>
        </w:rPr>
        <w:t>②监测仪器：为2型以上积分式声级计，监测仪器经过法定计量和现场监测前、后校准，并在有效的使用期内和灵敏度误差范围之内。</w:t>
      </w:r>
    </w:p>
    <w:p>
      <w:pPr>
        <w:adjustRightInd w:val="0"/>
        <w:snapToGrid w:val="0"/>
        <w:spacing w:line="360" w:lineRule="auto"/>
        <w:ind w:firstLine="480" w:firstLineChars="200"/>
        <w:jc w:val="left"/>
        <w:rPr>
          <w:rFonts w:hint="eastAsia"/>
          <w:color w:val="auto"/>
          <w:kern w:val="0"/>
          <w:sz w:val="24"/>
          <w:highlight w:val="none"/>
          <w:lang w:val="zh-CN"/>
        </w:rPr>
      </w:pPr>
      <w:r>
        <w:rPr>
          <w:rFonts w:hint="eastAsia"/>
          <w:color w:val="auto"/>
          <w:kern w:val="0"/>
          <w:sz w:val="24"/>
          <w:highlight w:val="none"/>
          <w:lang w:val="zh-CN"/>
        </w:rPr>
        <w:t>③布点原则：本着现状监测点、噪声预测点和验收监测点“三点一致”的原则，测点位置选在各不同评价类区最靠近改造道路的第一排建筑物户外1m处。其高度拟布设在可能受噪声影响最大的离地高度上。</w:t>
      </w:r>
    </w:p>
    <w:p>
      <w:pPr>
        <w:adjustRightInd w:val="0"/>
        <w:snapToGrid w:val="0"/>
        <w:spacing w:line="360" w:lineRule="auto"/>
        <w:ind w:firstLine="480" w:firstLineChars="200"/>
        <w:jc w:val="left"/>
        <w:rPr>
          <w:rFonts w:hint="eastAsia"/>
          <w:color w:val="auto"/>
          <w:kern w:val="0"/>
          <w:sz w:val="24"/>
          <w:highlight w:val="none"/>
          <w:lang w:val="zh-CN"/>
        </w:rPr>
      </w:pPr>
      <w:r>
        <w:rPr>
          <w:rFonts w:hint="eastAsia"/>
          <w:color w:val="auto"/>
          <w:kern w:val="0"/>
          <w:sz w:val="24"/>
          <w:highlight w:val="none"/>
          <w:lang w:val="zh-CN"/>
        </w:rPr>
        <w:t>④测量项目：各监测点分别测量昼间和夜间的LAeq值。</w:t>
      </w:r>
    </w:p>
    <w:p>
      <w:pPr>
        <w:adjustRightInd w:val="0"/>
        <w:snapToGrid w:val="0"/>
        <w:spacing w:line="360" w:lineRule="auto"/>
        <w:ind w:firstLine="480" w:firstLineChars="200"/>
        <w:jc w:val="left"/>
        <w:rPr>
          <w:rFonts w:hint="eastAsia"/>
          <w:color w:val="auto"/>
          <w:kern w:val="0"/>
          <w:sz w:val="24"/>
          <w:highlight w:val="none"/>
          <w:lang w:val="zh-CN"/>
        </w:rPr>
      </w:pPr>
      <w:r>
        <w:rPr>
          <w:rFonts w:hint="eastAsia"/>
          <w:color w:val="auto"/>
          <w:kern w:val="0"/>
          <w:sz w:val="24"/>
          <w:highlight w:val="none"/>
          <w:lang w:val="zh-CN"/>
        </w:rPr>
        <w:t>现状监测值应在正常状态下（排除施工噪声等临时噪声干扰）测量各测点的环境噪声。</w:t>
      </w:r>
    </w:p>
    <w:p>
      <w:pPr>
        <w:adjustRightInd w:val="0"/>
        <w:snapToGrid w:val="0"/>
        <w:spacing w:line="360" w:lineRule="auto"/>
        <w:ind w:firstLine="480" w:firstLineChars="200"/>
        <w:jc w:val="left"/>
        <w:rPr>
          <w:rFonts w:hint="eastAsia"/>
          <w:color w:val="auto"/>
          <w:kern w:val="0"/>
          <w:sz w:val="24"/>
          <w:highlight w:val="none"/>
          <w:lang w:val="zh-CN"/>
        </w:rPr>
      </w:pPr>
      <w:r>
        <w:rPr>
          <w:rFonts w:hint="eastAsia"/>
          <w:color w:val="auto"/>
          <w:kern w:val="0"/>
          <w:sz w:val="24"/>
          <w:highlight w:val="none"/>
          <w:lang w:val="zh-CN"/>
        </w:rPr>
        <w:t>⑤测量频次：环境噪声每天在昼间和夜间各测一次，每个测点监测</w:t>
      </w:r>
      <w:r>
        <w:rPr>
          <w:rFonts w:hint="eastAsia"/>
          <w:color w:val="auto"/>
          <w:kern w:val="0"/>
          <w:sz w:val="24"/>
          <w:highlight w:val="none"/>
          <w:lang w:val="en-US" w:eastAsia="zh-CN"/>
        </w:rPr>
        <w:t>20</w:t>
      </w:r>
      <w:r>
        <w:rPr>
          <w:rFonts w:hint="eastAsia"/>
          <w:color w:val="auto"/>
          <w:kern w:val="0"/>
          <w:sz w:val="24"/>
          <w:highlight w:val="none"/>
          <w:lang w:val="zh-CN"/>
        </w:rPr>
        <w:t>min，测量2天。</w:t>
      </w:r>
    </w:p>
    <w:p>
      <w:pPr>
        <w:adjustRightInd w:val="0"/>
        <w:snapToGrid w:val="0"/>
        <w:spacing w:line="360" w:lineRule="auto"/>
        <w:ind w:firstLine="480" w:firstLineChars="200"/>
        <w:jc w:val="left"/>
        <w:rPr>
          <w:rFonts w:hint="eastAsia"/>
          <w:color w:val="auto"/>
          <w:kern w:val="0"/>
          <w:sz w:val="24"/>
          <w:highlight w:val="none"/>
          <w:lang w:val="zh-CN"/>
        </w:rPr>
      </w:pPr>
      <w:bookmarkStart w:id="42" w:name="_Toc4531"/>
      <w:r>
        <w:rPr>
          <w:rFonts w:hint="eastAsia"/>
          <w:color w:val="auto"/>
          <w:kern w:val="0"/>
          <w:sz w:val="24"/>
          <w:highlight w:val="none"/>
          <w:lang w:val="zh-CN"/>
        </w:rPr>
        <w:t>（2）监测点位</w:t>
      </w:r>
      <w:bookmarkEnd w:id="42"/>
    </w:p>
    <w:p>
      <w:pPr>
        <w:adjustRightInd w:val="0"/>
        <w:snapToGrid w:val="0"/>
        <w:spacing w:line="360" w:lineRule="auto"/>
        <w:ind w:firstLine="480" w:firstLineChars="200"/>
        <w:jc w:val="left"/>
        <w:rPr>
          <w:color w:val="auto"/>
          <w:kern w:val="0"/>
          <w:sz w:val="24"/>
          <w:highlight w:val="none"/>
          <w:lang w:val="zh-CN"/>
        </w:rPr>
      </w:pPr>
      <w:r>
        <w:rPr>
          <w:rFonts w:hint="eastAsia"/>
          <w:color w:val="auto"/>
          <w:kern w:val="0"/>
          <w:sz w:val="24"/>
          <w:highlight w:val="none"/>
          <w:lang w:val="zh-CN"/>
        </w:rPr>
        <w:t>本项目声环境现状监测点位见表3</w:t>
      </w:r>
      <w:r>
        <w:rPr>
          <w:rFonts w:hint="eastAsia"/>
          <w:color w:val="auto"/>
          <w:kern w:val="0"/>
          <w:sz w:val="24"/>
          <w:highlight w:val="none"/>
        </w:rPr>
        <w:t>.1</w:t>
      </w:r>
      <w:r>
        <w:rPr>
          <w:rFonts w:hint="eastAsia"/>
          <w:color w:val="auto"/>
          <w:kern w:val="0"/>
          <w:sz w:val="24"/>
          <w:highlight w:val="none"/>
          <w:lang w:val="zh-CN"/>
        </w:rPr>
        <w:t>-</w:t>
      </w:r>
      <w:r>
        <w:rPr>
          <w:rFonts w:hint="eastAsia"/>
          <w:color w:val="auto"/>
          <w:kern w:val="0"/>
          <w:sz w:val="24"/>
          <w:highlight w:val="none"/>
        </w:rPr>
        <w:t>1</w:t>
      </w:r>
      <w:r>
        <w:rPr>
          <w:rFonts w:hint="eastAsia"/>
          <w:color w:val="auto"/>
          <w:kern w:val="0"/>
          <w:sz w:val="24"/>
          <w:highlight w:val="none"/>
          <w:lang w:val="zh-CN"/>
        </w:rPr>
        <w:t>，项目监测点位见图</w:t>
      </w:r>
      <w:r>
        <w:rPr>
          <w:rFonts w:hint="eastAsia"/>
          <w:color w:val="auto"/>
          <w:kern w:val="0"/>
          <w:sz w:val="24"/>
          <w:highlight w:val="none"/>
        </w:rPr>
        <w:t>3.1-1</w:t>
      </w:r>
      <w:r>
        <w:rPr>
          <w:rFonts w:hint="eastAsia"/>
          <w:color w:val="auto"/>
          <w:kern w:val="0"/>
          <w:sz w:val="24"/>
          <w:highlight w:val="none"/>
          <w:lang w:val="zh-CN"/>
        </w:rPr>
        <w:t>。</w:t>
      </w:r>
    </w:p>
    <w:p>
      <w:pPr>
        <w:ind w:firstLine="480"/>
        <w:jc w:val="center"/>
        <w:rPr>
          <w:rFonts w:hint="eastAsia"/>
          <w:b/>
          <w:color w:val="auto"/>
          <w:kern w:val="0"/>
          <w:sz w:val="24"/>
          <w:highlight w:val="none"/>
          <w:lang w:val="zh-CN"/>
        </w:rPr>
      </w:pPr>
      <w:r>
        <w:rPr>
          <w:rFonts w:hint="eastAsia"/>
          <w:b/>
          <w:color w:val="auto"/>
          <w:kern w:val="0"/>
          <w:sz w:val="24"/>
          <w:highlight w:val="none"/>
          <w:lang w:val="zh-CN"/>
        </w:rPr>
        <w:t>表</w:t>
      </w:r>
      <w:r>
        <w:rPr>
          <w:rFonts w:hint="eastAsia"/>
          <w:b/>
          <w:color w:val="auto"/>
          <w:kern w:val="0"/>
          <w:sz w:val="24"/>
          <w:highlight w:val="none"/>
        </w:rPr>
        <w:t>3.1</w:t>
      </w:r>
      <w:r>
        <w:rPr>
          <w:rFonts w:hint="eastAsia"/>
          <w:b/>
          <w:color w:val="auto"/>
          <w:kern w:val="0"/>
          <w:sz w:val="24"/>
          <w:highlight w:val="none"/>
          <w:lang w:val="zh-CN"/>
        </w:rPr>
        <w:t>-</w:t>
      </w:r>
      <w:r>
        <w:rPr>
          <w:rFonts w:hint="eastAsia"/>
          <w:b/>
          <w:color w:val="auto"/>
          <w:kern w:val="0"/>
          <w:sz w:val="24"/>
          <w:highlight w:val="none"/>
        </w:rPr>
        <w:t>1</w:t>
      </w:r>
      <w:r>
        <w:rPr>
          <w:rFonts w:hint="eastAsia"/>
          <w:b/>
          <w:color w:val="auto"/>
          <w:kern w:val="0"/>
          <w:sz w:val="24"/>
          <w:highlight w:val="none"/>
          <w:lang w:val="zh-CN"/>
        </w:rPr>
        <w:t xml:space="preserve"> 声环境现状监测点位</w:t>
      </w:r>
    </w:p>
    <w:tbl>
      <w:tblPr>
        <w:tblStyle w:val="23"/>
        <w:tblW w:w="9503"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3651"/>
        <w:gridCol w:w="2339"/>
        <w:gridCol w:w="233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1174" w:type="dxa"/>
            <w:vAlign w:val="center"/>
          </w:tcPr>
          <w:p>
            <w:pPr>
              <w:jc w:val="center"/>
              <w:rPr>
                <w:color w:val="auto"/>
                <w:szCs w:val="21"/>
                <w:highlight w:val="none"/>
              </w:rPr>
            </w:pPr>
            <w:r>
              <w:rPr>
                <w:rFonts w:hint="eastAsia" w:hAnsi="宋体"/>
                <w:color w:val="auto"/>
                <w:szCs w:val="21"/>
                <w:highlight w:val="none"/>
              </w:rPr>
              <w:t>点位名称</w:t>
            </w:r>
          </w:p>
        </w:tc>
        <w:tc>
          <w:tcPr>
            <w:tcW w:w="3651" w:type="dxa"/>
            <w:vAlign w:val="center"/>
          </w:tcPr>
          <w:p>
            <w:pPr>
              <w:pStyle w:val="80"/>
              <w:rPr>
                <w:color w:val="auto"/>
                <w:szCs w:val="21"/>
                <w:highlight w:val="none"/>
              </w:rPr>
            </w:pPr>
            <w:r>
              <w:rPr>
                <w:rFonts w:hAnsi="宋体"/>
                <w:color w:val="auto"/>
                <w:szCs w:val="21"/>
                <w:highlight w:val="none"/>
              </w:rPr>
              <w:t>监测布点位置</w:t>
            </w:r>
          </w:p>
        </w:tc>
        <w:tc>
          <w:tcPr>
            <w:tcW w:w="2339" w:type="dxa"/>
            <w:vAlign w:val="center"/>
          </w:tcPr>
          <w:p>
            <w:pPr>
              <w:pStyle w:val="80"/>
              <w:rPr>
                <w:rFonts w:hAnsi="宋体"/>
                <w:color w:val="auto"/>
                <w:szCs w:val="21"/>
                <w:highlight w:val="none"/>
              </w:rPr>
            </w:pPr>
            <w:r>
              <w:rPr>
                <w:rFonts w:hAnsi="宋体"/>
                <w:color w:val="auto"/>
                <w:szCs w:val="21"/>
                <w:highlight w:val="none"/>
              </w:rPr>
              <w:t>主要噪声源</w:t>
            </w:r>
          </w:p>
        </w:tc>
        <w:tc>
          <w:tcPr>
            <w:tcW w:w="2339" w:type="dxa"/>
            <w:vAlign w:val="center"/>
          </w:tcPr>
          <w:p>
            <w:pPr>
              <w:pStyle w:val="80"/>
              <w:rPr>
                <w:rFonts w:hint="eastAsia" w:hAnsi="宋体"/>
                <w:color w:val="auto"/>
                <w:szCs w:val="21"/>
                <w:highlight w:val="none"/>
              </w:rPr>
            </w:pPr>
            <w:r>
              <w:rPr>
                <w:rFonts w:hint="eastAsia" w:hAnsi="宋体"/>
                <w:color w:val="auto"/>
                <w:szCs w:val="21"/>
                <w:highlight w:val="none"/>
              </w:rPr>
              <w:t>执行标准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N1</w:t>
            </w:r>
          </w:p>
        </w:tc>
        <w:tc>
          <w:tcPr>
            <w:tcW w:w="3651" w:type="dxa"/>
            <w:vAlign w:val="center"/>
          </w:tcPr>
          <w:p>
            <w:pPr>
              <w:jc w:val="center"/>
              <w:rPr>
                <w:color w:val="auto"/>
                <w:szCs w:val="21"/>
                <w:highlight w:val="none"/>
              </w:rPr>
            </w:pPr>
            <w:r>
              <w:rPr>
                <w:rFonts w:hint="eastAsia"/>
                <w:color w:val="auto"/>
                <w:szCs w:val="21"/>
                <w:highlight w:val="none"/>
              </w:rPr>
              <w:t>道路起点</w:t>
            </w:r>
          </w:p>
        </w:tc>
        <w:tc>
          <w:tcPr>
            <w:tcW w:w="2339" w:type="dxa"/>
            <w:vAlign w:val="center"/>
          </w:tcPr>
          <w:p>
            <w:pPr>
              <w:jc w:val="center"/>
              <w:rPr>
                <w:rFonts w:hint="eastAsia"/>
                <w:color w:val="auto"/>
                <w:szCs w:val="21"/>
                <w:highlight w:val="none"/>
              </w:rPr>
            </w:pPr>
            <w:r>
              <w:rPr>
                <w:rFonts w:hint="eastAsia"/>
                <w:color w:val="auto"/>
                <w:highlight w:val="none"/>
              </w:rPr>
              <w:t>交通噪声</w:t>
            </w:r>
          </w:p>
        </w:tc>
        <w:tc>
          <w:tcPr>
            <w:tcW w:w="2339" w:type="dxa"/>
            <w:vAlign w:val="center"/>
          </w:tcPr>
          <w:p>
            <w:pPr>
              <w:jc w:val="center"/>
              <w:rPr>
                <w:rFonts w:hint="eastAsia"/>
                <w:color w:val="auto"/>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1174" w:type="dxa"/>
            <w:vAlign w:val="center"/>
          </w:tcPr>
          <w:p>
            <w:pPr>
              <w:jc w:val="center"/>
              <w:rPr>
                <w:rFonts w:hint="eastAsia"/>
                <w:color w:val="auto"/>
                <w:szCs w:val="21"/>
                <w:highlight w:val="none"/>
              </w:rPr>
            </w:pPr>
            <w:r>
              <w:rPr>
                <w:rFonts w:hint="eastAsia" w:ascii="宋体" w:hAnsi="宋体" w:cs="宋体"/>
                <w:color w:val="auto"/>
                <w:szCs w:val="21"/>
                <w:highlight w:val="none"/>
              </w:rPr>
              <w:t>▲</w:t>
            </w:r>
            <w:r>
              <w:rPr>
                <w:rFonts w:hint="eastAsia"/>
                <w:color w:val="auto"/>
                <w:szCs w:val="21"/>
                <w:highlight w:val="none"/>
              </w:rPr>
              <w:t>N2</w:t>
            </w:r>
          </w:p>
        </w:tc>
        <w:tc>
          <w:tcPr>
            <w:tcW w:w="3651" w:type="dxa"/>
            <w:vAlign w:val="center"/>
          </w:tcPr>
          <w:p>
            <w:pPr>
              <w:jc w:val="center"/>
              <w:rPr>
                <w:rFonts w:hint="eastAsia"/>
                <w:color w:val="auto"/>
                <w:szCs w:val="21"/>
                <w:highlight w:val="none"/>
              </w:rPr>
            </w:pPr>
            <w:r>
              <w:rPr>
                <w:rFonts w:hint="eastAsia"/>
                <w:color w:val="auto"/>
                <w:szCs w:val="21"/>
                <w:highlight w:val="none"/>
              </w:rPr>
              <w:t>福建行政学院</w:t>
            </w:r>
          </w:p>
        </w:tc>
        <w:tc>
          <w:tcPr>
            <w:tcW w:w="2339" w:type="dxa"/>
            <w:vAlign w:val="center"/>
          </w:tcPr>
          <w:p>
            <w:pPr>
              <w:jc w:val="center"/>
              <w:rPr>
                <w:rFonts w:hint="eastAsia"/>
                <w:color w:val="auto"/>
                <w:szCs w:val="21"/>
                <w:highlight w:val="none"/>
              </w:rPr>
            </w:pPr>
            <w:r>
              <w:rPr>
                <w:rFonts w:hint="eastAsia"/>
                <w:color w:val="auto"/>
                <w:highlight w:val="none"/>
              </w:rPr>
              <w:t>交通噪声、社会噪声</w:t>
            </w:r>
          </w:p>
        </w:tc>
        <w:tc>
          <w:tcPr>
            <w:tcW w:w="2339" w:type="dxa"/>
            <w:vAlign w:val="center"/>
          </w:tcPr>
          <w:p>
            <w:pPr>
              <w:jc w:val="center"/>
              <w:rPr>
                <w:rFonts w:hint="eastAsia"/>
                <w:color w:val="auto"/>
                <w:highlight w:val="none"/>
              </w:rPr>
            </w:pPr>
            <w:r>
              <w:rPr>
                <w:rFonts w:hint="eastAsia"/>
                <w:color w:val="auto"/>
                <w:sz w:val="22"/>
                <w:szCs w:val="21"/>
                <w:highlight w:val="none"/>
              </w:rPr>
              <w:t>2类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N3</w:t>
            </w:r>
          </w:p>
        </w:tc>
        <w:tc>
          <w:tcPr>
            <w:tcW w:w="3651" w:type="dxa"/>
            <w:vAlign w:val="center"/>
          </w:tcPr>
          <w:p>
            <w:pPr>
              <w:jc w:val="center"/>
              <w:rPr>
                <w:color w:val="auto"/>
                <w:szCs w:val="21"/>
                <w:highlight w:val="none"/>
              </w:rPr>
            </w:pPr>
            <w:r>
              <w:rPr>
                <w:rFonts w:hint="eastAsia"/>
                <w:color w:val="auto"/>
                <w:szCs w:val="21"/>
                <w:highlight w:val="none"/>
              </w:rPr>
              <w:t>东方苑1F</w:t>
            </w:r>
          </w:p>
        </w:tc>
        <w:tc>
          <w:tcPr>
            <w:tcW w:w="2339" w:type="dxa"/>
            <w:vAlign w:val="center"/>
          </w:tcPr>
          <w:p>
            <w:pPr>
              <w:jc w:val="center"/>
              <w:rPr>
                <w:rFonts w:hint="eastAsia"/>
                <w:color w:val="auto"/>
                <w:highlight w:val="none"/>
              </w:rPr>
            </w:pPr>
            <w:r>
              <w:rPr>
                <w:rFonts w:hint="eastAsia"/>
                <w:color w:val="auto"/>
                <w:highlight w:val="none"/>
              </w:rPr>
              <w:t>交通噪声、社会噪声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N4</w:t>
            </w:r>
          </w:p>
        </w:tc>
        <w:tc>
          <w:tcPr>
            <w:tcW w:w="3651" w:type="dxa"/>
            <w:vAlign w:val="center"/>
          </w:tcPr>
          <w:p>
            <w:pPr>
              <w:jc w:val="center"/>
              <w:rPr>
                <w:rFonts w:hint="eastAsia"/>
                <w:color w:val="auto"/>
                <w:szCs w:val="21"/>
                <w:highlight w:val="none"/>
              </w:rPr>
            </w:pPr>
            <w:r>
              <w:rPr>
                <w:rFonts w:hint="eastAsia"/>
                <w:color w:val="auto"/>
                <w:szCs w:val="21"/>
                <w:highlight w:val="none"/>
              </w:rPr>
              <w:t>东方苑4F</w:t>
            </w:r>
          </w:p>
        </w:tc>
        <w:tc>
          <w:tcPr>
            <w:tcW w:w="2339" w:type="dxa"/>
            <w:vAlign w:val="center"/>
          </w:tcPr>
          <w:p>
            <w:pPr>
              <w:jc w:val="center"/>
              <w:rPr>
                <w:rFonts w:hint="eastAsia"/>
                <w:color w:val="auto"/>
                <w:highlight w:val="none"/>
              </w:rPr>
            </w:pPr>
            <w:r>
              <w:rPr>
                <w:rFonts w:hint="eastAsia"/>
                <w:color w:val="auto"/>
                <w:highlight w:val="none"/>
              </w:rPr>
              <w:t>交通噪声、社会噪声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N5</w:t>
            </w:r>
          </w:p>
        </w:tc>
        <w:tc>
          <w:tcPr>
            <w:tcW w:w="3651" w:type="dxa"/>
            <w:vAlign w:val="center"/>
          </w:tcPr>
          <w:p>
            <w:pPr>
              <w:jc w:val="center"/>
              <w:rPr>
                <w:rFonts w:hint="eastAsia"/>
                <w:color w:val="auto"/>
                <w:szCs w:val="21"/>
                <w:highlight w:val="none"/>
              </w:rPr>
            </w:pPr>
            <w:r>
              <w:rPr>
                <w:rFonts w:hint="eastAsia"/>
                <w:color w:val="auto"/>
                <w:szCs w:val="21"/>
                <w:highlight w:val="none"/>
              </w:rPr>
              <w:t>东方苑9F</w:t>
            </w:r>
          </w:p>
        </w:tc>
        <w:tc>
          <w:tcPr>
            <w:tcW w:w="2339" w:type="dxa"/>
            <w:vAlign w:val="center"/>
          </w:tcPr>
          <w:p>
            <w:pPr>
              <w:jc w:val="center"/>
              <w:rPr>
                <w:rFonts w:hint="eastAsia"/>
                <w:color w:val="auto"/>
                <w:highlight w:val="none"/>
              </w:rPr>
            </w:pPr>
            <w:r>
              <w:rPr>
                <w:rFonts w:hint="eastAsia"/>
                <w:color w:val="auto"/>
                <w:highlight w:val="none"/>
              </w:rPr>
              <w:t>交通噪声、社会噪声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N6</w:t>
            </w:r>
          </w:p>
        </w:tc>
        <w:tc>
          <w:tcPr>
            <w:tcW w:w="3651" w:type="dxa"/>
            <w:vAlign w:val="center"/>
          </w:tcPr>
          <w:p>
            <w:pPr>
              <w:jc w:val="center"/>
              <w:rPr>
                <w:rFonts w:hint="eastAsia"/>
                <w:color w:val="auto"/>
                <w:szCs w:val="21"/>
                <w:highlight w:val="none"/>
              </w:rPr>
            </w:pPr>
            <w:r>
              <w:rPr>
                <w:rFonts w:hint="eastAsia"/>
                <w:color w:val="auto"/>
                <w:szCs w:val="21"/>
                <w:highlight w:val="none"/>
              </w:rPr>
              <w:t>东方苑11F</w:t>
            </w:r>
          </w:p>
        </w:tc>
        <w:tc>
          <w:tcPr>
            <w:tcW w:w="2339" w:type="dxa"/>
            <w:vAlign w:val="center"/>
          </w:tcPr>
          <w:p>
            <w:pPr>
              <w:jc w:val="center"/>
              <w:rPr>
                <w:rFonts w:hint="eastAsia"/>
                <w:color w:val="auto"/>
                <w:highlight w:val="none"/>
              </w:rPr>
            </w:pPr>
            <w:r>
              <w:rPr>
                <w:rFonts w:hint="eastAsia"/>
                <w:color w:val="auto"/>
                <w:highlight w:val="none"/>
              </w:rPr>
              <w:t>交通噪声、社会噪声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N7</w:t>
            </w:r>
          </w:p>
        </w:tc>
        <w:tc>
          <w:tcPr>
            <w:tcW w:w="3651" w:type="dxa"/>
            <w:vAlign w:val="center"/>
          </w:tcPr>
          <w:p>
            <w:pPr>
              <w:jc w:val="center"/>
              <w:rPr>
                <w:color w:val="auto"/>
                <w:szCs w:val="21"/>
                <w:highlight w:val="none"/>
              </w:rPr>
            </w:pPr>
            <w:r>
              <w:rPr>
                <w:rFonts w:hint="eastAsia"/>
                <w:color w:val="auto"/>
                <w:szCs w:val="21"/>
                <w:highlight w:val="none"/>
              </w:rPr>
              <w:t>福州九00医院总院</w:t>
            </w:r>
          </w:p>
        </w:tc>
        <w:tc>
          <w:tcPr>
            <w:tcW w:w="2339" w:type="dxa"/>
            <w:vAlign w:val="center"/>
          </w:tcPr>
          <w:p>
            <w:pPr>
              <w:jc w:val="center"/>
              <w:rPr>
                <w:rFonts w:hint="eastAsia"/>
                <w:color w:val="auto"/>
                <w:szCs w:val="21"/>
                <w:highlight w:val="none"/>
              </w:rPr>
            </w:pPr>
            <w:r>
              <w:rPr>
                <w:rFonts w:hint="eastAsia"/>
                <w:color w:val="auto"/>
                <w:highlight w:val="none"/>
              </w:rPr>
              <w:t>交通噪声、社会噪声</w:t>
            </w:r>
          </w:p>
        </w:tc>
        <w:tc>
          <w:tcPr>
            <w:tcW w:w="2339" w:type="dxa"/>
            <w:vAlign w:val="center"/>
          </w:tcPr>
          <w:p>
            <w:pPr>
              <w:jc w:val="center"/>
              <w:rPr>
                <w:rFonts w:hint="eastAsia"/>
                <w:color w:val="auto"/>
                <w:highlight w:val="none"/>
              </w:rPr>
            </w:pPr>
            <w:r>
              <w:rPr>
                <w:rFonts w:hint="eastAsia"/>
                <w:color w:val="auto"/>
                <w:sz w:val="22"/>
                <w:szCs w:val="21"/>
                <w:highlight w:val="none"/>
              </w:rPr>
              <w:t>2类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N8</w:t>
            </w:r>
          </w:p>
        </w:tc>
        <w:tc>
          <w:tcPr>
            <w:tcW w:w="3651" w:type="dxa"/>
            <w:vAlign w:val="center"/>
          </w:tcPr>
          <w:p>
            <w:pPr>
              <w:jc w:val="center"/>
              <w:rPr>
                <w:color w:val="auto"/>
                <w:szCs w:val="21"/>
                <w:highlight w:val="none"/>
              </w:rPr>
            </w:pPr>
            <w:r>
              <w:rPr>
                <w:rFonts w:hint="eastAsia"/>
                <w:color w:val="auto"/>
                <w:szCs w:val="21"/>
                <w:highlight w:val="none"/>
              </w:rPr>
              <w:t>道路终点</w:t>
            </w:r>
          </w:p>
        </w:tc>
        <w:tc>
          <w:tcPr>
            <w:tcW w:w="2339" w:type="dxa"/>
            <w:vAlign w:val="center"/>
          </w:tcPr>
          <w:p>
            <w:pPr>
              <w:jc w:val="center"/>
              <w:rPr>
                <w:rFonts w:hint="eastAsia"/>
                <w:color w:val="auto"/>
                <w:szCs w:val="21"/>
                <w:highlight w:val="none"/>
              </w:rPr>
            </w:pPr>
            <w:r>
              <w:rPr>
                <w:rFonts w:hint="eastAsia"/>
                <w:color w:val="auto"/>
                <w:highlight w:val="none"/>
              </w:rPr>
              <w:t>交通噪声</w:t>
            </w:r>
          </w:p>
        </w:tc>
        <w:tc>
          <w:tcPr>
            <w:tcW w:w="2339" w:type="dxa"/>
            <w:vAlign w:val="center"/>
          </w:tcPr>
          <w:p>
            <w:pPr>
              <w:jc w:val="center"/>
              <w:rPr>
                <w:rFonts w:hint="eastAsia"/>
                <w:color w:val="auto"/>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N9</w:t>
            </w:r>
          </w:p>
        </w:tc>
        <w:tc>
          <w:tcPr>
            <w:tcW w:w="3651" w:type="dxa"/>
            <w:vAlign w:val="center"/>
          </w:tcPr>
          <w:p>
            <w:pPr>
              <w:jc w:val="center"/>
              <w:rPr>
                <w:color w:val="auto"/>
                <w:szCs w:val="21"/>
                <w:highlight w:val="none"/>
              </w:rPr>
            </w:pPr>
            <w:r>
              <w:rPr>
                <w:rFonts w:hint="eastAsia"/>
                <w:color w:val="auto"/>
                <w:szCs w:val="21"/>
                <w:highlight w:val="none"/>
              </w:rPr>
              <w:t>象山公寓1F</w:t>
            </w:r>
          </w:p>
        </w:tc>
        <w:tc>
          <w:tcPr>
            <w:tcW w:w="2339" w:type="dxa"/>
            <w:vAlign w:val="center"/>
          </w:tcPr>
          <w:p>
            <w:pPr>
              <w:jc w:val="center"/>
              <w:rPr>
                <w:rFonts w:hint="eastAsia"/>
                <w:color w:val="auto"/>
                <w:highlight w:val="none"/>
              </w:rPr>
            </w:pPr>
            <w:r>
              <w:rPr>
                <w:rFonts w:hint="eastAsia"/>
                <w:color w:val="auto"/>
                <w:highlight w:val="none"/>
              </w:rPr>
              <w:t>交通噪声、社会噪声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N10</w:t>
            </w:r>
          </w:p>
        </w:tc>
        <w:tc>
          <w:tcPr>
            <w:tcW w:w="3651" w:type="dxa"/>
            <w:vAlign w:val="center"/>
          </w:tcPr>
          <w:p>
            <w:pPr>
              <w:jc w:val="center"/>
              <w:rPr>
                <w:rFonts w:hint="eastAsia"/>
                <w:color w:val="auto"/>
                <w:szCs w:val="21"/>
                <w:highlight w:val="none"/>
              </w:rPr>
            </w:pPr>
            <w:r>
              <w:rPr>
                <w:rFonts w:hint="eastAsia"/>
                <w:color w:val="auto"/>
                <w:szCs w:val="21"/>
                <w:highlight w:val="none"/>
              </w:rPr>
              <w:t>象山公寓4F</w:t>
            </w:r>
          </w:p>
        </w:tc>
        <w:tc>
          <w:tcPr>
            <w:tcW w:w="2339" w:type="dxa"/>
            <w:vAlign w:val="center"/>
          </w:tcPr>
          <w:p>
            <w:pPr>
              <w:jc w:val="center"/>
              <w:rPr>
                <w:rFonts w:hint="eastAsia"/>
                <w:color w:val="auto"/>
                <w:highlight w:val="none"/>
              </w:rPr>
            </w:pPr>
            <w:r>
              <w:rPr>
                <w:rFonts w:hint="eastAsia"/>
                <w:color w:val="auto"/>
                <w:highlight w:val="none"/>
              </w:rPr>
              <w:t>交通噪声、社会噪声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N11</w:t>
            </w:r>
          </w:p>
        </w:tc>
        <w:tc>
          <w:tcPr>
            <w:tcW w:w="3651" w:type="dxa"/>
            <w:vAlign w:val="center"/>
          </w:tcPr>
          <w:p>
            <w:pPr>
              <w:jc w:val="center"/>
              <w:rPr>
                <w:rFonts w:hint="eastAsia"/>
                <w:color w:val="auto"/>
                <w:szCs w:val="21"/>
                <w:highlight w:val="none"/>
              </w:rPr>
            </w:pPr>
            <w:r>
              <w:rPr>
                <w:rFonts w:hint="eastAsia"/>
                <w:color w:val="auto"/>
                <w:szCs w:val="21"/>
                <w:highlight w:val="none"/>
              </w:rPr>
              <w:t>象山公寓8F</w:t>
            </w:r>
          </w:p>
        </w:tc>
        <w:tc>
          <w:tcPr>
            <w:tcW w:w="2339" w:type="dxa"/>
            <w:vAlign w:val="center"/>
          </w:tcPr>
          <w:p>
            <w:pPr>
              <w:jc w:val="center"/>
              <w:rPr>
                <w:rFonts w:hint="eastAsia"/>
                <w:color w:val="auto"/>
                <w:highlight w:val="none"/>
              </w:rPr>
            </w:pPr>
            <w:r>
              <w:rPr>
                <w:rFonts w:hint="eastAsia"/>
                <w:color w:val="auto"/>
                <w:highlight w:val="none"/>
              </w:rPr>
              <w:t>交通噪声、社会噪声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1174" w:type="dxa"/>
            <w:vAlign w:val="center"/>
          </w:tcPr>
          <w:p>
            <w:pPr>
              <w:jc w:val="center"/>
              <w:rPr>
                <w:color w:val="auto"/>
                <w:szCs w:val="21"/>
                <w:highlight w:val="none"/>
              </w:rPr>
            </w:pPr>
            <w:r>
              <w:rPr>
                <w:rFonts w:hint="eastAsia" w:ascii="宋体" w:hAnsi="宋体" w:cs="宋体"/>
                <w:color w:val="auto"/>
                <w:szCs w:val="21"/>
                <w:highlight w:val="none"/>
              </w:rPr>
              <w:t>▲</w:t>
            </w:r>
            <w:r>
              <w:rPr>
                <w:rFonts w:hint="eastAsia"/>
                <w:color w:val="auto"/>
                <w:szCs w:val="21"/>
                <w:highlight w:val="none"/>
              </w:rPr>
              <w:t>N12</w:t>
            </w:r>
          </w:p>
        </w:tc>
        <w:tc>
          <w:tcPr>
            <w:tcW w:w="3651" w:type="dxa"/>
            <w:vAlign w:val="center"/>
          </w:tcPr>
          <w:p>
            <w:pPr>
              <w:jc w:val="center"/>
              <w:rPr>
                <w:rFonts w:hint="eastAsia"/>
                <w:color w:val="auto"/>
                <w:szCs w:val="21"/>
                <w:highlight w:val="none"/>
              </w:rPr>
            </w:pPr>
            <w:r>
              <w:rPr>
                <w:rFonts w:hint="eastAsia"/>
                <w:color w:val="auto"/>
                <w:szCs w:val="21"/>
                <w:highlight w:val="none"/>
              </w:rPr>
              <w:t>福建省职业病防治院</w:t>
            </w:r>
          </w:p>
        </w:tc>
        <w:tc>
          <w:tcPr>
            <w:tcW w:w="2339" w:type="dxa"/>
            <w:vAlign w:val="center"/>
          </w:tcPr>
          <w:p>
            <w:pPr>
              <w:jc w:val="center"/>
              <w:rPr>
                <w:rFonts w:hint="eastAsia"/>
                <w:color w:val="auto"/>
                <w:szCs w:val="21"/>
                <w:highlight w:val="none"/>
              </w:rPr>
            </w:pPr>
            <w:r>
              <w:rPr>
                <w:rFonts w:hint="eastAsia"/>
                <w:color w:val="auto"/>
                <w:highlight w:val="none"/>
              </w:rPr>
              <w:t>交通噪声、社会噪声</w:t>
            </w:r>
          </w:p>
        </w:tc>
        <w:tc>
          <w:tcPr>
            <w:tcW w:w="2339" w:type="dxa"/>
            <w:vAlign w:val="center"/>
          </w:tcPr>
          <w:p>
            <w:pPr>
              <w:jc w:val="center"/>
              <w:rPr>
                <w:rFonts w:hint="eastAsia"/>
                <w:color w:val="auto"/>
                <w:highlight w:val="none"/>
              </w:rPr>
            </w:pPr>
            <w:r>
              <w:rPr>
                <w:rFonts w:hint="eastAsia"/>
                <w:color w:val="auto"/>
                <w:sz w:val="22"/>
                <w:szCs w:val="21"/>
                <w:highlight w:val="none"/>
              </w:rPr>
              <w:t>2类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N13</w:t>
            </w:r>
          </w:p>
        </w:tc>
        <w:tc>
          <w:tcPr>
            <w:tcW w:w="3651" w:type="dxa"/>
            <w:vAlign w:val="center"/>
          </w:tcPr>
          <w:p>
            <w:pPr>
              <w:jc w:val="center"/>
              <w:rPr>
                <w:color w:val="auto"/>
                <w:szCs w:val="21"/>
                <w:highlight w:val="none"/>
              </w:rPr>
            </w:pPr>
            <w:r>
              <w:rPr>
                <w:rFonts w:hint="eastAsia"/>
                <w:color w:val="auto"/>
                <w:szCs w:val="21"/>
                <w:highlight w:val="none"/>
              </w:rPr>
              <w:t>九龙山庄1F</w:t>
            </w:r>
          </w:p>
        </w:tc>
        <w:tc>
          <w:tcPr>
            <w:tcW w:w="2339" w:type="dxa"/>
            <w:vAlign w:val="center"/>
          </w:tcPr>
          <w:p>
            <w:pPr>
              <w:jc w:val="center"/>
              <w:rPr>
                <w:rFonts w:hint="eastAsia"/>
                <w:color w:val="auto"/>
                <w:highlight w:val="none"/>
              </w:rPr>
            </w:pPr>
            <w:r>
              <w:rPr>
                <w:rFonts w:hint="eastAsia"/>
                <w:color w:val="auto"/>
                <w:highlight w:val="none"/>
              </w:rPr>
              <w:t>交通噪声、社会噪声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N14</w:t>
            </w:r>
          </w:p>
        </w:tc>
        <w:tc>
          <w:tcPr>
            <w:tcW w:w="3651" w:type="dxa"/>
            <w:vAlign w:val="center"/>
          </w:tcPr>
          <w:p>
            <w:pPr>
              <w:jc w:val="center"/>
              <w:rPr>
                <w:rFonts w:hint="eastAsia"/>
                <w:color w:val="auto"/>
                <w:szCs w:val="21"/>
                <w:highlight w:val="none"/>
              </w:rPr>
            </w:pPr>
            <w:r>
              <w:rPr>
                <w:rFonts w:hint="eastAsia"/>
                <w:color w:val="auto"/>
                <w:szCs w:val="21"/>
                <w:highlight w:val="none"/>
              </w:rPr>
              <w:t>九龙山庄3F</w:t>
            </w:r>
          </w:p>
        </w:tc>
        <w:tc>
          <w:tcPr>
            <w:tcW w:w="2339" w:type="dxa"/>
            <w:vAlign w:val="center"/>
          </w:tcPr>
          <w:p>
            <w:pPr>
              <w:jc w:val="center"/>
              <w:rPr>
                <w:rFonts w:hint="eastAsia"/>
                <w:color w:val="auto"/>
                <w:highlight w:val="none"/>
              </w:rPr>
            </w:pPr>
            <w:r>
              <w:rPr>
                <w:rFonts w:hint="eastAsia"/>
                <w:color w:val="auto"/>
                <w:highlight w:val="none"/>
              </w:rPr>
              <w:t>交通噪声、社会噪声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174"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N15</w:t>
            </w:r>
          </w:p>
        </w:tc>
        <w:tc>
          <w:tcPr>
            <w:tcW w:w="3651" w:type="dxa"/>
            <w:vAlign w:val="center"/>
          </w:tcPr>
          <w:p>
            <w:pPr>
              <w:jc w:val="center"/>
              <w:rPr>
                <w:rFonts w:hint="eastAsia"/>
                <w:color w:val="auto"/>
                <w:szCs w:val="21"/>
                <w:highlight w:val="none"/>
              </w:rPr>
            </w:pPr>
            <w:r>
              <w:rPr>
                <w:rFonts w:hint="eastAsia"/>
                <w:color w:val="auto"/>
                <w:szCs w:val="21"/>
                <w:highlight w:val="none"/>
              </w:rPr>
              <w:t>九龙山庄6F</w:t>
            </w:r>
          </w:p>
        </w:tc>
        <w:tc>
          <w:tcPr>
            <w:tcW w:w="2339" w:type="dxa"/>
            <w:vAlign w:val="center"/>
          </w:tcPr>
          <w:p>
            <w:pPr>
              <w:jc w:val="center"/>
              <w:rPr>
                <w:rFonts w:hint="eastAsia"/>
                <w:color w:val="auto"/>
                <w:highlight w:val="none"/>
              </w:rPr>
            </w:pPr>
            <w:r>
              <w:rPr>
                <w:rFonts w:hint="eastAsia"/>
                <w:color w:val="auto"/>
                <w:highlight w:val="none"/>
              </w:rPr>
              <w:t>交通噪声、社会噪声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N16</w:t>
            </w:r>
          </w:p>
        </w:tc>
        <w:tc>
          <w:tcPr>
            <w:tcW w:w="3651" w:type="dxa"/>
            <w:vAlign w:val="center"/>
          </w:tcPr>
          <w:p>
            <w:pPr>
              <w:jc w:val="center"/>
              <w:rPr>
                <w:rFonts w:hint="eastAsia"/>
                <w:color w:val="auto"/>
                <w:szCs w:val="21"/>
                <w:highlight w:val="none"/>
              </w:rPr>
            </w:pPr>
            <w:r>
              <w:rPr>
                <w:rFonts w:hint="eastAsia"/>
                <w:color w:val="auto"/>
                <w:szCs w:val="21"/>
                <w:highlight w:val="none"/>
              </w:rPr>
              <w:t>福建省高级人民法院</w:t>
            </w:r>
          </w:p>
        </w:tc>
        <w:tc>
          <w:tcPr>
            <w:tcW w:w="2339" w:type="dxa"/>
            <w:vAlign w:val="center"/>
          </w:tcPr>
          <w:p>
            <w:pPr>
              <w:jc w:val="center"/>
              <w:rPr>
                <w:rFonts w:hint="eastAsia"/>
                <w:color w:val="auto"/>
                <w:highlight w:val="none"/>
              </w:rPr>
            </w:pPr>
            <w:r>
              <w:rPr>
                <w:rFonts w:hint="eastAsia"/>
                <w:color w:val="auto"/>
                <w:highlight w:val="none"/>
              </w:rPr>
              <w:t>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4a类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N17</w:t>
            </w:r>
          </w:p>
        </w:tc>
        <w:tc>
          <w:tcPr>
            <w:tcW w:w="3651" w:type="dxa"/>
            <w:vAlign w:val="center"/>
          </w:tcPr>
          <w:p>
            <w:pPr>
              <w:jc w:val="center"/>
              <w:rPr>
                <w:rFonts w:hint="eastAsia"/>
                <w:color w:val="auto"/>
                <w:szCs w:val="21"/>
                <w:highlight w:val="none"/>
              </w:rPr>
            </w:pPr>
            <w:r>
              <w:rPr>
                <w:rFonts w:hint="eastAsia"/>
                <w:color w:val="auto"/>
                <w:szCs w:val="21"/>
                <w:highlight w:val="none"/>
              </w:rPr>
              <w:t>西凤社区</w:t>
            </w:r>
          </w:p>
        </w:tc>
        <w:tc>
          <w:tcPr>
            <w:tcW w:w="2339" w:type="dxa"/>
            <w:vAlign w:val="center"/>
          </w:tcPr>
          <w:p>
            <w:pPr>
              <w:jc w:val="center"/>
              <w:rPr>
                <w:rFonts w:hint="eastAsia"/>
                <w:color w:val="auto"/>
                <w:highlight w:val="none"/>
              </w:rPr>
            </w:pPr>
            <w:r>
              <w:rPr>
                <w:rFonts w:hint="eastAsia"/>
                <w:color w:val="auto"/>
                <w:highlight w:val="none"/>
              </w:rPr>
              <w:t>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2类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N18</w:t>
            </w:r>
          </w:p>
        </w:tc>
        <w:tc>
          <w:tcPr>
            <w:tcW w:w="3651" w:type="dxa"/>
            <w:vAlign w:val="center"/>
          </w:tcPr>
          <w:p>
            <w:pPr>
              <w:jc w:val="center"/>
              <w:rPr>
                <w:rFonts w:hint="eastAsia"/>
                <w:color w:val="auto"/>
                <w:szCs w:val="21"/>
                <w:highlight w:val="none"/>
              </w:rPr>
            </w:pPr>
            <w:r>
              <w:rPr>
                <w:rFonts w:hint="eastAsia"/>
                <w:color w:val="auto"/>
                <w:szCs w:val="21"/>
                <w:highlight w:val="none"/>
              </w:rPr>
              <w:t>西山张真人殿</w:t>
            </w:r>
          </w:p>
        </w:tc>
        <w:tc>
          <w:tcPr>
            <w:tcW w:w="2339" w:type="dxa"/>
            <w:vAlign w:val="center"/>
          </w:tcPr>
          <w:p>
            <w:pPr>
              <w:jc w:val="center"/>
              <w:rPr>
                <w:rFonts w:hint="eastAsia"/>
                <w:color w:val="auto"/>
                <w:highlight w:val="none"/>
              </w:rPr>
            </w:pPr>
            <w:r>
              <w:rPr>
                <w:rFonts w:hint="eastAsia"/>
                <w:color w:val="auto"/>
                <w:highlight w:val="none"/>
              </w:rPr>
              <w:t>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2类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N19</w:t>
            </w:r>
          </w:p>
        </w:tc>
        <w:tc>
          <w:tcPr>
            <w:tcW w:w="3651" w:type="dxa"/>
            <w:vAlign w:val="center"/>
          </w:tcPr>
          <w:p>
            <w:pPr>
              <w:jc w:val="center"/>
              <w:rPr>
                <w:rFonts w:hint="eastAsia"/>
                <w:color w:val="auto"/>
                <w:szCs w:val="21"/>
                <w:highlight w:val="none"/>
              </w:rPr>
            </w:pPr>
            <w:r>
              <w:rPr>
                <w:rFonts w:hint="eastAsia"/>
                <w:color w:val="auto"/>
                <w:szCs w:val="21"/>
                <w:highlight w:val="none"/>
              </w:rPr>
              <w:t>山水公寓</w:t>
            </w:r>
          </w:p>
        </w:tc>
        <w:tc>
          <w:tcPr>
            <w:tcW w:w="2339" w:type="dxa"/>
            <w:vAlign w:val="center"/>
          </w:tcPr>
          <w:p>
            <w:pPr>
              <w:jc w:val="center"/>
              <w:rPr>
                <w:rFonts w:hint="eastAsia"/>
                <w:color w:val="auto"/>
                <w:highlight w:val="none"/>
              </w:rPr>
            </w:pPr>
            <w:r>
              <w:rPr>
                <w:rFonts w:hint="eastAsia"/>
                <w:color w:val="auto"/>
                <w:highlight w:val="none"/>
              </w:rPr>
              <w:t>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2类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N20</w:t>
            </w:r>
          </w:p>
        </w:tc>
        <w:tc>
          <w:tcPr>
            <w:tcW w:w="3651" w:type="dxa"/>
            <w:vAlign w:val="center"/>
          </w:tcPr>
          <w:p>
            <w:pPr>
              <w:jc w:val="center"/>
              <w:rPr>
                <w:rFonts w:hint="eastAsia"/>
                <w:color w:val="auto"/>
                <w:szCs w:val="21"/>
                <w:highlight w:val="none"/>
              </w:rPr>
            </w:pPr>
            <w:r>
              <w:rPr>
                <w:rFonts w:hint="eastAsia"/>
                <w:color w:val="auto"/>
                <w:szCs w:val="21"/>
                <w:highlight w:val="none"/>
              </w:rPr>
              <w:t>西湖别墅</w:t>
            </w:r>
          </w:p>
        </w:tc>
        <w:tc>
          <w:tcPr>
            <w:tcW w:w="2339" w:type="dxa"/>
            <w:vAlign w:val="center"/>
          </w:tcPr>
          <w:p>
            <w:pPr>
              <w:jc w:val="center"/>
              <w:rPr>
                <w:rFonts w:hint="eastAsia"/>
                <w:color w:val="auto"/>
                <w:highlight w:val="none"/>
              </w:rPr>
            </w:pPr>
            <w:r>
              <w:rPr>
                <w:rFonts w:hint="eastAsia"/>
                <w:color w:val="auto"/>
                <w:highlight w:val="none"/>
              </w:rPr>
              <w:t>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2类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4"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N21</w:t>
            </w:r>
          </w:p>
        </w:tc>
        <w:tc>
          <w:tcPr>
            <w:tcW w:w="3651" w:type="dxa"/>
            <w:vAlign w:val="center"/>
          </w:tcPr>
          <w:p>
            <w:pPr>
              <w:jc w:val="center"/>
              <w:rPr>
                <w:rFonts w:hint="eastAsia"/>
                <w:color w:val="auto"/>
                <w:szCs w:val="21"/>
                <w:highlight w:val="none"/>
              </w:rPr>
            </w:pPr>
            <w:r>
              <w:rPr>
                <w:rFonts w:hint="eastAsia"/>
                <w:color w:val="auto"/>
                <w:szCs w:val="21"/>
                <w:highlight w:val="none"/>
              </w:rPr>
              <w:t>西湖公园</w:t>
            </w:r>
          </w:p>
        </w:tc>
        <w:tc>
          <w:tcPr>
            <w:tcW w:w="2339" w:type="dxa"/>
            <w:vAlign w:val="center"/>
          </w:tcPr>
          <w:p>
            <w:pPr>
              <w:jc w:val="center"/>
              <w:rPr>
                <w:rFonts w:hint="eastAsia"/>
                <w:color w:val="auto"/>
                <w:highlight w:val="none"/>
              </w:rPr>
            </w:pPr>
            <w:r>
              <w:rPr>
                <w:rFonts w:hint="eastAsia"/>
                <w:color w:val="auto"/>
                <w:highlight w:val="none"/>
              </w:rPr>
              <w:t>社会噪声</w:t>
            </w:r>
          </w:p>
        </w:tc>
        <w:tc>
          <w:tcPr>
            <w:tcW w:w="2339" w:type="dxa"/>
            <w:vAlign w:val="center"/>
          </w:tcPr>
          <w:p>
            <w:pPr>
              <w:jc w:val="center"/>
              <w:rPr>
                <w:rFonts w:hint="eastAsia"/>
                <w:color w:val="auto"/>
                <w:sz w:val="22"/>
                <w:szCs w:val="21"/>
                <w:highlight w:val="none"/>
              </w:rPr>
            </w:pPr>
            <w:r>
              <w:rPr>
                <w:rFonts w:hint="eastAsia"/>
                <w:color w:val="auto"/>
                <w:sz w:val="22"/>
                <w:szCs w:val="21"/>
                <w:highlight w:val="none"/>
              </w:rPr>
              <w:t>2类</w:t>
            </w:r>
          </w:p>
        </w:tc>
      </w:tr>
    </w:tbl>
    <w:p>
      <w:pPr>
        <w:adjustRightInd w:val="0"/>
        <w:snapToGrid w:val="0"/>
        <w:spacing w:line="360" w:lineRule="auto"/>
        <w:ind w:firstLine="480" w:firstLineChars="200"/>
        <w:jc w:val="left"/>
        <w:rPr>
          <w:color w:val="auto"/>
          <w:kern w:val="0"/>
          <w:sz w:val="24"/>
          <w:highlight w:val="none"/>
          <w:lang w:val="zh-CN"/>
        </w:rPr>
      </w:pPr>
      <w:r>
        <w:rPr>
          <w:color w:val="auto"/>
          <w:kern w:val="0"/>
          <w:sz w:val="24"/>
          <w:highlight w:val="none"/>
          <w:lang w:val="zh-CN"/>
        </w:rPr>
        <w:t>各</w:t>
      </w:r>
      <w:r>
        <w:rPr>
          <w:rFonts w:hint="eastAsia"/>
          <w:color w:val="auto"/>
          <w:kern w:val="0"/>
          <w:sz w:val="24"/>
          <w:highlight w:val="none"/>
          <w:lang w:val="zh-CN"/>
        </w:rPr>
        <w:t>声环境保护目标</w:t>
      </w:r>
      <w:r>
        <w:rPr>
          <w:color w:val="auto"/>
          <w:kern w:val="0"/>
          <w:sz w:val="24"/>
          <w:highlight w:val="none"/>
          <w:lang w:val="zh-CN"/>
        </w:rPr>
        <w:t>现状噪声监测结果见表</w:t>
      </w:r>
      <w:r>
        <w:rPr>
          <w:rFonts w:hint="eastAsia"/>
          <w:color w:val="auto"/>
          <w:kern w:val="0"/>
          <w:sz w:val="24"/>
          <w:highlight w:val="none"/>
          <w:lang w:val="zh-CN"/>
        </w:rPr>
        <w:t>3</w:t>
      </w:r>
      <w:r>
        <w:rPr>
          <w:rFonts w:hint="eastAsia"/>
          <w:color w:val="auto"/>
          <w:kern w:val="0"/>
          <w:sz w:val="24"/>
          <w:highlight w:val="none"/>
        </w:rPr>
        <w:t>.1-2</w:t>
      </w:r>
      <w:r>
        <w:rPr>
          <w:rFonts w:hint="eastAsia"/>
          <w:color w:val="auto"/>
          <w:kern w:val="0"/>
          <w:sz w:val="24"/>
          <w:highlight w:val="none"/>
          <w:lang w:eastAsia="zh-CN"/>
        </w:rPr>
        <w:t>，车流量统计见表</w:t>
      </w:r>
      <w:r>
        <w:rPr>
          <w:rFonts w:hint="eastAsia"/>
          <w:color w:val="auto"/>
          <w:kern w:val="0"/>
          <w:sz w:val="24"/>
          <w:highlight w:val="none"/>
          <w:lang w:val="en-US" w:eastAsia="zh-CN"/>
        </w:rPr>
        <w:t>3.1-3</w:t>
      </w:r>
      <w:r>
        <w:rPr>
          <w:color w:val="auto"/>
          <w:kern w:val="0"/>
          <w:sz w:val="24"/>
          <w:highlight w:val="none"/>
          <w:lang w:val="zh-CN"/>
        </w:rPr>
        <w:t>。</w:t>
      </w:r>
    </w:p>
    <w:p>
      <w:pPr>
        <w:pStyle w:val="9"/>
        <w:widowControl w:val="0"/>
        <w:spacing w:before="0" w:after="0" w:line="240" w:lineRule="auto"/>
        <w:jc w:val="center"/>
        <w:rPr>
          <w:rFonts w:hint="default" w:eastAsia="宋体"/>
          <w:b/>
          <w:bCs/>
          <w:color w:val="auto"/>
          <w:sz w:val="24"/>
          <w:szCs w:val="24"/>
          <w:highlight w:val="none"/>
          <w:lang w:val="en-US" w:eastAsia="zh-CN"/>
        </w:rPr>
      </w:pPr>
      <w:r>
        <w:rPr>
          <w:rFonts w:hint="eastAsia"/>
          <w:b/>
          <w:color w:val="auto"/>
          <w:sz w:val="24"/>
          <w:szCs w:val="24"/>
          <w:highlight w:val="none"/>
          <w:lang w:val="zh-CN"/>
        </w:rPr>
        <w:t>表</w:t>
      </w:r>
      <w:r>
        <w:rPr>
          <w:rFonts w:hint="eastAsia"/>
          <w:b/>
          <w:color w:val="auto"/>
          <w:sz w:val="24"/>
          <w:szCs w:val="24"/>
          <w:highlight w:val="none"/>
        </w:rPr>
        <w:t>3.1</w:t>
      </w:r>
      <w:r>
        <w:rPr>
          <w:rFonts w:hint="eastAsia"/>
          <w:b/>
          <w:color w:val="auto"/>
          <w:sz w:val="24"/>
          <w:szCs w:val="24"/>
          <w:highlight w:val="none"/>
          <w:lang w:val="zh-CN"/>
        </w:rPr>
        <w:t>-</w:t>
      </w:r>
      <w:r>
        <w:rPr>
          <w:rFonts w:hint="eastAsia"/>
          <w:b/>
          <w:color w:val="auto"/>
          <w:sz w:val="24"/>
          <w:szCs w:val="24"/>
          <w:highlight w:val="none"/>
        </w:rPr>
        <w:t>2</w:t>
      </w:r>
      <w:r>
        <w:rPr>
          <w:rFonts w:hint="eastAsia"/>
          <w:b/>
          <w:color w:val="auto"/>
          <w:sz w:val="24"/>
          <w:szCs w:val="24"/>
          <w:highlight w:val="none"/>
          <w:lang w:val="zh-CN"/>
        </w:rPr>
        <w:t xml:space="preserve">  环境噪声现状监测结果</w:t>
      </w:r>
      <w:r>
        <w:rPr>
          <w:rStyle w:val="22"/>
          <w:rFonts w:hint="eastAsia"/>
          <w:color w:val="auto"/>
          <w:szCs w:val="24"/>
          <w:highlight w:val="none"/>
          <w:lang w:val="en-US" w:eastAsia="zh-CN"/>
        </w:rPr>
        <w:t xml:space="preserve">           </w:t>
      </w:r>
      <w:r>
        <w:rPr>
          <w:rStyle w:val="22"/>
          <w:rFonts w:hint="eastAsia"/>
          <w:b/>
          <w:bCs/>
          <w:color w:val="auto"/>
          <w:szCs w:val="24"/>
          <w:highlight w:val="none"/>
          <w:lang w:val="en-US" w:eastAsia="zh-CN"/>
        </w:rPr>
        <w:t>单位：dB(A)</w:t>
      </w:r>
    </w:p>
    <w:tbl>
      <w:tblPr>
        <w:tblStyle w:val="23"/>
        <w:tblW w:w="950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86"/>
        <w:gridCol w:w="1286"/>
        <w:gridCol w:w="1788"/>
        <w:gridCol w:w="1287"/>
        <w:gridCol w:w="1287"/>
        <w:gridCol w:w="1287"/>
        <w:gridCol w:w="12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1286"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检测日期</w:t>
            </w:r>
          </w:p>
        </w:tc>
        <w:tc>
          <w:tcPr>
            <w:tcW w:w="1286"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测点编号</w:t>
            </w:r>
          </w:p>
        </w:tc>
        <w:tc>
          <w:tcPr>
            <w:tcW w:w="1788"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点位名称</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时段</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标准值</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检测结果</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超标量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restart"/>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2022.4.6</w:t>
            </w: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道路起点</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68.2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59.2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N2</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福建行政学院</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66.3</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56.6</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N3</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东方苑</w:t>
            </w:r>
            <w:r>
              <w:rPr>
                <w:rFonts w:hint="default" w:ascii="Times New Roman" w:hAnsi="Times New Roman" w:eastAsia="宋体" w:cs="Times New Roman"/>
                <w:color w:val="auto"/>
                <w:szCs w:val="21"/>
                <w:highlight w:val="none"/>
                <w:lang w:val="en-US" w:eastAsia="zh-CN"/>
              </w:rPr>
              <w:t>1F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61.9</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52.9</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N4</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东方苑</w:t>
            </w:r>
            <w:r>
              <w:rPr>
                <w:rFonts w:hint="default" w:ascii="Times New Roman" w:hAnsi="Times New Roman" w:eastAsia="宋体" w:cs="Times New Roman"/>
                <w:color w:val="auto"/>
                <w:szCs w:val="21"/>
                <w:highlight w:val="none"/>
                <w:lang w:val="en-US" w:eastAsia="zh-CN"/>
              </w:rPr>
              <w:t>4F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62.9</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53.4</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N5</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东方苑</w:t>
            </w:r>
            <w:r>
              <w:rPr>
                <w:rFonts w:hint="default" w:ascii="Times New Roman" w:hAnsi="Times New Roman" w:eastAsia="宋体" w:cs="Times New Roman"/>
                <w:color w:val="auto"/>
                <w:szCs w:val="21"/>
                <w:highlight w:val="none"/>
                <w:lang w:val="en-US" w:eastAsia="zh-CN"/>
              </w:rPr>
              <w:t>9F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62.9</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53.7</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N6</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东方苑</w:t>
            </w:r>
            <w:r>
              <w:rPr>
                <w:rFonts w:hint="default" w:ascii="Times New Roman" w:hAnsi="Times New Roman" w:eastAsia="宋体" w:cs="Times New Roman"/>
                <w:color w:val="auto"/>
                <w:szCs w:val="21"/>
                <w:highlight w:val="none"/>
                <w:lang w:val="en-US" w:eastAsia="zh-CN"/>
              </w:rPr>
              <w:t>11F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63.3</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53.8</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N7</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福州九</w:t>
            </w:r>
            <w:r>
              <w:rPr>
                <w:rFonts w:hint="default" w:ascii="Times New Roman" w:hAnsi="Times New Roman" w:eastAsia="宋体" w:cs="Times New Roman"/>
                <w:color w:val="auto"/>
                <w:szCs w:val="21"/>
                <w:highlight w:val="none"/>
                <w:lang w:val="en-US" w:eastAsia="zh-CN"/>
              </w:rPr>
              <w:t>00</w:t>
            </w:r>
            <w:r>
              <w:rPr>
                <w:rFonts w:hint="eastAsia" w:ascii="Times New Roman" w:hAnsi="Times New Roman" w:eastAsia="宋体" w:cs="Times New Roman"/>
                <w:color w:val="auto"/>
                <w:szCs w:val="21"/>
                <w:highlight w:val="none"/>
                <w:lang w:val="en-US" w:eastAsia="zh-CN"/>
              </w:rPr>
              <w:t>医院总院</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65.8</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56</w:t>
            </w:r>
            <w:r>
              <w:rPr>
                <w:rFonts w:hint="eastAsia" w:cs="Times New Roman"/>
                <w:color w:val="auto"/>
                <w:szCs w:val="21"/>
                <w:highlight w:val="none"/>
                <w:lang w:val="en-US" w:eastAsia="zh-CN"/>
              </w:rPr>
              <w:t>.0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N8</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道路终点</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69.9</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57.8</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N9</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象山公寓</w:t>
            </w:r>
            <w:r>
              <w:rPr>
                <w:rFonts w:hint="default" w:ascii="Times New Roman" w:hAnsi="Times New Roman" w:eastAsia="宋体" w:cs="Times New Roman"/>
                <w:color w:val="auto"/>
                <w:szCs w:val="21"/>
                <w:highlight w:val="none"/>
                <w:lang w:val="en-US" w:eastAsia="zh-CN"/>
              </w:rPr>
              <w:t>1F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64.3</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54</w:t>
            </w:r>
            <w:r>
              <w:rPr>
                <w:rFonts w:hint="eastAsia" w:cs="Times New Roman"/>
                <w:color w:val="auto"/>
                <w:szCs w:val="21"/>
                <w:highlight w:val="none"/>
                <w:lang w:val="en-US" w:eastAsia="zh-CN"/>
              </w:rPr>
              <w:t>.0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N10</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象山公寓</w:t>
            </w:r>
            <w:r>
              <w:rPr>
                <w:rFonts w:hint="default" w:ascii="Times New Roman" w:hAnsi="Times New Roman" w:eastAsia="宋体" w:cs="Times New Roman"/>
                <w:color w:val="auto"/>
                <w:szCs w:val="21"/>
                <w:highlight w:val="none"/>
                <w:lang w:val="en-US" w:eastAsia="zh-CN"/>
              </w:rPr>
              <w:t>4F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65</w:t>
            </w:r>
            <w:r>
              <w:rPr>
                <w:rFonts w:hint="eastAsia" w:cs="Times New Roman"/>
                <w:color w:val="auto"/>
                <w:szCs w:val="21"/>
                <w:highlight w:val="none"/>
                <w:lang w:val="en-US" w:eastAsia="zh-CN"/>
              </w:rPr>
              <w:t>.0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54.9</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N11</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象山公寓</w:t>
            </w:r>
            <w:r>
              <w:rPr>
                <w:rFonts w:hint="default" w:ascii="Times New Roman" w:hAnsi="Times New Roman" w:eastAsia="宋体" w:cs="Times New Roman"/>
                <w:color w:val="auto"/>
                <w:szCs w:val="21"/>
                <w:highlight w:val="none"/>
                <w:lang w:val="en-US" w:eastAsia="zh-CN"/>
              </w:rPr>
              <w:t>8F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65.2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N12</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福建省职业病防治院</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58.7</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49.7</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N13</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九龙山庄</w:t>
            </w:r>
            <w:r>
              <w:rPr>
                <w:rFonts w:hint="default" w:ascii="Times New Roman" w:hAnsi="Times New Roman" w:eastAsia="宋体" w:cs="Times New Roman"/>
                <w:color w:val="auto"/>
                <w:szCs w:val="21"/>
                <w:highlight w:val="none"/>
                <w:lang w:val="en-US" w:eastAsia="zh-CN"/>
              </w:rPr>
              <w:t>1F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N14</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九龙山庄</w:t>
            </w:r>
            <w:r>
              <w:rPr>
                <w:rFonts w:hint="default" w:ascii="Times New Roman" w:hAnsi="Times New Roman" w:eastAsia="宋体" w:cs="Times New Roman"/>
                <w:color w:val="auto"/>
                <w:szCs w:val="21"/>
                <w:highlight w:val="none"/>
                <w:lang w:val="en-US" w:eastAsia="zh-CN"/>
              </w:rPr>
              <w:t>3F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N15</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九龙山庄</w:t>
            </w:r>
            <w:r>
              <w:rPr>
                <w:rFonts w:hint="default" w:ascii="Times New Roman" w:hAnsi="Times New Roman" w:eastAsia="宋体" w:cs="Times New Roman"/>
                <w:color w:val="auto"/>
                <w:szCs w:val="21"/>
                <w:highlight w:val="none"/>
                <w:lang w:val="en-US" w:eastAsia="zh-CN"/>
              </w:rPr>
              <w:t>6F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41.2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N16</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福建省高级人民法院</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56</w:t>
            </w:r>
            <w:r>
              <w:rPr>
                <w:rFonts w:hint="eastAsia" w:cs="Times New Roman"/>
                <w:color w:val="auto"/>
                <w:szCs w:val="21"/>
                <w:highlight w:val="none"/>
                <w:lang w:val="en-US" w:eastAsia="zh-CN"/>
              </w:rPr>
              <w:t>.0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46.1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N17</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西凤社区</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55.4</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46.6</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N18</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西山张真人殿</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45.</w:t>
            </w:r>
            <w:r>
              <w:rPr>
                <w:rFonts w:hint="eastAsia" w:cs="Times New Roman"/>
                <w:color w:val="auto"/>
                <w:szCs w:val="21"/>
                <w:highlight w:val="none"/>
                <w:lang w:val="en-US" w:eastAsia="zh-CN"/>
              </w:rPr>
              <w:t>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41</w:t>
            </w:r>
            <w:r>
              <w:rPr>
                <w:rFonts w:hint="eastAsia" w:cs="Times New Roman"/>
                <w:color w:val="auto"/>
                <w:szCs w:val="21"/>
                <w:highlight w:val="none"/>
                <w:lang w:val="en-US" w:eastAsia="zh-CN"/>
              </w:rPr>
              <w:t>.0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N19</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山水公寓</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55.9</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N20</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西湖别墅</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41.2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N21</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西湖公园</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55.3</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46.2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restart"/>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2022.4.7</w:t>
            </w: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道路起点</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69.8</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58.</w:t>
            </w:r>
            <w:r>
              <w:rPr>
                <w:rFonts w:hint="eastAsia" w:cs="Times New Roman"/>
                <w:color w:val="auto"/>
                <w:szCs w:val="21"/>
                <w:highlight w:val="none"/>
                <w:lang w:val="en-US" w:eastAsia="zh-CN"/>
              </w:rPr>
              <w:t>7</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3.</w:t>
            </w:r>
            <w:r>
              <w:rPr>
                <w:rFonts w:hint="eastAsia" w:cs="Times New Roman"/>
                <w:color w:val="auto"/>
                <w:szCs w:val="21"/>
                <w:highlight w:val="none"/>
                <w:lang w:val="en-US" w:eastAsia="zh-CN"/>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N2</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福建行政学院</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66.9</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57.4</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N3</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东方苑</w:t>
            </w:r>
            <w:r>
              <w:rPr>
                <w:rFonts w:hint="default" w:ascii="Times New Roman" w:hAnsi="Times New Roman" w:eastAsia="宋体" w:cs="Times New Roman"/>
                <w:color w:val="auto"/>
                <w:szCs w:val="21"/>
                <w:highlight w:val="none"/>
                <w:lang w:val="en-US" w:eastAsia="zh-CN"/>
              </w:rPr>
              <w:t>1F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62.8</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53</w:t>
            </w:r>
            <w:r>
              <w:rPr>
                <w:rFonts w:hint="eastAsia" w:cs="Times New Roman"/>
                <w:color w:val="auto"/>
                <w:szCs w:val="21"/>
                <w:highlight w:val="none"/>
                <w:lang w:val="en-US" w:eastAsia="zh-CN"/>
              </w:rPr>
              <w:t>.0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N4</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东方苑</w:t>
            </w:r>
            <w:r>
              <w:rPr>
                <w:rFonts w:hint="default" w:ascii="Times New Roman" w:hAnsi="Times New Roman" w:eastAsia="宋体" w:cs="Times New Roman"/>
                <w:color w:val="auto"/>
                <w:szCs w:val="21"/>
                <w:highlight w:val="none"/>
                <w:lang w:val="en-US" w:eastAsia="zh-CN"/>
              </w:rPr>
              <w:t>4F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63.5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53.7</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N5</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东方苑</w:t>
            </w:r>
            <w:r>
              <w:rPr>
                <w:rFonts w:hint="default" w:ascii="Times New Roman" w:hAnsi="Times New Roman" w:eastAsia="宋体" w:cs="Times New Roman"/>
                <w:color w:val="auto"/>
                <w:szCs w:val="21"/>
                <w:highlight w:val="none"/>
                <w:lang w:val="en-US" w:eastAsia="zh-CN"/>
              </w:rPr>
              <w:t>9F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64.1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54.1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N6</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东方苑</w:t>
            </w:r>
            <w:r>
              <w:rPr>
                <w:rFonts w:hint="default" w:ascii="Times New Roman" w:hAnsi="Times New Roman" w:eastAsia="宋体" w:cs="Times New Roman"/>
                <w:color w:val="auto"/>
                <w:szCs w:val="21"/>
                <w:highlight w:val="none"/>
                <w:lang w:val="en-US" w:eastAsia="zh-CN"/>
              </w:rPr>
              <w:t>11F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63.7</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54.4</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N7</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福州九</w:t>
            </w:r>
            <w:r>
              <w:rPr>
                <w:rFonts w:hint="default" w:ascii="Times New Roman" w:hAnsi="Times New Roman" w:eastAsia="宋体" w:cs="Times New Roman"/>
                <w:color w:val="auto"/>
                <w:szCs w:val="21"/>
                <w:highlight w:val="none"/>
                <w:lang w:val="en-US" w:eastAsia="zh-CN"/>
              </w:rPr>
              <w:t>00</w:t>
            </w:r>
            <w:r>
              <w:rPr>
                <w:rFonts w:hint="eastAsia" w:ascii="Times New Roman" w:hAnsi="Times New Roman" w:eastAsia="宋体" w:cs="Times New Roman"/>
                <w:color w:val="auto"/>
                <w:szCs w:val="21"/>
                <w:highlight w:val="none"/>
                <w:lang w:val="en-US" w:eastAsia="zh-CN"/>
              </w:rPr>
              <w:t>医院总院</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65.3</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55.9</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N8</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道路终点</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69.4</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58.4</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N9</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象山公寓</w:t>
            </w:r>
            <w:r>
              <w:rPr>
                <w:rFonts w:hint="default" w:ascii="Times New Roman" w:hAnsi="Times New Roman" w:eastAsia="宋体" w:cs="Times New Roman"/>
                <w:color w:val="auto"/>
                <w:szCs w:val="21"/>
                <w:highlight w:val="none"/>
                <w:lang w:val="en-US" w:eastAsia="zh-CN"/>
              </w:rPr>
              <w:t>1F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64.1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54.3</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N10</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象山公寓</w:t>
            </w:r>
            <w:r>
              <w:rPr>
                <w:rFonts w:hint="default" w:ascii="Times New Roman" w:hAnsi="Times New Roman" w:eastAsia="宋体" w:cs="Times New Roman"/>
                <w:color w:val="auto"/>
                <w:szCs w:val="21"/>
                <w:highlight w:val="none"/>
                <w:lang w:val="en-US" w:eastAsia="zh-CN"/>
              </w:rPr>
              <w:t>4F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64.4</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54.7</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N11</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象山公寓</w:t>
            </w:r>
            <w:r>
              <w:rPr>
                <w:rFonts w:hint="default" w:ascii="Times New Roman" w:hAnsi="Times New Roman" w:eastAsia="宋体" w:cs="Times New Roman"/>
                <w:color w:val="auto"/>
                <w:szCs w:val="21"/>
                <w:highlight w:val="none"/>
                <w:lang w:val="en-US" w:eastAsia="zh-CN"/>
              </w:rPr>
              <w:t>8F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64.1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54.8</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N12</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福建省职业病防治院</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59.4</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49.7</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N13</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九龙山庄</w:t>
            </w:r>
            <w:r>
              <w:rPr>
                <w:rFonts w:hint="default" w:ascii="Times New Roman" w:hAnsi="Times New Roman" w:eastAsia="宋体" w:cs="Times New Roman"/>
                <w:color w:val="auto"/>
                <w:szCs w:val="21"/>
                <w:highlight w:val="none"/>
                <w:lang w:val="en-US" w:eastAsia="zh-CN"/>
              </w:rPr>
              <w:t>1F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45.8</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42.5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N14</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九龙山庄</w:t>
            </w:r>
            <w:r>
              <w:rPr>
                <w:rFonts w:hint="default" w:ascii="Times New Roman" w:hAnsi="Times New Roman" w:eastAsia="宋体" w:cs="Times New Roman"/>
                <w:color w:val="auto"/>
                <w:szCs w:val="21"/>
                <w:highlight w:val="none"/>
                <w:lang w:val="en-US" w:eastAsia="zh-CN"/>
              </w:rPr>
              <w:t>3F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45.4</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42.5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N15</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九龙山庄</w:t>
            </w:r>
            <w:r>
              <w:rPr>
                <w:rFonts w:hint="default" w:ascii="Times New Roman" w:hAnsi="Times New Roman" w:eastAsia="宋体" w:cs="Times New Roman"/>
                <w:color w:val="auto"/>
                <w:szCs w:val="21"/>
                <w:highlight w:val="none"/>
                <w:lang w:val="en-US" w:eastAsia="zh-CN"/>
              </w:rPr>
              <w:t>6F</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45.7</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42.3</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N16</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福建省高级人民法院</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56.2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46.5</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N17</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西凤社区</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55</w:t>
            </w:r>
            <w:r>
              <w:rPr>
                <w:rFonts w:hint="eastAsia" w:cs="Times New Roman"/>
                <w:color w:val="auto"/>
                <w:szCs w:val="21"/>
                <w:highlight w:val="none"/>
                <w:lang w:val="en-US" w:eastAsia="zh-CN"/>
              </w:rPr>
              <w:t>.0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46.2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N18</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西山张真人殿</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42</w:t>
            </w:r>
            <w:r>
              <w:rPr>
                <w:rFonts w:hint="eastAsia" w:cs="Times New Roman"/>
                <w:color w:val="auto"/>
                <w:szCs w:val="21"/>
                <w:highlight w:val="none"/>
                <w:lang w:val="en-US" w:eastAsia="zh-CN"/>
              </w:rPr>
              <w:t>.0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N19</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山水公寓</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55.1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45.8</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N20</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西湖别墅</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45.2</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41</w:t>
            </w:r>
            <w:r>
              <w:rPr>
                <w:rFonts w:hint="eastAsia" w:cs="Times New Roman"/>
                <w:color w:val="auto"/>
                <w:szCs w:val="21"/>
                <w:highlight w:val="none"/>
                <w:lang w:val="en-US" w:eastAsia="zh-CN"/>
              </w:rPr>
              <w:t>.0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N21</w:t>
            </w:r>
          </w:p>
        </w:tc>
        <w:tc>
          <w:tcPr>
            <w:tcW w:w="1788"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西湖公园</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昼间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55.1</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28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rPr>
            </w:pPr>
          </w:p>
        </w:tc>
        <w:tc>
          <w:tcPr>
            <w:tcW w:w="128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788"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夜间</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50</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45.8</w:t>
            </w:r>
          </w:p>
        </w:tc>
        <w:tc>
          <w:tcPr>
            <w:tcW w:w="1287" w:type="dxa"/>
            <w:tcBorders>
              <w:tl2br w:val="nil"/>
              <w:tr2bl w:val="nil"/>
            </w:tcBorders>
            <w:shd w:val="clear" w:color="auto" w:fill="auto"/>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w:t>
            </w:r>
          </w:p>
        </w:tc>
      </w:tr>
    </w:tbl>
    <w:p>
      <w:pPr>
        <w:pStyle w:val="9"/>
        <w:widowControl w:val="0"/>
        <w:spacing w:before="0" w:after="0" w:line="240" w:lineRule="auto"/>
        <w:jc w:val="center"/>
        <w:rPr>
          <w:rFonts w:hint="eastAsia"/>
          <w:b/>
          <w:color w:val="auto"/>
          <w:sz w:val="24"/>
          <w:szCs w:val="24"/>
          <w:highlight w:val="none"/>
          <w:lang w:val="zh-CN"/>
        </w:rPr>
        <w:sectPr>
          <w:footerReference r:id="rId9" w:type="default"/>
          <w:pgSz w:w="11850" w:h="16783"/>
          <w:pgMar w:top="1134" w:right="1134" w:bottom="1134" w:left="1418" w:header="851" w:footer="907" w:gutter="0"/>
          <w:pgBorders>
            <w:top w:val="none" w:sz="0" w:space="0"/>
            <w:left w:val="none" w:sz="0" w:space="0"/>
            <w:bottom w:val="none" w:sz="0" w:space="0"/>
            <w:right w:val="none" w:sz="0" w:space="0"/>
          </w:pgBorders>
          <w:pgNumType w:start="1"/>
          <w:cols w:space="720" w:num="1"/>
          <w:docGrid w:linePitch="312" w:charSpace="0"/>
        </w:sectPr>
      </w:pPr>
    </w:p>
    <w:p>
      <w:pPr>
        <w:pStyle w:val="9"/>
        <w:widowControl w:val="0"/>
        <w:spacing w:before="0" w:after="0" w:line="240" w:lineRule="auto"/>
        <w:jc w:val="center"/>
        <w:rPr>
          <w:rFonts w:hint="default" w:eastAsia="宋体"/>
          <w:b/>
          <w:bCs/>
          <w:color w:val="auto"/>
          <w:sz w:val="24"/>
          <w:szCs w:val="24"/>
          <w:highlight w:val="none"/>
          <w:lang w:val="en-US" w:eastAsia="zh-CN"/>
        </w:rPr>
      </w:pPr>
      <w:r>
        <w:rPr>
          <w:rFonts w:hint="eastAsia"/>
          <w:b/>
          <w:color w:val="auto"/>
          <w:sz w:val="24"/>
          <w:szCs w:val="24"/>
          <w:highlight w:val="none"/>
          <w:lang w:val="zh-CN"/>
        </w:rPr>
        <w:t>表</w:t>
      </w:r>
      <w:r>
        <w:rPr>
          <w:rFonts w:hint="eastAsia"/>
          <w:b/>
          <w:color w:val="auto"/>
          <w:sz w:val="24"/>
          <w:szCs w:val="24"/>
          <w:highlight w:val="none"/>
        </w:rPr>
        <w:t>3.1</w:t>
      </w:r>
      <w:r>
        <w:rPr>
          <w:rFonts w:hint="eastAsia"/>
          <w:b/>
          <w:color w:val="auto"/>
          <w:sz w:val="24"/>
          <w:szCs w:val="24"/>
          <w:highlight w:val="none"/>
          <w:lang w:val="zh-CN"/>
        </w:rPr>
        <w:t>-</w:t>
      </w:r>
      <w:r>
        <w:rPr>
          <w:rFonts w:hint="eastAsia"/>
          <w:b/>
          <w:color w:val="auto"/>
          <w:sz w:val="24"/>
          <w:szCs w:val="24"/>
          <w:highlight w:val="none"/>
          <w:lang w:val="en-US" w:eastAsia="zh-CN"/>
        </w:rPr>
        <w:t>3</w:t>
      </w:r>
      <w:r>
        <w:rPr>
          <w:rFonts w:hint="eastAsia"/>
          <w:b/>
          <w:color w:val="auto"/>
          <w:sz w:val="24"/>
          <w:szCs w:val="24"/>
          <w:highlight w:val="none"/>
          <w:lang w:val="zh-CN"/>
        </w:rPr>
        <w:t xml:space="preserve">  车流量统计表</w:t>
      </w:r>
      <w:r>
        <w:rPr>
          <w:rStyle w:val="22"/>
          <w:rFonts w:hint="eastAsia"/>
          <w:color w:val="auto"/>
          <w:szCs w:val="24"/>
          <w:highlight w:val="none"/>
          <w:lang w:val="en-US" w:eastAsia="zh-CN"/>
        </w:rPr>
        <w:t xml:space="preserve">           </w:t>
      </w:r>
      <w:r>
        <w:rPr>
          <w:rStyle w:val="22"/>
          <w:rFonts w:hint="eastAsia"/>
          <w:b/>
          <w:bCs/>
          <w:color w:val="auto"/>
          <w:szCs w:val="24"/>
          <w:highlight w:val="none"/>
          <w:lang w:val="en-US" w:eastAsia="zh-CN"/>
        </w:rPr>
        <w:t>单位：辆</w:t>
      </w:r>
    </w:p>
    <w:tbl>
      <w:tblPr>
        <w:tblStyle w:val="24"/>
        <w:tblW w:w="147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077"/>
        <w:gridCol w:w="1638"/>
        <w:gridCol w:w="862"/>
        <w:gridCol w:w="891"/>
        <w:gridCol w:w="930"/>
        <w:gridCol w:w="871"/>
        <w:gridCol w:w="871"/>
        <w:gridCol w:w="974"/>
        <w:gridCol w:w="894"/>
        <w:gridCol w:w="900"/>
        <w:gridCol w:w="918"/>
        <w:gridCol w:w="891"/>
        <w:gridCol w:w="871"/>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restart"/>
            <w:tcBorders>
              <w:top w:val="single" w:color="auto" w:sz="12" w:space="0"/>
              <w:left w:val="nil"/>
              <w:right w:val="single" w:color="auto" w:sz="12" w:space="0"/>
            </w:tcBorders>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日期</w:t>
            </w:r>
          </w:p>
        </w:tc>
        <w:tc>
          <w:tcPr>
            <w:tcW w:w="1077" w:type="dxa"/>
            <w:vMerge w:val="restart"/>
            <w:tcBorders>
              <w:top w:val="single" w:color="auto" w:sz="12" w:space="0"/>
              <w:left w:val="single" w:color="auto" w:sz="12" w:space="0"/>
              <w:right w:val="single" w:color="auto" w:sz="12"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测点编号</w:t>
            </w:r>
          </w:p>
        </w:tc>
        <w:tc>
          <w:tcPr>
            <w:tcW w:w="1638" w:type="dxa"/>
            <w:vMerge w:val="restart"/>
            <w:tcBorders>
              <w:top w:val="single" w:color="auto" w:sz="12" w:space="0"/>
              <w:left w:val="single" w:color="auto" w:sz="12" w:space="0"/>
              <w:right w:val="single" w:color="auto" w:sz="12"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点位名称</w:t>
            </w:r>
          </w:p>
        </w:tc>
        <w:tc>
          <w:tcPr>
            <w:tcW w:w="5399" w:type="dxa"/>
            <w:gridSpan w:val="6"/>
            <w:tcBorders>
              <w:top w:val="single" w:color="auto" w:sz="12" w:space="0"/>
              <w:left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w:t>
            </w:r>
          </w:p>
        </w:tc>
        <w:tc>
          <w:tcPr>
            <w:tcW w:w="5395" w:type="dxa"/>
            <w:gridSpan w:val="6"/>
            <w:tcBorders>
              <w:top w:val="single" w:color="auto" w:sz="12" w:space="0"/>
              <w:left w:val="single" w:color="auto" w:sz="12"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left w:val="nil"/>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vMerge w:val="continue"/>
            <w:tcBorders>
              <w:left w:val="single" w:color="auto" w:sz="12" w:space="0"/>
              <w:right w:val="single" w:color="auto" w:sz="12" w:space="0"/>
            </w:tcBorders>
            <w:vAlign w:val="center"/>
          </w:tcPr>
          <w:p>
            <w:pPr>
              <w:jc w:val="center"/>
              <w:rPr>
                <w:rFonts w:hint="default" w:ascii="Times New Roman" w:hAnsi="Times New Roman" w:eastAsia="宋体" w:cs="Times New Roman"/>
                <w:color w:val="auto"/>
                <w:szCs w:val="21"/>
                <w:highlight w:val="none"/>
                <w:lang w:val="en-US" w:eastAsia="zh-CN"/>
              </w:rPr>
            </w:pPr>
          </w:p>
        </w:tc>
        <w:tc>
          <w:tcPr>
            <w:tcW w:w="1638" w:type="dxa"/>
            <w:vMerge w:val="continue"/>
            <w:tcBorders>
              <w:left w:val="single" w:color="auto" w:sz="12" w:space="0"/>
              <w:right w:val="single" w:color="auto" w:sz="12" w:space="0"/>
            </w:tcBorders>
            <w:vAlign w:val="center"/>
          </w:tcPr>
          <w:p>
            <w:pPr>
              <w:jc w:val="center"/>
              <w:rPr>
                <w:rFonts w:hint="default" w:ascii="Times New Roman" w:hAnsi="Times New Roman" w:eastAsia="宋体" w:cs="Times New Roman"/>
                <w:color w:val="auto"/>
                <w:szCs w:val="21"/>
                <w:highlight w:val="none"/>
                <w:lang w:val="en-US" w:eastAsia="zh-CN"/>
              </w:rPr>
            </w:pPr>
          </w:p>
        </w:tc>
        <w:tc>
          <w:tcPr>
            <w:tcW w:w="5399" w:type="dxa"/>
            <w:gridSpan w:val="6"/>
            <w:tcBorders>
              <w:left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20min车流量</w:t>
            </w:r>
          </w:p>
        </w:tc>
        <w:tc>
          <w:tcPr>
            <w:tcW w:w="5395" w:type="dxa"/>
            <w:gridSpan w:val="6"/>
            <w:tcBorders>
              <w:left w:val="single" w:color="auto" w:sz="12"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20min车流量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left w:val="nil"/>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vMerge w:val="continue"/>
            <w:tcBorders>
              <w:left w:val="single" w:color="auto" w:sz="12" w:space="0"/>
              <w:right w:val="single" w:color="auto" w:sz="12" w:space="0"/>
            </w:tcBorders>
            <w:vAlign w:val="center"/>
          </w:tcPr>
          <w:p>
            <w:pPr>
              <w:jc w:val="center"/>
              <w:rPr>
                <w:rFonts w:hint="default" w:ascii="Times New Roman" w:hAnsi="Times New Roman" w:eastAsia="宋体" w:cs="Times New Roman"/>
                <w:color w:val="auto"/>
                <w:szCs w:val="21"/>
                <w:highlight w:val="none"/>
                <w:lang w:val="en-US" w:eastAsia="zh-CN"/>
              </w:rPr>
            </w:pPr>
          </w:p>
        </w:tc>
        <w:tc>
          <w:tcPr>
            <w:tcW w:w="1638" w:type="dxa"/>
            <w:vMerge w:val="continue"/>
            <w:tcBorders>
              <w:left w:val="single" w:color="auto" w:sz="12" w:space="0"/>
              <w:right w:val="single" w:color="auto" w:sz="12" w:space="0"/>
            </w:tcBorders>
            <w:vAlign w:val="center"/>
          </w:tcPr>
          <w:p>
            <w:pPr>
              <w:jc w:val="center"/>
              <w:rPr>
                <w:rFonts w:hint="default" w:ascii="Times New Roman" w:hAnsi="Times New Roman" w:eastAsia="宋体" w:cs="Times New Roman"/>
                <w:color w:val="auto"/>
                <w:szCs w:val="21"/>
                <w:highlight w:val="none"/>
                <w:lang w:val="en-US" w:eastAsia="zh-CN"/>
              </w:rPr>
            </w:pPr>
          </w:p>
        </w:tc>
        <w:tc>
          <w:tcPr>
            <w:tcW w:w="2683" w:type="dxa"/>
            <w:gridSpan w:val="3"/>
            <w:tcBorders>
              <w:left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近点位一侧</w:t>
            </w:r>
          </w:p>
        </w:tc>
        <w:tc>
          <w:tcPr>
            <w:tcW w:w="2716" w:type="dxa"/>
            <w:gridSpan w:val="3"/>
            <w:tcBorders>
              <w:left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点位对面一侧</w:t>
            </w:r>
          </w:p>
        </w:tc>
        <w:tc>
          <w:tcPr>
            <w:tcW w:w="2712" w:type="dxa"/>
            <w:gridSpan w:val="3"/>
            <w:tcBorders>
              <w:left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近点位一侧</w:t>
            </w:r>
          </w:p>
        </w:tc>
        <w:tc>
          <w:tcPr>
            <w:tcW w:w="2683" w:type="dxa"/>
            <w:gridSpan w:val="3"/>
            <w:tcBorders>
              <w:left w:val="single" w:color="auto" w:sz="12"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点位对面一侧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left w:val="nil"/>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vMerge w:val="continue"/>
            <w:tcBorders>
              <w:left w:val="single" w:color="auto" w:sz="12" w:space="0"/>
              <w:bottom w:val="single" w:color="auto" w:sz="12" w:space="0"/>
              <w:right w:val="single" w:color="auto" w:sz="12" w:space="0"/>
            </w:tcBorders>
            <w:vAlign w:val="center"/>
          </w:tcPr>
          <w:p>
            <w:pPr>
              <w:jc w:val="center"/>
              <w:rPr>
                <w:rFonts w:hint="default" w:ascii="Times New Roman" w:hAnsi="Times New Roman" w:eastAsia="宋体" w:cs="Times New Roman"/>
                <w:color w:val="auto"/>
                <w:szCs w:val="21"/>
                <w:highlight w:val="none"/>
                <w:lang w:val="en-US" w:eastAsia="zh-CN"/>
              </w:rPr>
            </w:pPr>
          </w:p>
        </w:tc>
        <w:tc>
          <w:tcPr>
            <w:tcW w:w="1638" w:type="dxa"/>
            <w:vMerge w:val="continue"/>
            <w:tcBorders>
              <w:left w:val="single" w:color="auto" w:sz="12" w:space="0"/>
              <w:bottom w:val="single" w:color="auto" w:sz="12" w:space="0"/>
              <w:right w:val="single" w:color="auto" w:sz="12" w:space="0"/>
            </w:tcBorders>
            <w:vAlign w:val="center"/>
          </w:tcPr>
          <w:p>
            <w:pPr>
              <w:jc w:val="center"/>
              <w:rPr>
                <w:rFonts w:hint="default" w:ascii="Times New Roman" w:hAnsi="Times New Roman" w:eastAsia="宋体" w:cs="Times New Roman"/>
                <w:color w:val="auto"/>
                <w:szCs w:val="21"/>
                <w:highlight w:val="none"/>
                <w:lang w:val="en-US" w:eastAsia="zh-CN"/>
              </w:rPr>
            </w:pPr>
          </w:p>
        </w:tc>
        <w:tc>
          <w:tcPr>
            <w:tcW w:w="862"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大</w:t>
            </w:r>
          </w:p>
        </w:tc>
        <w:tc>
          <w:tcPr>
            <w:tcW w:w="891"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w:t>
            </w:r>
          </w:p>
        </w:tc>
        <w:tc>
          <w:tcPr>
            <w:tcW w:w="930"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小</w:t>
            </w:r>
          </w:p>
        </w:tc>
        <w:tc>
          <w:tcPr>
            <w:tcW w:w="871"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大</w:t>
            </w:r>
          </w:p>
        </w:tc>
        <w:tc>
          <w:tcPr>
            <w:tcW w:w="871"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w:t>
            </w:r>
          </w:p>
        </w:tc>
        <w:tc>
          <w:tcPr>
            <w:tcW w:w="974"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小</w:t>
            </w:r>
          </w:p>
        </w:tc>
        <w:tc>
          <w:tcPr>
            <w:tcW w:w="894"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大</w:t>
            </w:r>
          </w:p>
        </w:tc>
        <w:tc>
          <w:tcPr>
            <w:tcW w:w="900"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w:t>
            </w:r>
          </w:p>
        </w:tc>
        <w:tc>
          <w:tcPr>
            <w:tcW w:w="918"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小</w:t>
            </w:r>
          </w:p>
        </w:tc>
        <w:tc>
          <w:tcPr>
            <w:tcW w:w="891"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大</w:t>
            </w:r>
          </w:p>
        </w:tc>
        <w:tc>
          <w:tcPr>
            <w:tcW w:w="871" w:type="dxa"/>
            <w:tcBorders>
              <w:left w:val="single" w:color="auto" w:sz="12" w:space="0"/>
              <w:bottom w:val="single" w:color="auto" w:sz="12" w:space="0"/>
              <w:right w:val="single" w:color="auto" w:sz="12"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w:t>
            </w:r>
          </w:p>
        </w:tc>
        <w:tc>
          <w:tcPr>
            <w:tcW w:w="921" w:type="dxa"/>
            <w:tcBorders>
              <w:left w:val="single" w:color="auto" w:sz="12" w:space="0"/>
              <w:bottom w:val="single" w:color="auto" w:sz="12"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restart"/>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2022.04.06</w:t>
            </w:r>
          </w:p>
        </w:tc>
        <w:tc>
          <w:tcPr>
            <w:tcW w:w="1077"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N1 </w:t>
            </w:r>
          </w:p>
        </w:tc>
        <w:tc>
          <w:tcPr>
            <w:tcW w:w="1638" w:type="dxa"/>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道路起点</w:t>
            </w:r>
          </w:p>
        </w:tc>
        <w:tc>
          <w:tcPr>
            <w:tcW w:w="862"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23</w:t>
            </w:r>
          </w:p>
        </w:tc>
        <w:tc>
          <w:tcPr>
            <w:tcW w:w="891" w:type="dxa"/>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930"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962</w:t>
            </w:r>
          </w:p>
        </w:tc>
        <w:tc>
          <w:tcPr>
            <w:tcW w:w="871"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19</w:t>
            </w:r>
          </w:p>
        </w:tc>
        <w:tc>
          <w:tcPr>
            <w:tcW w:w="871"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974"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934</w:t>
            </w:r>
          </w:p>
        </w:tc>
        <w:tc>
          <w:tcPr>
            <w:tcW w:w="894"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900"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918"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371</w:t>
            </w:r>
          </w:p>
        </w:tc>
        <w:tc>
          <w:tcPr>
            <w:tcW w:w="891"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871" w:type="dxa"/>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921" w:type="dxa"/>
            <w:tcBorders>
              <w:top w:val="single" w:color="auto" w:sz="12" w:space="0"/>
              <w:left w:val="single" w:color="auto" w:sz="4" w:space="0"/>
              <w:bottom w:val="single" w:color="auto" w:sz="4"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N2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福建行政学院</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19</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874</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907</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352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N3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东方苑1F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704</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741</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131</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N4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东方苑4F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704</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741</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131</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N5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东方苑9F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704</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741</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131</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N6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东方苑11F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704</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741</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131</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N7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福州九00医院总院</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1052</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18</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937</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343</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921" w:type="dxa"/>
            <w:tcBorders>
              <w:top w:val="single" w:color="auto" w:sz="4" w:space="0"/>
              <w:left w:val="single" w:color="auto" w:sz="4" w:space="0"/>
              <w:bottom w:val="single" w:color="auto" w:sz="4"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N8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道路终点</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1083</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982</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359</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921" w:type="dxa"/>
            <w:tcBorders>
              <w:top w:val="single" w:color="auto" w:sz="4" w:space="0"/>
              <w:left w:val="single" w:color="auto" w:sz="4" w:space="0"/>
              <w:bottom w:val="single" w:color="auto" w:sz="4"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N9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象山公寓1F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906</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917</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288</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21" w:type="dxa"/>
            <w:tcBorders>
              <w:top w:val="single" w:color="auto" w:sz="4" w:space="0"/>
              <w:left w:val="single" w:color="auto" w:sz="4" w:space="0"/>
              <w:bottom w:val="single" w:color="auto" w:sz="4"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N10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象山公寓4F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906</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917</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288</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21" w:type="dxa"/>
            <w:tcBorders>
              <w:top w:val="single" w:color="auto" w:sz="4" w:space="0"/>
              <w:left w:val="single" w:color="auto" w:sz="4" w:space="0"/>
              <w:bottom w:val="single" w:color="auto" w:sz="4"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N11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象山公寓8F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906</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917</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288</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21" w:type="dxa"/>
            <w:tcBorders>
              <w:top w:val="single" w:color="auto" w:sz="4" w:space="0"/>
              <w:left w:val="single" w:color="auto" w:sz="4" w:space="0"/>
              <w:bottom w:val="single" w:color="auto" w:sz="4"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N12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福建省职业病防治院</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912</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891</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275</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921" w:type="dxa"/>
            <w:tcBorders>
              <w:top w:val="single" w:color="auto" w:sz="4" w:space="0"/>
              <w:left w:val="single" w:color="auto" w:sz="4" w:space="0"/>
              <w:bottom w:val="single" w:color="auto" w:sz="4" w:space="0"/>
              <w:right w:val="nil"/>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restart"/>
            <w:tcBorders>
              <w:top w:val="single" w:color="auto" w:sz="4" w:space="0"/>
              <w:left w:val="nil"/>
              <w:bottom w:val="single" w:color="auto" w:sz="4" w:space="0"/>
              <w:right w:val="single" w:color="auto" w:sz="4" w:space="0"/>
            </w:tcBorders>
            <w:vAlign w:val="center"/>
          </w:tcPr>
          <w:p>
            <w:pPr>
              <w:jc w:val="center"/>
              <w:rPr>
                <w:rFonts w:hint="default"/>
                <w:b/>
                <w:sz w:val="24"/>
                <w:szCs w:val="24"/>
                <w:vertAlign w:val="baseline"/>
                <w:lang w:val="en-US" w:eastAsia="zh-CN"/>
              </w:rPr>
            </w:pPr>
            <w:r>
              <w:rPr>
                <w:rFonts w:hint="eastAsia" w:cs="Times New Roman"/>
                <w:sz w:val="21"/>
                <w:szCs w:val="21"/>
                <w:highlight w:val="none"/>
                <w:vertAlign w:val="baseline"/>
                <w:lang w:val="en-US" w:eastAsia="zh-CN"/>
              </w:rPr>
              <w:t>2022.04.07</w:t>
            </w: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N1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道路起点</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27</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6</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1021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23</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8</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972</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4</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8</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361</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5</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7</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3" w:type="dxa"/>
            <w:vMerge w:val="continue"/>
            <w:tcBorders>
              <w:top w:val="single" w:color="auto" w:sz="4" w:space="0"/>
              <w:left w:val="nil"/>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N2 </w:t>
            </w:r>
          </w:p>
        </w:tc>
        <w:tc>
          <w:tcPr>
            <w:tcW w:w="1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福建行政学院</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3</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905</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7</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962</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4</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7</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348</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5</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5</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351</w:t>
            </w:r>
          </w:p>
        </w:tc>
      </w:tr>
    </w:tbl>
    <w:p>
      <w:pPr>
        <w:jc w:val="center"/>
        <w:rPr>
          <w:rFonts w:hint="eastAsia" w:cs="Times New Roman"/>
          <w:sz w:val="21"/>
          <w:szCs w:val="21"/>
          <w:highlight w:val="none"/>
          <w:vertAlign w:val="baseline"/>
          <w:lang w:val="en-US" w:eastAsia="zh-CN"/>
        </w:rPr>
        <w:sectPr>
          <w:pgSz w:w="16783" w:h="11850" w:orient="landscape"/>
          <w:pgMar w:top="1418" w:right="1134" w:bottom="1134" w:left="1134" w:header="851" w:footer="907" w:gutter="0"/>
          <w:pgBorders>
            <w:top w:val="none" w:sz="0" w:space="0"/>
            <w:left w:val="none" w:sz="0" w:space="0"/>
            <w:bottom w:val="none" w:sz="0" w:space="0"/>
            <w:right w:val="none" w:sz="0" w:space="0"/>
          </w:pgBorders>
          <w:cols w:space="720" w:num="1"/>
          <w:docGrid w:linePitch="312" w:charSpace="0"/>
        </w:sectPr>
      </w:pPr>
    </w:p>
    <w:tbl>
      <w:tblPr>
        <w:tblStyle w:val="24"/>
        <w:tblW w:w="147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077"/>
        <w:gridCol w:w="1639"/>
        <w:gridCol w:w="862"/>
        <w:gridCol w:w="891"/>
        <w:gridCol w:w="930"/>
        <w:gridCol w:w="871"/>
        <w:gridCol w:w="871"/>
        <w:gridCol w:w="971"/>
        <w:gridCol w:w="894"/>
        <w:gridCol w:w="900"/>
        <w:gridCol w:w="918"/>
        <w:gridCol w:w="891"/>
        <w:gridCol w:w="871"/>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5" w:type="dxa"/>
            <w:vMerge w:val="restart"/>
            <w:tcBorders>
              <w:top w:val="single" w:color="auto" w:sz="4" w:space="0"/>
              <w:left w:val="nil"/>
              <w:right w:val="single" w:color="auto" w:sz="4" w:space="0"/>
            </w:tcBorders>
            <w:vAlign w:val="center"/>
          </w:tcPr>
          <w:p>
            <w:pPr>
              <w:pStyle w:val="2"/>
              <w:rPr>
                <w:rFonts w:hint="eastAsia"/>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N3 </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东方苑1F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10</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6</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803</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7</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772</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118</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0</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5" w:type="dxa"/>
            <w:vMerge w:val="continue"/>
            <w:tcBorders>
              <w:top w:val="single" w:color="auto" w:sz="4" w:space="0"/>
              <w:left w:val="nil"/>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N4 </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东方苑4F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10</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6</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803</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7</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772</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118</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0</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5" w:type="dxa"/>
            <w:vMerge w:val="continue"/>
            <w:tcBorders>
              <w:top w:val="single" w:color="auto" w:sz="4" w:space="0"/>
              <w:left w:val="nil"/>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N5 </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东方苑9F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10</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6</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803</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7</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772</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118</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0</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5" w:type="dxa"/>
            <w:vMerge w:val="continue"/>
            <w:tcBorders>
              <w:top w:val="single" w:color="auto" w:sz="4" w:space="0"/>
              <w:left w:val="nil"/>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N6 </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东方苑11F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10</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6</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803</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7</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772</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118</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0</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5" w:type="dxa"/>
            <w:vMerge w:val="continue"/>
            <w:tcBorders>
              <w:top w:val="single" w:color="auto" w:sz="4" w:space="0"/>
              <w:left w:val="nil"/>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N7 </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福州九00医院总院</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19</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7</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992</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23</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4</w:t>
            </w: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1077</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5</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4</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373</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4</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6</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5" w:type="dxa"/>
            <w:vMerge w:val="continue"/>
            <w:tcBorders>
              <w:top w:val="single" w:color="auto" w:sz="4" w:space="0"/>
              <w:left w:val="nil"/>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N8 </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道路终点</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9</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1021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25</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5</w:t>
            </w: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1034</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5</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354</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4</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4</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5" w:type="dxa"/>
            <w:vMerge w:val="continue"/>
            <w:tcBorders>
              <w:top w:val="single" w:color="auto" w:sz="4" w:space="0"/>
              <w:left w:val="nil"/>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N9 </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象山公寓1F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927</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10</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5</w:t>
            </w: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893</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307</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21"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5" w:type="dxa"/>
            <w:vMerge w:val="continue"/>
            <w:tcBorders>
              <w:top w:val="single" w:color="auto" w:sz="4" w:space="0"/>
              <w:left w:val="nil"/>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N10 </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象山公寓4F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927</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10</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5</w:t>
            </w: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893</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307</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21" w:type="dxa"/>
            <w:tcBorders>
              <w:top w:val="single" w:color="auto" w:sz="4" w:space="0"/>
              <w:left w:val="single" w:color="auto" w:sz="4" w:space="0"/>
              <w:bottom w:val="single" w:color="auto" w:sz="4" w:space="0"/>
              <w:right w:val="nil"/>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5" w:type="dxa"/>
            <w:vMerge w:val="continue"/>
            <w:tcBorders>
              <w:top w:val="single" w:color="auto" w:sz="4" w:space="0"/>
              <w:left w:val="nil"/>
              <w:bottom w:val="single" w:color="auto" w:sz="4" w:space="0"/>
              <w:right w:val="single" w:color="auto" w:sz="4" w:space="0"/>
            </w:tcBorders>
            <w:vAlign w:val="center"/>
          </w:tcPr>
          <w:p>
            <w:pPr>
              <w:jc w:val="center"/>
              <w:rPr>
                <w:rFonts w:hint="eastAsia" w:cs="Times New Roman"/>
                <w:sz w:val="21"/>
                <w:szCs w:val="21"/>
                <w:highlight w:val="none"/>
                <w:vertAlign w:val="baseline"/>
                <w:lang w:val="en-US" w:eastAsia="zh-CN"/>
              </w:rPr>
            </w:pPr>
          </w:p>
        </w:tc>
        <w:tc>
          <w:tcPr>
            <w:tcW w:w="10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N11 </w:t>
            </w:r>
          </w:p>
        </w:tc>
        <w:tc>
          <w:tcPr>
            <w:tcW w:w="16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象山公寓8F</w:t>
            </w:r>
          </w:p>
        </w:tc>
        <w:tc>
          <w:tcPr>
            <w:tcW w:w="86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12</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927</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10</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5</w:t>
            </w:r>
          </w:p>
        </w:tc>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893</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307</w:t>
            </w:r>
          </w:p>
        </w:tc>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w:t>
            </w:r>
          </w:p>
        </w:tc>
        <w:tc>
          <w:tcPr>
            <w:tcW w:w="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3</w:t>
            </w:r>
          </w:p>
        </w:tc>
        <w:tc>
          <w:tcPr>
            <w:tcW w:w="921" w:type="dxa"/>
            <w:tcBorders>
              <w:top w:val="single" w:color="auto" w:sz="4" w:space="0"/>
              <w:left w:val="single" w:color="auto" w:sz="4" w:space="0"/>
              <w:bottom w:val="single" w:color="auto" w:sz="4" w:space="0"/>
              <w:right w:val="nil"/>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5" w:type="dxa"/>
            <w:vMerge w:val="continue"/>
            <w:tcBorders>
              <w:top w:val="single" w:color="auto" w:sz="4" w:space="0"/>
              <w:left w:val="nil"/>
              <w:bottom w:val="single" w:color="auto" w:sz="12" w:space="0"/>
              <w:right w:val="single" w:color="auto" w:sz="4" w:space="0"/>
            </w:tcBorders>
            <w:vAlign w:val="center"/>
          </w:tcPr>
          <w:p>
            <w:pPr>
              <w:jc w:val="center"/>
              <w:rPr>
                <w:rFonts w:hint="eastAsia" w:cs="Times New Roman"/>
                <w:sz w:val="21"/>
                <w:szCs w:val="21"/>
                <w:highlight w:val="none"/>
                <w:vertAlign w:val="baseline"/>
                <w:lang w:val="en-US" w:eastAsia="zh-CN"/>
              </w:rPr>
            </w:pPr>
          </w:p>
        </w:tc>
        <w:tc>
          <w:tcPr>
            <w:tcW w:w="1077" w:type="dxa"/>
            <w:tcBorders>
              <w:top w:val="single" w:color="auto" w:sz="4" w:space="0"/>
              <w:left w:val="single" w:color="auto" w:sz="4" w:space="0"/>
              <w:bottom w:val="single" w:color="auto" w:sz="12" w:space="0"/>
              <w:right w:val="single" w:color="auto" w:sz="4" w:space="0"/>
            </w:tcBorders>
            <w:vAlign w:val="center"/>
          </w:tcPr>
          <w:p>
            <w:pPr>
              <w:jc w:val="center"/>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 xml:space="preserve">N12 </w:t>
            </w:r>
          </w:p>
        </w:tc>
        <w:tc>
          <w:tcPr>
            <w:tcW w:w="1639"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Cs w:val="21"/>
                <w:highlight w:val="none"/>
                <w:lang w:val="en-US" w:eastAsia="zh-CN"/>
              </w:rPr>
              <w:t>福建省职业病防治院</w:t>
            </w:r>
          </w:p>
        </w:tc>
        <w:tc>
          <w:tcPr>
            <w:tcW w:w="862"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13</w:t>
            </w:r>
          </w:p>
        </w:tc>
        <w:tc>
          <w:tcPr>
            <w:tcW w:w="891"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4</w:t>
            </w:r>
          </w:p>
        </w:tc>
        <w:tc>
          <w:tcPr>
            <w:tcW w:w="930"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875</w:t>
            </w:r>
          </w:p>
        </w:tc>
        <w:tc>
          <w:tcPr>
            <w:tcW w:w="871"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9</w:t>
            </w:r>
          </w:p>
        </w:tc>
        <w:tc>
          <w:tcPr>
            <w:tcW w:w="871"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7</w:t>
            </w:r>
          </w:p>
        </w:tc>
        <w:tc>
          <w:tcPr>
            <w:tcW w:w="971"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918</w:t>
            </w:r>
          </w:p>
        </w:tc>
        <w:tc>
          <w:tcPr>
            <w:tcW w:w="894"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w:t>
            </w:r>
          </w:p>
        </w:tc>
        <w:tc>
          <w:tcPr>
            <w:tcW w:w="900"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w:t>
            </w:r>
          </w:p>
        </w:tc>
        <w:tc>
          <w:tcPr>
            <w:tcW w:w="918"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291</w:t>
            </w:r>
          </w:p>
        </w:tc>
        <w:tc>
          <w:tcPr>
            <w:tcW w:w="891"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w:t>
            </w:r>
          </w:p>
        </w:tc>
        <w:tc>
          <w:tcPr>
            <w:tcW w:w="871"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4</w:t>
            </w:r>
          </w:p>
        </w:tc>
        <w:tc>
          <w:tcPr>
            <w:tcW w:w="921" w:type="dxa"/>
            <w:tcBorders>
              <w:top w:val="single" w:color="auto" w:sz="4" w:space="0"/>
              <w:left w:val="single" w:color="auto" w:sz="4" w:space="0"/>
              <w:bottom w:val="single" w:color="auto" w:sz="12" w:space="0"/>
              <w:right w:val="nil"/>
            </w:tcBorders>
            <w:vAlign w:val="center"/>
          </w:tcPr>
          <w:p>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277</w:t>
            </w:r>
          </w:p>
        </w:tc>
      </w:tr>
    </w:tbl>
    <w:p>
      <w:pPr>
        <w:pStyle w:val="9"/>
        <w:rPr>
          <w:rFonts w:hint="eastAsia"/>
        </w:rPr>
        <w:sectPr>
          <w:footerReference r:id="rId10" w:type="default"/>
          <w:pgSz w:w="16783" w:h="11850" w:orient="landscape"/>
          <w:pgMar w:top="1418" w:right="1134" w:bottom="1134" w:left="1134" w:header="851" w:footer="907" w:gutter="0"/>
          <w:pgBorders>
            <w:top w:val="none" w:sz="0" w:space="0"/>
            <w:left w:val="none" w:sz="0" w:space="0"/>
            <w:bottom w:val="none" w:sz="0" w:space="0"/>
            <w:right w:val="none" w:sz="0" w:space="0"/>
          </w:pgBorders>
          <w:cols w:space="720" w:num="1"/>
          <w:docGrid w:linePitch="312" w:charSpace="0"/>
        </w:sectPr>
      </w:pPr>
    </w:p>
    <w:p>
      <w:pPr>
        <w:snapToGrid w:val="0"/>
        <w:spacing w:line="360" w:lineRule="auto"/>
        <w:ind w:firstLine="480" w:firstLineChars="200"/>
        <w:rPr>
          <w:rFonts w:hint="eastAsia"/>
          <w:color w:val="auto"/>
          <w:sz w:val="24"/>
          <w:highlight w:val="none"/>
        </w:rPr>
        <w:sectPr>
          <w:pgSz w:w="11850" w:h="16783"/>
          <w:pgMar w:top="1134" w:right="1134" w:bottom="1134" w:left="1418" w:header="851" w:footer="907" w:gutter="0"/>
          <w:pgBorders>
            <w:top w:val="none" w:sz="0" w:space="0"/>
            <w:left w:val="none" w:sz="0" w:space="0"/>
            <w:bottom w:val="none" w:sz="0" w:space="0"/>
            <w:right w:val="none" w:sz="0" w:space="0"/>
          </w:pgBorders>
          <w:cols w:space="720" w:num="1"/>
          <w:docGrid w:linePitch="312" w:charSpace="0"/>
        </w:sectPr>
      </w:pPr>
      <w:r>
        <w:rPr>
          <w:rFonts w:hint="eastAsia"/>
          <w:color w:val="auto"/>
          <w:sz w:val="24"/>
          <w:highlight w:val="none"/>
        </w:rPr>
        <w:t>由表3.1-2可以看出，本项目道路起点、终点夜间噪声以及福建行政</w:t>
      </w:r>
      <w:r>
        <w:rPr>
          <w:rFonts w:hint="eastAsia"/>
          <w:color w:val="auto"/>
          <w:sz w:val="24"/>
          <w:highlight w:val="none"/>
          <w:lang w:eastAsia="zh-CN"/>
        </w:rPr>
        <w:t>学院（</w:t>
      </w:r>
      <w:r>
        <w:rPr>
          <w:rFonts w:hint="eastAsia"/>
          <w:color w:val="auto"/>
          <w:sz w:val="24"/>
          <w:highlight w:val="none"/>
          <w:lang w:val="en-US" w:eastAsia="zh-CN"/>
        </w:rPr>
        <w:t>梅峰校区）</w:t>
      </w:r>
      <w:r>
        <w:rPr>
          <w:rFonts w:hint="eastAsia"/>
          <w:color w:val="auto"/>
          <w:sz w:val="24"/>
          <w:highlight w:val="none"/>
        </w:rPr>
        <w:t>、福州九00医院总院昼间、夜间噪声</w:t>
      </w:r>
      <w:r>
        <w:rPr>
          <w:rFonts w:hint="eastAsia"/>
          <w:color w:val="auto"/>
          <w:sz w:val="24"/>
          <w:highlight w:val="none"/>
          <w:lang w:eastAsia="zh-CN"/>
        </w:rPr>
        <w:t>、象山公寓夜间</w:t>
      </w:r>
      <w:r>
        <w:rPr>
          <w:rFonts w:hint="eastAsia"/>
          <w:color w:val="auto"/>
          <w:sz w:val="24"/>
          <w:highlight w:val="none"/>
        </w:rPr>
        <w:t>均有不同程度的超标，起点、终点夜间超标量2.8~4.2dB(A)，福建行政学院、福州九00医院总院昼间超标量5.3~6.9dB(A)，福建行政学院、福州九00医院总院</w:t>
      </w:r>
      <w:r>
        <w:rPr>
          <w:rFonts w:hint="eastAsia"/>
          <w:color w:val="auto"/>
          <w:sz w:val="24"/>
          <w:highlight w:val="none"/>
          <w:lang w:eastAsia="zh-CN"/>
        </w:rPr>
        <w:t>、象山公寓</w:t>
      </w:r>
      <w:r>
        <w:rPr>
          <w:rFonts w:hint="eastAsia"/>
          <w:color w:val="auto"/>
          <w:sz w:val="24"/>
          <w:highlight w:val="none"/>
        </w:rPr>
        <w:t>夜间超标量</w:t>
      </w:r>
      <w:r>
        <w:rPr>
          <w:rFonts w:hint="eastAsia"/>
          <w:color w:val="auto"/>
          <w:sz w:val="24"/>
          <w:highlight w:val="none"/>
          <w:lang w:val="en-US" w:eastAsia="zh-CN"/>
        </w:rPr>
        <w:t>0.2</w:t>
      </w:r>
      <w:r>
        <w:rPr>
          <w:rFonts w:hint="eastAsia"/>
          <w:color w:val="auto"/>
          <w:sz w:val="24"/>
          <w:highlight w:val="none"/>
        </w:rPr>
        <w:t>~7.4dB(A)，</w:t>
      </w:r>
      <w:r>
        <w:rPr>
          <w:rFonts w:hint="eastAsia"/>
          <w:color w:val="auto"/>
          <w:sz w:val="24"/>
          <w:highlight w:val="none"/>
          <w:lang w:eastAsia="zh-CN"/>
        </w:rPr>
        <w:t>超标原因为现状道路交通流量大，交通拥挤。</w:t>
      </w:r>
      <w:r>
        <w:rPr>
          <w:rFonts w:hint="eastAsia"/>
          <w:color w:val="auto"/>
          <w:sz w:val="24"/>
          <w:highlight w:val="none"/>
        </w:rPr>
        <w:t>其余沿线设置各噪声现状监测点位均符合</w:t>
      </w:r>
      <w:r>
        <w:rPr>
          <w:rFonts w:hint="eastAsia"/>
          <w:color w:val="auto"/>
          <w:kern w:val="0"/>
          <w:sz w:val="24"/>
          <w:highlight w:val="none"/>
          <w:lang w:val="zh-CN"/>
        </w:rPr>
        <w:t>GB3096-2008《声环境质量标准》</w:t>
      </w:r>
      <w:r>
        <w:rPr>
          <w:rFonts w:hint="eastAsia"/>
          <w:color w:val="auto"/>
          <w:kern w:val="0"/>
          <w:sz w:val="24"/>
          <w:highlight w:val="none"/>
        </w:rPr>
        <w:t>4a、</w:t>
      </w:r>
      <w:r>
        <w:rPr>
          <w:rFonts w:hint="eastAsia"/>
          <w:color w:val="auto"/>
          <w:sz w:val="24"/>
          <w:highlight w:val="none"/>
        </w:rPr>
        <w:t>2类标准要求。</w:t>
      </w:r>
    </w:p>
    <w:p>
      <w:pPr>
        <w:pageBreakBefore/>
        <w:adjustRightInd w:val="0"/>
        <w:snapToGrid w:val="0"/>
        <w:spacing w:before="240" w:beforeLines="100" w:after="240" w:afterLines="100" w:line="360" w:lineRule="auto"/>
        <w:outlineLvl w:val="0"/>
        <w:rPr>
          <w:rFonts w:hint="eastAsia" w:eastAsia="黑体"/>
          <w:snapToGrid w:val="0"/>
          <w:color w:val="auto"/>
          <w:kern w:val="0"/>
          <w:sz w:val="30"/>
          <w:szCs w:val="30"/>
          <w:highlight w:val="none"/>
        </w:rPr>
      </w:pPr>
      <w:bookmarkStart w:id="43" w:name="_Toc30379"/>
      <w:r>
        <w:rPr>
          <w:rFonts w:hint="eastAsia" w:eastAsia="黑体"/>
          <w:snapToGrid w:val="0"/>
          <w:color w:val="auto"/>
          <w:kern w:val="0"/>
          <w:sz w:val="30"/>
          <w:szCs w:val="30"/>
          <w:highlight w:val="none"/>
        </w:rPr>
        <w:t>4 声环境影响预测与分析</w:t>
      </w:r>
      <w:bookmarkEnd w:id="43"/>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44" w:name="_Toc12235"/>
      <w:r>
        <w:rPr>
          <w:rFonts w:hint="eastAsia" w:eastAsia="黑体"/>
          <w:snapToGrid w:val="0"/>
          <w:color w:val="auto"/>
          <w:kern w:val="0"/>
          <w:sz w:val="28"/>
          <w:szCs w:val="28"/>
          <w:highlight w:val="none"/>
        </w:rPr>
        <w:t>4.1 施工期声环境影响预测评价</w:t>
      </w:r>
      <w:bookmarkEnd w:id="44"/>
    </w:p>
    <w:p>
      <w:pPr>
        <w:spacing w:line="360" w:lineRule="auto"/>
        <w:outlineLvl w:val="2"/>
        <w:rPr>
          <w:rFonts w:hint="eastAsia" w:eastAsia="黑体"/>
          <w:color w:val="auto"/>
          <w:sz w:val="24"/>
          <w:highlight w:val="none"/>
        </w:rPr>
      </w:pPr>
      <w:r>
        <w:rPr>
          <w:rFonts w:hint="eastAsia" w:eastAsia="黑体"/>
          <w:color w:val="auto"/>
          <w:sz w:val="24"/>
          <w:highlight w:val="none"/>
        </w:rPr>
        <w:t>4.1.1施工期不同阶段噪声源分析</w:t>
      </w:r>
    </w:p>
    <w:p>
      <w:pPr>
        <w:adjustRightInd w:val="0"/>
        <w:snapToGrid w:val="0"/>
        <w:spacing w:line="360" w:lineRule="auto"/>
        <w:ind w:firstLine="480"/>
        <w:rPr>
          <w:snapToGrid w:val="0"/>
          <w:color w:val="auto"/>
          <w:kern w:val="0"/>
          <w:sz w:val="24"/>
          <w:highlight w:val="none"/>
        </w:rPr>
      </w:pPr>
      <w:r>
        <w:rPr>
          <w:rFonts w:hint="eastAsia"/>
          <w:snapToGrid w:val="0"/>
          <w:color w:val="auto"/>
          <w:kern w:val="0"/>
          <w:sz w:val="24"/>
          <w:highlight w:val="none"/>
        </w:rPr>
        <w:t>道路</w:t>
      </w:r>
      <w:r>
        <w:rPr>
          <w:snapToGrid w:val="0"/>
          <w:color w:val="auto"/>
          <w:kern w:val="0"/>
          <w:sz w:val="24"/>
          <w:highlight w:val="none"/>
        </w:rPr>
        <w:t>建设施工阶段的主要噪声源来自于施工机械的施工噪声和运输车辆的辐射噪声，这部分噪声虽然是暂时的，但由于拟建项目施工工期长，施工机械较多，这些施工机械一般都具有高噪声、无规则等特点，如不加以控制，往往会对附近的居民住户等</w:t>
      </w:r>
      <w:r>
        <w:rPr>
          <w:rFonts w:hint="eastAsia"/>
          <w:snapToGrid w:val="0"/>
          <w:color w:val="auto"/>
          <w:kern w:val="0"/>
          <w:sz w:val="24"/>
          <w:highlight w:val="none"/>
        </w:rPr>
        <w:t>声环境保护目标</w:t>
      </w:r>
      <w:r>
        <w:rPr>
          <w:snapToGrid w:val="0"/>
          <w:color w:val="auto"/>
          <w:kern w:val="0"/>
          <w:sz w:val="24"/>
          <w:highlight w:val="none"/>
        </w:rPr>
        <w:t>产生较大的影响。</w:t>
      </w:r>
    </w:p>
    <w:p>
      <w:pPr>
        <w:adjustRightInd w:val="0"/>
        <w:snapToGrid w:val="0"/>
        <w:spacing w:line="360" w:lineRule="auto"/>
        <w:ind w:firstLine="480"/>
        <w:rPr>
          <w:snapToGrid w:val="0"/>
          <w:color w:val="auto"/>
          <w:kern w:val="0"/>
          <w:sz w:val="24"/>
          <w:highlight w:val="none"/>
        </w:rPr>
      </w:pPr>
      <w:r>
        <w:rPr>
          <w:snapToGrid w:val="0"/>
          <w:color w:val="auto"/>
          <w:kern w:val="0"/>
          <w:sz w:val="24"/>
          <w:highlight w:val="none"/>
        </w:rPr>
        <w:t>施工过程主要可以分为三个阶段，即基础施工、路面施工、交通工程施工。</w:t>
      </w:r>
    </w:p>
    <w:p>
      <w:pPr>
        <w:adjustRightInd w:val="0"/>
        <w:snapToGrid w:val="0"/>
        <w:spacing w:line="360" w:lineRule="auto"/>
        <w:ind w:firstLine="480"/>
        <w:rPr>
          <w:snapToGrid w:val="0"/>
          <w:color w:val="auto"/>
          <w:kern w:val="0"/>
          <w:sz w:val="24"/>
          <w:highlight w:val="none"/>
        </w:rPr>
      </w:pPr>
      <w:r>
        <w:rPr>
          <w:rFonts w:hint="eastAsia" w:ascii="宋体" w:hAnsi="宋体" w:cs="宋体"/>
          <w:snapToGrid w:val="0"/>
          <w:color w:val="auto"/>
          <w:kern w:val="0"/>
          <w:sz w:val="24"/>
          <w:highlight w:val="none"/>
        </w:rPr>
        <w:t>①</w:t>
      </w:r>
      <w:r>
        <w:rPr>
          <w:snapToGrid w:val="0"/>
          <w:color w:val="auto"/>
          <w:kern w:val="0"/>
          <w:sz w:val="24"/>
          <w:highlight w:val="none"/>
        </w:rPr>
        <w:t>基础施工：该工序是耗时最长、所用施工机械最多、噪声最强的阶段</w:t>
      </w:r>
    </w:p>
    <w:p>
      <w:pPr>
        <w:adjustRightInd w:val="0"/>
        <w:snapToGrid w:val="0"/>
        <w:spacing w:line="360" w:lineRule="auto"/>
        <w:ind w:firstLine="480"/>
        <w:rPr>
          <w:snapToGrid w:val="0"/>
          <w:color w:val="auto"/>
          <w:kern w:val="0"/>
          <w:sz w:val="24"/>
          <w:highlight w:val="none"/>
        </w:rPr>
      </w:pPr>
      <w:r>
        <w:rPr>
          <w:snapToGrid w:val="0"/>
          <w:color w:val="auto"/>
          <w:kern w:val="0"/>
          <w:sz w:val="24"/>
          <w:highlight w:val="none"/>
        </w:rPr>
        <w:t>该阶段主要包括处理地基、路基平整、挖填土方、逐层压实路面等施工工艺，这一过程还伴随着大量运输物料车辆进出施工现场。该阶段需用的施工机械包括装载机、推土机、平地机、挖掘机等。</w:t>
      </w:r>
    </w:p>
    <w:p>
      <w:pPr>
        <w:adjustRightInd w:val="0"/>
        <w:snapToGrid w:val="0"/>
        <w:spacing w:line="360" w:lineRule="auto"/>
        <w:ind w:firstLine="480"/>
        <w:rPr>
          <w:snapToGrid w:val="0"/>
          <w:color w:val="auto"/>
          <w:kern w:val="0"/>
          <w:sz w:val="24"/>
          <w:highlight w:val="none"/>
        </w:rPr>
      </w:pPr>
      <w:r>
        <w:rPr>
          <w:rFonts w:hint="eastAsia" w:ascii="宋体" w:hAnsi="宋体" w:cs="宋体"/>
          <w:snapToGrid w:val="0"/>
          <w:color w:val="auto"/>
          <w:kern w:val="0"/>
          <w:sz w:val="24"/>
          <w:highlight w:val="none"/>
        </w:rPr>
        <w:t>②</w:t>
      </w:r>
      <w:r>
        <w:rPr>
          <w:snapToGrid w:val="0"/>
          <w:color w:val="auto"/>
          <w:kern w:val="0"/>
          <w:sz w:val="24"/>
          <w:highlight w:val="none"/>
        </w:rPr>
        <w:t>路面施工：该工序继路基施工结束后开展，主要是对全线摊铺，用到的施工机械主要是摊铺机，该阶段</w:t>
      </w:r>
      <w:r>
        <w:rPr>
          <w:rFonts w:hint="eastAsia"/>
          <w:snapToGrid w:val="0"/>
          <w:color w:val="auto"/>
          <w:kern w:val="0"/>
          <w:sz w:val="24"/>
          <w:highlight w:val="none"/>
        </w:rPr>
        <w:t>道路</w:t>
      </w:r>
      <w:r>
        <w:rPr>
          <w:snapToGrid w:val="0"/>
          <w:color w:val="auto"/>
          <w:kern w:val="0"/>
          <w:sz w:val="24"/>
          <w:highlight w:val="none"/>
        </w:rPr>
        <w:t>施工噪声相对路基施工段较小。</w:t>
      </w:r>
    </w:p>
    <w:p>
      <w:pPr>
        <w:adjustRightInd w:val="0"/>
        <w:snapToGrid w:val="0"/>
        <w:spacing w:line="360" w:lineRule="auto"/>
        <w:ind w:firstLine="480"/>
        <w:rPr>
          <w:snapToGrid w:val="0"/>
          <w:color w:val="auto"/>
          <w:kern w:val="0"/>
          <w:sz w:val="24"/>
          <w:highlight w:val="none"/>
        </w:rPr>
      </w:pPr>
      <w:r>
        <w:rPr>
          <w:rFonts w:hint="eastAsia" w:ascii="宋体" w:hAnsi="宋体" w:cs="宋体"/>
          <w:snapToGrid w:val="0"/>
          <w:color w:val="auto"/>
          <w:kern w:val="0"/>
          <w:sz w:val="24"/>
          <w:highlight w:val="none"/>
        </w:rPr>
        <w:t>④</w:t>
      </w:r>
      <w:r>
        <w:rPr>
          <w:snapToGrid w:val="0"/>
          <w:color w:val="auto"/>
          <w:kern w:val="0"/>
          <w:sz w:val="24"/>
          <w:highlight w:val="none"/>
        </w:rPr>
        <w:t>交通工程施工：该工序主要是对</w:t>
      </w:r>
      <w:r>
        <w:rPr>
          <w:rFonts w:hint="eastAsia"/>
          <w:snapToGrid w:val="0"/>
          <w:color w:val="auto"/>
          <w:kern w:val="0"/>
          <w:sz w:val="24"/>
          <w:highlight w:val="none"/>
        </w:rPr>
        <w:t>道路</w:t>
      </w:r>
      <w:r>
        <w:rPr>
          <w:snapToGrid w:val="0"/>
          <w:color w:val="auto"/>
          <w:kern w:val="0"/>
          <w:sz w:val="24"/>
          <w:highlight w:val="none"/>
        </w:rPr>
        <w:t>的交通通讯设施进行安装、标志标线进行完善，该工序基本不用大型施工机械，因此噪声的影响更小。</w:t>
      </w:r>
    </w:p>
    <w:p>
      <w:pPr>
        <w:adjustRightInd w:val="0"/>
        <w:snapToGrid w:val="0"/>
        <w:spacing w:line="360" w:lineRule="auto"/>
        <w:ind w:firstLine="480"/>
        <w:rPr>
          <w:rFonts w:hint="eastAsia"/>
          <w:snapToGrid w:val="0"/>
          <w:color w:val="auto"/>
          <w:kern w:val="0"/>
          <w:sz w:val="24"/>
          <w:highlight w:val="none"/>
        </w:rPr>
      </w:pPr>
      <w:r>
        <w:rPr>
          <w:snapToGrid w:val="0"/>
          <w:color w:val="auto"/>
          <w:kern w:val="0"/>
          <w:sz w:val="24"/>
          <w:highlight w:val="none"/>
        </w:rPr>
        <w:t>上述施工过程中，都伴有建筑材料的运输车辆所带来的辐射噪声，建材运输时，运输道路会不可避免的选择一些</w:t>
      </w:r>
      <w:r>
        <w:rPr>
          <w:rFonts w:hint="eastAsia"/>
          <w:snapToGrid w:val="0"/>
          <w:color w:val="auto"/>
          <w:kern w:val="0"/>
          <w:sz w:val="24"/>
          <w:highlight w:val="none"/>
        </w:rPr>
        <w:t>声环境保护目标</w:t>
      </w:r>
      <w:r>
        <w:rPr>
          <w:snapToGrid w:val="0"/>
          <w:color w:val="auto"/>
          <w:kern w:val="0"/>
          <w:sz w:val="24"/>
          <w:highlight w:val="none"/>
        </w:rPr>
        <w:t>附近的现有道路，这些运输车辆发出的辐射噪声会对沿线的</w:t>
      </w:r>
      <w:r>
        <w:rPr>
          <w:rFonts w:hint="eastAsia"/>
          <w:snapToGrid w:val="0"/>
          <w:color w:val="auto"/>
          <w:kern w:val="0"/>
          <w:sz w:val="24"/>
          <w:highlight w:val="none"/>
        </w:rPr>
        <w:t>声环境保护目标</w:t>
      </w:r>
      <w:r>
        <w:rPr>
          <w:snapToGrid w:val="0"/>
          <w:color w:val="auto"/>
          <w:kern w:val="0"/>
          <w:sz w:val="24"/>
          <w:highlight w:val="none"/>
        </w:rPr>
        <w:t>产生一定影响。</w:t>
      </w:r>
    </w:p>
    <w:p>
      <w:pPr>
        <w:spacing w:line="360" w:lineRule="auto"/>
        <w:outlineLvl w:val="2"/>
        <w:rPr>
          <w:rFonts w:hint="eastAsia" w:eastAsia="黑体"/>
          <w:color w:val="auto"/>
          <w:sz w:val="24"/>
          <w:highlight w:val="none"/>
        </w:rPr>
      </w:pPr>
      <w:r>
        <w:rPr>
          <w:rFonts w:hint="eastAsia" w:eastAsia="黑体"/>
          <w:color w:val="auto"/>
          <w:sz w:val="24"/>
          <w:highlight w:val="none"/>
        </w:rPr>
        <w:t>4.1.2施工期噪声源预测</w:t>
      </w:r>
    </w:p>
    <w:p>
      <w:pPr>
        <w:adjustRightInd w:val="0"/>
        <w:snapToGrid w:val="0"/>
        <w:spacing w:line="360" w:lineRule="auto"/>
        <w:ind w:firstLine="480"/>
        <w:rPr>
          <w:snapToGrid w:val="0"/>
          <w:color w:val="auto"/>
          <w:kern w:val="0"/>
          <w:sz w:val="24"/>
          <w:highlight w:val="none"/>
        </w:rPr>
      </w:pPr>
      <w:r>
        <w:rPr>
          <w:snapToGrid w:val="0"/>
          <w:color w:val="auto"/>
          <w:kern w:val="0"/>
          <w:sz w:val="24"/>
          <w:highlight w:val="none"/>
        </w:rPr>
        <w:t>施工机械的噪声可近似视为点声源处理，根据点声源噪声衰减模式，估算距离声源不同距离处的噪声值，预测模式如下：</w:t>
      </w:r>
    </w:p>
    <w:p>
      <w:pPr>
        <w:adjustRightInd w:val="0"/>
        <w:snapToGrid w:val="0"/>
        <w:spacing w:line="360" w:lineRule="auto"/>
        <w:ind w:firstLine="480"/>
        <w:jc w:val="center"/>
        <w:rPr>
          <w:snapToGrid w:val="0"/>
          <w:color w:val="auto"/>
          <w:kern w:val="0"/>
          <w:sz w:val="24"/>
          <w:highlight w:val="none"/>
        </w:rPr>
      </w:pPr>
      <w:r>
        <w:rPr>
          <w:color w:val="auto"/>
          <w:sz w:val="24"/>
          <w:highlight w:val="none"/>
        </w:rPr>
        <w:object>
          <v:shape id="_x0000_i1028" o:spt="75" type="#_x0000_t75" style="height:35.25pt;width:116.25pt;" o:ole="t" filled="f" o:preferrelative="t" stroked="f" coordsize="21600,21600">
            <v:path/>
            <v:fill on="f" focussize="0,0"/>
            <v:stroke on="f"/>
            <v:imagedata r:id="rId21" o:title=""/>
            <o:lock v:ext="edit" aspectratio="t"/>
            <w10:wrap type="none"/>
            <w10:anchorlock/>
          </v:shape>
          <o:OLEObject Type="Embed" ProgID="Equation.3" ShapeID="_x0000_i1028" DrawAspect="Content" ObjectID="_1468075728" r:id="rId20">
            <o:LockedField>false</o:LockedField>
          </o:OLEObject>
        </w:object>
      </w:r>
    </w:p>
    <w:p>
      <w:pPr>
        <w:spacing w:line="360" w:lineRule="auto"/>
        <w:ind w:firstLine="480"/>
        <w:rPr>
          <w:color w:val="auto"/>
          <w:sz w:val="24"/>
          <w:highlight w:val="none"/>
        </w:rPr>
      </w:pPr>
      <w:r>
        <w:rPr>
          <w:color w:val="auto"/>
          <w:sz w:val="24"/>
          <w:highlight w:val="none"/>
        </w:rPr>
        <w:t>式中：L</w:t>
      </w:r>
      <w:r>
        <w:rPr>
          <w:color w:val="auto"/>
          <w:sz w:val="24"/>
          <w:highlight w:val="none"/>
          <w:vertAlign w:val="subscript"/>
        </w:rPr>
        <w:t>i</w:t>
      </w:r>
      <w:r>
        <w:rPr>
          <w:color w:val="auto"/>
          <w:sz w:val="24"/>
          <w:highlight w:val="none"/>
        </w:rPr>
        <w:t>和L</w:t>
      </w:r>
      <w:r>
        <w:rPr>
          <w:color w:val="auto"/>
          <w:sz w:val="24"/>
          <w:highlight w:val="none"/>
          <w:vertAlign w:val="subscript"/>
        </w:rPr>
        <w:t>0</w:t>
      </w:r>
      <w:r>
        <w:rPr>
          <w:color w:val="auto"/>
          <w:sz w:val="24"/>
          <w:highlight w:val="none"/>
        </w:rPr>
        <w:t>分别为距离设备R</w:t>
      </w:r>
      <w:r>
        <w:rPr>
          <w:color w:val="auto"/>
          <w:sz w:val="24"/>
          <w:highlight w:val="none"/>
          <w:vertAlign w:val="subscript"/>
        </w:rPr>
        <w:t>i</w:t>
      </w:r>
      <w:r>
        <w:rPr>
          <w:color w:val="auto"/>
          <w:sz w:val="24"/>
          <w:highlight w:val="none"/>
        </w:rPr>
        <w:t>和R</w:t>
      </w:r>
      <w:r>
        <w:rPr>
          <w:color w:val="auto"/>
          <w:sz w:val="24"/>
          <w:highlight w:val="none"/>
          <w:vertAlign w:val="subscript"/>
        </w:rPr>
        <w:t>0</w:t>
      </w:r>
      <w:r>
        <w:rPr>
          <w:color w:val="auto"/>
          <w:sz w:val="24"/>
          <w:highlight w:val="none"/>
        </w:rPr>
        <w:t>处的设备噪声级；ΔL为障碍物、植被、空气等产生的附加衰减量。</w:t>
      </w:r>
    </w:p>
    <w:p>
      <w:pPr>
        <w:spacing w:line="360" w:lineRule="auto"/>
        <w:ind w:firstLine="480"/>
        <w:rPr>
          <w:color w:val="auto"/>
          <w:sz w:val="24"/>
          <w:highlight w:val="none"/>
        </w:rPr>
      </w:pPr>
      <w:r>
        <w:rPr>
          <w:color w:val="auto"/>
          <w:sz w:val="24"/>
          <w:highlight w:val="none"/>
        </w:rPr>
        <w:t>对于多台施工机械对某个预测点的影响，应进行声级迭加：</w:t>
      </w:r>
    </w:p>
    <w:p>
      <w:pPr>
        <w:adjustRightInd w:val="0"/>
        <w:snapToGrid w:val="0"/>
        <w:spacing w:line="360" w:lineRule="auto"/>
        <w:ind w:firstLine="480"/>
        <w:jc w:val="center"/>
        <w:rPr>
          <w:color w:val="auto"/>
          <w:sz w:val="24"/>
          <w:highlight w:val="none"/>
        </w:rPr>
      </w:pPr>
      <w:r>
        <w:rPr>
          <w:color w:val="auto"/>
          <w:sz w:val="24"/>
          <w:highlight w:val="none"/>
        </w:rPr>
        <w:object>
          <v:shape id="_x0000_i1029" o:spt="75" type="#_x0000_t75" style="height:20.25pt;width:89.25pt;" o:ole="t" filled="f" o:preferrelative="t"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p>
    <w:p>
      <w:pPr>
        <w:pStyle w:val="2"/>
        <w:rPr>
          <w:color w:val="auto"/>
          <w:sz w:val="24"/>
          <w:highlight w:val="none"/>
        </w:rPr>
      </w:pPr>
    </w:p>
    <w:p>
      <w:pPr>
        <w:rPr>
          <w:rFonts w:hint="eastAsia"/>
          <w:color w:val="auto"/>
          <w:highlight w:val="none"/>
        </w:rPr>
      </w:pPr>
    </w:p>
    <w:p>
      <w:pPr>
        <w:spacing w:line="360" w:lineRule="auto"/>
        <w:outlineLvl w:val="2"/>
        <w:rPr>
          <w:rFonts w:hint="eastAsia" w:eastAsia="黑体"/>
          <w:color w:val="auto"/>
          <w:sz w:val="24"/>
          <w:highlight w:val="none"/>
        </w:rPr>
      </w:pPr>
      <w:r>
        <w:rPr>
          <w:rFonts w:hint="eastAsia" w:eastAsia="黑体"/>
          <w:color w:val="auto"/>
          <w:sz w:val="24"/>
          <w:highlight w:val="none"/>
        </w:rPr>
        <w:t>4.1.3施工噪声影响分析</w:t>
      </w:r>
    </w:p>
    <w:p>
      <w:pPr>
        <w:adjustRightInd w:val="0"/>
        <w:snapToGrid w:val="0"/>
        <w:spacing w:line="360" w:lineRule="auto"/>
        <w:ind w:firstLine="480"/>
        <w:rPr>
          <w:snapToGrid w:val="0"/>
          <w:color w:val="auto"/>
          <w:kern w:val="0"/>
          <w:sz w:val="24"/>
          <w:highlight w:val="none"/>
        </w:rPr>
      </w:pPr>
      <w:r>
        <w:rPr>
          <w:snapToGrid w:val="0"/>
          <w:color w:val="auto"/>
          <w:kern w:val="0"/>
          <w:sz w:val="24"/>
          <w:highlight w:val="none"/>
        </w:rPr>
        <w:t>根据上述点声源预测模式，本项目主要施工机械不同距离处的噪声见表</w:t>
      </w:r>
      <w:r>
        <w:rPr>
          <w:rFonts w:hint="eastAsia"/>
          <w:snapToGrid w:val="0"/>
          <w:color w:val="auto"/>
          <w:kern w:val="0"/>
          <w:sz w:val="24"/>
          <w:highlight w:val="none"/>
        </w:rPr>
        <w:t>4.1-1</w:t>
      </w:r>
      <w:r>
        <w:rPr>
          <w:snapToGrid w:val="0"/>
          <w:color w:val="auto"/>
          <w:kern w:val="0"/>
          <w:sz w:val="24"/>
          <w:highlight w:val="none"/>
        </w:rPr>
        <w:t>。各施工阶段、施工设备噪声影响范围见表</w:t>
      </w:r>
      <w:r>
        <w:rPr>
          <w:rFonts w:hint="eastAsia"/>
          <w:snapToGrid w:val="0"/>
          <w:color w:val="auto"/>
          <w:kern w:val="0"/>
          <w:sz w:val="24"/>
          <w:highlight w:val="none"/>
        </w:rPr>
        <w:t>4.1-2</w:t>
      </w:r>
      <w:r>
        <w:rPr>
          <w:snapToGrid w:val="0"/>
          <w:color w:val="auto"/>
          <w:kern w:val="0"/>
          <w:sz w:val="24"/>
          <w:highlight w:val="none"/>
        </w:rPr>
        <w:t>。</w:t>
      </w:r>
    </w:p>
    <w:p>
      <w:pPr>
        <w:spacing w:before="120" w:beforeLines="50"/>
        <w:ind w:firstLine="480"/>
        <w:jc w:val="center"/>
        <w:rPr>
          <w:b/>
          <w:bCs/>
          <w:color w:val="auto"/>
          <w:sz w:val="24"/>
          <w:highlight w:val="none"/>
        </w:rPr>
      </w:pPr>
      <w:r>
        <w:rPr>
          <w:rFonts w:hint="eastAsia"/>
          <w:b/>
          <w:bCs/>
          <w:color w:val="auto"/>
          <w:sz w:val="24"/>
          <w:highlight w:val="none"/>
        </w:rPr>
        <w:t>4.1-1</w:t>
      </w:r>
      <w:r>
        <w:rPr>
          <w:b/>
          <w:bCs/>
          <w:color w:val="auto"/>
          <w:sz w:val="24"/>
          <w:highlight w:val="none"/>
        </w:rPr>
        <w:t xml:space="preserve"> 各种施工设施噪声源强及其噪声值随距离的衰减</w:t>
      </w:r>
    </w:p>
    <w:tbl>
      <w:tblPr>
        <w:tblStyle w:val="23"/>
        <w:tblW w:w="903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596"/>
        <w:gridCol w:w="596"/>
        <w:gridCol w:w="596"/>
        <w:gridCol w:w="596"/>
        <w:gridCol w:w="818"/>
        <w:gridCol w:w="596"/>
        <w:gridCol w:w="743"/>
        <w:gridCol w:w="818"/>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5" w:hRule="atLeast"/>
          <w:jc w:val="center"/>
        </w:trPr>
        <w:tc>
          <w:tcPr>
            <w:tcW w:w="2932" w:type="dxa"/>
            <w:vAlign w:val="center"/>
          </w:tcPr>
          <w:p>
            <w:pPr>
              <w:adjustRightInd w:val="0"/>
              <w:snapToGrid w:val="0"/>
              <w:rPr>
                <w:b/>
                <w:color w:val="auto"/>
                <w:szCs w:val="21"/>
                <w:highlight w:val="none"/>
              </w:rPr>
            </w:pPr>
            <w:r>
              <w:rPr>
                <w:b/>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-69215</wp:posOffset>
                      </wp:positionH>
                      <wp:positionV relativeFrom="paragraph">
                        <wp:posOffset>8255</wp:posOffset>
                      </wp:positionV>
                      <wp:extent cx="641350" cy="704850"/>
                      <wp:effectExtent l="0" t="0" r="0" b="0"/>
                      <wp:wrapNone/>
                      <wp:docPr id="16" name="__TH_L72"/>
                      <wp:cNvGraphicFramePr/>
                      <a:graphic xmlns:a="http://schemas.openxmlformats.org/drawingml/2006/main">
                        <a:graphicData uri="http://schemas.microsoft.com/office/word/2010/wordprocessingShape">
                          <wps:wsp>
                            <wps:cNvSpPr/>
                            <wps:spPr>
                              <a:xfrm>
                                <a:off x="0" y="0"/>
                                <a:ext cx="641350" cy="704850"/>
                              </a:xfrm>
                              <a:custGeom>
                                <a:avLst/>
                                <a:gdLst/>
                                <a:ahLst/>
                                <a:cxnLst/>
                                <a:pathLst>
                                  <a:path w="950" h="1357">
                                    <a:moveTo>
                                      <a:pt x="0" y="0"/>
                                    </a:moveTo>
                                    <a:lnTo>
                                      <a:pt x="950" y="1357"/>
                                    </a:lnTo>
                                  </a:path>
                                </a:pathLst>
                              </a:custGeom>
                              <a:solidFill>
                                <a:srgbClr val="FFFFFF"/>
                              </a:solidFill>
                              <a:ln w="6350" cap="flat" cmpd="sng">
                                <a:solidFill>
                                  <a:srgbClr val="000000"/>
                                </a:solidFill>
                                <a:prstDash val="solid"/>
                                <a:headEnd type="none" w="med" len="med"/>
                                <a:tailEnd type="none" w="med" len="med"/>
                              </a:ln>
                            </wps:spPr>
                            <wps:bodyPr wrap="square" upright="1"/>
                          </wps:wsp>
                        </a:graphicData>
                      </a:graphic>
                    </wp:anchor>
                  </w:drawing>
                </mc:Choice>
                <mc:Fallback>
                  <w:pict>
                    <v:shape id="__TH_L72" o:spid="_x0000_s1026" o:spt="100" style="position:absolute;left:0pt;margin-left:-5.45pt;margin-top:0.65pt;height:55.5pt;width:50.5pt;z-index:251662336;mso-width-relative:page;mso-height-relative:page;" fillcolor="#FFFFFF" filled="t" stroked="t" coordsize="950,1357" o:gfxdata="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G96ZNMAAAAIAQAADwAAAAAAAAABACAA&#10;AAAiAAAAZHJzL2Rvd25yZXYueG1sUEsBAhQAFAAAAAgAh07iQNsLiugSAgAAcQQAAA4AAAAAAAAA&#10;AQAgAAAAIgEAAGRycy9lMm9Eb2MueG1sUEsFBgAAAAAGAAYAWQEAAKYFAAAAAA==&#10;" path="m0,0l950,1357e">
                      <v:fill on="t" focussize="0,0"/>
                      <v:stroke weight="0.5pt" color="#000000" joinstyle="round"/>
                      <v:imagedata o:title=""/>
                      <o:lock v:ext="edit" aspectratio="f"/>
                    </v:shape>
                  </w:pict>
                </mc:Fallback>
              </mc:AlternateContent>
            </w:r>
            <w:r>
              <w:rPr>
                <w:b/>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14605</wp:posOffset>
                      </wp:positionV>
                      <wp:extent cx="1859280" cy="705485"/>
                      <wp:effectExtent l="0" t="0" r="0" b="0"/>
                      <wp:wrapNone/>
                      <wp:docPr id="15" name="__TH_L71"/>
                      <wp:cNvGraphicFramePr/>
                      <a:graphic xmlns:a="http://schemas.openxmlformats.org/drawingml/2006/main">
                        <a:graphicData uri="http://schemas.microsoft.com/office/word/2010/wordprocessingShape">
                          <wps:wsp>
                            <wps:cNvSpPr/>
                            <wps:spPr>
                              <a:xfrm>
                                <a:off x="0" y="0"/>
                                <a:ext cx="1859280" cy="705485"/>
                              </a:xfrm>
                              <a:custGeom>
                                <a:avLst/>
                                <a:gdLst/>
                                <a:ahLst/>
                                <a:cxnLst/>
                                <a:pathLst>
                                  <a:path w="2238" h="948">
                                    <a:moveTo>
                                      <a:pt x="0" y="0"/>
                                    </a:moveTo>
                                    <a:lnTo>
                                      <a:pt x="2238" y="948"/>
                                    </a:lnTo>
                                  </a:path>
                                </a:pathLst>
                              </a:custGeom>
                              <a:solidFill>
                                <a:srgbClr val="FFFFFF"/>
                              </a:solidFill>
                              <a:ln w="6350" cap="flat" cmpd="sng">
                                <a:solidFill>
                                  <a:srgbClr val="000000"/>
                                </a:solidFill>
                                <a:prstDash val="solid"/>
                                <a:headEnd type="none" w="med" len="med"/>
                                <a:tailEnd type="none" w="med" len="med"/>
                              </a:ln>
                            </wps:spPr>
                            <wps:bodyPr wrap="square" upright="1"/>
                          </wps:wsp>
                        </a:graphicData>
                      </a:graphic>
                    </wp:anchor>
                  </w:drawing>
                </mc:Choice>
                <mc:Fallback>
                  <w:pict>
                    <v:shape id="__TH_L71" o:spid="_x0000_s1026" o:spt="100" style="position:absolute;left:0pt;margin-left:-4.5pt;margin-top:1.15pt;height:55.55pt;width:146.4pt;z-index:251661312;mso-width-relative:page;mso-height-relative:page;" fillcolor="#FFFFFF" filled="t" stroked="t" coordsize="2238,948" o:gfxdata="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ZWYT9cAAAAIAQAADwAA&#10;AAAAAAABACAAAAAiAAAAZHJzL2Rvd25yZXYueG1sUEsBAhQAFAAAAAgAh07iQCtgPLkXAgAAcgQA&#10;AA4AAAAAAAAAAQAgAAAAJgEAAGRycy9lMm9Eb2MueG1sUEsFBgAAAAAGAAYAWQEAAK8FAAAAAA==&#10;" path="m0,0l2238,948e">
                      <v:fill on="t" focussize="0,0"/>
                      <v:stroke weight="0.5pt" color="#000000" joinstyle="round"/>
                      <v:imagedata o:title=""/>
                      <o:lock v:ext="edit" aspectratio="f"/>
                    </v:shape>
                  </w:pict>
                </mc:Fallback>
              </mc:AlternateContent>
            </w:r>
            <w:r>
              <w:rPr>
                <w:rFonts w:hint="eastAsia"/>
                <w:b/>
                <w:color w:val="auto"/>
                <w:szCs w:val="21"/>
                <w:highlight w:val="none"/>
              </w:rPr>
              <w:t xml:space="preserve"> </w:t>
            </w:r>
            <w:r>
              <w:rPr>
                <w:b/>
                <w:color w:val="auto"/>
                <w:szCs w:val="21"/>
                <w:highlight w:val="none"/>
              </w:rPr>
              <w:t xml:space="preserve">       距施工点距离(m)</w:t>
            </w:r>
          </w:p>
          <w:p>
            <w:pPr>
              <w:adjustRightInd w:val="0"/>
              <w:snapToGrid w:val="0"/>
              <w:ind w:firstLine="422"/>
              <w:rPr>
                <w:b/>
                <w:color w:val="auto"/>
                <w:szCs w:val="21"/>
                <w:highlight w:val="none"/>
              </w:rPr>
            </w:pPr>
            <w:r>
              <w:rPr>
                <w:b/>
                <w:color w:val="auto"/>
                <w:szCs w:val="21"/>
                <w:highlight w:val="none"/>
              </w:rPr>
              <w:t>噪声</w:t>
            </w:r>
          </w:p>
          <w:p>
            <w:pPr>
              <w:adjustRightInd w:val="0"/>
              <w:snapToGrid w:val="0"/>
              <w:rPr>
                <w:b/>
                <w:color w:val="auto"/>
                <w:szCs w:val="21"/>
                <w:highlight w:val="none"/>
              </w:rPr>
            </w:pPr>
            <w:r>
              <w:rPr>
                <w:b/>
                <w:color w:val="auto"/>
                <w:szCs w:val="21"/>
                <w:highlight w:val="none"/>
              </w:rPr>
              <w:t>机械</w:t>
            </w:r>
            <w:r>
              <w:rPr>
                <w:rFonts w:hint="eastAsia"/>
                <w:b/>
                <w:color w:val="auto"/>
                <w:szCs w:val="21"/>
                <w:highlight w:val="none"/>
              </w:rPr>
              <w:t xml:space="preserve">  </w:t>
            </w:r>
            <w:r>
              <w:rPr>
                <w:b/>
                <w:color w:val="auto"/>
                <w:szCs w:val="21"/>
                <w:highlight w:val="none"/>
              </w:rPr>
              <w:t xml:space="preserve">级dB(A) </w:t>
            </w:r>
          </w:p>
          <w:p>
            <w:pPr>
              <w:adjustRightInd w:val="0"/>
              <w:snapToGrid w:val="0"/>
              <w:rPr>
                <w:b/>
                <w:color w:val="auto"/>
                <w:szCs w:val="21"/>
                <w:highlight w:val="none"/>
              </w:rPr>
            </w:pPr>
            <w:r>
              <w:rPr>
                <w:b/>
                <w:color w:val="auto"/>
                <w:szCs w:val="21"/>
                <w:highlight w:val="none"/>
              </w:rPr>
              <w:t>名称</w:t>
            </w:r>
            <w:r>
              <w:rPr>
                <w:rFonts w:hint="eastAsia"/>
                <w:b/>
                <w:color w:val="auto"/>
                <w:szCs w:val="21"/>
                <w:highlight w:val="none"/>
              </w:rPr>
              <w:t xml:space="preserve"> </w:t>
            </w:r>
          </w:p>
        </w:tc>
        <w:tc>
          <w:tcPr>
            <w:tcW w:w="596" w:type="dxa"/>
            <w:vAlign w:val="center"/>
          </w:tcPr>
          <w:p>
            <w:pPr>
              <w:adjustRightInd w:val="0"/>
              <w:snapToGrid w:val="0"/>
              <w:jc w:val="center"/>
              <w:rPr>
                <w:b/>
                <w:color w:val="auto"/>
                <w:szCs w:val="21"/>
                <w:highlight w:val="none"/>
              </w:rPr>
            </w:pPr>
            <w:r>
              <w:rPr>
                <w:b/>
                <w:color w:val="auto"/>
                <w:szCs w:val="21"/>
                <w:highlight w:val="none"/>
              </w:rPr>
              <w:t>5</w:t>
            </w:r>
          </w:p>
        </w:tc>
        <w:tc>
          <w:tcPr>
            <w:tcW w:w="596" w:type="dxa"/>
            <w:vAlign w:val="center"/>
          </w:tcPr>
          <w:p>
            <w:pPr>
              <w:adjustRightInd w:val="0"/>
              <w:snapToGrid w:val="0"/>
              <w:jc w:val="center"/>
              <w:rPr>
                <w:b/>
                <w:color w:val="auto"/>
                <w:szCs w:val="21"/>
                <w:highlight w:val="none"/>
              </w:rPr>
            </w:pPr>
            <w:r>
              <w:rPr>
                <w:b/>
                <w:color w:val="auto"/>
                <w:szCs w:val="21"/>
                <w:highlight w:val="none"/>
              </w:rPr>
              <w:t>10</w:t>
            </w:r>
          </w:p>
        </w:tc>
        <w:tc>
          <w:tcPr>
            <w:tcW w:w="596" w:type="dxa"/>
            <w:vAlign w:val="center"/>
          </w:tcPr>
          <w:p>
            <w:pPr>
              <w:adjustRightInd w:val="0"/>
              <w:snapToGrid w:val="0"/>
              <w:jc w:val="center"/>
              <w:rPr>
                <w:b/>
                <w:color w:val="auto"/>
                <w:szCs w:val="21"/>
                <w:highlight w:val="none"/>
              </w:rPr>
            </w:pPr>
            <w:r>
              <w:rPr>
                <w:b/>
                <w:color w:val="auto"/>
                <w:szCs w:val="21"/>
                <w:highlight w:val="none"/>
              </w:rPr>
              <w:t>20</w:t>
            </w:r>
          </w:p>
        </w:tc>
        <w:tc>
          <w:tcPr>
            <w:tcW w:w="596" w:type="dxa"/>
            <w:vAlign w:val="center"/>
          </w:tcPr>
          <w:p>
            <w:pPr>
              <w:adjustRightInd w:val="0"/>
              <w:snapToGrid w:val="0"/>
              <w:jc w:val="center"/>
              <w:rPr>
                <w:b/>
                <w:color w:val="auto"/>
                <w:szCs w:val="21"/>
                <w:highlight w:val="none"/>
              </w:rPr>
            </w:pPr>
            <w:r>
              <w:rPr>
                <w:b/>
                <w:color w:val="auto"/>
                <w:szCs w:val="21"/>
                <w:highlight w:val="none"/>
              </w:rPr>
              <w:t>40</w:t>
            </w:r>
          </w:p>
        </w:tc>
        <w:tc>
          <w:tcPr>
            <w:tcW w:w="818" w:type="dxa"/>
            <w:vAlign w:val="center"/>
          </w:tcPr>
          <w:p>
            <w:pPr>
              <w:adjustRightInd w:val="0"/>
              <w:snapToGrid w:val="0"/>
              <w:jc w:val="center"/>
              <w:rPr>
                <w:b/>
                <w:color w:val="auto"/>
                <w:szCs w:val="21"/>
                <w:highlight w:val="none"/>
              </w:rPr>
            </w:pPr>
            <w:r>
              <w:rPr>
                <w:b/>
                <w:color w:val="auto"/>
                <w:szCs w:val="21"/>
                <w:highlight w:val="none"/>
              </w:rPr>
              <w:t>60</w:t>
            </w:r>
          </w:p>
        </w:tc>
        <w:tc>
          <w:tcPr>
            <w:tcW w:w="596" w:type="dxa"/>
            <w:vAlign w:val="center"/>
          </w:tcPr>
          <w:p>
            <w:pPr>
              <w:adjustRightInd w:val="0"/>
              <w:snapToGrid w:val="0"/>
              <w:jc w:val="center"/>
              <w:rPr>
                <w:b/>
                <w:color w:val="auto"/>
                <w:szCs w:val="21"/>
                <w:highlight w:val="none"/>
              </w:rPr>
            </w:pPr>
            <w:r>
              <w:rPr>
                <w:b/>
                <w:color w:val="auto"/>
                <w:szCs w:val="21"/>
                <w:highlight w:val="none"/>
              </w:rPr>
              <w:t>80</w:t>
            </w:r>
          </w:p>
        </w:tc>
        <w:tc>
          <w:tcPr>
            <w:tcW w:w="743" w:type="dxa"/>
            <w:vAlign w:val="center"/>
          </w:tcPr>
          <w:p>
            <w:pPr>
              <w:adjustRightInd w:val="0"/>
              <w:snapToGrid w:val="0"/>
              <w:jc w:val="center"/>
              <w:rPr>
                <w:b/>
                <w:color w:val="auto"/>
                <w:szCs w:val="21"/>
                <w:highlight w:val="none"/>
              </w:rPr>
            </w:pPr>
            <w:r>
              <w:rPr>
                <w:b/>
                <w:color w:val="auto"/>
                <w:szCs w:val="21"/>
                <w:highlight w:val="none"/>
              </w:rPr>
              <w:t>100</w:t>
            </w:r>
          </w:p>
        </w:tc>
        <w:tc>
          <w:tcPr>
            <w:tcW w:w="818" w:type="dxa"/>
            <w:vAlign w:val="center"/>
          </w:tcPr>
          <w:p>
            <w:pPr>
              <w:adjustRightInd w:val="0"/>
              <w:snapToGrid w:val="0"/>
              <w:jc w:val="center"/>
              <w:rPr>
                <w:b/>
                <w:color w:val="auto"/>
                <w:szCs w:val="21"/>
                <w:highlight w:val="none"/>
              </w:rPr>
            </w:pPr>
            <w:r>
              <w:rPr>
                <w:b/>
                <w:color w:val="auto"/>
                <w:szCs w:val="21"/>
                <w:highlight w:val="none"/>
              </w:rPr>
              <w:t>150</w:t>
            </w:r>
          </w:p>
        </w:tc>
        <w:tc>
          <w:tcPr>
            <w:tcW w:w="743" w:type="dxa"/>
            <w:vAlign w:val="center"/>
          </w:tcPr>
          <w:p>
            <w:pPr>
              <w:adjustRightInd w:val="0"/>
              <w:snapToGrid w:val="0"/>
              <w:jc w:val="center"/>
              <w:rPr>
                <w:b/>
                <w:color w:val="auto"/>
                <w:szCs w:val="21"/>
                <w:highlight w:val="none"/>
              </w:rPr>
            </w:pPr>
            <w:r>
              <w:rPr>
                <w:b/>
                <w:color w:val="auto"/>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2932" w:type="dxa"/>
            <w:vAlign w:val="center"/>
          </w:tcPr>
          <w:p>
            <w:pPr>
              <w:adjustRightInd w:val="0"/>
              <w:snapToGrid w:val="0"/>
              <w:jc w:val="center"/>
              <w:rPr>
                <w:color w:val="auto"/>
                <w:szCs w:val="21"/>
                <w:highlight w:val="none"/>
              </w:rPr>
            </w:pPr>
            <w:r>
              <w:rPr>
                <w:color w:val="auto"/>
                <w:szCs w:val="21"/>
                <w:highlight w:val="none"/>
              </w:rPr>
              <w:t>装载机</w:t>
            </w:r>
          </w:p>
        </w:tc>
        <w:tc>
          <w:tcPr>
            <w:tcW w:w="596" w:type="dxa"/>
            <w:vAlign w:val="center"/>
          </w:tcPr>
          <w:p>
            <w:pPr>
              <w:adjustRightInd w:val="0"/>
              <w:snapToGrid w:val="0"/>
              <w:jc w:val="center"/>
              <w:rPr>
                <w:color w:val="auto"/>
                <w:szCs w:val="21"/>
                <w:highlight w:val="none"/>
              </w:rPr>
            </w:pPr>
            <w:r>
              <w:rPr>
                <w:color w:val="auto"/>
                <w:szCs w:val="21"/>
                <w:highlight w:val="none"/>
              </w:rPr>
              <w:t>90</w:t>
            </w:r>
          </w:p>
        </w:tc>
        <w:tc>
          <w:tcPr>
            <w:tcW w:w="596" w:type="dxa"/>
            <w:vAlign w:val="center"/>
          </w:tcPr>
          <w:p>
            <w:pPr>
              <w:adjustRightInd w:val="0"/>
              <w:snapToGrid w:val="0"/>
              <w:jc w:val="center"/>
              <w:rPr>
                <w:color w:val="auto"/>
                <w:szCs w:val="21"/>
                <w:highlight w:val="none"/>
              </w:rPr>
            </w:pPr>
            <w:r>
              <w:rPr>
                <w:color w:val="auto"/>
                <w:szCs w:val="21"/>
                <w:highlight w:val="none"/>
              </w:rPr>
              <w:t>84</w:t>
            </w:r>
          </w:p>
        </w:tc>
        <w:tc>
          <w:tcPr>
            <w:tcW w:w="596" w:type="dxa"/>
            <w:vAlign w:val="center"/>
          </w:tcPr>
          <w:p>
            <w:pPr>
              <w:adjustRightInd w:val="0"/>
              <w:snapToGrid w:val="0"/>
              <w:jc w:val="center"/>
              <w:rPr>
                <w:color w:val="auto"/>
                <w:szCs w:val="21"/>
                <w:highlight w:val="none"/>
              </w:rPr>
            </w:pPr>
            <w:r>
              <w:rPr>
                <w:color w:val="auto"/>
                <w:szCs w:val="21"/>
                <w:highlight w:val="none"/>
              </w:rPr>
              <w:t>78</w:t>
            </w:r>
          </w:p>
        </w:tc>
        <w:tc>
          <w:tcPr>
            <w:tcW w:w="596" w:type="dxa"/>
            <w:vAlign w:val="center"/>
          </w:tcPr>
          <w:p>
            <w:pPr>
              <w:adjustRightInd w:val="0"/>
              <w:snapToGrid w:val="0"/>
              <w:jc w:val="center"/>
              <w:rPr>
                <w:color w:val="auto"/>
                <w:szCs w:val="21"/>
                <w:highlight w:val="none"/>
              </w:rPr>
            </w:pPr>
            <w:r>
              <w:rPr>
                <w:color w:val="auto"/>
                <w:szCs w:val="21"/>
                <w:highlight w:val="none"/>
              </w:rPr>
              <w:t>72</w:t>
            </w:r>
          </w:p>
        </w:tc>
        <w:tc>
          <w:tcPr>
            <w:tcW w:w="818" w:type="dxa"/>
            <w:vAlign w:val="center"/>
          </w:tcPr>
          <w:p>
            <w:pPr>
              <w:adjustRightInd w:val="0"/>
              <w:snapToGrid w:val="0"/>
              <w:jc w:val="center"/>
              <w:rPr>
                <w:color w:val="auto"/>
                <w:szCs w:val="21"/>
                <w:highlight w:val="none"/>
              </w:rPr>
            </w:pPr>
            <w:r>
              <w:rPr>
                <w:color w:val="auto"/>
                <w:szCs w:val="21"/>
                <w:highlight w:val="none"/>
              </w:rPr>
              <w:t>68.5</w:t>
            </w:r>
          </w:p>
        </w:tc>
        <w:tc>
          <w:tcPr>
            <w:tcW w:w="596" w:type="dxa"/>
            <w:vAlign w:val="center"/>
          </w:tcPr>
          <w:p>
            <w:pPr>
              <w:adjustRightInd w:val="0"/>
              <w:snapToGrid w:val="0"/>
              <w:jc w:val="center"/>
              <w:rPr>
                <w:color w:val="auto"/>
                <w:szCs w:val="21"/>
                <w:highlight w:val="none"/>
              </w:rPr>
            </w:pPr>
            <w:r>
              <w:rPr>
                <w:color w:val="auto"/>
                <w:szCs w:val="21"/>
                <w:highlight w:val="none"/>
              </w:rPr>
              <w:t>66</w:t>
            </w:r>
          </w:p>
        </w:tc>
        <w:tc>
          <w:tcPr>
            <w:tcW w:w="743" w:type="dxa"/>
            <w:vAlign w:val="center"/>
          </w:tcPr>
          <w:p>
            <w:pPr>
              <w:adjustRightInd w:val="0"/>
              <w:snapToGrid w:val="0"/>
              <w:jc w:val="center"/>
              <w:rPr>
                <w:color w:val="auto"/>
                <w:szCs w:val="21"/>
                <w:highlight w:val="none"/>
              </w:rPr>
            </w:pPr>
            <w:r>
              <w:rPr>
                <w:color w:val="auto"/>
                <w:szCs w:val="21"/>
                <w:highlight w:val="none"/>
              </w:rPr>
              <w:t>64</w:t>
            </w:r>
          </w:p>
        </w:tc>
        <w:tc>
          <w:tcPr>
            <w:tcW w:w="818" w:type="dxa"/>
            <w:vAlign w:val="center"/>
          </w:tcPr>
          <w:p>
            <w:pPr>
              <w:adjustRightInd w:val="0"/>
              <w:snapToGrid w:val="0"/>
              <w:jc w:val="center"/>
              <w:rPr>
                <w:color w:val="auto"/>
                <w:szCs w:val="21"/>
                <w:highlight w:val="none"/>
              </w:rPr>
            </w:pPr>
            <w:r>
              <w:rPr>
                <w:color w:val="auto"/>
                <w:szCs w:val="21"/>
                <w:highlight w:val="none"/>
              </w:rPr>
              <w:t>60.5</w:t>
            </w:r>
          </w:p>
        </w:tc>
        <w:tc>
          <w:tcPr>
            <w:tcW w:w="743" w:type="dxa"/>
            <w:vAlign w:val="center"/>
          </w:tcPr>
          <w:p>
            <w:pPr>
              <w:adjustRightInd w:val="0"/>
              <w:snapToGrid w:val="0"/>
              <w:jc w:val="center"/>
              <w:rPr>
                <w:color w:val="auto"/>
                <w:szCs w:val="21"/>
                <w:highlight w:val="none"/>
              </w:rPr>
            </w:pPr>
            <w:r>
              <w:rPr>
                <w:color w:val="auto"/>
                <w:szCs w:val="21"/>
                <w:highlight w:val="none"/>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2932" w:type="dxa"/>
            <w:vAlign w:val="center"/>
          </w:tcPr>
          <w:p>
            <w:pPr>
              <w:adjustRightInd w:val="0"/>
              <w:snapToGrid w:val="0"/>
              <w:jc w:val="center"/>
              <w:rPr>
                <w:color w:val="auto"/>
                <w:szCs w:val="21"/>
                <w:highlight w:val="none"/>
              </w:rPr>
            </w:pPr>
            <w:r>
              <w:rPr>
                <w:color w:val="auto"/>
                <w:szCs w:val="21"/>
                <w:highlight w:val="none"/>
              </w:rPr>
              <w:t>压路机</w:t>
            </w:r>
          </w:p>
        </w:tc>
        <w:tc>
          <w:tcPr>
            <w:tcW w:w="596" w:type="dxa"/>
            <w:vAlign w:val="center"/>
          </w:tcPr>
          <w:p>
            <w:pPr>
              <w:adjustRightInd w:val="0"/>
              <w:snapToGrid w:val="0"/>
              <w:jc w:val="center"/>
              <w:rPr>
                <w:color w:val="auto"/>
                <w:szCs w:val="21"/>
                <w:highlight w:val="none"/>
              </w:rPr>
            </w:pPr>
            <w:r>
              <w:rPr>
                <w:color w:val="auto"/>
                <w:szCs w:val="21"/>
                <w:highlight w:val="none"/>
              </w:rPr>
              <w:t>86</w:t>
            </w:r>
          </w:p>
        </w:tc>
        <w:tc>
          <w:tcPr>
            <w:tcW w:w="596" w:type="dxa"/>
            <w:vAlign w:val="center"/>
          </w:tcPr>
          <w:p>
            <w:pPr>
              <w:adjustRightInd w:val="0"/>
              <w:snapToGrid w:val="0"/>
              <w:jc w:val="center"/>
              <w:rPr>
                <w:color w:val="auto"/>
                <w:szCs w:val="21"/>
                <w:highlight w:val="none"/>
              </w:rPr>
            </w:pPr>
            <w:r>
              <w:rPr>
                <w:color w:val="auto"/>
                <w:szCs w:val="21"/>
                <w:highlight w:val="none"/>
              </w:rPr>
              <w:t>80</w:t>
            </w:r>
          </w:p>
        </w:tc>
        <w:tc>
          <w:tcPr>
            <w:tcW w:w="596" w:type="dxa"/>
            <w:vAlign w:val="center"/>
          </w:tcPr>
          <w:p>
            <w:pPr>
              <w:adjustRightInd w:val="0"/>
              <w:snapToGrid w:val="0"/>
              <w:jc w:val="center"/>
              <w:rPr>
                <w:color w:val="auto"/>
                <w:szCs w:val="21"/>
                <w:highlight w:val="none"/>
              </w:rPr>
            </w:pPr>
            <w:r>
              <w:rPr>
                <w:color w:val="auto"/>
                <w:szCs w:val="21"/>
                <w:highlight w:val="none"/>
              </w:rPr>
              <w:t>74</w:t>
            </w:r>
          </w:p>
        </w:tc>
        <w:tc>
          <w:tcPr>
            <w:tcW w:w="596" w:type="dxa"/>
            <w:vAlign w:val="center"/>
          </w:tcPr>
          <w:p>
            <w:pPr>
              <w:adjustRightInd w:val="0"/>
              <w:snapToGrid w:val="0"/>
              <w:jc w:val="center"/>
              <w:rPr>
                <w:color w:val="auto"/>
                <w:szCs w:val="21"/>
                <w:highlight w:val="none"/>
              </w:rPr>
            </w:pPr>
            <w:r>
              <w:rPr>
                <w:color w:val="auto"/>
                <w:szCs w:val="21"/>
                <w:highlight w:val="none"/>
              </w:rPr>
              <w:t>68</w:t>
            </w:r>
          </w:p>
        </w:tc>
        <w:tc>
          <w:tcPr>
            <w:tcW w:w="818" w:type="dxa"/>
            <w:vAlign w:val="center"/>
          </w:tcPr>
          <w:p>
            <w:pPr>
              <w:adjustRightInd w:val="0"/>
              <w:snapToGrid w:val="0"/>
              <w:jc w:val="center"/>
              <w:rPr>
                <w:color w:val="auto"/>
                <w:szCs w:val="21"/>
                <w:highlight w:val="none"/>
              </w:rPr>
            </w:pPr>
            <w:r>
              <w:rPr>
                <w:color w:val="auto"/>
                <w:szCs w:val="21"/>
                <w:highlight w:val="none"/>
              </w:rPr>
              <w:t>64.5</w:t>
            </w:r>
          </w:p>
        </w:tc>
        <w:tc>
          <w:tcPr>
            <w:tcW w:w="596" w:type="dxa"/>
            <w:vAlign w:val="center"/>
          </w:tcPr>
          <w:p>
            <w:pPr>
              <w:adjustRightInd w:val="0"/>
              <w:snapToGrid w:val="0"/>
              <w:jc w:val="center"/>
              <w:rPr>
                <w:color w:val="auto"/>
                <w:szCs w:val="21"/>
                <w:highlight w:val="none"/>
              </w:rPr>
            </w:pPr>
            <w:r>
              <w:rPr>
                <w:color w:val="auto"/>
                <w:szCs w:val="21"/>
                <w:highlight w:val="none"/>
              </w:rPr>
              <w:t>62</w:t>
            </w:r>
          </w:p>
        </w:tc>
        <w:tc>
          <w:tcPr>
            <w:tcW w:w="743" w:type="dxa"/>
            <w:vAlign w:val="center"/>
          </w:tcPr>
          <w:p>
            <w:pPr>
              <w:adjustRightInd w:val="0"/>
              <w:snapToGrid w:val="0"/>
              <w:jc w:val="center"/>
              <w:rPr>
                <w:color w:val="auto"/>
                <w:szCs w:val="21"/>
                <w:highlight w:val="none"/>
              </w:rPr>
            </w:pPr>
            <w:r>
              <w:rPr>
                <w:color w:val="auto"/>
                <w:szCs w:val="21"/>
                <w:highlight w:val="none"/>
              </w:rPr>
              <w:t>60</w:t>
            </w:r>
          </w:p>
        </w:tc>
        <w:tc>
          <w:tcPr>
            <w:tcW w:w="818" w:type="dxa"/>
            <w:vAlign w:val="center"/>
          </w:tcPr>
          <w:p>
            <w:pPr>
              <w:adjustRightInd w:val="0"/>
              <w:snapToGrid w:val="0"/>
              <w:jc w:val="center"/>
              <w:rPr>
                <w:color w:val="auto"/>
                <w:szCs w:val="21"/>
                <w:highlight w:val="none"/>
              </w:rPr>
            </w:pPr>
            <w:r>
              <w:rPr>
                <w:color w:val="auto"/>
                <w:szCs w:val="21"/>
                <w:highlight w:val="none"/>
              </w:rPr>
              <w:t>57.5</w:t>
            </w:r>
          </w:p>
        </w:tc>
        <w:tc>
          <w:tcPr>
            <w:tcW w:w="743" w:type="dxa"/>
            <w:vAlign w:val="center"/>
          </w:tcPr>
          <w:p>
            <w:pPr>
              <w:adjustRightInd w:val="0"/>
              <w:snapToGrid w:val="0"/>
              <w:jc w:val="center"/>
              <w:rPr>
                <w:color w:val="auto"/>
                <w:szCs w:val="21"/>
                <w:highlight w:val="none"/>
              </w:rPr>
            </w:pPr>
            <w:r>
              <w:rPr>
                <w:color w:val="auto"/>
                <w:szCs w:val="21"/>
                <w:highlight w:val="none"/>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2932" w:type="dxa"/>
            <w:vAlign w:val="center"/>
          </w:tcPr>
          <w:p>
            <w:pPr>
              <w:adjustRightInd w:val="0"/>
              <w:snapToGrid w:val="0"/>
              <w:jc w:val="center"/>
              <w:rPr>
                <w:color w:val="auto"/>
                <w:szCs w:val="21"/>
                <w:highlight w:val="none"/>
              </w:rPr>
            </w:pPr>
            <w:r>
              <w:rPr>
                <w:color w:val="auto"/>
                <w:szCs w:val="21"/>
                <w:highlight w:val="none"/>
              </w:rPr>
              <w:t>推土机</w:t>
            </w:r>
          </w:p>
        </w:tc>
        <w:tc>
          <w:tcPr>
            <w:tcW w:w="596" w:type="dxa"/>
            <w:vAlign w:val="center"/>
          </w:tcPr>
          <w:p>
            <w:pPr>
              <w:adjustRightInd w:val="0"/>
              <w:snapToGrid w:val="0"/>
              <w:jc w:val="center"/>
              <w:rPr>
                <w:color w:val="auto"/>
                <w:szCs w:val="21"/>
                <w:highlight w:val="none"/>
              </w:rPr>
            </w:pPr>
            <w:r>
              <w:rPr>
                <w:color w:val="auto"/>
                <w:szCs w:val="21"/>
                <w:highlight w:val="none"/>
              </w:rPr>
              <w:t>86</w:t>
            </w:r>
          </w:p>
        </w:tc>
        <w:tc>
          <w:tcPr>
            <w:tcW w:w="596" w:type="dxa"/>
            <w:vAlign w:val="center"/>
          </w:tcPr>
          <w:p>
            <w:pPr>
              <w:adjustRightInd w:val="0"/>
              <w:snapToGrid w:val="0"/>
              <w:jc w:val="center"/>
              <w:rPr>
                <w:color w:val="auto"/>
                <w:szCs w:val="21"/>
                <w:highlight w:val="none"/>
              </w:rPr>
            </w:pPr>
            <w:r>
              <w:rPr>
                <w:color w:val="auto"/>
                <w:szCs w:val="21"/>
                <w:highlight w:val="none"/>
              </w:rPr>
              <w:t>80</w:t>
            </w:r>
          </w:p>
        </w:tc>
        <w:tc>
          <w:tcPr>
            <w:tcW w:w="596" w:type="dxa"/>
            <w:vAlign w:val="center"/>
          </w:tcPr>
          <w:p>
            <w:pPr>
              <w:adjustRightInd w:val="0"/>
              <w:snapToGrid w:val="0"/>
              <w:jc w:val="center"/>
              <w:rPr>
                <w:color w:val="auto"/>
                <w:szCs w:val="21"/>
                <w:highlight w:val="none"/>
              </w:rPr>
            </w:pPr>
            <w:r>
              <w:rPr>
                <w:color w:val="auto"/>
                <w:szCs w:val="21"/>
                <w:highlight w:val="none"/>
              </w:rPr>
              <w:t>74</w:t>
            </w:r>
          </w:p>
        </w:tc>
        <w:tc>
          <w:tcPr>
            <w:tcW w:w="596" w:type="dxa"/>
            <w:vAlign w:val="center"/>
          </w:tcPr>
          <w:p>
            <w:pPr>
              <w:adjustRightInd w:val="0"/>
              <w:snapToGrid w:val="0"/>
              <w:jc w:val="center"/>
              <w:rPr>
                <w:color w:val="auto"/>
                <w:szCs w:val="21"/>
                <w:highlight w:val="none"/>
              </w:rPr>
            </w:pPr>
            <w:r>
              <w:rPr>
                <w:color w:val="auto"/>
                <w:szCs w:val="21"/>
                <w:highlight w:val="none"/>
              </w:rPr>
              <w:t>68</w:t>
            </w:r>
          </w:p>
        </w:tc>
        <w:tc>
          <w:tcPr>
            <w:tcW w:w="818" w:type="dxa"/>
            <w:vAlign w:val="center"/>
          </w:tcPr>
          <w:p>
            <w:pPr>
              <w:adjustRightInd w:val="0"/>
              <w:snapToGrid w:val="0"/>
              <w:jc w:val="center"/>
              <w:rPr>
                <w:color w:val="auto"/>
                <w:szCs w:val="21"/>
                <w:highlight w:val="none"/>
              </w:rPr>
            </w:pPr>
            <w:r>
              <w:rPr>
                <w:color w:val="auto"/>
                <w:szCs w:val="21"/>
                <w:highlight w:val="none"/>
              </w:rPr>
              <w:t>64.5</w:t>
            </w:r>
          </w:p>
        </w:tc>
        <w:tc>
          <w:tcPr>
            <w:tcW w:w="596" w:type="dxa"/>
            <w:vAlign w:val="center"/>
          </w:tcPr>
          <w:p>
            <w:pPr>
              <w:adjustRightInd w:val="0"/>
              <w:snapToGrid w:val="0"/>
              <w:jc w:val="center"/>
              <w:rPr>
                <w:color w:val="auto"/>
                <w:szCs w:val="21"/>
                <w:highlight w:val="none"/>
              </w:rPr>
            </w:pPr>
            <w:r>
              <w:rPr>
                <w:color w:val="auto"/>
                <w:szCs w:val="21"/>
                <w:highlight w:val="none"/>
              </w:rPr>
              <w:t>62</w:t>
            </w:r>
          </w:p>
        </w:tc>
        <w:tc>
          <w:tcPr>
            <w:tcW w:w="743" w:type="dxa"/>
            <w:vAlign w:val="center"/>
          </w:tcPr>
          <w:p>
            <w:pPr>
              <w:adjustRightInd w:val="0"/>
              <w:snapToGrid w:val="0"/>
              <w:jc w:val="center"/>
              <w:rPr>
                <w:color w:val="auto"/>
                <w:szCs w:val="21"/>
                <w:highlight w:val="none"/>
              </w:rPr>
            </w:pPr>
            <w:r>
              <w:rPr>
                <w:color w:val="auto"/>
                <w:szCs w:val="21"/>
                <w:highlight w:val="none"/>
              </w:rPr>
              <w:t>60</w:t>
            </w:r>
          </w:p>
        </w:tc>
        <w:tc>
          <w:tcPr>
            <w:tcW w:w="818" w:type="dxa"/>
            <w:vAlign w:val="center"/>
          </w:tcPr>
          <w:p>
            <w:pPr>
              <w:adjustRightInd w:val="0"/>
              <w:snapToGrid w:val="0"/>
              <w:jc w:val="center"/>
              <w:rPr>
                <w:color w:val="auto"/>
                <w:szCs w:val="21"/>
                <w:highlight w:val="none"/>
              </w:rPr>
            </w:pPr>
            <w:r>
              <w:rPr>
                <w:color w:val="auto"/>
                <w:szCs w:val="21"/>
                <w:highlight w:val="none"/>
              </w:rPr>
              <w:t>56.5</w:t>
            </w:r>
          </w:p>
        </w:tc>
        <w:tc>
          <w:tcPr>
            <w:tcW w:w="743" w:type="dxa"/>
            <w:vAlign w:val="center"/>
          </w:tcPr>
          <w:p>
            <w:pPr>
              <w:adjustRightInd w:val="0"/>
              <w:snapToGrid w:val="0"/>
              <w:jc w:val="center"/>
              <w:rPr>
                <w:color w:val="auto"/>
                <w:szCs w:val="21"/>
                <w:highlight w:val="none"/>
              </w:rPr>
            </w:pPr>
            <w:r>
              <w:rPr>
                <w:color w:val="auto"/>
                <w:szCs w:val="21"/>
                <w:highlight w:val="none"/>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2932" w:type="dxa"/>
            <w:vAlign w:val="center"/>
          </w:tcPr>
          <w:p>
            <w:pPr>
              <w:adjustRightInd w:val="0"/>
              <w:snapToGrid w:val="0"/>
              <w:jc w:val="center"/>
              <w:rPr>
                <w:color w:val="auto"/>
                <w:szCs w:val="21"/>
                <w:highlight w:val="none"/>
              </w:rPr>
            </w:pPr>
            <w:r>
              <w:rPr>
                <w:color w:val="auto"/>
                <w:szCs w:val="21"/>
                <w:highlight w:val="none"/>
              </w:rPr>
              <w:t>平地机</w:t>
            </w:r>
          </w:p>
        </w:tc>
        <w:tc>
          <w:tcPr>
            <w:tcW w:w="596" w:type="dxa"/>
            <w:vAlign w:val="center"/>
          </w:tcPr>
          <w:p>
            <w:pPr>
              <w:adjustRightInd w:val="0"/>
              <w:snapToGrid w:val="0"/>
              <w:jc w:val="center"/>
              <w:rPr>
                <w:color w:val="auto"/>
                <w:szCs w:val="21"/>
                <w:highlight w:val="none"/>
              </w:rPr>
            </w:pPr>
            <w:r>
              <w:rPr>
                <w:color w:val="auto"/>
                <w:szCs w:val="21"/>
                <w:highlight w:val="none"/>
              </w:rPr>
              <w:t>90</w:t>
            </w:r>
          </w:p>
        </w:tc>
        <w:tc>
          <w:tcPr>
            <w:tcW w:w="596" w:type="dxa"/>
            <w:vAlign w:val="center"/>
          </w:tcPr>
          <w:p>
            <w:pPr>
              <w:adjustRightInd w:val="0"/>
              <w:snapToGrid w:val="0"/>
              <w:jc w:val="center"/>
              <w:rPr>
                <w:color w:val="auto"/>
                <w:szCs w:val="21"/>
                <w:highlight w:val="none"/>
              </w:rPr>
            </w:pPr>
            <w:r>
              <w:rPr>
                <w:color w:val="auto"/>
                <w:szCs w:val="21"/>
                <w:highlight w:val="none"/>
              </w:rPr>
              <w:t>84</w:t>
            </w:r>
          </w:p>
        </w:tc>
        <w:tc>
          <w:tcPr>
            <w:tcW w:w="596" w:type="dxa"/>
            <w:vAlign w:val="center"/>
          </w:tcPr>
          <w:p>
            <w:pPr>
              <w:adjustRightInd w:val="0"/>
              <w:snapToGrid w:val="0"/>
              <w:jc w:val="center"/>
              <w:rPr>
                <w:color w:val="auto"/>
                <w:szCs w:val="21"/>
                <w:highlight w:val="none"/>
              </w:rPr>
            </w:pPr>
            <w:r>
              <w:rPr>
                <w:color w:val="auto"/>
                <w:szCs w:val="21"/>
                <w:highlight w:val="none"/>
              </w:rPr>
              <w:t>78</w:t>
            </w:r>
          </w:p>
        </w:tc>
        <w:tc>
          <w:tcPr>
            <w:tcW w:w="596" w:type="dxa"/>
            <w:vAlign w:val="center"/>
          </w:tcPr>
          <w:p>
            <w:pPr>
              <w:adjustRightInd w:val="0"/>
              <w:snapToGrid w:val="0"/>
              <w:jc w:val="center"/>
              <w:rPr>
                <w:color w:val="auto"/>
                <w:szCs w:val="21"/>
                <w:highlight w:val="none"/>
              </w:rPr>
            </w:pPr>
            <w:r>
              <w:rPr>
                <w:color w:val="auto"/>
                <w:szCs w:val="21"/>
                <w:highlight w:val="none"/>
              </w:rPr>
              <w:t>72</w:t>
            </w:r>
          </w:p>
        </w:tc>
        <w:tc>
          <w:tcPr>
            <w:tcW w:w="818" w:type="dxa"/>
            <w:vAlign w:val="center"/>
          </w:tcPr>
          <w:p>
            <w:pPr>
              <w:adjustRightInd w:val="0"/>
              <w:snapToGrid w:val="0"/>
              <w:jc w:val="center"/>
              <w:rPr>
                <w:color w:val="auto"/>
                <w:szCs w:val="21"/>
                <w:highlight w:val="none"/>
              </w:rPr>
            </w:pPr>
            <w:r>
              <w:rPr>
                <w:color w:val="auto"/>
                <w:szCs w:val="21"/>
                <w:highlight w:val="none"/>
              </w:rPr>
              <w:t>68.5</w:t>
            </w:r>
          </w:p>
        </w:tc>
        <w:tc>
          <w:tcPr>
            <w:tcW w:w="596" w:type="dxa"/>
            <w:vAlign w:val="center"/>
          </w:tcPr>
          <w:p>
            <w:pPr>
              <w:adjustRightInd w:val="0"/>
              <w:snapToGrid w:val="0"/>
              <w:jc w:val="center"/>
              <w:rPr>
                <w:color w:val="auto"/>
                <w:szCs w:val="21"/>
                <w:highlight w:val="none"/>
              </w:rPr>
            </w:pPr>
            <w:r>
              <w:rPr>
                <w:color w:val="auto"/>
                <w:szCs w:val="21"/>
                <w:highlight w:val="none"/>
              </w:rPr>
              <w:t>66</w:t>
            </w:r>
          </w:p>
        </w:tc>
        <w:tc>
          <w:tcPr>
            <w:tcW w:w="743" w:type="dxa"/>
            <w:vAlign w:val="center"/>
          </w:tcPr>
          <w:p>
            <w:pPr>
              <w:adjustRightInd w:val="0"/>
              <w:snapToGrid w:val="0"/>
              <w:jc w:val="center"/>
              <w:rPr>
                <w:color w:val="auto"/>
                <w:szCs w:val="21"/>
                <w:highlight w:val="none"/>
              </w:rPr>
            </w:pPr>
            <w:r>
              <w:rPr>
                <w:color w:val="auto"/>
                <w:szCs w:val="21"/>
                <w:highlight w:val="none"/>
              </w:rPr>
              <w:t>64</w:t>
            </w:r>
          </w:p>
        </w:tc>
        <w:tc>
          <w:tcPr>
            <w:tcW w:w="818" w:type="dxa"/>
            <w:vAlign w:val="center"/>
          </w:tcPr>
          <w:p>
            <w:pPr>
              <w:adjustRightInd w:val="0"/>
              <w:snapToGrid w:val="0"/>
              <w:jc w:val="center"/>
              <w:rPr>
                <w:color w:val="auto"/>
                <w:szCs w:val="21"/>
                <w:highlight w:val="none"/>
              </w:rPr>
            </w:pPr>
            <w:r>
              <w:rPr>
                <w:color w:val="auto"/>
                <w:szCs w:val="21"/>
                <w:highlight w:val="none"/>
              </w:rPr>
              <w:t>60.5</w:t>
            </w:r>
          </w:p>
        </w:tc>
        <w:tc>
          <w:tcPr>
            <w:tcW w:w="743" w:type="dxa"/>
            <w:vAlign w:val="center"/>
          </w:tcPr>
          <w:p>
            <w:pPr>
              <w:adjustRightInd w:val="0"/>
              <w:snapToGrid w:val="0"/>
              <w:jc w:val="center"/>
              <w:rPr>
                <w:color w:val="auto"/>
                <w:szCs w:val="21"/>
                <w:highlight w:val="none"/>
              </w:rPr>
            </w:pPr>
            <w:r>
              <w:rPr>
                <w:color w:val="auto"/>
                <w:szCs w:val="21"/>
                <w:highlight w:val="none"/>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2932" w:type="dxa"/>
            <w:vAlign w:val="center"/>
          </w:tcPr>
          <w:p>
            <w:pPr>
              <w:adjustRightInd w:val="0"/>
              <w:snapToGrid w:val="0"/>
              <w:jc w:val="center"/>
              <w:rPr>
                <w:color w:val="auto"/>
                <w:szCs w:val="21"/>
                <w:highlight w:val="none"/>
              </w:rPr>
            </w:pPr>
            <w:r>
              <w:rPr>
                <w:color w:val="auto"/>
                <w:szCs w:val="21"/>
                <w:highlight w:val="none"/>
              </w:rPr>
              <w:t>挖掘机</w:t>
            </w:r>
          </w:p>
        </w:tc>
        <w:tc>
          <w:tcPr>
            <w:tcW w:w="596" w:type="dxa"/>
            <w:vAlign w:val="center"/>
          </w:tcPr>
          <w:p>
            <w:pPr>
              <w:adjustRightInd w:val="0"/>
              <w:snapToGrid w:val="0"/>
              <w:jc w:val="center"/>
              <w:rPr>
                <w:color w:val="auto"/>
                <w:szCs w:val="21"/>
                <w:highlight w:val="none"/>
              </w:rPr>
            </w:pPr>
            <w:r>
              <w:rPr>
                <w:color w:val="auto"/>
                <w:szCs w:val="21"/>
                <w:highlight w:val="none"/>
              </w:rPr>
              <w:t>84</w:t>
            </w:r>
          </w:p>
        </w:tc>
        <w:tc>
          <w:tcPr>
            <w:tcW w:w="596" w:type="dxa"/>
            <w:vAlign w:val="center"/>
          </w:tcPr>
          <w:p>
            <w:pPr>
              <w:adjustRightInd w:val="0"/>
              <w:snapToGrid w:val="0"/>
              <w:jc w:val="center"/>
              <w:rPr>
                <w:color w:val="auto"/>
                <w:szCs w:val="21"/>
                <w:highlight w:val="none"/>
              </w:rPr>
            </w:pPr>
            <w:r>
              <w:rPr>
                <w:color w:val="auto"/>
                <w:szCs w:val="21"/>
                <w:highlight w:val="none"/>
              </w:rPr>
              <w:t>78</w:t>
            </w:r>
          </w:p>
        </w:tc>
        <w:tc>
          <w:tcPr>
            <w:tcW w:w="596" w:type="dxa"/>
            <w:vAlign w:val="center"/>
          </w:tcPr>
          <w:p>
            <w:pPr>
              <w:adjustRightInd w:val="0"/>
              <w:snapToGrid w:val="0"/>
              <w:jc w:val="center"/>
              <w:rPr>
                <w:color w:val="auto"/>
                <w:szCs w:val="21"/>
                <w:highlight w:val="none"/>
              </w:rPr>
            </w:pPr>
            <w:r>
              <w:rPr>
                <w:color w:val="auto"/>
                <w:szCs w:val="21"/>
                <w:highlight w:val="none"/>
              </w:rPr>
              <w:t>72</w:t>
            </w:r>
          </w:p>
        </w:tc>
        <w:tc>
          <w:tcPr>
            <w:tcW w:w="596" w:type="dxa"/>
            <w:vAlign w:val="center"/>
          </w:tcPr>
          <w:p>
            <w:pPr>
              <w:adjustRightInd w:val="0"/>
              <w:snapToGrid w:val="0"/>
              <w:jc w:val="center"/>
              <w:rPr>
                <w:color w:val="auto"/>
                <w:szCs w:val="21"/>
                <w:highlight w:val="none"/>
              </w:rPr>
            </w:pPr>
            <w:r>
              <w:rPr>
                <w:color w:val="auto"/>
                <w:szCs w:val="21"/>
                <w:highlight w:val="none"/>
              </w:rPr>
              <w:t>66</w:t>
            </w:r>
          </w:p>
        </w:tc>
        <w:tc>
          <w:tcPr>
            <w:tcW w:w="818" w:type="dxa"/>
            <w:vAlign w:val="center"/>
          </w:tcPr>
          <w:p>
            <w:pPr>
              <w:adjustRightInd w:val="0"/>
              <w:snapToGrid w:val="0"/>
              <w:jc w:val="center"/>
              <w:rPr>
                <w:color w:val="auto"/>
                <w:szCs w:val="21"/>
                <w:highlight w:val="none"/>
              </w:rPr>
            </w:pPr>
            <w:r>
              <w:rPr>
                <w:color w:val="auto"/>
                <w:szCs w:val="21"/>
                <w:highlight w:val="none"/>
              </w:rPr>
              <w:t>62.5</w:t>
            </w:r>
          </w:p>
        </w:tc>
        <w:tc>
          <w:tcPr>
            <w:tcW w:w="596" w:type="dxa"/>
            <w:vAlign w:val="center"/>
          </w:tcPr>
          <w:p>
            <w:pPr>
              <w:adjustRightInd w:val="0"/>
              <w:snapToGrid w:val="0"/>
              <w:jc w:val="center"/>
              <w:rPr>
                <w:color w:val="auto"/>
                <w:szCs w:val="21"/>
                <w:highlight w:val="none"/>
              </w:rPr>
            </w:pPr>
            <w:r>
              <w:rPr>
                <w:color w:val="auto"/>
                <w:szCs w:val="21"/>
                <w:highlight w:val="none"/>
              </w:rPr>
              <w:t>60</w:t>
            </w:r>
          </w:p>
        </w:tc>
        <w:tc>
          <w:tcPr>
            <w:tcW w:w="743" w:type="dxa"/>
            <w:vAlign w:val="center"/>
          </w:tcPr>
          <w:p>
            <w:pPr>
              <w:adjustRightInd w:val="0"/>
              <w:snapToGrid w:val="0"/>
              <w:jc w:val="center"/>
              <w:rPr>
                <w:color w:val="auto"/>
                <w:szCs w:val="21"/>
                <w:highlight w:val="none"/>
              </w:rPr>
            </w:pPr>
            <w:r>
              <w:rPr>
                <w:color w:val="auto"/>
                <w:szCs w:val="21"/>
                <w:highlight w:val="none"/>
              </w:rPr>
              <w:t>58</w:t>
            </w:r>
          </w:p>
        </w:tc>
        <w:tc>
          <w:tcPr>
            <w:tcW w:w="818" w:type="dxa"/>
            <w:vAlign w:val="center"/>
          </w:tcPr>
          <w:p>
            <w:pPr>
              <w:adjustRightInd w:val="0"/>
              <w:snapToGrid w:val="0"/>
              <w:jc w:val="center"/>
              <w:rPr>
                <w:color w:val="auto"/>
                <w:szCs w:val="21"/>
                <w:highlight w:val="none"/>
              </w:rPr>
            </w:pPr>
            <w:r>
              <w:rPr>
                <w:color w:val="auto"/>
                <w:szCs w:val="21"/>
                <w:highlight w:val="none"/>
              </w:rPr>
              <w:t>54.5</w:t>
            </w:r>
          </w:p>
        </w:tc>
        <w:tc>
          <w:tcPr>
            <w:tcW w:w="743" w:type="dxa"/>
            <w:vAlign w:val="center"/>
          </w:tcPr>
          <w:p>
            <w:pPr>
              <w:adjustRightInd w:val="0"/>
              <w:snapToGrid w:val="0"/>
              <w:jc w:val="center"/>
              <w:rPr>
                <w:color w:val="auto"/>
                <w:szCs w:val="21"/>
                <w:highlight w:val="none"/>
              </w:rPr>
            </w:pPr>
            <w:r>
              <w:rPr>
                <w:color w:val="auto"/>
                <w:szCs w:val="21"/>
                <w:highlight w:val="none"/>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2932" w:type="dxa"/>
            <w:vAlign w:val="center"/>
          </w:tcPr>
          <w:p>
            <w:pPr>
              <w:adjustRightInd w:val="0"/>
              <w:snapToGrid w:val="0"/>
              <w:jc w:val="center"/>
              <w:rPr>
                <w:color w:val="auto"/>
                <w:szCs w:val="21"/>
                <w:highlight w:val="none"/>
              </w:rPr>
            </w:pPr>
            <w:r>
              <w:rPr>
                <w:color w:val="auto"/>
                <w:szCs w:val="21"/>
                <w:highlight w:val="none"/>
              </w:rPr>
              <w:t>摊铺机</w:t>
            </w:r>
          </w:p>
        </w:tc>
        <w:tc>
          <w:tcPr>
            <w:tcW w:w="596" w:type="dxa"/>
            <w:vAlign w:val="center"/>
          </w:tcPr>
          <w:p>
            <w:pPr>
              <w:adjustRightInd w:val="0"/>
              <w:snapToGrid w:val="0"/>
              <w:jc w:val="center"/>
              <w:rPr>
                <w:color w:val="auto"/>
                <w:szCs w:val="21"/>
                <w:highlight w:val="none"/>
              </w:rPr>
            </w:pPr>
            <w:r>
              <w:rPr>
                <w:color w:val="auto"/>
                <w:szCs w:val="21"/>
                <w:highlight w:val="none"/>
              </w:rPr>
              <w:t>87</w:t>
            </w:r>
          </w:p>
        </w:tc>
        <w:tc>
          <w:tcPr>
            <w:tcW w:w="596" w:type="dxa"/>
            <w:vAlign w:val="center"/>
          </w:tcPr>
          <w:p>
            <w:pPr>
              <w:adjustRightInd w:val="0"/>
              <w:snapToGrid w:val="0"/>
              <w:jc w:val="center"/>
              <w:rPr>
                <w:color w:val="auto"/>
                <w:szCs w:val="21"/>
                <w:highlight w:val="none"/>
              </w:rPr>
            </w:pPr>
            <w:r>
              <w:rPr>
                <w:color w:val="auto"/>
                <w:szCs w:val="21"/>
                <w:highlight w:val="none"/>
              </w:rPr>
              <w:t>81</w:t>
            </w:r>
          </w:p>
        </w:tc>
        <w:tc>
          <w:tcPr>
            <w:tcW w:w="596" w:type="dxa"/>
            <w:vAlign w:val="center"/>
          </w:tcPr>
          <w:p>
            <w:pPr>
              <w:adjustRightInd w:val="0"/>
              <w:snapToGrid w:val="0"/>
              <w:jc w:val="center"/>
              <w:rPr>
                <w:color w:val="auto"/>
                <w:szCs w:val="21"/>
                <w:highlight w:val="none"/>
              </w:rPr>
            </w:pPr>
            <w:r>
              <w:rPr>
                <w:color w:val="auto"/>
                <w:szCs w:val="21"/>
                <w:highlight w:val="none"/>
              </w:rPr>
              <w:t>75</w:t>
            </w:r>
          </w:p>
        </w:tc>
        <w:tc>
          <w:tcPr>
            <w:tcW w:w="596" w:type="dxa"/>
            <w:vAlign w:val="center"/>
          </w:tcPr>
          <w:p>
            <w:pPr>
              <w:adjustRightInd w:val="0"/>
              <w:snapToGrid w:val="0"/>
              <w:jc w:val="center"/>
              <w:rPr>
                <w:color w:val="auto"/>
                <w:szCs w:val="21"/>
                <w:highlight w:val="none"/>
              </w:rPr>
            </w:pPr>
            <w:r>
              <w:rPr>
                <w:color w:val="auto"/>
                <w:szCs w:val="21"/>
                <w:highlight w:val="none"/>
              </w:rPr>
              <w:t>69</w:t>
            </w:r>
          </w:p>
        </w:tc>
        <w:tc>
          <w:tcPr>
            <w:tcW w:w="818" w:type="dxa"/>
            <w:vAlign w:val="center"/>
          </w:tcPr>
          <w:p>
            <w:pPr>
              <w:adjustRightInd w:val="0"/>
              <w:snapToGrid w:val="0"/>
              <w:jc w:val="center"/>
              <w:rPr>
                <w:color w:val="auto"/>
                <w:szCs w:val="21"/>
                <w:highlight w:val="none"/>
              </w:rPr>
            </w:pPr>
            <w:r>
              <w:rPr>
                <w:color w:val="auto"/>
                <w:szCs w:val="21"/>
                <w:highlight w:val="none"/>
              </w:rPr>
              <w:t>65.5</w:t>
            </w:r>
          </w:p>
        </w:tc>
        <w:tc>
          <w:tcPr>
            <w:tcW w:w="596" w:type="dxa"/>
            <w:vAlign w:val="center"/>
          </w:tcPr>
          <w:p>
            <w:pPr>
              <w:adjustRightInd w:val="0"/>
              <w:snapToGrid w:val="0"/>
              <w:jc w:val="center"/>
              <w:rPr>
                <w:color w:val="auto"/>
                <w:szCs w:val="21"/>
                <w:highlight w:val="none"/>
              </w:rPr>
            </w:pPr>
            <w:r>
              <w:rPr>
                <w:color w:val="auto"/>
                <w:szCs w:val="21"/>
                <w:highlight w:val="none"/>
              </w:rPr>
              <w:t>63</w:t>
            </w:r>
          </w:p>
        </w:tc>
        <w:tc>
          <w:tcPr>
            <w:tcW w:w="743" w:type="dxa"/>
            <w:vAlign w:val="center"/>
          </w:tcPr>
          <w:p>
            <w:pPr>
              <w:adjustRightInd w:val="0"/>
              <w:snapToGrid w:val="0"/>
              <w:jc w:val="center"/>
              <w:rPr>
                <w:color w:val="auto"/>
                <w:szCs w:val="21"/>
                <w:highlight w:val="none"/>
              </w:rPr>
            </w:pPr>
            <w:r>
              <w:rPr>
                <w:color w:val="auto"/>
                <w:szCs w:val="21"/>
                <w:highlight w:val="none"/>
              </w:rPr>
              <w:t>61</w:t>
            </w:r>
          </w:p>
        </w:tc>
        <w:tc>
          <w:tcPr>
            <w:tcW w:w="818" w:type="dxa"/>
            <w:vAlign w:val="center"/>
          </w:tcPr>
          <w:p>
            <w:pPr>
              <w:adjustRightInd w:val="0"/>
              <w:snapToGrid w:val="0"/>
              <w:jc w:val="center"/>
              <w:rPr>
                <w:color w:val="auto"/>
                <w:szCs w:val="21"/>
                <w:highlight w:val="none"/>
              </w:rPr>
            </w:pPr>
            <w:r>
              <w:rPr>
                <w:color w:val="auto"/>
                <w:szCs w:val="21"/>
                <w:highlight w:val="none"/>
              </w:rPr>
              <w:t>57.5</w:t>
            </w:r>
          </w:p>
        </w:tc>
        <w:tc>
          <w:tcPr>
            <w:tcW w:w="743" w:type="dxa"/>
            <w:vAlign w:val="center"/>
          </w:tcPr>
          <w:p>
            <w:pPr>
              <w:adjustRightInd w:val="0"/>
              <w:snapToGrid w:val="0"/>
              <w:jc w:val="center"/>
              <w:rPr>
                <w:color w:val="auto"/>
                <w:szCs w:val="21"/>
                <w:highlight w:val="none"/>
              </w:rPr>
            </w:pPr>
            <w:r>
              <w:rPr>
                <w:color w:val="auto"/>
                <w:szCs w:val="21"/>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2932" w:type="dxa"/>
            <w:vAlign w:val="center"/>
          </w:tcPr>
          <w:p>
            <w:pPr>
              <w:adjustRightInd w:val="0"/>
              <w:snapToGrid w:val="0"/>
              <w:jc w:val="center"/>
              <w:rPr>
                <w:color w:val="auto"/>
                <w:szCs w:val="21"/>
                <w:highlight w:val="none"/>
              </w:rPr>
            </w:pPr>
            <w:r>
              <w:rPr>
                <w:color w:val="auto"/>
                <w:szCs w:val="21"/>
                <w:highlight w:val="none"/>
              </w:rPr>
              <w:t>旋挖钻井机</w:t>
            </w:r>
          </w:p>
        </w:tc>
        <w:tc>
          <w:tcPr>
            <w:tcW w:w="596" w:type="dxa"/>
            <w:vAlign w:val="center"/>
          </w:tcPr>
          <w:p>
            <w:pPr>
              <w:adjustRightInd w:val="0"/>
              <w:snapToGrid w:val="0"/>
              <w:jc w:val="center"/>
              <w:rPr>
                <w:color w:val="auto"/>
                <w:szCs w:val="21"/>
                <w:highlight w:val="none"/>
              </w:rPr>
            </w:pPr>
            <w:r>
              <w:rPr>
                <w:color w:val="auto"/>
                <w:szCs w:val="21"/>
                <w:highlight w:val="none"/>
              </w:rPr>
              <w:t>80</w:t>
            </w:r>
          </w:p>
        </w:tc>
        <w:tc>
          <w:tcPr>
            <w:tcW w:w="596" w:type="dxa"/>
            <w:vAlign w:val="center"/>
          </w:tcPr>
          <w:p>
            <w:pPr>
              <w:adjustRightInd w:val="0"/>
              <w:snapToGrid w:val="0"/>
              <w:jc w:val="center"/>
              <w:rPr>
                <w:color w:val="auto"/>
                <w:szCs w:val="21"/>
                <w:highlight w:val="none"/>
              </w:rPr>
            </w:pPr>
            <w:r>
              <w:rPr>
                <w:color w:val="auto"/>
                <w:szCs w:val="21"/>
                <w:highlight w:val="none"/>
              </w:rPr>
              <w:t>74</w:t>
            </w:r>
          </w:p>
        </w:tc>
        <w:tc>
          <w:tcPr>
            <w:tcW w:w="596" w:type="dxa"/>
            <w:vAlign w:val="center"/>
          </w:tcPr>
          <w:p>
            <w:pPr>
              <w:adjustRightInd w:val="0"/>
              <w:snapToGrid w:val="0"/>
              <w:jc w:val="center"/>
              <w:rPr>
                <w:color w:val="auto"/>
                <w:szCs w:val="21"/>
                <w:highlight w:val="none"/>
              </w:rPr>
            </w:pPr>
            <w:r>
              <w:rPr>
                <w:color w:val="auto"/>
                <w:szCs w:val="21"/>
                <w:highlight w:val="none"/>
              </w:rPr>
              <w:t>68</w:t>
            </w:r>
          </w:p>
        </w:tc>
        <w:tc>
          <w:tcPr>
            <w:tcW w:w="596" w:type="dxa"/>
            <w:vAlign w:val="center"/>
          </w:tcPr>
          <w:p>
            <w:pPr>
              <w:adjustRightInd w:val="0"/>
              <w:snapToGrid w:val="0"/>
              <w:jc w:val="center"/>
              <w:rPr>
                <w:color w:val="auto"/>
                <w:szCs w:val="21"/>
                <w:highlight w:val="none"/>
              </w:rPr>
            </w:pPr>
            <w:r>
              <w:rPr>
                <w:color w:val="auto"/>
                <w:szCs w:val="21"/>
                <w:highlight w:val="none"/>
              </w:rPr>
              <w:t>62</w:t>
            </w:r>
          </w:p>
        </w:tc>
        <w:tc>
          <w:tcPr>
            <w:tcW w:w="818" w:type="dxa"/>
            <w:vAlign w:val="center"/>
          </w:tcPr>
          <w:p>
            <w:pPr>
              <w:adjustRightInd w:val="0"/>
              <w:snapToGrid w:val="0"/>
              <w:jc w:val="center"/>
              <w:rPr>
                <w:color w:val="auto"/>
                <w:szCs w:val="21"/>
                <w:highlight w:val="none"/>
              </w:rPr>
            </w:pPr>
            <w:r>
              <w:rPr>
                <w:color w:val="auto"/>
                <w:szCs w:val="21"/>
                <w:highlight w:val="none"/>
              </w:rPr>
              <w:t>58.5</w:t>
            </w:r>
          </w:p>
        </w:tc>
        <w:tc>
          <w:tcPr>
            <w:tcW w:w="596" w:type="dxa"/>
            <w:vAlign w:val="center"/>
          </w:tcPr>
          <w:p>
            <w:pPr>
              <w:adjustRightInd w:val="0"/>
              <w:snapToGrid w:val="0"/>
              <w:jc w:val="center"/>
              <w:rPr>
                <w:color w:val="auto"/>
                <w:szCs w:val="21"/>
                <w:highlight w:val="none"/>
              </w:rPr>
            </w:pPr>
            <w:r>
              <w:rPr>
                <w:color w:val="auto"/>
                <w:szCs w:val="21"/>
                <w:highlight w:val="none"/>
              </w:rPr>
              <w:t>56</w:t>
            </w:r>
          </w:p>
        </w:tc>
        <w:tc>
          <w:tcPr>
            <w:tcW w:w="743" w:type="dxa"/>
            <w:vAlign w:val="center"/>
          </w:tcPr>
          <w:p>
            <w:pPr>
              <w:adjustRightInd w:val="0"/>
              <w:snapToGrid w:val="0"/>
              <w:jc w:val="center"/>
              <w:rPr>
                <w:color w:val="auto"/>
                <w:szCs w:val="21"/>
                <w:highlight w:val="none"/>
              </w:rPr>
            </w:pPr>
            <w:r>
              <w:rPr>
                <w:color w:val="auto"/>
                <w:szCs w:val="21"/>
                <w:highlight w:val="none"/>
              </w:rPr>
              <w:t>55</w:t>
            </w:r>
          </w:p>
        </w:tc>
        <w:tc>
          <w:tcPr>
            <w:tcW w:w="818" w:type="dxa"/>
            <w:vAlign w:val="center"/>
          </w:tcPr>
          <w:p>
            <w:pPr>
              <w:adjustRightInd w:val="0"/>
              <w:snapToGrid w:val="0"/>
              <w:jc w:val="center"/>
              <w:rPr>
                <w:color w:val="auto"/>
                <w:szCs w:val="21"/>
                <w:highlight w:val="none"/>
              </w:rPr>
            </w:pPr>
            <w:r>
              <w:rPr>
                <w:color w:val="auto"/>
                <w:szCs w:val="21"/>
                <w:highlight w:val="none"/>
              </w:rPr>
              <w:t>50.5</w:t>
            </w:r>
          </w:p>
        </w:tc>
        <w:tc>
          <w:tcPr>
            <w:tcW w:w="743" w:type="dxa"/>
            <w:vAlign w:val="center"/>
          </w:tcPr>
          <w:p>
            <w:pPr>
              <w:adjustRightInd w:val="0"/>
              <w:snapToGrid w:val="0"/>
              <w:jc w:val="center"/>
              <w:rPr>
                <w:color w:val="auto"/>
                <w:szCs w:val="21"/>
                <w:highlight w:val="none"/>
              </w:rPr>
            </w:pPr>
            <w:r>
              <w:rPr>
                <w:color w:val="auto"/>
                <w:szCs w:val="21"/>
                <w:highlight w:val="none"/>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2932" w:type="dxa"/>
            <w:vAlign w:val="center"/>
          </w:tcPr>
          <w:p>
            <w:pPr>
              <w:adjustRightInd w:val="0"/>
              <w:snapToGrid w:val="0"/>
              <w:jc w:val="center"/>
              <w:rPr>
                <w:color w:val="auto"/>
                <w:szCs w:val="21"/>
                <w:highlight w:val="none"/>
              </w:rPr>
            </w:pPr>
            <w:r>
              <w:rPr>
                <w:color w:val="auto"/>
                <w:szCs w:val="21"/>
                <w:highlight w:val="none"/>
              </w:rPr>
              <w:t>轮胎式液压挖掘机</w:t>
            </w:r>
          </w:p>
        </w:tc>
        <w:tc>
          <w:tcPr>
            <w:tcW w:w="596" w:type="dxa"/>
            <w:vAlign w:val="center"/>
          </w:tcPr>
          <w:p>
            <w:pPr>
              <w:adjustRightInd w:val="0"/>
              <w:snapToGrid w:val="0"/>
              <w:jc w:val="center"/>
              <w:rPr>
                <w:color w:val="auto"/>
                <w:szCs w:val="21"/>
                <w:highlight w:val="none"/>
              </w:rPr>
            </w:pPr>
            <w:r>
              <w:rPr>
                <w:color w:val="auto"/>
                <w:szCs w:val="21"/>
                <w:highlight w:val="none"/>
              </w:rPr>
              <w:t>80</w:t>
            </w:r>
          </w:p>
        </w:tc>
        <w:tc>
          <w:tcPr>
            <w:tcW w:w="596" w:type="dxa"/>
            <w:vAlign w:val="center"/>
          </w:tcPr>
          <w:p>
            <w:pPr>
              <w:adjustRightInd w:val="0"/>
              <w:snapToGrid w:val="0"/>
              <w:jc w:val="center"/>
              <w:rPr>
                <w:color w:val="auto"/>
                <w:szCs w:val="21"/>
                <w:highlight w:val="none"/>
              </w:rPr>
            </w:pPr>
            <w:r>
              <w:rPr>
                <w:color w:val="auto"/>
                <w:szCs w:val="21"/>
                <w:highlight w:val="none"/>
              </w:rPr>
              <w:t>74</w:t>
            </w:r>
          </w:p>
        </w:tc>
        <w:tc>
          <w:tcPr>
            <w:tcW w:w="596" w:type="dxa"/>
            <w:vAlign w:val="center"/>
          </w:tcPr>
          <w:p>
            <w:pPr>
              <w:adjustRightInd w:val="0"/>
              <w:snapToGrid w:val="0"/>
              <w:jc w:val="center"/>
              <w:rPr>
                <w:color w:val="auto"/>
                <w:szCs w:val="21"/>
                <w:highlight w:val="none"/>
              </w:rPr>
            </w:pPr>
            <w:r>
              <w:rPr>
                <w:color w:val="auto"/>
                <w:szCs w:val="21"/>
                <w:highlight w:val="none"/>
              </w:rPr>
              <w:t>68</w:t>
            </w:r>
          </w:p>
        </w:tc>
        <w:tc>
          <w:tcPr>
            <w:tcW w:w="596" w:type="dxa"/>
            <w:vAlign w:val="center"/>
          </w:tcPr>
          <w:p>
            <w:pPr>
              <w:adjustRightInd w:val="0"/>
              <w:snapToGrid w:val="0"/>
              <w:jc w:val="center"/>
              <w:rPr>
                <w:color w:val="auto"/>
                <w:szCs w:val="21"/>
                <w:highlight w:val="none"/>
              </w:rPr>
            </w:pPr>
            <w:r>
              <w:rPr>
                <w:color w:val="auto"/>
                <w:szCs w:val="21"/>
                <w:highlight w:val="none"/>
              </w:rPr>
              <w:t>62</w:t>
            </w:r>
          </w:p>
        </w:tc>
        <w:tc>
          <w:tcPr>
            <w:tcW w:w="818" w:type="dxa"/>
            <w:vAlign w:val="center"/>
          </w:tcPr>
          <w:p>
            <w:pPr>
              <w:adjustRightInd w:val="0"/>
              <w:snapToGrid w:val="0"/>
              <w:jc w:val="center"/>
              <w:rPr>
                <w:color w:val="auto"/>
                <w:szCs w:val="21"/>
                <w:highlight w:val="none"/>
              </w:rPr>
            </w:pPr>
            <w:r>
              <w:rPr>
                <w:color w:val="auto"/>
                <w:szCs w:val="21"/>
                <w:highlight w:val="none"/>
              </w:rPr>
              <w:t>58.5</w:t>
            </w:r>
          </w:p>
        </w:tc>
        <w:tc>
          <w:tcPr>
            <w:tcW w:w="596" w:type="dxa"/>
            <w:vAlign w:val="center"/>
          </w:tcPr>
          <w:p>
            <w:pPr>
              <w:adjustRightInd w:val="0"/>
              <w:snapToGrid w:val="0"/>
              <w:jc w:val="center"/>
              <w:rPr>
                <w:color w:val="auto"/>
                <w:szCs w:val="21"/>
                <w:highlight w:val="none"/>
              </w:rPr>
            </w:pPr>
            <w:r>
              <w:rPr>
                <w:color w:val="auto"/>
                <w:szCs w:val="21"/>
                <w:highlight w:val="none"/>
              </w:rPr>
              <w:t>56</w:t>
            </w:r>
          </w:p>
        </w:tc>
        <w:tc>
          <w:tcPr>
            <w:tcW w:w="743" w:type="dxa"/>
            <w:vAlign w:val="center"/>
          </w:tcPr>
          <w:p>
            <w:pPr>
              <w:adjustRightInd w:val="0"/>
              <w:snapToGrid w:val="0"/>
              <w:jc w:val="center"/>
              <w:rPr>
                <w:color w:val="auto"/>
                <w:szCs w:val="21"/>
                <w:highlight w:val="none"/>
              </w:rPr>
            </w:pPr>
            <w:r>
              <w:rPr>
                <w:color w:val="auto"/>
                <w:szCs w:val="21"/>
                <w:highlight w:val="none"/>
              </w:rPr>
              <w:t>55</w:t>
            </w:r>
          </w:p>
        </w:tc>
        <w:tc>
          <w:tcPr>
            <w:tcW w:w="818" w:type="dxa"/>
            <w:vAlign w:val="center"/>
          </w:tcPr>
          <w:p>
            <w:pPr>
              <w:adjustRightInd w:val="0"/>
              <w:snapToGrid w:val="0"/>
              <w:jc w:val="center"/>
              <w:rPr>
                <w:color w:val="auto"/>
                <w:szCs w:val="21"/>
                <w:highlight w:val="none"/>
              </w:rPr>
            </w:pPr>
            <w:r>
              <w:rPr>
                <w:color w:val="auto"/>
                <w:szCs w:val="21"/>
                <w:highlight w:val="none"/>
              </w:rPr>
              <w:t>50.5</w:t>
            </w:r>
          </w:p>
        </w:tc>
        <w:tc>
          <w:tcPr>
            <w:tcW w:w="743" w:type="dxa"/>
            <w:vAlign w:val="center"/>
          </w:tcPr>
          <w:p>
            <w:pPr>
              <w:adjustRightInd w:val="0"/>
              <w:snapToGrid w:val="0"/>
              <w:jc w:val="center"/>
              <w:rPr>
                <w:color w:val="auto"/>
                <w:szCs w:val="21"/>
                <w:highlight w:val="none"/>
              </w:rPr>
            </w:pPr>
            <w:r>
              <w:rPr>
                <w:color w:val="auto"/>
                <w:szCs w:val="21"/>
                <w:highlight w:val="none"/>
              </w:rPr>
              <w:t>49</w:t>
            </w:r>
          </w:p>
        </w:tc>
      </w:tr>
    </w:tbl>
    <w:p>
      <w:pPr>
        <w:spacing w:before="120" w:beforeLines="50"/>
        <w:ind w:firstLine="480"/>
        <w:jc w:val="center"/>
        <w:rPr>
          <w:b/>
          <w:bCs/>
          <w:color w:val="auto"/>
          <w:sz w:val="24"/>
          <w:highlight w:val="none"/>
        </w:rPr>
      </w:pPr>
      <w:r>
        <w:rPr>
          <w:b/>
          <w:bCs/>
          <w:color w:val="auto"/>
          <w:sz w:val="24"/>
          <w:highlight w:val="none"/>
        </w:rPr>
        <w:t>表</w:t>
      </w:r>
      <w:r>
        <w:rPr>
          <w:rFonts w:hint="eastAsia"/>
          <w:b/>
          <w:bCs/>
          <w:color w:val="auto"/>
          <w:sz w:val="24"/>
          <w:highlight w:val="none"/>
        </w:rPr>
        <w:t>4.1</w:t>
      </w:r>
      <w:r>
        <w:rPr>
          <w:b/>
          <w:bCs/>
          <w:color w:val="auto"/>
          <w:sz w:val="24"/>
          <w:highlight w:val="none"/>
        </w:rPr>
        <w:t>-</w:t>
      </w:r>
      <w:r>
        <w:rPr>
          <w:rFonts w:hint="eastAsia"/>
          <w:b/>
          <w:bCs/>
          <w:color w:val="auto"/>
          <w:sz w:val="24"/>
          <w:highlight w:val="none"/>
        </w:rPr>
        <w:t>2</w:t>
      </w:r>
      <w:r>
        <w:rPr>
          <w:b/>
          <w:bCs/>
          <w:color w:val="auto"/>
          <w:sz w:val="24"/>
          <w:highlight w:val="none"/>
        </w:rPr>
        <w:t xml:space="preserve"> 主要设备噪声影响范围</w:t>
      </w:r>
    </w:p>
    <w:tbl>
      <w:tblPr>
        <w:tblStyle w:val="23"/>
        <w:tblW w:w="9003"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27"/>
        <w:gridCol w:w="1927"/>
        <w:gridCol w:w="1325"/>
        <w:gridCol w:w="1325"/>
        <w:gridCol w:w="1201"/>
        <w:gridCol w:w="12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1927" w:type="dxa"/>
            <w:vMerge w:val="restart"/>
            <w:vAlign w:val="center"/>
          </w:tcPr>
          <w:p>
            <w:pPr>
              <w:pStyle w:val="66"/>
              <w:adjustRightInd w:val="0"/>
              <w:snapToGrid w:val="0"/>
              <w:spacing w:line="240" w:lineRule="auto"/>
              <w:ind w:firstLine="0" w:firstLineChars="0"/>
              <w:jc w:val="center"/>
              <w:rPr>
                <w:rStyle w:val="42"/>
                <w:rFonts w:hint="default" w:ascii="Times New Roman" w:hAnsi="Times New Roman" w:cs="Times New Roman"/>
                <w:b/>
                <w:color w:val="auto"/>
                <w:sz w:val="21"/>
                <w:szCs w:val="21"/>
                <w:highlight w:val="none"/>
              </w:rPr>
            </w:pPr>
            <w:r>
              <w:rPr>
                <w:rStyle w:val="42"/>
                <w:rFonts w:hint="default" w:ascii="Times New Roman" w:hAnsi="Times New Roman" w:cs="Times New Roman"/>
                <w:b/>
                <w:color w:val="auto"/>
                <w:sz w:val="21"/>
                <w:szCs w:val="21"/>
                <w:highlight w:val="none"/>
              </w:rPr>
              <w:t>施工阶段</w:t>
            </w:r>
          </w:p>
        </w:tc>
        <w:tc>
          <w:tcPr>
            <w:tcW w:w="1927" w:type="dxa"/>
            <w:vMerge w:val="restart"/>
            <w:vAlign w:val="center"/>
          </w:tcPr>
          <w:p>
            <w:pPr>
              <w:pStyle w:val="66"/>
              <w:adjustRightInd w:val="0"/>
              <w:snapToGrid w:val="0"/>
              <w:spacing w:line="240" w:lineRule="auto"/>
              <w:ind w:firstLine="0" w:firstLineChars="0"/>
              <w:jc w:val="center"/>
              <w:rPr>
                <w:rStyle w:val="42"/>
                <w:rFonts w:hint="default" w:ascii="Times New Roman" w:hAnsi="Times New Roman" w:cs="Times New Roman"/>
                <w:b/>
                <w:color w:val="auto"/>
                <w:sz w:val="21"/>
                <w:szCs w:val="21"/>
                <w:highlight w:val="none"/>
              </w:rPr>
            </w:pPr>
            <w:r>
              <w:rPr>
                <w:rStyle w:val="42"/>
                <w:rFonts w:hint="default" w:ascii="Times New Roman" w:hAnsi="Times New Roman" w:cs="Times New Roman"/>
                <w:b/>
                <w:color w:val="auto"/>
                <w:sz w:val="21"/>
                <w:szCs w:val="21"/>
                <w:highlight w:val="none"/>
              </w:rPr>
              <w:t>施工机械</w:t>
            </w:r>
          </w:p>
        </w:tc>
        <w:tc>
          <w:tcPr>
            <w:tcW w:w="2650" w:type="dxa"/>
            <w:gridSpan w:val="2"/>
            <w:vAlign w:val="center"/>
          </w:tcPr>
          <w:p>
            <w:pPr>
              <w:pStyle w:val="66"/>
              <w:adjustRightInd w:val="0"/>
              <w:snapToGrid w:val="0"/>
              <w:spacing w:line="240" w:lineRule="auto"/>
              <w:ind w:firstLine="0" w:firstLineChars="0"/>
              <w:jc w:val="center"/>
              <w:rPr>
                <w:rStyle w:val="42"/>
                <w:rFonts w:hint="default" w:ascii="Times New Roman" w:hAnsi="Times New Roman" w:cs="Times New Roman"/>
                <w:b/>
                <w:color w:val="auto"/>
                <w:sz w:val="21"/>
                <w:szCs w:val="21"/>
                <w:highlight w:val="none"/>
              </w:rPr>
            </w:pPr>
            <w:r>
              <w:rPr>
                <w:rStyle w:val="42"/>
                <w:rFonts w:hint="default" w:ascii="Times New Roman" w:hAnsi="Times New Roman" w:cs="Times New Roman"/>
                <w:b/>
                <w:color w:val="auto"/>
                <w:sz w:val="21"/>
                <w:szCs w:val="21"/>
                <w:highlight w:val="none"/>
              </w:rPr>
              <w:t>限值标准(dB)</w:t>
            </w:r>
          </w:p>
        </w:tc>
        <w:tc>
          <w:tcPr>
            <w:tcW w:w="2499" w:type="dxa"/>
            <w:gridSpan w:val="2"/>
            <w:vAlign w:val="center"/>
          </w:tcPr>
          <w:p>
            <w:pPr>
              <w:pStyle w:val="66"/>
              <w:adjustRightInd w:val="0"/>
              <w:snapToGrid w:val="0"/>
              <w:spacing w:line="240" w:lineRule="auto"/>
              <w:ind w:firstLine="0" w:firstLineChars="0"/>
              <w:jc w:val="center"/>
              <w:rPr>
                <w:rStyle w:val="42"/>
                <w:rFonts w:hint="default" w:ascii="Times New Roman" w:hAnsi="Times New Roman" w:cs="Times New Roman"/>
                <w:b/>
                <w:color w:val="auto"/>
                <w:sz w:val="21"/>
                <w:szCs w:val="21"/>
                <w:highlight w:val="none"/>
              </w:rPr>
            </w:pPr>
            <w:r>
              <w:rPr>
                <w:rStyle w:val="42"/>
                <w:rFonts w:hint="default" w:ascii="Times New Roman" w:hAnsi="Times New Roman" w:cs="Times New Roman"/>
                <w:b/>
                <w:color w:val="auto"/>
                <w:sz w:val="21"/>
                <w:szCs w:val="21"/>
                <w:highlight w:val="none"/>
              </w:rPr>
              <w:t>影响范围(m)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1927" w:type="dxa"/>
            <w:vMerge w:val="continue"/>
            <w:vAlign w:val="center"/>
          </w:tcPr>
          <w:p>
            <w:pPr>
              <w:pStyle w:val="66"/>
              <w:adjustRightInd w:val="0"/>
              <w:snapToGrid w:val="0"/>
              <w:spacing w:line="240" w:lineRule="auto"/>
              <w:ind w:firstLine="0" w:firstLineChars="0"/>
              <w:jc w:val="center"/>
              <w:rPr>
                <w:rStyle w:val="42"/>
                <w:rFonts w:hint="default" w:ascii="Times New Roman" w:hAnsi="Times New Roman" w:cs="Times New Roman"/>
                <w:b/>
                <w:color w:val="auto"/>
                <w:sz w:val="21"/>
                <w:szCs w:val="21"/>
                <w:highlight w:val="none"/>
              </w:rPr>
            </w:pPr>
          </w:p>
        </w:tc>
        <w:tc>
          <w:tcPr>
            <w:tcW w:w="1927" w:type="dxa"/>
            <w:vMerge w:val="continue"/>
            <w:vAlign w:val="center"/>
          </w:tcPr>
          <w:p>
            <w:pPr>
              <w:pStyle w:val="66"/>
              <w:adjustRightInd w:val="0"/>
              <w:snapToGrid w:val="0"/>
              <w:spacing w:line="240" w:lineRule="auto"/>
              <w:ind w:firstLine="0" w:firstLineChars="0"/>
              <w:jc w:val="center"/>
              <w:rPr>
                <w:rStyle w:val="42"/>
                <w:rFonts w:hint="default" w:ascii="Times New Roman" w:hAnsi="Times New Roman" w:cs="Times New Roman"/>
                <w:b/>
                <w:color w:val="auto"/>
                <w:sz w:val="21"/>
                <w:szCs w:val="21"/>
                <w:highlight w:val="none"/>
              </w:rPr>
            </w:pP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b/>
                <w:color w:val="auto"/>
                <w:sz w:val="21"/>
                <w:szCs w:val="21"/>
                <w:highlight w:val="none"/>
              </w:rPr>
            </w:pPr>
            <w:r>
              <w:rPr>
                <w:rStyle w:val="42"/>
                <w:rFonts w:hint="default" w:ascii="Times New Roman" w:hAnsi="Times New Roman" w:cs="Times New Roman"/>
                <w:b/>
                <w:color w:val="auto"/>
                <w:sz w:val="21"/>
                <w:szCs w:val="21"/>
                <w:highlight w:val="none"/>
              </w:rPr>
              <w:t>昼间</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b/>
                <w:color w:val="auto"/>
                <w:sz w:val="21"/>
                <w:szCs w:val="21"/>
                <w:highlight w:val="none"/>
              </w:rPr>
            </w:pPr>
            <w:r>
              <w:rPr>
                <w:rStyle w:val="42"/>
                <w:rFonts w:hint="default" w:ascii="Times New Roman" w:hAnsi="Times New Roman" w:cs="Times New Roman"/>
                <w:b/>
                <w:color w:val="auto"/>
                <w:sz w:val="21"/>
                <w:szCs w:val="21"/>
                <w:highlight w:val="none"/>
              </w:rPr>
              <w:t>夜间</w:t>
            </w:r>
          </w:p>
        </w:tc>
        <w:tc>
          <w:tcPr>
            <w:tcW w:w="1201"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b/>
                <w:color w:val="auto"/>
                <w:sz w:val="21"/>
                <w:szCs w:val="21"/>
                <w:highlight w:val="none"/>
              </w:rPr>
            </w:pPr>
            <w:r>
              <w:rPr>
                <w:rStyle w:val="42"/>
                <w:rFonts w:hint="default" w:ascii="Times New Roman" w:hAnsi="Times New Roman" w:cs="Times New Roman"/>
                <w:b/>
                <w:color w:val="auto"/>
                <w:sz w:val="21"/>
                <w:szCs w:val="21"/>
                <w:highlight w:val="none"/>
              </w:rPr>
              <w:t>昼间</w:t>
            </w:r>
          </w:p>
        </w:tc>
        <w:tc>
          <w:tcPr>
            <w:tcW w:w="1298"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b/>
                <w:color w:val="auto"/>
                <w:sz w:val="21"/>
                <w:szCs w:val="21"/>
                <w:highlight w:val="none"/>
              </w:rPr>
            </w:pPr>
            <w:r>
              <w:rPr>
                <w:rStyle w:val="42"/>
                <w:rFonts w:hint="default" w:ascii="Times New Roman" w:hAnsi="Times New Roman" w:cs="Times New Roman"/>
                <w:b/>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1927" w:type="dxa"/>
            <w:vMerge w:val="restart"/>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路基工程</w:t>
            </w:r>
          </w:p>
        </w:tc>
        <w:tc>
          <w:tcPr>
            <w:tcW w:w="1927"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挖掘机</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70</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55</w:t>
            </w:r>
          </w:p>
        </w:tc>
        <w:tc>
          <w:tcPr>
            <w:tcW w:w="1201"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14.1</w:t>
            </w:r>
          </w:p>
        </w:tc>
        <w:tc>
          <w:tcPr>
            <w:tcW w:w="1298"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118.6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1927" w:type="dxa"/>
            <w:vMerge w:val="continue"/>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p>
        </w:tc>
        <w:tc>
          <w:tcPr>
            <w:tcW w:w="1927"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装载机</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70</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55</w:t>
            </w:r>
          </w:p>
        </w:tc>
        <w:tc>
          <w:tcPr>
            <w:tcW w:w="1201"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28.1</w:t>
            </w:r>
          </w:p>
        </w:tc>
        <w:tc>
          <w:tcPr>
            <w:tcW w:w="1298"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210.8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1927" w:type="dxa"/>
            <w:vMerge w:val="continue"/>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p>
        </w:tc>
        <w:tc>
          <w:tcPr>
            <w:tcW w:w="1927"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推土机</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70</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55</w:t>
            </w:r>
          </w:p>
        </w:tc>
        <w:tc>
          <w:tcPr>
            <w:tcW w:w="1201"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17.7</w:t>
            </w:r>
          </w:p>
        </w:tc>
        <w:tc>
          <w:tcPr>
            <w:tcW w:w="1298"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177.4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1927" w:type="dxa"/>
            <w:vMerge w:val="continue"/>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p>
        </w:tc>
        <w:tc>
          <w:tcPr>
            <w:tcW w:w="1927"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平地机</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70</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55</w:t>
            </w:r>
          </w:p>
        </w:tc>
        <w:tc>
          <w:tcPr>
            <w:tcW w:w="1201"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28.1</w:t>
            </w:r>
          </w:p>
        </w:tc>
        <w:tc>
          <w:tcPr>
            <w:tcW w:w="1298"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210.8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1927" w:type="dxa"/>
            <w:vMerge w:val="restart"/>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路面结构</w:t>
            </w:r>
          </w:p>
        </w:tc>
        <w:tc>
          <w:tcPr>
            <w:tcW w:w="1927"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压路机</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70</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55</w:t>
            </w:r>
          </w:p>
        </w:tc>
        <w:tc>
          <w:tcPr>
            <w:tcW w:w="1201"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19.4</w:t>
            </w:r>
          </w:p>
        </w:tc>
        <w:tc>
          <w:tcPr>
            <w:tcW w:w="1298"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194.5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1927" w:type="dxa"/>
            <w:vMerge w:val="continue"/>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p>
        </w:tc>
        <w:tc>
          <w:tcPr>
            <w:tcW w:w="1927"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摊铺机</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70</w:t>
            </w:r>
          </w:p>
        </w:tc>
        <w:tc>
          <w:tcPr>
            <w:tcW w:w="1325"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55</w:t>
            </w:r>
          </w:p>
        </w:tc>
        <w:tc>
          <w:tcPr>
            <w:tcW w:w="1201"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20</w:t>
            </w:r>
          </w:p>
        </w:tc>
        <w:tc>
          <w:tcPr>
            <w:tcW w:w="1298" w:type="dxa"/>
            <w:vAlign w:val="center"/>
          </w:tcPr>
          <w:p>
            <w:pPr>
              <w:pStyle w:val="66"/>
              <w:adjustRightInd w:val="0"/>
              <w:snapToGrid w:val="0"/>
              <w:spacing w:line="240" w:lineRule="auto"/>
              <w:ind w:firstLine="0" w:firstLineChars="0"/>
              <w:jc w:val="center"/>
              <w:rPr>
                <w:rStyle w:val="42"/>
                <w:rFonts w:hint="default" w:ascii="Times New Roman" w:hAnsi="Times New Roman" w:cs="Times New Roman"/>
                <w:color w:val="auto"/>
                <w:sz w:val="21"/>
                <w:szCs w:val="21"/>
                <w:highlight w:val="none"/>
              </w:rPr>
            </w:pPr>
            <w:r>
              <w:rPr>
                <w:rStyle w:val="42"/>
                <w:rFonts w:hint="default" w:ascii="Times New Roman" w:hAnsi="Times New Roman" w:cs="Times New Roman"/>
                <w:color w:val="auto"/>
                <w:sz w:val="21"/>
                <w:szCs w:val="21"/>
                <w:highlight w:val="none"/>
              </w:rPr>
              <w:t>200</w:t>
            </w:r>
          </w:p>
        </w:tc>
      </w:tr>
    </w:tbl>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由表可以看出施工机械辐射噪声较高，将使周围声环境受到不同程度的影响。对表4.1-1及表4.1-2进行分析如下：</w:t>
      </w:r>
    </w:p>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fldChar w:fldCharType="begin"/>
      </w:r>
      <w:r>
        <w:rPr>
          <w:rFonts w:hint="eastAsia"/>
          <w:snapToGrid w:val="0"/>
          <w:color w:val="auto"/>
          <w:kern w:val="0"/>
          <w:sz w:val="24"/>
          <w:highlight w:val="none"/>
        </w:rPr>
        <w:instrText xml:space="preserve"> = 1 \* GB3 </w:instrText>
      </w:r>
      <w:r>
        <w:rPr>
          <w:rFonts w:hint="eastAsia"/>
          <w:snapToGrid w:val="0"/>
          <w:color w:val="auto"/>
          <w:kern w:val="0"/>
          <w:sz w:val="24"/>
          <w:highlight w:val="none"/>
        </w:rPr>
        <w:fldChar w:fldCharType="separate"/>
      </w:r>
      <w:r>
        <w:rPr>
          <w:rFonts w:hint="eastAsia"/>
          <w:snapToGrid w:val="0"/>
          <w:color w:val="auto"/>
          <w:kern w:val="0"/>
          <w:sz w:val="24"/>
          <w:highlight w:val="none"/>
        </w:rPr>
        <w:t>①</w:t>
      </w:r>
      <w:r>
        <w:rPr>
          <w:rFonts w:hint="eastAsia"/>
          <w:snapToGrid w:val="0"/>
          <w:color w:val="auto"/>
          <w:kern w:val="0"/>
          <w:sz w:val="24"/>
          <w:highlight w:val="none"/>
        </w:rPr>
        <w:fldChar w:fldCharType="end"/>
      </w:r>
      <w:r>
        <w:rPr>
          <w:rFonts w:hint="eastAsia"/>
          <w:snapToGrid w:val="0"/>
          <w:color w:val="auto"/>
          <w:kern w:val="0"/>
          <w:sz w:val="24"/>
          <w:highlight w:val="none"/>
        </w:rPr>
        <w:t>施工噪声因不同的施工机械影响的范围相差很大，昼夜施工场界噪声限值标准不同，夜间施工噪声的影响范围比昼间大很多。在实际施工过程中可能出现多台施工机械同时在一起作业，则此时施工噪声的影响范围比预测值大。</w:t>
      </w:r>
    </w:p>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fldChar w:fldCharType="begin"/>
      </w:r>
      <w:r>
        <w:rPr>
          <w:rFonts w:hint="eastAsia"/>
          <w:snapToGrid w:val="0"/>
          <w:color w:val="auto"/>
          <w:kern w:val="0"/>
          <w:sz w:val="24"/>
          <w:highlight w:val="none"/>
        </w:rPr>
        <w:instrText xml:space="preserve"> = 2 \* GB3 </w:instrText>
      </w:r>
      <w:r>
        <w:rPr>
          <w:rFonts w:hint="eastAsia"/>
          <w:snapToGrid w:val="0"/>
          <w:color w:val="auto"/>
          <w:kern w:val="0"/>
          <w:sz w:val="24"/>
          <w:highlight w:val="none"/>
        </w:rPr>
        <w:fldChar w:fldCharType="separate"/>
      </w:r>
      <w:r>
        <w:rPr>
          <w:rFonts w:hint="eastAsia"/>
          <w:snapToGrid w:val="0"/>
          <w:color w:val="auto"/>
          <w:kern w:val="0"/>
          <w:sz w:val="24"/>
          <w:highlight w:val="none"/>
        </w:rPr>
        <w:t>②</w:t>
      </w:r>
      <w:r>
        <w:rPr>
          <w:rFonts w:hint="eastAsia"/>
          <w:snapToGrid w:val="0"/>
          <w:color w:val="auto"/>
          <w:kern w:val="0"/>
          <w:sz w:val="24"/>
          <w:highlight w:val="none"/>
        </w:rPr>
        <w:fldChar w:fldCharType="end"/>
      </w:r>
      <w:r>
        <w:rPr>
          <w:rFonts w:hint="eastAsia"/>
          <w:snapToGrid w:val="0"/>
          <w:color w:val="auto"/>
          <w:kern w:val="0"/>
          <w:sz w:val="24"/>
          <w:highlight w:val="none"/>
        </w:rPr>
        <w:t>对于线性工程而言，施工噪声应重点关注对沿线声环境质量的影响。预测结果表明，噪声污染最严重的施工机械是打桩机、夯土机及装载机等，一般情况下，在路基和桥梁施工中常常使用到这几种施工机械，而其它的施工机械施工噪声则相对较低。根据目前国内一般道路施工噪声预测结果，受施工噪声影响其声环境可能出现超标的2类区声敏感区，昼间主要出现在距施工场界130m范围内，夜间主要出现在距施工场界480m范围以内。其中超标量与影响范围则随着使用的施工机械设备种类及数量、施工阶段不同而有所波动，单就某一时段来说，施工影响限于某一施工局部位置。</w:t>
      </w:r>
    </w:p>
    <w:p>
      <w:pPr>
        <w:adjustRightInd w:val="0"/>
        <w:snapToGrid w:val="0"/>
        <w:spacing w:before="120" w:beforeLines="50" w:line="360" w:lineRule="auto"/>
        <w:ind w:firstLine="480" w:firstLineChars="200"/>
        <w:rPr>
          <w:rFonts w:hint="eastAsia"/>
          <w:snapToGrid w:val="0"/>
          <w:color w:val="auto"/>
          <w:kern w:val="0"/>
          <w:sz w:val="24"/>
          <w:highlight w:val="none"/>
          <w:lang w:eastAsia="zh-CN"/>
        </w:rPr>
      </w:pPr>
      <w:r>
        <w:rPr>
          <w:rFonts w:hint="eastAsia"/>
          <w:snapToGrid w:val="0"/>
          <w:color w:val="auto"/>
          <w:kern w:val="0"/>
          <w:sz w:val="24"/>
          <w:highlight w:val="none"/>
          <w:lang w:eastAsia="zh-CN"/>
        </w:rPr>
        <w:t>结合施工期噪声预测结果及现状调查，工程沿线声环境保护目标将不同程度地受到施工噪声的影响，由于夜间进行施工其噪声影响范围大，为避免夜间施工噪声的影响，要求建设单位在夜间(22:00～次日 6:00)停止施工。综合地形考虑，施工噪声昼间影响范围为九00医院总院、象山公寓、东方苑、山水公寓小区、双安城、职业病防治院、九龙山庄、西湖别墅、光华楼、西凤社区、大梦山小区、湖滨新城、福建省司法大楼、梅峰井边新村、山海观花园新城、福建行政学校、福建省档案馆（</w:t>
      </w:r>
      <w:r>
        <w:rPr>
          <w:rFonts w:hint="eastAsia"/>
          <w:snapToGrid w:val="0"/>
          <w:color w:val="auto"/>
          <w:kern w:val="0"/>
          <w:sz w:val="24"/>
          <w:highlight w:val="none"/>
          <w:lang w:val="en-US" w:eastAsia="zh-CN"/>
        </w:rPr>
        <w:t>后库）</w:t>
      </w:r>
      <w:r>
        <w:rPr>
          <w:rFonts w:hint="eastAsia"/>
          <w:snapToGrid w:val="0"/>
          <w:color w:val="auto"/>
          <w:kern w:val="0"/>
          <w:sz w:val="24"/>
          <w:highlight w:val="none"/>
          <w:lang w:eastAsia="zh-CN"/>
        </w:rPr>
        <w:t>、西湖公园、左海公园、梅海园2期、融侨花园（III区）、福建省高级人民法院、省公安厅宿舍，为减轻施工噪声对声环境保护目标的影响，施工单位应根据场界外声环境保护目标的具体情况设置临时声屏障等降噪措施。</w:t>
      </w:r>
    </w:p>
    <w:p>
      <w:pPr>
        <w:adjustRightInd w:val="0"/>
        <w:snapToGrid w:val="0"/>
        <w:spacing w:before="120" w:beforeLines="50" w:line="360" w:lineRule="auto"/>
        <w:ind w:firstLine="480" w:firstLineChars="200"/>
        <w:rPr>
          <w:snapToGrid w:val="0"/>
          <w:color w:val="auto"/>
          <w:kern w:val="0"/>
          <w:sz w:val="24"/>
          <w:highlight w:val="none"/>
        </w:rPr>
      </w:pPr>
      <w:r>
        <w:rPr>
          <w:rFonts w:hint="eastAsia"/>
          <w:snapToGrid w:val="0"/>
          <w:color w:val="auto"/>
          <w:kern w:val="0"/>
          <w:sz w:val="24"/>
          <w:highlight w:val="none"/>
        </w:rPr>
        <w:t>③</w:t>
      </w:r>
      <w:r>
        <w:rPr>
          <w:snapToGrid w:val="0"/>
          <w:color w:val="auto"/>
          <w:kern w:val="0"/>
          <w:sz w:val="24"/>
          <w:highlight w:val="none"/>
        </w:rPr>
        <w:t>道路施工噪声主要发生在路基施工、路面施工阶段，因此，做好各主要施工阶段的噪声防治工作十分重要。项目施工期挖方时，所使用的施工机械为噪声源强较高设备，故挖方方式应尽量做到挖填平衡，施工开挖后尽快回填，分层碾压并采取护坡防护措施；另外，尽量缩短施工周期，减少疏松地面的裸露时间，合理安排施工时间，尽量避开雨季和汛期。同时，根据各施工阶段的特点采取必要的噪声污染防治措施（如设置移动式声屏障等），以降低施工噪声对外环境的影响。</w:t>
      </w:r>
    </w:p>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④</w:t>
      </w:r>
      <w:r>
        <w:rPr>
          <w:snapToGrid w:val="0"/>
          <w:color w:val="auto"/>
          <w:kern w:val="0"/>
          <w:sz w:val="24"/>
          <w:highlight w:val="none"/>
        </w:rPr>
        <w:t>本评价要求在设备选型时，在考虑经济和满足工艺要求的前提下，尽量选用先进的、噪声源强较小的施工机械，在源头减小噪声源强。</w:t>
      </w:r>
      <w:r>
        <w:rPr>
          <w:rFonts w:hint="eastAsia"/>
          <w:snapToGrid w:val="0"/>
          <w:color w:val="auto"/>
          <w:kern w:val="0"/>
          <w:sz w:val="24"/>
          <w:highlight w:val="none"/>
        </w:rPr>
        <w:t>结合施工期噪声预测结果及现状调查，工程沿线声环境保护目标将不同程度地受到施工噪声的影响，由于夜间进行施工其噪声影响范围大，</w:t>
      </w:r>
      <w:r>
        <w:rPr>
          <w:snapToGrid w:val="0"/>
          <w:color w:val="auto"/>
          <w:kern w:val="0"/>
          <w:sz w:val="24"/>
          <w:highlight w:val="none"/>
        </w:rPr>
        <w:t>同时为了保障居民正常的休息时间，严禁在夜间（北京时间22点至次日6点）和中午休息时间</w:t>
      </w:r>
      <w:r>
        <w:rPr>
          <w:rFonts w:hint="eastAsia"/>
          <w:snapToGrid w:val="0"/>
          <w:color w:val="auto"/>
          <w:kern w:val="0"/>
          <w:sz w:val="24"/>
          <w:highlight w:val="none"/>
          <w:lang w:eastAsia="zh-CN"/>
        </w:rPr>
        <w:t>施工</w:t>
      </w:r>
      <w:r>
        <w:rPr>
          <w:snapToGrid w:val="0"/>
          <w:color w:val="auto"/>
          <w:kern w:val="0"/>
          <w:sz w:val="24"/>
          <w:highlight w:val="none"/>
        </w:rPr>
        <w:t>。施工期是一短期行为，</w:t>
      </w:r>
      <w:r>
        <w:rPr>
          <w:rFonts w:hint="eastAsia"/>
          <w:snapToGrid w:val="0"/>
          <w:color w:val="auto"/>
          <w:kern w:val="0"/>
          <w:sz w:val="24"/>
          <w:highlight w:val="none"/>
        </w:rPr>
        <w:t>声环境保护目标</w:t>
      </w:r>
      <w:r>
        <w:rPr>
          <w:snapToGrid w:val="0"/>
          <w:color w:val="auto"/>
          <w:kern w:val="0"/>
          <w:sz w:val="24"/>
          <w:highlight w:val="none"/>
        </w:rPr>
        <w:t>所受的噪声影响也主要是发生在</w:t>
      </w:r>
      <w:r>
        <w:rPr>
          <w:rFonts w:hint="eastAsia"/>
          <w:snapToGrid w:val="0"/>
          <w:color w:val="auto"/>
          <w:kern w:val="0"/>
          <w:sz w:val="24"/>
          <w:highlight w:val="none"/>
        </w:rPr>
        <w:t>声环境保护目标</w:t>
      </w:r>
      <w:r>
        <w:rPr>
          <w:snapToGrid w:val="0"/>
          <w:color w:val="auto"/>
          <w:kern w:val="0"/>
          <w:sz w:val="24"/>
          <w:highlight w:val="none"/>
        </w:rPr>
        <w:t>附近路段的短暂施工过程中。随着工程竣工，施工噪声的影响将不复存在，施工噪声对环境的不利影响是暂时的。</w:t>
      </w:r>
    </w:p>
    <w:p>
      <w:p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项目道路沿局部影响较为突出的路段施工，加强施工管理，减轻对周围声环境保护目标的影响。但由于施工期施工是一短期行为，声环境保护目标所受的噪声影响也主要是发生在附近路段的施工过程中，总体上存在无规则、强度大、暂时性等特点，因此总体影响不大。</w:t>
      </w:r>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45" w:name="_Toc5694"/>
      <w:r>
        <w:rPr>
          <w:rFonts w:hint="eastAsia" w:eastAsia="黑体"/>
          <w:snapToGrid w:val="0"/>
          <w:color w:val="auto"/>
          <w:kern w:val="0"/>
          <w:sz w:val="28"/>
          <w:szCs w:val="28"/>
          <w:highlight w:val="none"/>
        </w:rPr>
        <w:t>4.2 营运期噪声影响预测</w:t>
      </w:r>
      <w:bookmarkEnd w:id="45"/>
    </w:p>
    <w:p>
      <w:pPr>
        <w:spacing w:line="360" w:lineRule="auto"/>
        <w:outlineLvl w:val="2"/>
        <w:rPr>
          <w:rFonts w:hint="eastAsia" w:eastAsia="黑体"/>
          <w:color w:val="auto"/>
          <w:sz w:val="24"/>
          <w:highlight w:val="none"/>
        </w:rPr>
      </w:pPr>
      <w:r>
        <w:rPr>
          <w:rFonts w:hint="eastAsia" w:eastAsia="黑体"/>
          <w:color w:val="auto"/>
          <w:sz w:val="24"/>
          <w:highlight w:val="none"/>
        </w:rPr>
        <w:t>4.2.1交通噪声预测模式</w:t>
      </w:r>
    </w:p>
    <w:p>
      <w:pPr>
        <w:numPr>
          <w:ilvl w:val="0"/>
          <w:numId w:val="7"/>
        </w:numPr>
        <w:adjustRightInd w:val="0"/>
        <w:snapToGrid w:val="0"/>
        <w:spacing w:line="360" w:lineRule="auto"/>
        <w:rPr>
          <w:snapToGrid w:val="0"/>
          <w:color w:val="auto"/>
          <w:kern w:val="0"/>
          <w:sz w:val="24"/>
          <w:highlight w:val="none"/>
        </w:rPr>
      </w:pPr>
      <w:r>
        <w:rPr>
          <w:rFonts w:hint="eastAsia"/>
          <w:snapToGrid w:val="0"/>
          <w:color w:val="auto"/>
          <w:kern w:val="0"/>
          <w:sz w:val="24"/>
          <w:highlight w:val="none"/>
        </w:rPr>
        <w:t xml:space="preserve">基本预测模型 </w:t>
      </w:r>
    </w:p>
    <w:p>
      <w:pPr>
        <w:numPr>
          <w:ilvl w:val="0"/>
          <w:numId w:val="8"/>
        </w:numPr>
        <w:adjustRightInd w:val="0"/>
        <w:snapToGrid w:val="0"/>
        <w:spacing w:line="360" w:lineRule="auto"/>
        <w:ind w:firstLine="480" w:firstLineChars="200"/>
        <w:rPr>
          <w:rFonts w:hint="eastAsia"/>
          <w:snapToGrid w:val="0"/>
          <w:color w:val="auto"/>
          <w:kern w:val="0"/>
          <w:sz w:val="24"/>
          <w:highlight w:val="none"/>
        </w:rPr>
      </w:pPr>
      <w:r>
        <w:rPr>
          <w:rFonts w:hint="eastAsia"/>
          <w:snapToGrid w:val="0"/>
          <w:color w:val="auto"/>
          <w:kern w:val="0"/>
          <w:sz w:val="24"/>
          <w:highlight w:val="none"/>
        </w:rPr>
        <w:t>第 i 类车等效声级的预测模型</w:t>
      </w:r>
    </w:p>
    <w:p>
      <w:pPr>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根据本工程的工程特点、沿线环境特征及工程设计交通量等因素，采用《环境影响评价技术导则-声环境》(</w:t>
      </w:r>
      <w:r>
        <w:rPr>
          <w:rFonts w:hint="eastAsia"/>
          <w:snapToGrid w:val="0"/>
          <w:color w:val="auto"/>
          <w:kern w:val="0"/>
          <w:sz w:val="24"/>
          <w:highlight w:val="none"/>
        </w:rPr>
        <w:t>HJ2.4-2021</w:t>
      </w:r>
      <w:r>
        <w:rPr>
          <w:snapToGrid w:val="0"/>
          <w:color w:val="auto"/>
          <w:kern w:val="0"/>
          <w:sz w:val="24"/>
          <w:highlight w:val="none"/>
        </w:rPr>
        <w:t>)提出的公路交通噪声预测模式进行预测，其计算模式如下：</w:t>
      </w:r>
    </w:p>
    <w:p>
      <w:pPr>
        <w:adjustRightInd w:val="0"/>
        <w:snapToGrid w:val="0"/>
        <w:spacing w:line="360" w:lineRule="auto"/>
        <w:jc w:val="center"/>
        <w:rPr>
          <w:rFonts w:eastAsia="仿宋_GB2312"/>
          <w:color w:val="auto"/>
          <w:sz w:val="24"/>
          <w:highlight w:val="none"/>
        </w:rPr>
      </w:pPr>
      <m:oMathPara>
        <m:oMath>
          <m:r>
            <w:rPr>
              <w:rFonts w:hint="default" w:ascii="Cambria Math" w:hAnsi="Times New Roman" w:eastAsia="宋体" w:cs="Times New Roman"/>
              <w:color w:val="auto"/>
              <w:szCs w:val="21"/>
              <w:highlight w:val="none"/>
            </w:rPr>
            <m:t>Leq(ℎ</m:t>
          </m:r>
          <m:sSub>
            <m:sSubPr>
              <m:ctrlPr>
                <w:rPr>
                  <w:rFonts w:hint="default" w:ascii="Cambria Math" w:hAnsi="Times New Roman" w:eastAsia="宋体" w:cs="Times New Roman"/>
                  <w:i/>
                  <w:color w:val="auto"/>
                  <w:szCs w:val="21"/>
                  <w:highlight w:val="none"/>
                </w:rPr>
              </m:ctrlPr>
            </m:sSubPr>
            <m:e>
              <m:r>
                <w:rPr>
                  <w:rFonts w:hint="default" w:ascii="Cambria Math" w:hAnsi="Times New Roman" w:eastAsia="宋体" w:cs="Times New Roman"/>
                  <w:color w:val="auto"/>
                  <w:szCs w:val="21"/>
                  <w:highlight w:val="none"/>
                </w:rPr>
                <m:t>)</m:t>
              </m:r>
              <m:ctrlPr>
                <w:rPr>
                  <w:rFonts w:hint="default" w:ascii="Cambria Math" w:hAnsi="Times New Roman" w:eastAsia="宋体" w:cs="Times New Roman"/>
                  <w:i/>
                  <w:color w:val="auto"/>
                  <w:szCs w:val="21"/>
                  <w:highlight w:val="none"/>
                </w:rPr>
              </m:ctrlPr>
            </m:e>
            <m:sub>
              <m:r>
                <w:rPr>
                  <w:rFonts w:hint="default" w:ascii="Cambria Math" w:hAnsi="Times New Roman" w:eastAsia="宋体" w:cs="Times New Roman"/>
                  <w:color w:val="auto"/>
                  <w:szCs w:val="21"/>
                  <w:highlight w:val="none"/>
                </w:rPr>
                <m:t>i</m:t>
              </m:r>
              <m:ctrlPr>
                <w:rPr>
                  <w:rFonts w:hint="default" w:ascii="Cambria Math" w:hAnsi="Times New Roman" w:eastAsia="宋体" w:cs="Times New Roman"/>
                  <w:i/>
                  <w:color w:val="auto"/>
                  <w:szCs w:val="21"/>
                  <w:highlight w:val="none"/>
                </w:rPr>
              </m:ctrlPr>
            </m:sub>
          </m:sSub>
          <m:r>
            <w:rPr>
              <w:rFonts w:hint="default" w:ascii="Cambria Math" w:hAnsi="Times New Roman" w:eastAsia="宋体" w:cs="Times New Roman"/>
              <w:color w:val="auto"/>
              <w:szCs w:val="21"/>
              <w:highlight w:val="none"/>
            </w:rPr>
            <m:t>=</m:t>
          </m:r>
          <m:sSub>
            <m:sSubPr>
              <m:ctrlPr>
                <w:rPr>
                  <w:rFonts w:hint="default" w:ascii="Cambria Math" w:hAnsi="Times New Roman" w:eastAsia="宋体" w:cs="Times New Roman"/>
                  <w:i/>
                  <w:color w:val="auto"/>
                  <w:szCs w:val="21"/>
                  <w:highlight w:val="none"/>
                </w:rPr>
              </m:ctrlPr>
            </m:sSubPr>
            <m:e>
              <m:d>
                <m:dPr>
                  <m:ctrlPr>
                    <w:rPr>
                      <w:rFonts w:hint="default" w:ascii="Cambria Math" w:hAnsi="Times New Roman" w:eastAsia="宋体" w:cs="Times New Roman"/>
                      <w:i/>
                      <w:color w:val="auto"/>
                      <w:szCs w:val="21"/>
                      <w:highlight w:val="none"/>
                    </w:rPr>
                  </m:ctrlPr>
                </m:dPr>
                <m:e>
                  <m:bar>
                    <m:barPr>
                      <m:pos m:val="top"/>
                      <m:ctrlPr>
                        <w:rPr>
                          <w:rFonts w:hint="default" w:ascii="Cambria Math" w:hAnsi="Times New Roman" w:eastAsia="宋体" w:cs="Times New Roman"/>
                          <w:i/>
                          <w:color w:val="auto"/>
                          <w:szCs w:val="21"/>
                          <w:highlight w:val="none"/>
                        </w:rPr>
                      </m:ctrlPr>
                    </m:barPr>
                    <m:e>
                      <m:sSub>
                        <m:sSubPr>
                          <m:ctrlPr>
                            <w:rPr>
                              <w:rFonts w:hint="default" w:ascii="Cambria Math" w:hAnsi="Times New Roman" w:eastAsia="宋体" w:cs="Times New Roman"/>
                              <w:i/>
                              <w:color w:val="auto"/>
                              <w:szCs w:val="21"/>
                              <w:highlight w:val="none"/>
                            </w:rPr>
                          </m:ctrlPr>
                        </m:sSubPr>
                        <m:e>
                          <m:r>
                            <w:rPr>
                              <w:rFonts w:hint="default" w:ascii="Cambria Math" w:hAnsi="Times New Roman" w:eastAsia="宋体" w:cs="Times New Roman"/>
                              <w:color w:val="auto"/>
                              <w:szCs w:val="21"/>
                              <w:highlight w:val="none"/>
                            </w:rPr>
                            <m:t>L</m:t>
                          </m:r>
                          <m:ctrlPr>
                            <w:rPr>
                              <w:rFonts w:hint="default" w:ascii="Cambria Math" w:hAnsi="Times New Roman" w:eastAsia="宋体" w:cs="Times New Roman"/>
                              <w:i/>
                              <w:color w:val="auto"/>
                              <w:szCs w:val="21"/>
                              <w:highlight w:val="none"/>
                            </w:rPr>
                          </m:ctrlPr>
                        </m:e>
                        <m:sub>
                          <m:r>
                            <w:rPr>
                              <w:rFonts w:hint="default" w:ascii="Cambria Math" w:hAnsi="Times New Roman" w:eastAsia="宋体" w:cs="Times New Roman"/>
                              <w:color w:val="auto"/>
                              <w:szCs w:val="21"/>
                              <w:highlight w:val="none"/>
                            </w:rPr>
                            <m:t>0E</m:t>
                          </m:r>
                          <m:ctrlPr>
                            <w:rPr>
                              <w:rFonts w:hint="default" w:ascii="Cambria Math" w:hAnsi="Times New Roman" w:eastAsia="宋体" w:cs="Times New Roman"/>
                              <w:i/>
                              <w:color w:val="auto"/>
                              <w:szCs w:val="21"/>
                              <w:highlight w:val="none"/>
                            </w:rPr>
                          </m:ctrlPr>
                        </m:sub>
                      </m:sSub>
                      <m:ctrlPr>
                        <w:rPr>
                          <w:rFonts w:hint="default" w:ascii="Cambria Math" w:hAnsi="Cambria Math" w:eastAsia="宋体" w:cs="Times New Roman"/>
                          <w:i/>
                          <w:color w:val="auto"/>
                          <w:szCs w:val="21"/>
                          <w:highlight w:val="none"/>
                        </w:rPr>
                      </m:ctrlPr>
                    </m:e>
                  </m:bar>
                  <m:ctrlPr>
                    <w:rPr>
                      <w:rFonts w:hint="default" w:ascii="Cambria Math" w:hAnsi="Cambria Math" w:eastAsia="宋体" w:cs="Times New Roman"/>
                      <w:i/>
                      <w:color w:val="auto"/>
                      <w:szCs w:val="21"/>
                      <w:highlight w:val="none"/>
                    </w:rPr>
                  </m:ctrlPr>
                </m:e>
              </m:d>
              <m:ctrlPr>
                <w:rPr>
                  <w:rFonts w:hint="default" w:ascii="Cambria Math" w:hAnsi="Times New Roman" w:eastAsia="宋体" w:cs="Times New Roman"/>
                  <w:i/>
                  <w:color w:val="auto"/>
                  <w:szCs w:val="21"/>
                  <w:highlight w:val="none"/>
                </w:rPr>
              </m:ctrlPr>
            </m:e>
            <m:sub>
              <m:r>
                <w:rPr>
                  <w:rFonts w:hint="default" w:ascii="Cambria Math" w:hAnsi="Times New Roman" w:eastAsia="宋体" w:cs="Times New Roman"/>
                  <w:color w:val="auto"/>
                  <w:szCs w:val="21"/>
                  <w:highlight w:val="none"/>
                </w:rPr>
                <m:t>i</m:t>
              </m:r>
              <m:ctrlPr>
                <w:rPr>
                  <w:rFonts w:hint="default" w:ascii="Cambria Math" w:hAnsi="Times New Roman" w:eastAsia="宋体" w:cs="Times New Roman"/>
                  <w:i/>
                  <w:color w:val="auto"/>
                  <w:szCs w:val="21"/>
                  <w:highlight w:val="none"/>
                </w:rPr>
              </m:ctrlPr>
            </m:sub>
          </m:sSub>
          <m:r>
            <w:rPr>
              <w:rFonts w:hint="default" w:ascii="Cambria Math" w:hAnsi="Times New Roman" w:eastAsia="宋体" w:cs="Times New Roman"/>
              <w:color w:val="auto"/>
              <w:szCs w:val="21"/>
              <w:highlight w:val="none"/>
            </w:rPr>
            <m:t>+10</m:t>
          </m:r>
          <m:func>
            <m:funcPr>
              <m:ctrlPr>
                <w:rPr>
                  <w:rFonts w:hint="default" w:ascii="Cambria Math" w:hAnsi="Times New Roman" w:eastAsia="宋体" w:cs="Times New Roman"/>
                  <w:i/>
                  <w:color w:val="auto"/>
                  <w:szCs w:val="21"/>
                  <w:highlight w:val="none"/>
                </w:rPr>
              </m:ctrlPr>
            </m:funcPr>
            <m:fName>
              <m:r>
                <w:rPr>
                  <w:rFonts w:hint="default" w:ascii="Cambria Math" w:hAnsi="Times New Roman" w:eastAsia="宋体" w:cs="Times New Roman"/>
                  <w:color w:val="auto"/>
                  <w:szCs w:val="21"/>
                  <w:highlight w:val="none"/>
                </w:rPr>
                <m:t>lg</m:t>
              </m:r>
              <m:ctrlPr>
                <w:rPr>
                  <w:rFonts w:hint="default" w:ascii="Cambria Math" w:hAnsi="Times New Roman" w:eastAsia="宋体" w:cs="Times New Roman"/>
                  <w:i/>
                  <w:color w:val="auto"/>
                  <w:szCs w:val="21"/>
                  <w:highlight w:val="none"/>
                </w:rPr>
              </m:ctrlPr>
            </m:fName>
            <m:e>
              <m:d>
                <m:dPr>
                  <m:ctrlPr>
                    <w:rPr>
                      <w:rFonts w:hint="default" w:ascii="Cambria Math" w:hAnsi="Times New Roman" w:eastAsia="宋体" w:cs="Times New Roman"/>
                      <w:i/>
                      <w:color w:val="auto"/>
                      <w:szCs w:val="21"/>
                      <w:highlight w:val="none"/>
                    </w:rPr>
                  </m:ctrlPr>
                </m:dPr>
                <m:e>
                  <m:f>
                    <m:fPr>
                      <m:ctrlPr>
                        <w:rPr>
                          <w:rFonts w:hint="default" w:ascii="Cambria Math" w:hAnsi="Times New Roman" w:eastAsia="宋体" w:cs="Times New Roman"/>
                          <w:i/>
                          <w:color w:val="auto"/>
                          <w:szCs w:val="21"/>
                          <w:highlight w:val="none"/>
                        </w:rPr>
                      </m:ctrlPr>
                    </m:fPr>
                    <m:num>
                      <m:sSub>
                        <m:sSubPr>
                          <m:ctrlPr>
                            <w:rPr>
                              <w:rFonts w:hint="default" w:ascii="Cambria Math" w:hAnsi="Times New Roman" w:eastAsia="宋体" w:cs="Times New Roman"/>
                              <w:i/>
                              <w:color w:val="auto"/>
                              <w:szCs w:val="21"/>
                              <w:highlight w:val="none"/>
                            </w:rPr>
                          </m:ctrlPr>
                        </m:sSubPr>
                        <m:e>
                          <m:r>
                            <w:rPr>
                              <w:rFonts w:hint="default" w:ascii="Cambria Math" w:hAnsi="Times New Roman" w:eastAsia="宋体" w:cs="Times New Roman"/>
                              <w:color w:val="auto"/>
                              <w:szCs w:val="21"/>
                              <w:highlight w:val="none"/>
                            </w:rPr>
                            <m:t>N</m:t>
                          </m:r>
                          <m:ctrlPr>
                            <w:rPr>
                              <w:rFonts w:hint="default" w:ascii="Cambria Math" w:hAnsi="Times New Roman" w:eastAsia="宋体" w:cs="Times New Roman"/>
                              <w:i/>
                              <w:color w:val="auto"/>
                              <w:szCs w:val="21"/>
                              <w:highlight w:val="none"/>
                            </w:rPr>
                          </m:ctrlPr>
                        </m:e>
                        <m:sub>
                          <m:r>
                            <w:rPr>
                              <w:rFonts w:hint="default" w:ascii="Cambria Math" w:hAnsi="Times New Roman" w:eastAsia="宋体" w:cs="Times New Roman"/>
                              <w:color w:val="auto"/>
                              <w:szCs w:val="21"/>
                              <w:highlight w:val="none"/>
                            </w:rPr>
                            <m:t>i</m:t>
                          </m:r>
                          <m:ctrlPr>
                            <w:rPr>
                              <w:rFonts w:hint="default" w:ascii="Cambria Math" w:hAnsi="Times New Roman" w:eastAsia="宋体" w:cs="Times New Roman"/>
                              <w:i/>
                              <w:color w:val="auto"/>
                              <w:szCs w:val="21"/>
                              <w:highlight w:val="none"/>
                            </w:rPr>
                          </m:ctrlPr>
                        </m:sub>
                      </m:sSub>
                      <m:ctrlPr>
                        <w:rPr>
                          <w:rFonts w:hint="default" w:ascii="Cambria Math" w:hAnsi="Times New Roman" w:eastAsia="宋体" w:cs="Times New Roman"/>
                          <w:i/>
                          <w:color w:val="auto"/>
                          <w:szCs w:val="21"/>
                          <w:highlight w:val="none"/>
                        </w:rPr>
                      </m:ctrlPr>
                    </m:num>
                    <m:den>
                      <m:sSub>
                        <m:sSubPr>
                          <m:ctrlPr>
                            <w:rPr>
                              <w:rFonts w:hint="default" w:ascii="Cambria Math" w:hAnsi="Times New Roman" w:eastAsia="宋体" w:cs="Times New Roman"/>
                              <w:i/>
                              <w:color w:val="auto"/>
                              <w:szCs w:val="21"/>
                              <w:highlight w:val="none"/>
                            </w:rPr>
                          </m:ctrlPr>
                        </m:sSubPr>
                        <m:e>
                          <m:r>
                            <w:rPr>
                              <w:rFonts w:hint="default" w:ascii="Cambria Math" w:hAnsi="Times New Roman" w:eastAsia="宋体" w:cs="Times New Roman"/>
                              <w:color w:val="auto"/>
                              <w:szCs w:val="21"/>
                              <w:highlight w:val="none"/>
                            </w:rPr>
                            <m:t>V</m:t>
                          </m:r>
                          <m:ctrlPr>
                            <w:rPr>
                              <w:rFonts w:hint="default" w:ascii="Cambria Math" w:hAnsi="Times New Roman" w:eastAsia="宋体" w:cs="Times New Roman"/>
                              <w:i/>
                              <w:color w:val="auto"/>
                              <w:szCs w:val="21"/>
                              <w:highlight w:val="none"/>
                            </w:rPr>
                          </m:ctrlPr>
                        </m:e>
                        <m:sub>
                          <m:r>
                            <w:rPr>
                              <w:rFonts w:hint="default" w:ascii="Cambria Math" w:hAnsi="Times New Roman" w:eastAsia="宋体" w:cs="Times New Roman"/>
                              <w:color w:val="auto"/>
                              <w:szCs w:val="21"/>
                              <w:highlight w:val="none"/>
                            </w:rPr>
                            <m:t>i</m:t>
                          </m:r>
                          <m:ctrlPr>
                            <w:rPr>
                              <w:rFonts w:hint="default" w:ascii="Cambria Math" w:hAnsi="Times New Roman" w:eastAsia="宋体" w:cs="Times New Roman"/>
                              <w:i/>
                              <w:color w:val="auto"/>
                              <w:szCs w:val="21"/>
                              <w:highlight w:val="none"/>
                            </w:rPr>
                          </m:ctrlPr>
                        </m:sub>
                      </m:sSub>
                      <m:r>
                        <w:rPr>
                          <w:rFonts w:hint="default" w:ascii="Cambria Math" w:hAnsi="Times New Roman" w:eastAsia="宋体" w:cs="Times New Roman"/>
                          <w:color w:val="auto"/>
                          <w:szCs w:val="21"/>
                          <w:highlight w:val="none"/>
                        </w:rPr>
                        <m:t>T</m:t>
                      </m:r>
                      <m:ctrlPr>
                        <w:rPr>
                          <w:rFonts w:hint="default" w:ascii="Cambria Math" w:hAnsi="Times New Roman" w:eastAsia="宋体" w:cs="Times New Roman"/>
                          <w:i/>
                          <w:color w:val="auto"/>
                          <w:szCs w:val="21"/>
                          <w:highlight w:val="none"/>
                        </w:rPr>
                      </m:ctrlPr>
                    </m:den>
                  </m:f>
                  <m:ctrlPr>
                    <w:rPr>
                      <w:rFonts w:hint="default" w:ascii="Cambria Math" w:hAnsi="Cambria Math" w:eastAsia="宋体" w:cs="Times New Roman"/>
                      <w:i/>
                      <w:color w:val="auto"/>
                      <w:szCs w:val="21"/>
                      <w:highlight w:val="none"/>
                    </w:rPr>
                  </m:ctrlPr>
                </m:e>
              </m:d>
              <m:ctrlPr>
                <w:rPr>
                  <w:rFonts w:hint="default" w:ascii="Cambria Math" w:hAnsi="Cambria Math" w:eastAsia="宋体" w:cs="Times New Roman"/>
                  <w:i/>
                  <w:color w:val="auto"/>
                  <w:szCs w:val="21"/>
                  <w:highlight w:val="none"/>
                </w:rPr>
              </m:ctrlPr>
            </m:e>
          </m:func>
          <m:r>
            <w:rPr>
              <w:rFonts w:hint="default" w:ascii="Cambria Math" w:hAnsi="Times New Roman" w:eastAsia="宋体" w:cs="Times New Roman"/>
              <w:color w:val="auto"/>
              <w:szCs w:val="21"/>
              <w:highlight w:val="none"/>
            </w:rPr>
            <m:t>+</m:t>
          </m:r>
          <m:r>
            <m:rPr>
              <m:sty m:val="p"/>
            </m:rPr>
            <w:rPr>
              <w:rFonts w:hint="default" w:ascii="Cambria Math" w:hAnsi="Times New Roman" w:eastAsia="宋体" w:cs="Times New Roman"/>
              <w:color w:val="auto"/>
              <w:szCs w:val="21"/>
              <w:highlight w:val="none"/>
            </w:rPr>
            <m:t>Δ</m:t>
          </m:r>
          <m:r>
            <m:rPr>
              <m:sty m:val="p"/>
            </m:rPr>
            <w:rPr>
              <w:rFonts w:hint="default" w:ascii="Cambria Math" w:hAnsi="Cambria Math"/>
              <w:color w:val="auto"/>
              <w:kern w:val="0"/>
              <w:sz w:val="24"/>
              <w:szCs w:val="24"/>
              <w:highlight w:val="none"/>
            </w:rPr>
            <m:t>L</m:t>
          </m:r>
          <m:r>
            <m:rPr>
              <m:sty m:val="p"/>
            </m:rPr>
            <w:rPr>
              <w:rFonts w:hint="eastAsia" w:ascii="Cambria Math" w:hAnsi="Cambria Math" w:cs="GNDVIC+ËÎÌå"/>
              <w:color w:val="auto"/>
              <w:kern w:val="0"/>
              <w:sz w:val="13"/>
              <w:highlight w:val="none"/>
            </w:rPr>
            <m:t>距离</m:t>
          </m:r>
          <m:r>
            <w:rPr>
              <w:rFonts w:hint="default" w:ascii="Cambria Math" w:hAnsi="Times New Roman" w:eastAsia="宋体" w:cs="Times New Roman"/>
              <w:color w:val="auto"/>
              <w:szCs w:val="21"/>
              <w:highlight w:val="none"/>
            </w:rPr>
            <m:t>+10</m:t>
          </m:r>
          <m:func>
            <m:funcPr>
              <m:ctrlPr>
                <w:rPr>
                  <w:rFonts w:hint="default" w:ascii="Cambria Math" w:hAnsi="Times New Roman" w:eastAsia="宋体" w:cs="Times New Roman"/>
                  <w:i/>
                  <w:color w:val="auto"/>
                  <w:szCs w:val="21"/>
                  <w:highlight w:val="none"/>
                </w:rPr>
              </m:ctrlPr>
            </m:funcPr>
            <m:fName>
              <m:r>
                <w:rPr>
                  <w:rFonts w:hint="default" w:ascii="Cambria Math" w:hAnsi="Times New Roman" w:eastAsia="宋体" w:cs="Times New Roman"/>
                  <w:color w:val="auto"/>
                  <w:szCs w:val="21"/>
                  <w:highlight w:val="none"/>
                </w:rPr>
                <m:t>lg</m:t>
              </m:r>
              <m:ctrlPr>
                <w:rPr>
                  <w:rFonts w:hint="default" w:ascii="Cambria Math" w:hAnsi="Times New Roman" w:eastAsia="宋体" w:cs="Times New Roman"/>
                  <w:i/>
                  <w:color w:val="auto"/>
                  <w:szCs w:val="21"/>
                  <w:highlight w:val="none"/>
                </w:rPr>
              </m:ctrlPr>
            </m:fName>
            <m:e>
              <m:d>
                <m:dPr>
                  <m:ctrlPr>
                    <w:rPr>
                      <w:rFonts w:hint="default" w:ascii="Cambria Math" w:hAnsi="Cambria Math" w:eastAsia="宋体" w:cs="Times New Roman"/>
                      <w:i/>
                      <w:color w:val="auto"/>
                      <w:szCs w:val="21"/>
                      <w:highlight w:val="none"/>
                    </w:rPr>
                  </m:ctrlPr>
                </m:dPr>
                <m:e>
                  <m:f>
                    <m:fPr>
                      <m:ctrlPr>
                        <w:rPr>
                          <w:rFonts w:hint="default" w:ascii="Cambria Math" w:hAnsi="Cambria Math" w:eastAsia="宋体" w:cs="Times New Roman"/>
                          <w:i/>
                          <w:color w:val="auto"/>
                          <w:szCs w:val="21"/>
                          <w:highlight w:val="none"/>
                        </w:rPr>
                      </m:ctrlPr>
                    </m:fPr>
                    <m:num>
                      <m:sSub>
                        <m:sSubPr>
                          <m:ctrlPr>
                            <w:rPr>
                              <w:rFonts w:hint="default" w:ascii="Cambria Math" w:hAnsi="Cambria Math" w:eastAsia="宋体" w:cs="Times New Roman"/>
                              <w:i/>
                              <w:color w:val="auto"/>
                              <w:szCs w:val="21"/>
                              <w:highlight w:val="none"/>
                            </w:rPr>
                          </m:ctrlPr>
                        </m:sSubPr>
                        <m:e>
                          <m:r>
                            <w:rPr>
                              <w:rFonts w:hint="default" w:ascii="Cambria Math" w:hAnsi="Times New Roman" w:eastAsia="宋体" w:cs="Times New Roman"/>
                              <w:color w:val="auto"/>
                              <w:szCs w:val="21"/>
                              <w:highlight w:val="none"/>
                            </w:rPr>
                            <m:t>Ψ</m:t>
                          </m:r>
                          <m:ctrlPr>
                            <w:rPr>
                              <w:rFonts w:hint="default" w:ascii="Cambria Math" w:hAnsi="Cambria Math" w:eastAsia="宋体" w:cs="Times New Roman"/>
                              <w:i/>
                              <w:color w:val="auto"/>
                              <w:szCs w:val="21"/>
                              <w:highlight w:val="none"/>
                            </w:rPr>
                          </m:ctrlPr>
                        </m:e>
                        <m:sub>
                          <m:r>
                            <w:rPr>
                              <w:rFonts w:hint="default" w:ascii="Cambria Math" w:hAnsi="Times New Roman" w:eastAsia="宋体" w:cs="Times New Roman"/>
                              <w:color w:val="auto"/>
                              <w:szCs w:val="21"/>
                              <w:highlight w:val="none"/>
                            </w:rPr>
                            <m:t>1</m:t>
                          </m:r>
                          <m:ctrlPr>
                            <w:rPr>
                              <w:rFonts w:hint="default" w:ascii="Cambria Math" w:hAnsi="Times New Roman" w:eastAsia="宋体" w:cs="Times New Roman"/>
                              <w:i/>
                              <w:color w:val="auto"/>
                              <w:szCs w:val="21"/>
                              <w:highlight w:val="none"/>
                            </w:rPr>
                          </m:ctrlPr>
                        </m:sub>
                      </m:sSub>
                      <m:r>
                        <w:rPr>
                          <w:rFonts w:hint="default" w:ascii="Cambria Math" w:hAnsi="Times New Roman" w:eastAsia="宋体" w:cs="Times New Roman"/>
                          <w:color w:val="auto"/>
                          <w:szCs w:val="21"/>
                          <w:highlight w:val="none"/>
                        </w:rPr>
                        <m:t>+</m:t>
                      </m:r>
                      <m:sSub>
                        <m:sSubPr>
                          <m:ctrlPr>
                            <w:rPr>
                              <w:rFonts w:hint="default" w:ascii="Cambria Math" w:hAnsi="Cambria Math" w:eastAsia="宋体" w:cs="Times New Roman"/>
                              <w:i/>
                              <w:color w:val="auto"/>
                              <w:szCs w:val="21"/>
                              <w:highlight w:val="none"/>
                            </w:rPr>
                          </m:ctrlPr>
                        </m:sSubPr>
                        <m:e>
                          <m:r>
                            <w:rPr>
                              <w:rFonts w:hint="default" w:ascii="Cambria Math" w:hAnsi="Times New Roman" w:eastAsia="宋体" w:cs="Times New Roman"/>
                              <w:color w:val="auto"/>
                              <w:szCs w:val="21"/>
                              <w:highlight w:val="none"/>
                            </w:rPr>
                            <m:t>Ψ</m:t>
                          </m:r>
                          <m:ctrlPr>
                            <w:rPr>
                              <w:rFonts w:hint="default" w:ascii="Cambria Math" w:hAnsi="Cambria Math" w:eastAsia="宋体" w:cs="Times New Roman"/>
                              <w:i/>
                              <w:color w:val="auto"/>
                              <w:szCs w:val="21"/>
                              <w:highlight w:val="none"/>
                            </w:rPr>
                          </m:ctrlPr>
                        </m:e>
                        <m:sub>
                          <m:r>
                            <w:rPr>
                              <w:rFonts w:hint="default" w:ascii="Cambria Math" w:hAnsi="Times New Roman" w:eastAsia="宋体" w:cs="Times New Roman"/>
                              <w:color w:val="auto"/>
                              <w:szCs w:val="21"/>
                              <w:highlight w:val="none"/>
                            </w:rPr>
                            <m:t>2</m:t>
                          </m:r>
                          <m:ctrlPr>
                            <w:rPr>
                              <w:rFonts w:hint="default" w:ascii="Cambria Math" w:hAnsi="Times New Roman" w:eastAsia="宋体" w:cs="Times New Roman"/>
                              <w:i/>
                              <w:color w:val="auto"/>
                              <w:szCs w:val="21"/>
                              <w:highlight w:val="none"/>
                            </w:rPr>
                          </m:ctrlPr>
                        </m:sub>
                      </m:sSub>
                      <m:ctrlPr>
                        <w:rPr>
                          <w:rFonts w:hint="default" w:ascii="Cambria Math" w:hAnsi="Times New Roman" w:eastAsia="宋体" w:cs="Times New Roman"/>
                          <w:i/>
                          <w:color w:val="auto"/>
                          <w:szCs w:val="21"/>
                          <w:highlight w:val="none"/>
                        </w:rPr>
                      </m:ctrlPr>
                    </m:num>
                    <m:den>
                      <m:r>
                        <w:rPr>
                          <w:rFonts w:hint="default" w:ascii="Cambria Math" w:hAnsi="Times New Roman" w:eastAsia="宋体" w:cs="Times New Roman"/>
                          <w:color w:val="auto"/>
                          <w:szCs w:val="21"/>
                          <w:highlight w:val="none"/>
                        </w:rPr>
                        <m:t>π</m:t>
                      </m:r>
                      <m:ctrlPr>
                        <w:rPr>
                          <w:rFonts w:hint="default" w:ascii="Cambria Math" w:hAnsi="Times New Roman" w:eastAsia="宋体" w:cs="Times New Roman"/>
                          <w:i/>
                          <w:color w:val="auto"/>
                          <w:szCs w:val="21"/>
                          <w:highlight w:val="none"/>
                        </w:rPr>
                      </m:ctrlPr>
                    </m:den>
                  </m:f>
                  <m:ctrlPr>
                    <w:rPr>
                      <w:rFonts w:hint="default" w:ascii="Cambria Math" w:hAnsi="Cambria Math" w:eastAsia="宋体" w:cs="Times New Roman"/>
                      <w:i/>
                      <w:color w:val="auto"/>
                      <w:szCs w:val="21"/>
                      <w:highlight w:val="none"/>
                    </w:rPr>
                  </m:ctrlPr>
                </m:e>
              </m:d>
              <m:ctrlPr>
                <w:rPr>
                  <w:rFonts w:hint="default" w:ascii="Cambria Math" w:hAnsi="Cambria Math" w:eastAsia="宋体" w:cs="Times New Roman"/>
                  <w:i/>
                  <w:color w:val="auto"/>
                  <w:szCs w:val="21"/>
                  <w:highlight w:val="none"/>
                </w:rPr>
              </m:ctrlPr>
            </m:e>
          </m:func>
          <m:r>
            <w:rPr>
              <w:rFonts w:hint="default" w:ascii="Cambria Math" w:hAnsi="Times New Roman" w:eastAsia="宋体" w:cs="Times New Roman"/>
              <w:color w:val="auto"/>
              <w:szCs w:val="21"/>
              <w:highlight w:val="none"/>
            </w:rPr>
            <m:t>+</m:t>
          </m:r>
          <m:r>
            <m:rPr>
              <m:sty m:val="p"/>
            </m:rPr>
            <w:rPr>
              <w:rFonts w:hint="default" w:ascii="Cambria Math" w:hAnsi="Times New Roman" w:eastAsia="宋体" w:cs="Times New Roman"/>
              <w:color w:val="auto"/>
              <w:szCs w:val="21"/>
              <w:highlight w:val="none"/>
            </w:rPr>
            <m:t>Δ</m:t>
          </m:r>
          <m:r>
            <m:rPr>
              <m:sty m:val="p"/>
            </m:rPr>
            <w:rPr>
              <w:rFonts w:hint="default" w:ascii="Cambria Math" w:hAnsi="Cambria Math"/>
              <w:color w:val="auto"/>
              <w:kern w:val="0"/>
              <w:sz w:val="24"/>
              <w:szCs w:val="24"/>
              <w:highlight w:val="none"/>
            </w:rPr>
            <m:t>L</m:t>
          </m:r>
          <m:r>
            <w:rPr>
              <w:rFonts w:hint="default" w:ascii="Cambria Math" w:hAnsi="Times New Roman" w:eastAsia="宋体" w:cs="Times New Roman"/>
              <w:color w:val="auto"/>
              <w:szCs w:val="21"/>
              <w:highlight w:val="none"/>
            </w:rPr>
            <m:t>−16</m:t>
          </m:r>
        </m:oMath>
      </m:oMathPara>
    </w:p>
    <w:p>
      <w:pPr>
        <w:adjustRightInd w:val="0"/>
        <w:snapToGrid w:val="0"/>
        <w:spacing w:line="360" w:lineRule="auto"/>
        <w:rPr>
          <w:color w:val="auto"/>
          <w:sz w:val="24"/>
          <w:highlight w:val="none"/>
        </w:rPr>
      </w:pPr>
      <w:r>
        <w:rPr>
          <w:color w:val="auto"/>
          <w:sz w:val="24"/>
          <w:highlight w:val="none"/>
        </w:rPr>
        <w:t>式中：</w:t>
      </w:r>
      <w:bookmarkStart w:id="46" w:name="_Hlk107518467"/>
      <w:r>
        <w:rPr>
          <w:color w:val="auto"/>
          <w:position w:val="-12"/>
          <w:sz w:val="24"/>
          <w:highlight w:val="none"/>
        </w:rPr>
        <w:object>
          <v:shape id="_x0000_i1030" o:spt="75" type="#_x0000_t75" style="height:18.75pt;width:38.25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bookmarkEnd w:id="46"/>
      <w:r>
        <w:rPr>
          <w:color w:val="auto"/>
          <w:sz w:val="24"/>
          <w:highlight w:val="none"/>
        </w:rPr>
        <w:t>—第i类车的小时等效声级，</w:t>
      </w:r>
      <w:bookmarkStart w:id="47" w:name="_Hlk107520712"/>
      <w:r>
        <w:rPr>
          <w:color w:val="auto"/>
          <w:sz w:val="24"/>
          <w:highlight w:val="none"/>
        </w:rPr>
        <w:t>dB(A)</w:t>
      </w:r>
      <w:bookmarkEnd w:id="47"/>
      <w:r>
        <w:rPr>
          <w:color w:val="auto"/>
          <w:sz w:val="24"/>
          <w:highlight w:val="none"/>
        </w:rPr>
        <w:t>；</w:t>
      </w:r>
    </w:p>
    <w:p>
      <w:pPr>
        <w:adjustRightInd w:val="0"/>
        <w:snapToGrid w:val="0"/>
        <w:spacing w:line="360" w:lineRule="auto"/>
        <w:ind w:firstLine="480" w:firstLineChars="200"/>
        <w:rPr>
          <w:color w:val="auto"/>
          <w:sz w:val="24"/>
          <w:highlight w:val="none"/>
        </w:rPr>
      </w:pPr>
      <w:r>
        <w:rPr>
          <w:color w:val="auto"/>
          <w:position w:val="-12"/>
          <w:sz w:val="24"/>
          <w:highlight w:val="none"/>
        </w:rPr>
        <w:object>
          <v:shape id="_x0000_i1031" o:spt="75" type="#_x0000_t75" style="height:20.25pt;width:33.75pt;" o:ole="t" filled="f" o:preferrelative="t" stroked="f" coordsize="21600,21600">
            <v:path/>
            <v:fill on="f" focussize="0,0"/>
            <v:stroke on="f"/>
            <v:imagedata r:id="rId27" o:title=""/>
            <o:lock v:ext="edit" aspectratio="t"/>
            <w10:wrap type="none"/>
            <w10:anchorlock/>
          </v:shape>
          <o:OLEObject Type="Embed" ProgID="Equation.3" ShapeID="_x0000_i1031" DrawAspect="Content" ObjectID="_1468075731" r:id="rId26">
            <o:LockedField>false</o:LockedField>
          </o:OLEObject>
        </w:object>
      </w:r>
      <w:r>
        <w:rPr>
          <w:color w:val="auto"/>
          <w:sz w:val="24"/>
          <w:highlight w:val="none"/>
        </w:rPr>
        <w:t>—第i类车速度为</w:t>
      </w:r>
      <w:r>
        <w:rPr>
          <w:color w:val="auto"/>
          <w:position w:val="-12"/>
          <w:sz w:val="24"/>
          <w:highlight w:val="none"/>
        </w:rPr>
        <w:object>
          <v:shape id="_x0000_i1032" o:spt="75" type="#_x0000_t75" style="height:16.5pt;width:11.25pt;" o:ole="t" filled="f" o:preferrelative="t" stroked="f" coordsize="21600,21600">
            <v:path/>
            <v:fill on="f" focussize="0,0"/>
            <v:stroke on="f"/>
            <v:imagedata r:id="rId29" o:title=""/>
            <o:lock v:ext="edit" aspectratio="t"/>
            <w10:wrap type="none"/>
            <w10:anchorlock/>
          </v:shape>
          <o:OLEObject Type="Embed" ProgID="Equation.3" ShapeID="_x0000_i1032" DrawAspect="Content" ObjectID="_1468075732" r:id="rId28">
            <o:LockedField>false</o:LockedField>
          </o:OLEObject>
        </w:object>
      </w:r>
      <w:r>
        <w:rPr>
          <w:rFonts w:hint="eastAsia"/>
          <w:color w:val="auto"/>
          <w:sz w:val="24"/>
          <w:highlight w:val="none"/>
        </w:rPr>
        <w:t>，</w:t>
      </w:r>
      <w:r>
        <w:rPr>
          <w:color w:val="auto"/>
          <w:sz w:val="24"/>
          <w:highlight w:val="none"/>
        </w:rPr>
        <w:t>km/h</w:t>
      </w:r>
      <w:r>
        <w:rPr>
          <w:rFonts w:hint="eastAsia"/>
          <w:color w:val="auto"/>
          <w:sz w:val="24"/>
          <w:highlight w:val="none"/>
        </w:rPr>
        <w:t>；</w:t>
      </w:r>
      <w:r>
        <w:rPr>
          <w:color w:val="auto"/>
          <w:sz w:val="24"/>
          <w:highlight w:val="none"/>
        </w:rPr>
        <w:t>水平距离为7.5米处的能量平均A声级，dB；</w:t>
      </w:r>
    </w:p>
    <w:p>
      <w:pPr>
        <w:adjustRightInd w:val="0"/>
        <w:snapToGrid w:val="0"/>
        <w:spacing w:line="360" w:lineRule="auto"/>
        <w:ind w:firstLine="480" w:firstLineChars="200"/>
        <w:rPr>
          <w:color w:val="auto"/>
          <w:sz w:val="24"/>
          <w:highlight w:val="none"/>
        </w:rPr>
      </w:pPr>
      <w:r>
        <w:rPr>
          <w:color w:val="auto"/>
          <w:position w:val="-12"/>
          <w:sz w:val="24"/>
          <w:highlight w:val="none"/>
        </w:rPr>
        <w:object>
          <v:shape id="_x0000_i1033" o:spt="75" type="#_x0000_t75" style="height:16.5pt;width:15.75pt;" o:ole="t" filled="f" o:preferrelative="t" stroked="f" coordsize="21600,21600">
            <v:path/>
            <v:fill on="f" focussize="0,0"/>
            <v:stroke on="f"/>
            <v:imagedata r:id="rId31" o:title=""/>
            <o:lock v:ext="edit" aspectratio="t"/>
            <w10:wrap type="none"/>
            <w10:anchorlock/>
          </v:shape>
          <o:OLEObject Type="Embed" ProgID="Equation.3" ShapeID="_x0000_i1033" DrawAspect="Content" ObjectID="_1468075733" r:id="rId30">
            <o:LockedField>false</o:LockedField>
          </o:OLEObject>
        </w:object>
      </w:r>
      <w:r>
        <w:rPr>
          <w:color w:val="auto"/>
          <w:sz w:val="24"/>
          <w:highlight w:val="none"/>
        </w:rPr>
        <w:t>—昼间，夜间通过某个预测点的第i类车平均小时车流量，辆/h；</w:t>
      </w:r>
    </w:p>
    <w:p>
      <w:pPr>
        <w:adjustRightInd w:val="0"/>
        <w:snapToGrid w:val="0"/>
        <w:spacing w:line="360" w:lineRule="auto"/>
        <w:ind w:firstLine="480" w:firstLineChars="200"/>
        <w:rPr>
          <w:color w:val="auto"/>
          <w:sz w:val="24"/>
          <w:highlight w:val="none"/>
        </w:rPr>
      </w:pPr>
      <w:r>
        <w:rPr>
          <w:color w:val="auto"/>
          <w:position w:val="-12"/>
          <w:sz w:val="24"/>
          <w:highlight w:val="none"/>
        </w:rPr>
        <w:object>
          <v:shape id="_x0000_i1034" o:spt="75" type="#_x0000_t75" style="height:18.7pt;width:11.25pt;" o:ole="t" filled="f" o:preferrelative="t" stroked="f" coordsize="21600,21600">
            <v:path/>
            <v:fill on="f" focussize="0,0"/>
            <v:stroke on="f"/>
            <v:imagedata r:id="rId33" o:title=""/>
            <o:lock v:ext="edit" aspectratio="t"/>
            <w10:wrap type="none"/>
            <w10:anchorlock/>
          </v:shape>
          <o:OLEObject Type="Embed" ProgID="Equation.3" ShapeID="_x0000_i1034" DrawAspect="Content" ObjectID="_1468075734" r:id="rId32">
            <o:LockedField>false</o:LockedField>
          </o:OLEObject>
        </w:object>
      </w:r>
      <w:r>
        <w:rPr>
          <w:color w:val="auto"/>
          <w:sz w:val="24"/>
          <w:highlight w:val="none"/>
        </w:rPr>
        <w:t>—第i类车的平均车速，km/h；</w:t>
      </w:r>
    </w:p>
    <w:p>
      <w:pPr>
        <w:spacing w:line="360" w:lineRule="auto"/>
        <w:ind w:firstLine="480" w:firstLineChars="200"/>
        <w:rPr>
          <w:color w:val="auto"/>
          <w:sz w:val="24"/>
          <w:highlight w:val="none"/>
        </w:rPr>
      </w:pPr>
      <w:r>
        <w:rPr>
          <w:color w:val="auto"/>
          <w:position w:val="-4"/>
          <w:sz w:val="24"/>
          <w:highlight w:val="none"/>
        </w:rPr>
        <w:object>
          <v:shape id="_x0000_i1035" o:spt="75" type="#_x0000_t75" style="height:14.25pt;width:11.25pt;" o:ole="t" filled="f" o:preferrelative="t" stroked="f" coordsize="21600,21600">
            <v:path/>
            <v:fill on="f" focussize="0,0"/>
            <v:stroke on="f"/>
            <v:imagedata r:id="rId35" o:title=""/>
            <o:lock v:ext="edit" aspectratio="t"/>
            <w10:wrap type="none"/>
            <w10:anchorlock/>
          </v:shape>
          <o:OLEObject Type="Embed" ProgID="Equation.3" ShapeID="_x0000_i1035" DrawAspect="Content" ObjectID="_1468075735" r:id="rId34">
            <o:LockedField>false</o:LockedField>
          </o:OLEObject>
        </w:object>
      </w:r>
      <w:bookmarkStart w:id="48" w:name="_Hlk107520673"/>
      <w:r>
        <w:rPr>
          <w:color w:val="auto"/>
          <w:sz w:val="24"/>
          <w:highlight w:val="none"/>
        </w:rPr>
        <w:t>—</w:t>
      </w:r>
      <w:bookmarkEnd w:id="48"/>
      <w:r>
        <w:rPr>
          <w:color w:val="auto"/>
          <w:sz w:val="24"/>
          <w:highlight w:val="none"/>
        </w:rPr>
        <w:t>计算等效声级的时间，1h；</w:t>
      </w:r>
    </w:p>
    <w:p>
      <w:pPr>
        <w:spacing w:line="360" w:lineRule="auto"/>
        <w:ind w:left="1308" w:leftChars="200" w:hanging="888" w:hangingChars="400"/>
        <w:rPr>
          <w:color w:val="auto"/>
          <w:sz w:val="24"/>
          <w:highlight w:val="none"/>
        </w:rPr>
      </w:pPr>
      <w:bookmarkStart w:id="49" w:name="_Hlk107520631"/>
      <w:r>
        <w:rPr>
          <w:rFonts w:ascii="Symbol" w:hAnsi="Symbol" w:eastAsia="Symbol"/>
          <w:color w:val="auto"/>
          <w:spacing w:val="-9"/>
          <w:position w:val="2"/>
          <w:sz w:val="24"/>
          <w:highlight w:val="none"/>
        </w:rPr>
        <w:t></w:t>
      </w:r>
      <w:r>
        <w:rPr>
          <w:iCs/>
          <w:color w:val="auto"/>
          <w:kern w:val="0"/>
          <w:sz w:val="24"/>
          <w:highlight w:val="none"/>
        </w:rPr>
        <w:t>L</w:t>
      </w:r>
      <w:r>
        <w:rPr>
          <w:rFonts w:hint="eastAsia" w:ascii="GNDVIC+ËÎÌå" w:hAnsi="GNDVIC+ËÎÌå" w:cs="GNDVIC+ËÎÌå"/>
          <w:color w:val="auto"/>
          <w:kern w:val="0"/>
          <w:sz w:val="13"/>
          <w:highlight w:val="none"/>
        </w:rPr>
        <w:t>距离</w:t>
      </w:r>
      <w:bookmarkEnd w:id="49"/>
      <w:r>
        <w:rPr>
          <w:color w:val="auto"/>
          <w:sz w:val="24"/>
          <w:highlight w:val="none"/>
        </w:rPr>
        <w:t>—</w:t>
      </w:r>
      <w:r>
        <w:rPr>
          <w:rFonts w:hint="eastAsia"/>
          <w:color w:val="auto"/>
          <w:sz w:val="24"/>
          <w:highlight w:val="none"/>
        </w:rPr>
        <w:t>距离衰减量，</w:t>
      </w:r>
      <w:r>
        <w:rPr>
          <w:color w:val="auto"/>
          <w:sz w:val="24"/>
          <w:highlight w:val="none"/>
        </w:rPr>
        <w:t>dB(A)</w:t>
      </w:r>
      <w:r>
        <w:rPr>
          <w:rFonts w:hint="eastAsia"/>
          <w:color w:val="auto"/>
          <w:sz w:val="24"/>
          <w:highlight w:val="none"/>
        </w:rPr>
        <w:t>，小</w:t>
      </w:r>
      <w:r>
        <w:rPr>
          <w:color w:val="auto"/>
          <w:sz w:val="24"/>
          <w:highlight w:val="none"/>
        </w:rPr>
        <w:t>时车流量大于等于300辆/小时</w:t>
      </w:r>
      <w:r>
        <w:rPr>
          <w:rFonts w:hint="eastAsia"/>
          <w:color w:val="auto"/>
          <w:sz w:val="24"/>
          <w:highlight w:val="none"/>
        </w:rPr>
        <w:t>：</w:t>
      </w:r>
      <w:r>
        <w:rPr>
          <w:rFonts w:ascii="Symbol" w:hAnsi="Symbol" w:eastAsia="Symbol"/>
          <w:color w:val="auto"/>
          <w:spacing w:val="-9"/>
          <w:position w:val="2"/>
          <w:sz w:val="24"/>
          <w:highlight w:val="none"/>
        </w:rPr>
        <w:t></w:t>
      </w:r>
      <w:r>
        <w:rPr>
          <w:iCs/>
          <w:color w:val="auto"/>
          <w:kern w:val="0"/>
          <w:sz w:val="24"/>
          <w:highlight w:val="none"/>
        </w:rPr>
        <w:t>L</w:t>
      </w:r>
      <w:r>
        <w:rPr>
          <w:color w:val="auto"/>
          <w:sz w:val="24"/>
          <w:highlight w:val="none"/>
        </w:rPr>
        <w:t>=10lg7.5/</w:t>
      </w:r>
      <w:r>
        <w:rPr>
          <w:color w:val="auto"/>
          <w:sz w:val="24"/>
          <w:highlight w:val="none"/>
        </w:rPr>
        <w:sym w:font="Symbol" w:char="F028"/>
      </w:r>
      <w:r>
        <w:rPr>
          <w:rFonts w:hint="eastAsia"/>
          <w:color w:val="auto"/>
          <w:sz w:val="24"/>
          <w:highlight w:val="none"/>
        </w:rPr>
        <w:t>r</w:t>
      </w:r>
      <w:r>
        <w:rPr>
          <w:color w:val="auto"/>
          <w:sz w:val="24"/>
          <w:highlight w:val="none"/>
        </w:rPr>
        <w:sym w:font="Symbol" w:char="F029"/>
      </w:r>
      <w:r>
        <w:rPr>
          <w:color w:val="auto"/>
          <w:sz w:val="24"/>
          <w:highlight w:val="none"/>
        </w:rPr>
        <w:t>，小时车流量小于 300辆/小时：</w:t>
      </w:r>
      <w:r>
        <w:rPr>
          <w:rFonts w:ascii="Symbol" w:hAnsi="Symbol" w:eastAsia="Symbol"/>
          <w:color w:val="auto"/>
          <w:spacing w:val="-9"/>
          <w:position w:val="2"/>
          <w:sz w:val="24"/>
          <w:highlight w:val="none"/>
        </w:rPr>
        <w:t></w:t>
      </w:r>
      <w:r>
        <w:rPr>
          <w:iCs/>
          <w:color w:val="auto"/>
          <w:kern w:val="0"/>
          <w:sz w:val="24"/>
          <w:highlight w:val="none"/>
        </w:rPr>
        <w:t>L</w:t>
      </w:r>
      <w:r>
        <w:rPr>
          <w:rFonts w:hint="eastAsia" w:ascii="GNDVIC+ËÎÌå" w:hAnsi="GNDVIC+ËÎÌå" w:cs="GNDVIC+ËÎÌå"/>
          <w:color w:val="auto"/>
          <w:kern w:val="0"/>
          <w:sz w:val="13"/>
          <w:highlight w:val="none"/>
        </w:rPr>
        <w:t>距离</w:t>
      </w:r>
      <w:r>
        <w:rPr>
          <w:color w:val="auto"/>
          <w:sz w:val="24"/>
          <w:highlight w:val="none"/>
        </w:rPr>
        <w:t>=15lg7.5/</w:t>
      </w:r>
      <w:r>
        <w:rPr>
          <w:color w:val="auto"/>
          <w:sz w:val="24"/>
          <w:highlight w:val="none"/>
        </w:rPr>
        <w:sym w:font="Symbol" w:char="F028"/>
      </w:r>
      <w:r>
        <w:rPr>
          <w:rFonts w:hint="eastAsia"/>
          <w:color w:val="auto"/>
          <w:sz w:val="24"/>
          <w:highlight w:val="none"/>
        </w:rPr>
        <w:t>r</w:t>
      </w:r>
      <w:r>
        <w:rPr>
          <w:color w:val="auto"/>
          <w:sz w:val="24"/>
          <w:highlight w:val="none"/>
        </w:rPr>
        <w:sym w:font="Symbol" w:char="F029"/>
      </w:r>
      <w:r>
        <w:rPr>
          <w:color w:val="auto"/>
          <w:sz w:val="24"/>
          <w:highlight w:val="none"/>
        </w:rPr>
        <w:t>；</w:t>
      </w:r>
    </w:p>
    <w:p>
      <w:pPr>
        <w:spacing w:line="360" w:lineRule="auto"/>
        <w:ind w:left="660" w:leftChars="200" w:hanging="240" w:hangingChars="100"/>
        <w:rPr>
          <w:color w:val="auto"/>
          <w:sz w:val="24"/>
          <w:highlight w:val="none"/>
        </w:rPr>
      </w:pPr>
      <w:r>
        <w:rPr>
          <w:rFonts w:hint="eastAsia"/>
          <w:color w:val="auto"/>
          <w:sz w:val="24"/>
          <w:highlight w:val="none"/>
        </w:rPr>
        <w:t>r</w:t>
      </w:r>
      <w:r>
        <w:rPr>
          <w:color w:val="auto"/>
          <w:sz w:val="24"/>
          <w:highlight w:val="none"/>
        </w:rPr>
        <w:t>—</w:t>
      </w:r>
      <w:r>
        <w:rPr>
          <w:rFonts w:hint="eastAsia"/>
          <w:color w:val="auto"/>
          <w:sz w:val="24"/>
          <w:highlight w:val="none"/>
        </w:rPr>
        <w:t>从车道中心线到预测点的距离，m，以上公式适用于</w:t>
      </w:r>
      <w:r>
        <w:rPr>
          <w:color w:val="auto"/>
          <w:sz w:val="24"/>
          <w:highlight w:val="none"/>
        </w:rPr>
        <w:t>r＞7.5m的预测点的噪声预测；</w:t>
      </w:r>
    </w:p>
    <w:p>
      <w:pPr>
        <w:spacing w:line="360" w:lineRule="auto"/>
        <w:ind w:firstLine="480" w:firstLineChars="200"/>
        <w:rPr>
          <w:color w:val="auto"/>
          <w:sz w:val="24"/>
          <w:highlight w:val="none"/>
        </w:rPr>
      </w:pPr>
      <w:r>
        <w:rPr>
          <w:color w:val="auto"/>
          <w:position w:val="-10"/>
          <w:sz w:val="24"/>
          <w:highlight w:val="none"/>
        </w:rPr>
        <w:object>
          <v:shape id="_x0000_i1036" o:spt="75" type="#_x0000_t75" style="height:16.5pt;width:15.75pt;" o:ole="t" filled="f" o:preferrelative="t" stroked="f" coordsize="21600,21600">
            <v:path/>
            <v:fill on="f" focussize="0,0"/>
            <v:stroke on="f"/>
            <v:imagedata r:id="rId37" o:title=""/>
            <o:lock v:ext="edit" aspectratio="t"/>
            <w10:wrap type="none"/>
            <w10:anchorlock/>
          </v:shape>
          <o:OLEObject Type="Embed" ProgID="Equation.3" ShapeID="_x0000_i1036" DrawAspect="Content" ObjectID="_1468075736" r:id="rId36">
            <o:LockedField>false</o:LockedField>
          </o:OLEObject>
        </w:object>
      </w:r>
      <w:r>
        <w:rPr>
          <w:color w:val="auto"/>
          <w:sz w:val="24"/>
          <w:highlight w:val="none"/>
        </w:rPr>
        <w:t>、</w:t>
      </w:r>
      <w:r>
        <w:rPr>
          <w:color w:val="auto"/>
          <w:position w:val="-10"/>
          <w:sz w:val="24"/>
          <w:highlight w:val="none"/>
        </w:rPr>
        <w:object>
          <v:shape id="_x0000_i1037" o:spt="75" type="#_x0000_t75" style="height:16.5pt;width:16.5pt;" o:ole="t" filled="f" o:preferrelative="t" stroked="f" coordsize="21600,21600">
            <v:path/>
            <v:fill on="f" focussize="0,0"/>
            <v:stroke on="f"/>
            <v:imagedata r:id="rId39" o:title=""/>
            <o:lock v:ext="edit" aspectratio="t"/>
            <w10:wrap type="none"/>
            <w10:anchorlock/>
          </v:shape>
          <o:OLEObject Type="Embed" ProgID="Equation.3" ShapeID="_x0000_i1037" DrawAspect="Content" ObjectID="_1468075737" r:id="rId38">
            <o:LockedField>false</o:LockedField>
          </o:OLEObject>
        </w:object>
      </w:r>
      <w:r>
        <w:rPr>
          <w:color w:val="auto"/>
          <w:sz w:val="24"/>
          <w:highlight w:val="none"/>
        </w:rPr>
        <w:t>—预测点到有限长路段两端的张角，弧度，见图</w:t>
      </w:r>
      <w:r>
        <w:rPr>
          <w:rFonts w:hint="eastAsia"/>
          <w:color w:val="auto"/>
          <w:sz w:val="24"/>
          <w:highlight w:val="none"/>
        </w:rPr>
        <w:t>4.2</w:t>
      </w:r>
      <w:r>
        <w:rPr>
          <w:color w:val="auto"/>
          <w:sz w:val="24"/>
          <w:highlight w:val="none"/>
        </w:rPr>
        <w:t>-1所示；</w:t>
      </w:r>
    </w:p>
    <w:p>
      <w:pPr>
        <w:spacing w:line="360" w:lineRule="auto"/>
        <w:ind w:firstLine="480" w:firstLineChars="200"/>
        <w:jc w:val="center"/>
        <w:rPr>
          <w:color w:val="auto"/>
          <w:sz w:val="24"/>
          <w:highlight w:val="none"/>
        </w:rPr>
      </w:pPr>
      <w:r>
        <w:rPr>
          <w:color w:val="auto"/>
          <w:sz w:val="24"/>
          <w:highlight w:val="none"/>
        </w:rPr>
        <w:drawing>
          <wp:inline distT="0" distB="0" distL="114300" distR="114300">
            <wp:extent cx="3203575" cy="1313815"/>
            <wp:effectExtent l="0" t="0" r="0" b="0"/>
            <wp:docPr id="1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
                    <pic:cNvPicPr>
                      <a:picLocks noChangeAspect="1"/>
                    </pic:cNvPicPr>
                  </pic:nvPicPr>
                  <pic:blipFill>
                    <a:blip r:embed="rId40"/>
                    <a:stretch>
                      <a:fillRect/>
                    </a:stretch>
                  </pic:blipFill>
                  <pic:spPr>
                    <a:xfrm>
                      <a:off x="0" y="0"/>
                      <a:ext cx="3203575" cy="1313815"/>
                    </a:xfrm>
                    <a:prstGeom prst="rect">
                      <a:avLst/>
                    </a:prstGeom>
                    <a:noFill/>
                    <a:ln>
                      <a:noFill/>
                    </a:ln>
                  </pic:spPr>
                </pic:pic>
              </a:graphicData>
            </a:graphic>
          </wp:inline>
        </w:drawing>
      </w:r>
    </w:p>
    <w:p>
      <w:pPr>
        <w:spacing w:before="120" w:beforeLines="50"/>
        <w:ind w:firstLine="480"/>
        <w:jc w:val="center"/>
        <w:rPr>
          <w:rFonts w:hint="eastAsia"/>
          <w:b/>
          <w:bCs/>
          <w:color w:val="auto"/>
          <w:sz w:val="24"/>
          <w:highlight w:val="none"/>
        </w:rPr>
      </w:pPr>
      <w:r>
        <w:rPr>
          <w:rFonts w:hint="eastAsia"/>
          <w:b/>
          <w:bCs/>
          <w:color w:val="auto"/>
          <w:sz w:val="24"/>
          <w:highlight w:val="none"/>
        </w:rPr>
        <w:t>图4.2-1 有限路段的修正函数，A~B为路段，P为预测点</w:t>
      </w:r>
    </w:p>
    <w:p>
      <w:pPr>
        <w:spacing w:line="360" w:lineRule="auto"/>
        <w:ind w:firstLine="480" w:firstLineChars="200"/>
        <w:rPr>
          <w:color w:val="auto"/>
          <w:sz w:val="24"/>
          <w:highlight w:val="none"/>
        </w:rPr>
      </w:pPr>
      <w:r>
        <w:rPr>
          <w:rFonts w:hint="eastAsia"/>
          <w:color w:val="auto"/>
          <w:sz w:val="24"/>
          <w:highlight w:val="none"/>
        </w:rPr>
        <w:t>由</w:t>
      </w:r>
      <w:r>
        <w:rPr>
          <w:color w:val="auto"/>
          <w:sz w:val="24"/>
          <w:highlight w:val="none"/>
        </w:rPr>
        <w:t>其他因素引起的修正量(</w:t>
      </w:r>
      <w:r>
        <w:rPr>
          <w:color w:val="auto"/>
          <w:position w:val="-10"/>
          <w:sz w:val="24"/>
          <w:highlight w:val="none"/>
        </w:rPr>
        <w:object>
          <v:shape id="_x0000_i1038" o:spt="75" type="#_x0000_t75" style="height:16.5pt;width:20.25pt;" o:ole="t" filled="f" o:preferrelative="t" stroked="f" coordsize="21600,21600">
            <v:path/>
            <v:fill on="f" focussize="0,0"/>
            <v:stroke on="f"/>
            <v:imagedata r:id="rId42" o:title=""/>
            <o:lock v:ext="edit" aspectratio="t"/>
            <w10:wrap type="none"/>
            <w10:anchorlock/>
          </v:shape>
          <o:OLEObject Type="Embed" ProgID="Equation.3" ShapeID="_x0000_i1038" DrawAspect="Content" ObjectID="_1468075738" r:id="rId41">
            <o:LockedField>false</o:LockedField>
          </o:OLEObject>
        </w:object>
      </w:r>
      <w:r>
        <w:rPr>
          <w:color w:val="auto"/>
          <w:sz w:val="24"/>
          <w:highlight w:val="none"/>
        </w:rPr>
        <w:t>)可按下式计算：</w:t>
      </w:r>
    </w:p>
    <w:p>
      <w:pPr>
        <w:spacing w:line="360" w:lineRule="auto"/>
        <w:jc w:val="center"/>
        <w:rPr>
          <w:color w:val="auto"/>
          <w:sz w:val="24"/>
          <w:highlight w:val="none"/>
        </w:rPr>
      </w:pPr>
      <w:r>
        <w:rPr>
          <w:color w:val="auto"/>
          <w:position w:val="-4"/>
          <w:sz w:val="24"/>
          <w:highlight w:val="none"/>
        </w:rPr>
        <w:object>
          <v:shape id="_x0000_i1039" o:spt="75" type="#_x0000_t75" style="height:14.25pt;width:18.7pt;" o:ole="t" filled="f" o:preferrelative="t" stroked="f" coordsize="21600,21600">
            <v:path/>
            <v:fill on="f" focussize="0,0"/>
            <v:stroke on="f"/>
            <v:imagedata r:id="rId44" o:title=""/>
            <o:lock v:ext="edit" aspectratio="t"/>
            <w10:wrap type="none"/>
            <w10:anchorlock/>
          </v:shape>
          <o:OLEObject Type="Embed" ProgID="Equation.3" ShapeID="_x0000_i1039" DrawAspect="Content" ObjectID="_1468075739" r:id="rId43">
            <o:LockedField>false</o:LockedField>
          </o:OLEObject>
        </w:object>
      </w:r>
      <w:r>
        <w:rPr>
          <w:color w:val="auto"/>
          <w:sz w:val="24"/>
          <w:highlight w:val="none"/>
        </w:rPr>
        <w:t>=</w:t>
      </w:r>
      <w:r>
        <w:rPr>
          <w:color w:val="auto"/>
          <w:position w:val="-10"/>
          <w:sz w:val="24"/>
          <w:highlight w:val="none"/>
        </w:rPr>
        <w:object>
          <v:shape id="_x0000_i1040" o:spt="75" type="#_x0000_t75" style="height:16.5pt;width:20.25pt;" o:ole="t" filled="f" o:preferrelative="t" stroked="f" coordsize="21600,21600">
            <v:path/>
            <v:fill on="f" focussize="0,0"/>
            <v:stroke on="f"/>
            <v:imagedata r:id="rId46" o:title=""/>
            <o:lock v:ext="edit" aspectratio="t"/>
            <w10:wrap type="none"/>
            <w10:anchorlock/>
          </v:shape>
          <o:OLEObject Type="Embed" ProgID="Equation.3" ShapeID="_x0000_i1040" DrawAspect="Content" ObjectID="_1468075740" r:id="rId45">
            <o:LockedField>false</o:LockedField>
          </o:OLEObject>
        </w:object>
      </w:r>
      <w:r>
        <w:rPr>
          <w:color w:val="auto"/>
          <w:sz w:val="24"/>
          <w:highlight w:val="none"/>
        </w:rPr>
        <w:t>-</w:t>
      </w:r>
      <w:r>
        <w:rPr>
          <w:color w:val="auto"/>
          <w:position w:val="-10"/>
          <w:sz w:val="24"/>
          <w:highlight w:val="none"/>
        </w:rPr>
        <w:object>
          <v:shape id="_x0000_i1041" o:spt="75" type="#_x0000_t75" style="height:16.5pt;width:22.5pt;" o:ole="t" filled="f" o:preferrelative="t" stroked="f" coordsize="21600,21600">
            <v:path/>
            <v:fill on="f" focussize="0,0"/>
            <v:stroke on="f"/>
            <v:imagedata r:id="rId48" o:title=""/>
            <o:lock v:ext="edit" aspectratio="t"/>
            <w10:wrap type="none"/>
            <w10:anchorlock/>
          </v:shape>
          <o:OLEObject Type="Embed" ProgID="Equation.3" ShapeID="_x0000_i1041" DrawAspect="Content" ObjectID="_1468075741" r:id="rId47">
            <o:LockedField>false</o:LockedField>
          </o:OLEObject>
        </w:object>
      </w:r>
      <w:r>
        <w:rPr>
          <w:color w:val="auto"/>
          <w:sz w:val="24"/>
          <w:highlight w:val="none"/>
        </w:rPr>
        <w:t>+</w:t>
      </w:r>
      <w:r>
        <w:rPr>
          <w:color w:val="auto"/>
          <w:position w:val="-12"/>
          <w:sz w:val="24"/>
          <w:highlight w:val="none"/>
        </w:rPr>
        <w:object>
          <v:shape id="_x0000_i1042" o:spt="75" type="#_x0000_t75" style="height:18.7pt;width:22.5pt;" o:ole="t" filled="f" o:preferrelative="t" stroked="f" coordsize="21600,21600">
            <v:path/>
            <v:fill on="f" focussize="0,0"/>
            <v:stroke on="f"/>
            <v:imagedata r:id="rId50" o:title=""/>
            <o:lock v:ext="edit" aspectratio="t"/>
            <w10:wrap type="none"/>
            <w10:anchorlock/>
          </v:shape>
          <o:OLEObject Type="Embed" ProgID="Equation.3" ShapeID="_x0000_i1042" DrawAspect="Content" ObjectID="_1468075742" r:id="rId49">
            <o:LockedField>false</o:LockedField>
          </o:OLEObject>
        </w:object>
      </w:r>
    </w:p>
    <w:p>
      <w:pPr>
        <w:spacing w:line="360" w:lineRule="auto"/>
        <w:jc w:val="center"/>
        <w:rPr>
          <w:color w:val="auto"/>
          <w:sz w:val="24"/>
          <w:highlight w:val="none"/>
        </w:rPr>
      </w:pPr>
      <w:bookmarkStart w:id="50" w:name="_Hlk107521513"/>
      <w:r>
        <w:rPr>
          <w:color w:val="auto"/>
          <w:position w:val="-10"/>
          <w:sz w:val="24"/>
          <w:highlight w:val="none"/>
        </w:rPr>
        <w:object>
          <v:shape id="_x0000_i1043" o:spt="75" type="#_x0000_t75" style="height:16.5pt;width:20.25pt;" o:ole="t" filled="f" o:preferrelative="t" stroked="f" coordsize="21600,21600">
            <v:path/>
            <v:fill on="f" focussize="0,0"/>
            <v:stroke on="f"/>
            <v:imagedata r:id="rId42" o:title=""/>
            <o:lock v:ext="edit" aspectratio="t"/>
            <w10:wrap type="none"/>
            <w10:anchorlock/>
          </v:shape>
          <o:OLEObject Type="Embed" ProgID="Equation.3" ShapeID="_x0000_i1043" DrawAspect="Content" ObjectID="_1468075743" r:id="rId51">
            <o:LockedField>false</o:LockedField>
          </o:OLEObject>
        </w:object>
      </w:r>
      <w:bookmarkEnd w:id="50"/>
      <w:r>
        <w:rPr>
          <w:color w:val="auto"/>
          <w:sz w:val="24"/>
          <w:highlight w:val="none"/>
        </w:rPr>
        <w:t>=</w:t>
      </w:r>
      <w:r>
        <w:rPr>
          <w:color w:val="auto"/>
          <w:position w:val="-14"/>
          <w:sz w:val="24"/>
          <w:highlight w:val="none"/>
        </w:rPr>
        <w:object>
          <v:shape id="_x0000_i1044" o:spt="75" type="#_x0000_t75" style="height:18.75pt;width:33.75pt;" o:ole="t" filled="f" o:preferrelative="t" stroked="f" coordsize="21600,21600">
            <v:path/>
            <v:fill on="f" focussize="0,0"/>
            <v:stroke on="f"/>
            <v:imagedata r:id="rId53" o:title=""/>
            <o:lock v:ext="edit" aspectratio="t"/>
            <w10:wrap type="none"/>
            <w10:anchorlock/>
          </v:shape>
          <o:OLEObject Type="Embed" ProgID="Equation.3" ShapeID="_x0000_i1044" DrawAspect="Content" ObjectID="_1468075744" r:id="rId52">
            <o:LockedField>false</o:LockedField>
          </o:OLEObject>
        </w:object>
      </w:r>
      <w:r>
        <w:rPr>
          <w:color w:val="auto"/>
          <w:sz w:val="24"/>
          <w:highlight w:val="none"/>
        </w:rPr>
        <w:t>+</w:t>
      </w:r>
      <w:r>
        <w:rPr>
          <w:color w:val="auto"/>
          <w:position w:val="-12"/>
          <w:sz w:val="24"/>
          <w:highlight w:val="none"/>
        </w:rPr>
        <w:object>
          <v:shape id="_x0000_i1045" o:spt="75" type="#_x0000_t75" style="height:16.5pt;width:33.75pt;" o:ole="t" filled="f" o:preferrelative="t" stroked="f" coordsize="21600,21600">
            <v:path/>
            <v:fill on="f" focussize="0,0"/>
            <v:stroke on="f"/>
            <v:imagedata r:id="rId55" o:title=""/>
            <o:lock v:ext="edit" aspectratio="t"/>
            <w10:wrap type="none"/>
            <w10:anchorlock/>
          </v:shape>
          <o:OLEObject Type="Embed" ProgID="Equation.3" ShapeID="_x0000_i1045" DrawAspect="Content" ObjectID="_1468075745" r:id="rId54">
            <o:LockedField>false</o:LockedField>
          </o:OLEObject>
        </w:object>
      </w:r>
    </w:p>
    <w:p>
      <w:pPr>
        <w:spacing w:line="360" w:lineRule="auto"/>
        <w:jc w:val="center"/>
        <w:rPr>
          <w:color w:val="auto"/>
          <w:sz w:val="24"/>
          <w:highlight w:val="none"/>
        </w:rPr>
      </w:pPr>
      <w:r>
        <w:rPr>
          <w:color w:val="auto"/>
          <w:position w:val="-10"/>
          <w:sz w:val="24"/>
          <w:highlight w:val="none"/>
        </w:rPr>
        <w:object>
          <v:shape id="_x0000_i1046" o:spt="75" type="#_x0000_t75" style="height:16.5pt;width:22.5pt;" o:ole="t" filled="f" o:preferrelative="t" stroked="f" coordsize="21600,21600">
            <v:path/>
            <v:fill on="f" focussize="0,0"/>
            <v:stroke on="f"/>
            <v:imagedata r:id="rId57" o:title=""/>
            <o:lock v:ext="edit" aspectratio="t"/>
            <w10:wrap type="none"/>
            <w10:anchorlock/>
          </v:shape>
          <o:OLEObject Type="Embed" ProgID="Equation.3" ShapeID="_x0000_i1046" DrawAspect="Content" ObjectID="_1468075746" r:id="rId56">
            <o:LockedField>false</o:LockedField>
          </o:OLEObject>
        </w:object>
      </w:r>
      <w:r>
        <w:rPr>
          <w:color w:val="auto"/>
          <w:sz w:val="24"/>
          <w:highlight w:val="none"/>
        </w:rPr>
        <w:t>=A</w:t>
      </w:r>
      <w:r>
        <w:rPr>
          <w:color w:val="auto"/>
          <w:sz w:val="24"/>
          <w:highlight w:val="none"/>
          <w:vertAlign w:val="subscript"/>
        </w:rPr>
        <w:t>atm</w:t>
      </w:r>
      <w:r>
        <w:rPr>
          <w:color w:val="auto"/>
          <w:sz w:val="24"/>
          <w:highlight w:val="none"/>
        </w:rPr>
        <w:t>+ A</w:t>
      </w:r>
      <w:r>
        <w:rPr>
          <w:color w:val="auto"/>
          <w:sz w:val="24"/>
          <w:highlight w:val="none"/>
          <w:vertAlign w:val="subscript"/>
        </w:rPr>
        <w:t>gr</w:t>
      </w:r>
      <w:r>
        <w:rPr>
          <w:color w:val="auto"/>
          <w:sz w:val="24"/>
          <w:highlight w:val="none"/>
        </w:rPr>
        <w:t>+A</w:t>
      </w:r>
      <w:r>
        <w:rPr>
          <w:color w:val="auto"/>
          <w:sz w:val="24"/>
          <w:highlight w:val="none"/>
          <w:vertAlign w:val="subscript"/>
        </w:rPr>
        <w:t>bar</w:t>
      </w:r>
      <w:r>
        <w:rPr>
          <w:color w:val="auto"/>
          <w:sz w:val="24"/>
          <w:highlight w:val="none"/>
        </w:rPr>
        <w:t>+A</w:t>
      </w:r>
      <w:r>
        <w:rPr>
          <w:color w:val="auto"/>
          <w:sz w:val="24"/>
          <w:highlight w:val="none"/>
          <w:vertAlign w:val="subscript"/>
        </w:rPr>
        <w:t>misc</w:t>
      </w:r>
    </w:p>
    <w:p>
      <w:pPr>
        <w:spacing w:line="360" w:lineRule="auto"/>
        <w:ind w:firstLine="480" w:firstLineChars="200"/>
        <w:rPr>
          <w:color w:val="auto"/>
          <w:sz w:val="24"/>
          <w:highlight w:val="none"/>
        </w:rPr>
      </w:pPr>
      <w:r>
        <w:rPr>
          <w:color w:val="auto"/>
          <w:sz w:val="24"/>
          <w:highlight w:val="none"/>
        </w:rPr>
        <w:t>式中：</w:t>
      </w:r>
      <w:r>
        <w:rPr>
          <w:color w:val="auto"/>
          <w:position w:val="-10"/>
          <w:sz w:val="24"/>
          <w:highlight w:val="none"/>
        </w:rPr>
        <w:object>
          <v:shape id="_x0000_i1047" o:spt="75" type="#_x0000_t75" style="height:16.5pt;width:20.25pt;" o:ole="t" filled="f" o:preferrelative="t" stroked="f" coordsize="21600,21600">
            <v:path/>
            <v:fill on="f" focussize="0,0"/>
            <v:stroke on="f"/>
            <v:imagedata r:id="rId42" o:title=""/>
            <o:lock v:ext="edit" aspectratio="t"/>
            <w10:wrap type="none"/>
            <w10:anchorlock/>
          </v:shape>
          <o:OLEObject Type="Embed" ProgID="Equation.3" ShapeID="_x0000_i1047" DrawAspect="Content" ObjectID="_1468075747" r:id="rId58">
            <o:LockedField>false</o:LockedField>
          </o:OLEObject>
        </w:object>
      </w:r>
      <w:r>
        <w:rPr>
          <w:color w:val="auto"/>
          <w:sz w:val="24"/>
          <w:highlight w:val="none"/>
        </w:rPr>
        <w:t>—线路因素引起的修正量，dB(A)；</w:t>
      </w:r>
    </w:p>
    <w:p>
      <w:pPr>
        <w:spacing w:line="360" w:lineRule="auto"/>
        <w:ind w:firstLine="1200" w:firstLineChars="500"/>
        <w:rPr>
          <w:color w:val="auto"/>
          <w:sz w:val="24"/>
          <w:highlight w:val="none"/>
        </w:rPr>
      </w:pPr>
      <w:r>
        <w:rPr>
          <w:color w:val="auto"/>
          <w:position w:val="-14"/>
          <w:sz w:val="24"/>
          <w:highlight w:val="none"/>
        </w:rPr>
        <w:object>
          <v:shape id="_x0000_i1048" o:spt="75" type="#_x0000_t75" style="height:18.75pt;width:33.75pt;" o:ole="t" filled="f" o:preferrelative="t" stroked="f" coordsize="21600,21600">
            <v:path/>
            <v:fill on="f" focussize="0,0"/>
            <v:stroke on="f"/>
            <v:imagedata r:id="rId53" o:title=""/>
            <o:lock v:ext="edit" aspectratio="t"/>
            <w10:wrap type="none"/>
            <w10:anchorlock/>
          </v:shape>
          <o:OLEObject Type="Embed" ProgID="Equation.3" ShapeID="_x0000_i1048" DrawAspect="Content" ObjectID="_1468075748" r:id="rId59">
            <o:LockedField>false</o:LockedField>
          </o:OLEObject>
        </w:object>
      </w:r>
      <w:r>
        <w:rPr>
          <w:color w:val="auto"/>
          <w:sz w:val="24"/>
          <w:highlight w:val="none"/>
        </w:rPr>
        <w:t>—</w:t>
      </w:r>
      <w:r>
        <w:rPr>
          <w:rFonts w:hint="eastAsia"/>
          <w:color w:val="auto"/>
          <w:sz w:val="24"/>
          <w:highlight w:val="none"/>
        </w:rPr>
        <w:t>公路</w:t>
      </w:r>
      <w:r>
        <w:rPr>
          <w:color w:val="auto"/>
          <w:sz w:val="24"/>
          <w:highlight w:val="none"/>
        </w:rPr>
        <w:t>纵坡修正量，dB(A)；</w:t>
      </w:r>
    </w:p>
    <w:p>
      <w:pPr>
        <w:spacing w:line="360" w:lineRule="auto"/>
        <w:ind w:firstLine="1200" w:firstLineChars="500"/>
        <w:rPr>
          <w:color w:val="auto"/>
          <w:sz w:val="24"/>
          <w:highlight w:val="none"/>
        </w:rPr>
      </w:pPr>
      <w:r>
        <w:rPr>
          <w:color w:val="auto"/>
          <w:position w:val="-12"/>
          <w:sz w:val="24"/>
          <w:highlight w:val="none"/>
        </w:rPr>
        <w:object>
          <v:shape id="_x0000_i1049" o:spt="75" type="#_x0000_t75" style="height:16.5pt;width:33.75pt;" o:ole="t" filled="f" o:preferrelative="t" stroked="f" coordsize="21600,21600">
            <v:path/>
            <v:fill on="f" focussize="0,0"/>
            <v:stroke on="f"/>
            <v:imagedata r:id="rId55" o:title=""/>
            <o:lock v:ext="edit" aspectratio="t"/>
            <w10:wrap type="none"/>
            <w10:anchorlock/>
          </v:shape>
          <o:OLEObject Type="Embed" ProgID="Equation.3" ShapeID="_x0000_i1049" DrawAspect="Content" ObjectID="_1468075749" r:id="rId60">
            <o:LockedField>false</o:LockedField>
          </o:OLEObject>
        </w:object>
      </w:r>
      <w:r>
        <w:rPr>
          <w:color w:val="auto"/>
          <w:sz w:val="24"/>
          <w:highlight w:val="none"/>
        </w:rPr>
        <w:t>—</w:t>
      </w:r>
      <w:r>
        <w:rPr>
          <w:rFonts w:hint="eastAsia"/>
          <w:color w:val="auto"/>
          <w:sz w:val="24"/>
          <w:highlight w:val="none"/>
        </w:rPr>
        <w:t>道路</w:t>
      </w:r>
      <w:r>
        <w:rPr>
          <w:color w:val="auto"/>
          <w:sz w:val="24"/>
          <w:highlight w:val="none"/>
        </w:rPr>
        <w:t>路面材料引起的修正量，dB(A)；</w:t>
      </w:r>
    </w:p>
    <w:p>
      <w:pPr>
        <w:spacing w:line="360" w:lineRule="auto"/>
        <w:ind w:firstLine="1200" w:firstLineChars="500"/>
        <w:rPr>
          <w:color w:val="auto"/>
          <w:sz w:val="24"/>
          <w:highlight w:val="none"/>
        </w:rPr>
      </w:pPr>
      <w:r>
        <w:rPr>
          <w:color w:val="auto"/>
          <w:position w:val="-10"/>
          <w:sz w:val="24"/>
          <w:highlight w:val="none"/>
        </w:rPr>
        <w:object>
          <v:shape id="_x0000_i1050" o:spt="75" type="#_x0000_t75" style="height:16.5pt;width:22.5pt;" o:ole="t" filled="f" o:preferrelative="t" stroked="f" coordsize="21600,21600">
            <v:path/>
            <v:fill on="f" focussize="0,0"/>
            <v:stroke on="f"/>
            <v:imagedata r:id="rId57" o:title=""/>
            <o:lock v:ext="edit" aspectratio="t"/>
            <w10:wrap type="none"/>
            <w10:anchorlock/>
          </v:shape>
          <o:OLEObject Type="Embed" ProgID="Equation.3" ShapeID="_x0000_i1050" DrawAspect="Content" ObjectID="_1468075750" r:id="rId61">
            <o:LockedField>false</o:LockedField>
          </o:OLEObject>
        </w:object>
      </w:r>
      <w:r>
        <w:rPr>
          <w:color w:val="auto"/>
          <w:sz w:val="24"/>
          <w:highlight w:val="none"/>
        </w:rPr>
        <w:t>—声波传播途径中引起的衰减量，dB(A)；</w:t>
      </w:r>
    </w:p>
    <w:p>
      <w:pPr>
        <w:spacing w:line="360" w:lineRule="auto"/>
        <w:ind w:firstLine="1200" w:firstLineChars="500"/>
        <w:rPr>
          <w:color w:val="auto"/>
          <w:sz w:val="24"/>
          <w:highlight w:val="none"/>
        </w:rPr>
      </w:pPr>
      <w:r>
        <w:rPr>
          <w:color w:val="auto"/>
          <w:position w:val="-12"/>
          <w:sz w:val="24"/>
          <w:highlight w:val="none"/>
        </w:rPr>
        <w:object>
          <v:shape id="_x0000_i1051" o:spt="75" type="#_x0000_t75" style="height:18.7pt;width:22.5pt;" o:ole="t" filled="f" o:preferrelative="t" stroked="f" coordsize="21600,21600">
            <v:path/>
            <v:fill on="f" focussize="0,0"/>
            <v:stroke on="f"/>
            <v:imagedata r:id="rId50" o:title=""/>
            <o:lock v:ext="edit" aspectratio="t"/>
            <w10:wrap type="none"/>
            <w10:anchorlock/>
          </v:shape>
          <o:OLEObject Type="Embed" ProgID="Equation.3" ShapeID="_x0000_i1051" DrawAspect="Content" ObjectID="_1468075751" r:id="rId62">
            <o:LockedField>false</o:LockedField>
          </o:OLEObject>
        </w:object>
      </w:r>
      <w:r>
        <w:rPr>
          <w:color w:val="auto"/>
          <w:sz w:val="24"/>
          <w:highlight w:val="none"/>
        </w:rPr>
        <w:t>—由反射等引起的修正量，dB(A)。</w:t>
      </w:r>
    </w:p>
    <w:p>
      <w:pPr>
        <w:spacing w:line="360" w:lineRule="auto"/>
        <w:ind w:firstLine="480" w:firstLineChars="200"/>
        <w:rPr>
          <w:color w:val="auto"/>
          <w:sz w:val="24"/>
          <w:highlight w:val="none"/>
        </w:rPr>
      </w:pPr>
      <w:r>
        <w:rPr>
          <w:rFonts w:hint="eastAsia"/>
          <w:color w:val="auto"/>
          <w:sz w:val="24"/>
          <w:highlight w:val="none"/>
        </w:rPr>
        <w:t>b</w:t>
      </w:r>
      <w:r>
        <w:rPr>
          <w:color w:val="auto"/>
          <w:sz w:val="24"/>
          <w:highlight w:val="none"/>
        </w:rPr>
        <w:t>)总车流等效声级</w:t>
      </w:r>
    </w:p>
    <w:p>
      <w:pPr>
        <w:spacing w:line="360" w:lineRule="auto"/>
        <w:ind w:firstLine="480" w:firstLineChars="200"/>
        <w:rPr>
          <w:color w:val="auto"/>
          <w:sz w:val="24"/>
          <w:highlight w:val="none"/>
        </w:rPr>
      </w:pPr>
      <w:r>
        <w:rPr>
          <w:color w:val="auto"/>
          <w:sz w:val="24"/>
          <w:highlight w:val="none"/>
        </w:rPr>
        <w:t>总车流等效声级</w:t>
      </w:r>
      <w:r>
        <w:rPr>
          <w:rFonts w:hint="eastAsia"/>
          <w:color w:val="auto"/>
          <w:sz w:val="24"/>
          <w:highlight w:val="none"/>
        </w:rPr>
        <w:t>根据以下公式计算：</w:t>
      </w:r>
    </w:p>
    <w:p>
      <w:pPr>
        <w:spacing w:line="360" w:lineRule="auto"/>
        <w:jc w:val="center"/>
        <w:rPr>
          <w:color w:val="auto"/>
          <w:sz w:val="24"/>
          <w:highlight w:val="none"/>
        </w:rPr>
      </w:pPr>
      <w:bookmarkStart w:id="51" w:name="_Hlk107522001"/>
      <w:r>
        <w:rPr>
          <w:color w:val="auto"/>
          <w:position w:val="-10"/>
          <w:sz w:val="24"/>
          <w:highlight w:val="none"/>
        </w:rPr>
        <w:object>
          <v:shape id="_x0000_i1052" o:spt="75" type="#_x0000_t75" style="height:16.5pt;width:249.75pt;" o:ole="t" filled="f" o:preferrelative="t" stroked="f" coordsize="21600,21600">
            <v:path/>
            <v:fill on="f" focussize="0,0"/>
            <v:stroke on="f"/>
            <v:imagedata r:id="rId64" o:title=""/>
            <o:lock v:ext="edit" aspectratio="t"/>
            <w10:wrap type="none"/>
            <w10:anchorlock/>
          </v:shape>
          <o:OLEObject Type="Embed" ProgID="Equation.3" ShapeID="_x0000_i1052" DrawAspect="Content" ObjectID="_1468075752" r:id="rId63">
            <o:LockedField>false</o:LockedField>
          </o:OLEObject>
        </w:object>
      </w:r>
      <w:bookmarkEnd w:id="51"/>
    </w:p>
    <w:p>
      <w:pPr>
        <w:spacing w:line="360" w:lineRule="auto"/>
        <w:ind w:firstLine="480" w:firstLineChars="200"/>
        <w:jc w:val="left"/>
        <w:rPr>
          <w:color w:val="auto"/>
          <w:sz w:val="24"/>
          <w:highlight w:val="none"/>
        </w:rPr>
      </w:pPr>
      <w:r>
        <w:rPr>
          <w:rFonts w:hint="eastAsia"/>
          <w:color w:val="auto"/>
          <w:sz w:val="24"/>
          <w:highlight w:val="none"/>
        </w:rPr>
        <w:t>式中：</w:t>
      </w:r>
      <m:oMath>
        <m:r>
          <w:rPr>
            <w:rFonts w:hint="default" w:ascii="Cambria Math"/>
            <w:color w:val="auto"/>
            <w:highlight w:val="none"/>
          </w:rPr>
          <m:t>Leq(T)</m:t>
        </m:r>
      </m:oMath>
      <w:r>
        <w:rPr>
          <w:color w:val="auto"/>
          <w:sz w:val="24"/>
          <w:highlight w:val="none"/>
        </w:rPr>
        <w:t xml:space="preserve"> —总车流等效声级，dB(A)</w:t>
      </w:r>
      <w:r>
        <w:rPr>
          <w:rFonts w:hint="eastAsia"/>
          <w:color w:val="auto"/>
          <w:sz w:val="24"/>
          <w:highlight w:val="none"/>
        </w:rPr>
        <w:t>；</w:t>
      </w:r>
    </w:p>
    <w:p>
      <w:pPr>
        <w:spacing w:line="360" w:lineRule="auto"/>
        <w:ind w:firstLine="420" w:firstLineChars="200"/>
        <w:jc w:val="left"/>
        <w:rPr>
          <w:bCs/>
          <w:color w:val="auto"/>
          <w:kern w:val="0"/>
          <w:sz w:val="24"/>
          <w:highlight w:val="none"/>
        </w:rPr>
      </w:pPr>
      <m:oMath>
        <m:r>
          <w:rPr>
            <w:rFonts w:hint="default" w:ascii="Cambria Math"/>
            <w:color w:val="auto"/>
            <w:highlight w:val="none"/>
          </w:rPr>
          <m:t>Leq</m:t>
        </m:r>
        <m:d>
          <m:dPr>
            <m:ctrlPr>
              <w:rPr>
                <w:rFonts w:hint="default" w:ascii="Cambria Math" w:hAnsi="Cambria Math"/>
                <w:i/>
                <w:color w:val="auto"/>
                <w:highlight w:val="none"/>
              </w:rPr>
            </m:ctrlPr>
          </m:dPr>
          <m:e>
            <m:r>
              <w:rPr>
                <w:rFonts w:hint="eastAsia" w:ascii="MS Mincho" w:hAnsi="MS Mincho" w:eastAsia="MS Mincho" w:cs="MS Mincho"/>
                <w:color w:val="auto"/>
                <w:highlight w:val="none"/>
              </w:rPr>
              <m:t>ℎ</m:t>
            </m:r>
            <m:ctrlPr>
              <w:rPr>
                <w:rFonts w:hint="default" w:ascii="Cambria Math" w:hAnsi="Cambria Math"/>
                <w:i/>
                <w:color w:val="auto"/>
                <w:highlight w:val="none"/>
              </w:rPr>
            </m:ctrlPr>
          </m:e>
        </m:d>
        <m:r>
          <m:rPr>
            <m:sty m:val="p"/>
          </m:rPr>
          <w:rPr>
            <w:rFonts w:hint="eastAsia" w:ascii="Cambria Math"/>
            <w:color w:val="auto"/>
            <w:highlight w:val="none"/>
          </w:rPr>
          <m:t>大</m:t>
        </m:r>
      </m:oMath>
      <w:r>
        <w:rPr>
          <w:rFonts w:hint="eastAsia"/>
          <w:color w:val="auto"/>
          <w:highlight w:val="none"/>
        </w:rPr>
        <w:t>、</w:t>
      </w:r>
      <m:oMath>
        <m:r>
          <w:rPr>
            <w:rFonts w:hint="default" w:ascii="Cambria Math"/>
            <w:color w:val="auto"/>
            <w:highlight w:val="none"/>
          </w:rPr>
          <m:t>Leq(</m:t>
        </m:r>
        <m:r>
          <w:rPr>
            <w:rFonts w:hint="eastAsia" w:ascii="MS Mincho" w:hAnsi="MS Mincho" w:eastAsia="MS Mincho" w:cs="MS Mincho"/>
            <w:color w:val="auto"/>
            <w:highlight w:val="none"/>
          </w:rPr>
          <m:t>ℎ</m:t>
        </m:r>
        <m:r>
          <w:rPr>
            <w:rFonts w:hint="default" w:ascii="Cambria Math"/>
            <w:color w:val="auto"/>
            <w:highlight w:val="none"/>
          </w:rPr>
          <m:t>)</m:t>
        </m:r>
      </m:oMath>
      <w:r>
        <w:rPr>
          <w:rFonts w:hint="eastAsia"/>
          <w:color w:val="auto"/>
          <w:highlight w:val="none"/>
        </w:rPr>
        <w:t>中、</w:t>
      </w:r>
      <m:oMath>
        <m:r>
          <w:rPr>
            <w:rFonts w:hint="default" w:ascii="Cambria Math"/>
            <w:color w:val="auto"/>
            <w:highlight w:val="none"/>
          </w:rPr>
          <m:t>Leq(</m:t>
        </m:r>
        <m:r>
          <w:rPr>
            <w:rFonts w:hint="eastAsia" w:ascii="MS Mincho" w:hAnsi="MS Mincho" w:eastAsia="MS Mincho" w:cs="MS Mincho"/>
            <w:color w:val="auto"/>
            <w:highlight w:val="none"/>
          </w:rPr>
          <m:t>ℎ</m:t>
        </m:r>
        <m:r>
          <w:rPr>
            <w:rFonts w:hint="default" w:ascii="Cambria Math"/>
            <w:color w:val="auto"/>
            <w:highlight w:val="none"/>
          </w:rPr>
          <m:t>)</m:t>
        </m:r>
      </m:oMath>
      <w:r>
        <w:rPr>
          <w:rFonts w:hint="eastAsia"/>
          <w:color w:val="auto"/>
          <w:highlight w:val="none"/>
        </w:rPr>
        <w:t>小</w:t>
      </w:r>
      <w:r>
        <w:rPr>
          <w:color w:val="auto"/>
          <w:sz w:val="24"/>
          <w:highlight w:val="none"/>
        </w:rPr>
        <w:t>—大、中、小型车的小时等效声级，dB(A)。</w:t>
      </w:r>
    </w:p>
    <w:p>
      <w:pPr>
        <w:autoSpaceDE w:val="0"/>
        <w:autoSpaceDN w:val="0"/>
        <w:spacing w:line="360" w:lineRule="auto"/>
        <w:ind w:firstLine="480" w:firstLineChars="200"/>
        <w:jc w:val="left"/>
        <w:textAlignment w:val="baseline"/>
        <w:rPr>
          <w:bCs/>
          <w:color w:val="auto"/>
          <w:kern w:val="0"/>
          <w:sz w:val="24"/>
          <w:highlight w:val="none"/>
        </w:rPr>
      </w:pPr>
      <w:r>
        <w:rPr>
          <w:bCs/>
          <w:color w:val="auto"/>
          <w:kern w:val="0"/>
          <w:sz w:val="24"/>
          <w:highlight w:val="none"/>
        </w:rPr>
        <w:t>如某个预测点受多条线路交通噪声影响（如高架桥周边预测点受桥上和桥下多条车道的影响，路边高层建筑预测点受地面多条车道的影响），应分别计算每条道路对该预测点的声级后，经叠加后得到贡献值。</w:t>
      </w:r>
    </w:p>
    <w:p>
      <w:pPr>
        <w:numPr>
          <w:ilvl w:val="0"/>
          <w:numId w:val="7"/>
        </w:numPr>
        <w:spacing w:line="360" w:lineRule="auto"/>
        <w:rPr>
          <w:color w:val="auto"/>
          <w:sz w:val="24"/>
          <w:highlight w:val="none"/>
        </w:rPr>
      </w:pPr>
      <w:r>
        <w:rPr>
          <w:color w:val="auto"/>
          <w:sz w:val="24"/>
          <w:highlight w:val="none"/>
        </w:rPr>
        <w:t>修正量和衰减量的计算</w:t>
      </w:r>
    </w:p>
    <w:p>
      <w:pPr>
        <w:pStyle w:val="13"/>
        <w:spacing w:line="360" w:lineRule="auto"/>
        <w:ind w:firstLine="480" w:firstLineChars="200"/>
        <w:rPr>
          <w:color w:val="auto"/>
          <w:sz w:val="24"/>
          <w:szCs w:val="24"/>
          <w:highlight w:val="none"/>
        </w:rPr>
      </w:pPr>
      <w:r>
        <w:rPr>
          <w:rFonts w:hint="eastAsia"/>
          <w:color w:val="auto"/>
          <w:sz w:val="24"/>
          <w:szCs w:val="24"/>
          <w:highlight w:val="none"/>
        </w:rPr>
        <w:t>（1）B.2.2.1线路因素引起的修正量（</w:t>
      </w:r>
      <w:r>
        <w:rPr>
          <w:color w:val="auto"/>
          <w:sz w:val="24"/>
          <w:szCs w:val="24"/>
          <w:highlight w:val="none"/>
        </w:rPr>
        <w:t>∆</w:t>
      </w:r>
      <w:r>
        <w:rPr>
          <w:rFonts w:hint="eastAsia"/>
          <w:color w:val="auto"/>
          <w:sz w:val="24"/>
          <w:szCs w:val="24"/>
          <w:highlight w:val="none"/>
        </w:rPr>
        <w:t>L</w:t>
      </w:r>
      <w:r>
        <w:rPr>
          <w:rFonts w:hint="eastAsia"/>
          <w:color w:val="auto"/>
          <w:sz w:val="24"/>
          <w:szCs w:val="24"/>
          <w:highlight w:val="none"/>
          <w:vertAlign w:val="subscript"/>
        </w:rPr>
        <w:t>1</w:t>
      </w:r>
      <w:r>
        <w:rPr>
          <w:rFonts w:hint="eastAsia"/>
          <w:color w:val="auto"/>
          <w:sz w:val="24"/>
          <w:szCs w:val="24"/>
          <w:highlight w:val="none"/>
        </w:rPr>
        <w:t xml:space="preserve"> ）</w:t>
      </w:r>
    </w:p>
    <w:p>
      <w:pPr>
        <w:spacing w:line="360" w:lineRule="auto"/>
        <w:ind w:firstLine="480" w:firstLineChars="200"/>
        <w:rPr>
          <w:color w:val="auto"/>
          <w:sz w:val="24"/>
          <w:highlight w:val="none"/>
        </w:rPr>
      </w:pPr>
      <w:r>
        <w:rPr>
          <w:rFonts w:hint="eastAsia"/>
          <w:color w:val="auto"/>
          <w:sz w:val="24"/>
          <w:highlight w:val="none"/>
        </w:rPr>
        <w:t>a）</w:t>
      </w:r>
      <w:r>
        <w:rPr>
          <w:color w:val="auto"/>
          <w:sz w:val="24"/>
          <w:highlight w:val="none"/>
        </w:rPr>
        <w:t>纵坡修正量（∆L</w:t>
      </w:r>
      <w:r>
        <w:rPr>
          <w:color w:val="auto"/>
          <w:sz w:val="24"/>
          <w:highlight w:val="none"/>
          <w:vertAlign w:val="subscript"/>
        </w:rPr>
        <w:t>坡度</w:t>
      </w:r>
      <w:r>
        <w:rPr>
          <w:color w:val="auto"/>
          <w:sz w:val="24"/>
          <w:highlight w:val="none"/>
        </w:rPr>
        <w:t>）</w:t>
      </w:r>
    </w:p>
    <w:p>
      <w:pPr>
        <w:spacing w:line="360" w:lineRule="auto"/>
        <w:ind w:firstLine="480" w:firstLineChars="200"/>
        <w:rPr>
          <w:color w:val="auto"/>
          <w:sz w:val="24"/>
          <w:highlight w:val="none"/>
        </w:rPr>
      </w:pPr>
      <w:r>
        <w:rPr>
          <w:color w:val="auto"/>
          <w:sz w:val="24"/>
          <w:highlight w:val="none"/>
        </w:rPr>
        <w:t>公路纵坡修正量∆L</w:t>
      </w:r>
      <w:r>
        <w:rPr>
          <w:color w:val="auto"/>
          <w:sz w:val="24"/>
          <w:highlight w:val="none"/>
          <w:vertAlign w:val="subscript"/>
        </w:rPr>
        <w:t>坡度</w:t>
      </w:r>
      <w:r>
        <w:rPr>
          <w:color w:val="auto"/>
          <w:sz w:val="24"/>
          <w:highlight w:val="none"/>
        </w:rPr>
        <w:t>可按下式计算：</w:t>
      </w:r>
    </w:p>
    <w:p>
      <w:pPr>
        <w:spacing w:line="360" w:lineRule="auto"/>
        <w:jc w:val="center"/>
        <w:rPr>
          <w:color w:val="auto"/>
          <w:sz w:val="24"/>
          <w:highlight w:val="none"/>
        </w:rPr>
      </w:pPr>
      <w:r>
        <w:rPr>
          <w:color w:val="auto"/>
          <w:sz w:val="24"/>
          <w:highlight w:val="none"/>
        </w:rPr>
        <w:t>大型车：∆L</w:t>
      </w:r>
      <w:r>
        <w:rPr>
          <w:color w:val="auto"/>
          <w:sz w:val="24"/>
          <w:highlight w:val="none"/>
          <w:vertAlign w:val="subscript"/>
        </w:rPr>
        <w:t>坡度</w:t>
      </w:r>
      <w:r>
        <w:rPr>
          <w:color w:val="auto"/>
          <w:sz w:val="24"/>
          <w:highlight w:val="none"/>
        </w:rPr>
        <w:t>=98×βdB（A）；</w:t>
      </w:r>
    </w:p>
    <w:p>
      <w:pPr>
        <w:spacing w:line="360" w:lineRule="auto"/>
        <w:jc w:val="center"/>
        <w:rPr>
          <w:color w:val="auto"/>
          <w:sz w:val="24"/>
          <w:highlight w:val="none"/>
        </w:rPr>
      </w:pPr>
      <w:r>
        <w:rPr>
          <w:color w:val="auto"/>
          <w:sz w:val="24"/>
          <w:highlight w:val="none"/>
        </w:rPr>
        <w:t>中型车：∆L</w:t>
      </w:r>
      <w:r>
        <w:rPr>
          <w:color w:val="auto"/>
          <w:sz w:val="24"/>
          <w:highlight w:val="none"/>
          <w:vertAlign w:val="subscript"/>
        </w:rPr>
        <w:t>坡度</w:t>
      </w:r>
      <w:r>
        <w:rPr>
          <w:color w:val="auto"/>
          <w:sz w:val="24"/>
          <w:highlight w:val="none"/>
        </w:rPr>
        <w:t>=73×βdB（A）；</w:t>
      </w:r>
    </w:p>
    <w:p>
      <w:pPr>
        <w:spacing w:line="360" w:lineRule="auto"/>
        <w:jc w:val="center"/>
        <w:rPr>
          <w:color w:val="auto"/>
          <w:sz w:val="24"/>
          <w:highlight w:val="none"/>
        </w:rPr>
      </w:pPr>
      <w:r>
        <w:rPr>
          <w:color w:val="auto"/>
          <w:sz w:val="24"/>
          <w:highlight w:val="none"/>
        </w:rPr>
        <w:t>小型车：∆L</w:t>
      </w:r>
      <w:r>
        <w:rPr>
          <w:color w:val="auto"/>
          <w:sz w:val="24"/>
          <w:highlight w:val="none"/>
          <w:vertAlign w:val="subscript"/>
        </w:rPr>
        <w:t>坡度</w:t>
      </w:r>
      <w:r>
        <w:rPr>
          <w:color w:val="auto"/>
          <w:sz w:val="24"/>
          <w:highlight w:val="none"/>
        </w:rPr>
        <w:t>=50×βdB（A）；</w:t>
      </w:r>
    </w:p>
    <w:p>
      <w:pPr>
        <w:spacing w:line="360" w:lineRule="auto"/>
        <w:ind w:firstLine="480" w:firstLineChars="200"/>
        <w:rPr>
          <w:color w:val="auto"/>
          <w:sz w:val="24"/>
          <w:highlight w:val="none"/>
        </w:rPr>
      </w:pPr>
      <w:r>
        <w:rPr>
          <w:color w:val="auto"/>
          <w:sz w:val="24"/>
          <w:highlight w:val="none"/>
        </w:rPr>
        <w:t>式中：</w:t>
      </w:r>
    </w:p>
    <w:p>
      <w:pPr>
        <w:spacing w:line="360" w:lineRule="auto"/>
        <w:ind w:firstLine="480" w:firstLineChars="200"/>
        <w:rPr>
          <w:color w:val="auto"/>
          <w:sz w:val="24"/>
          <w:highlight w:val="none"/>
          <w:vertAlign w:val="subscript"/>
        </w:rPr>
      </w:pPr>
      <w:r>
        <w:rPr>
          <w:color w:val="auto"/>
          <w:sz w:val="24"/>
          <w:highlight w:val="none"/>
        </w:rPr>
        <w:t>∆L</w:t>
      </w:r>
      <w:r>
        <w:rPr>
          <w:color w:val="auto"/>
          <w:sz w:val="24"/>
          <w:highlight w:val="none"/>
          <w:vertAlign w:val="subscript"/>
        </w:rPr>
        <w:t>坡度</w:t>
      </w:r>
      <w:r>
        <w:rPr>
          <w:color w:val="auto"/>
          <w:sz w:val="24"/>
          <w:highlight w:val="none"/>
        </w:rPr>
        <w:t>—</w:t>
      </w:r>
      <w:r>
        <w:rPr>
          <w:rFonts w:hint="eastAsia"/>
          <w:color w:val="auto"/>
          <w:sz w:val="24"/>
          <w:highlight w:val="none"/>
        </w:rPr>
        <w:t>公路纵坡修正量；</w:t>
      </w:r>
    </w:p>
    <w:p>
      <w:pPr>
        <w:spacing w:line="360" w:lineRule="auto"/>
        <w:ind w:firstLine="480" w:firstLineChars="200"/>
        <w:rPr>
          <w:color w:val="auto"/>
          <w:sz w:val="24"/>
          <w:highlight w:val="none"/>
        </w:rPr>
      </w:pPr>
      <w:r>
        <w:rPr>
          <w:color w:val="auto"/>
          <w:sz w:val="24"/>
          <w:highlight w:val="none"/>
        </w:rPr>
        <w:t>β—公路纵坡度；%；</w:t>
      </w:r>
    </w:p>
    <w:p>
      <w:pPr>
        <w:spacing w:line="360" w:lineRule="auto"/>
        <w:ind w:firstLine="480" w:firstLineChars="200"/>
        <w:rPr>
          <w:color w:val="auto"/>
          <w:sz w:val="24"/>
          <w:highlight w:val="none"/>
        </w:rPr>
      </w:pPr>
      <w:r>
        <w:rPr>
          <w:rFonts w:hint="eastAsia"/>
          <w:color w:val="auto"/>
          <w:sz w:val="24"/>
          <w:highlight w:val="none"/>
        </w:rPr>
        <w:t>b）</w:t>
      </w:r>
      <w:r>
        <w:rPr>
          <w:color w:val="auto"/>
          <w:sz w:val="24"/>
          <w:highlight w:val="none"/>
        </w:rPr>
        <w:t>路面修正量（∆L</w:t>
      </w:r>
      <w:r>
        <w:rPr>
          <w:color w:val="auto"/>
          <w:sz w:val="24"/>
          <w:highlight w:val="none"/>
          <w:vertAlign w:val="subscript"/>
        </w:rPr>
        <w:t>路面</w:t>
      </w:r>
      <w:r>
        <w:rPr>
          <w:color w:val="auto"/>
          <w:sz w:val="24"/>
          <w:highlight w:val="none"/>
        </w:rPr>
        <w:t>）</w:t>
      </w:r>
      <w:r>
        <w:rPr>
          <w:rFonts w:hint="eastAsia"/>
          <w:color w:val="auto"/>
          <w:sz w:val="24"/>
          <w:highlight w:val="none"/>
        </w:rPr>
        <w:t>，</w:t>
      </w:r>
      <w:r>
        <w:rPr>
          <w:color w:val="auto"/>
          <w:sz w:val="24"/>
          <w:highlight w:val="none"/>
        </w:rPr>
        <w:t>具体见</w:t>
      </w:r>
      <w:r>
        <w:rPr>
          <w:rFonts w:hint="eastAsia"/>
          <w:color w:val="auto"/>
          <w:sz w:val="24"/>
          <w:highlight w:val="none"/>
        </w:rPr>
        <w:t>下表：</w:t>
      </w:r>
    </w:p>
    <w:p>
      <w:pPr>
        <w:adjustRightInd w:val="0"/>
        <w:snapToGrid w:val="0"/>
        <w:spacing w:before="120" w:beforeLines="50"/>
        <w:jc w:val="center"/>
        <w:rPr>
          <w:rFonts w:eastAsia="黑体"/>
          <w:color w:val="auto"/>
          <w:sz w:val="24"/>
          <w:highlight w:val="none"/>
        </w:rPr>
      </w:pPr>
      <w:r>
        <w:rPr>
          <w:rFonts w:hint="eastAsia" w:eastAsia="黑体"/>
          <w:color w:val="auto"/>
          <w:sz w:val="24"/>
          <w:highlight w:val="none"/>
        </w:rPr>
        <w:t>表4.2</w:t>
      </w:r>
      <w:r>
        <w:rPr>
          <w:rFonts w:eastAsia="黑体"/>
          <w:color w:val="auto"/>
          <w:sz w:val="24"/>
          <w:highlight w:val="none"/>
        </w:rPr>
        <w:t>-</w:t>
      </w:r>
      <w:r>
        <w:rPr>
          <w:rFonts w:hint="eastAsia" w:eastAsia="黑体"/>
          <w:color w:val="auto"/>
          <w:sz w:val="24"/>
          <w:highlight w:val="none"/>
        </w:rPr>
        <w:t>1</w:t>
      </w:r>
      <w:r>
        <w:rPr>
          <w:rFonts w:eastAsia="黑体"/>
          <w:color w:val="auto"/>
          <w:sz w:val="24"/>
          <w:highlight w:val="none"/>
        </w:rPr>
        <w:t xml:space="preserve">  常见路面噪声修正量单位：dB（A）</w:t>
      </w:r>
    </w:p>
    <w:tbl>
      <w:tblPr>
        <w:tblStyle w:val="23"/>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3"/>
        <w:gridCol w:w="2284"/>
        <w:gridCol w:w="2284"/>
        <w:gridCol w:w="22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33" w:type="dxa"/>
            <w:vMerge w:val="restart"/>
            <w:vAlign w:val="center"/>
          </w:tcPr>
          <w:p>
            <w:pPr>
              <w:pStyle w:val="69"/>
              <w:adjustRightInd w:val="0"/>
              <w:snapToGrid w:val="0"/>
              <w:rPr>
                <w:color w:val="auto"/>
                <w:kern w:val="0"/>
                <w:highlight w:val="none"/>
              </w:rPr>
            </w:pPr>
            <w:r>
              <w:rPr>
                <w:color w:val="auto"/>
                <w:kern w:val="0"/>
                <w:highlight w:val="none"/>
              </w:rPr>
              <w:t>路面类型</w:t>
            </w:r>
          </w:p>
        </w:tc>
        <w:tc>
          <w:tcPr>
            <w:tcW w:w="6853" w:type="dxa"/>
            <w:gridSpan w:val="3"/>
            <w:vAlign w:val="center"/>
          </w:tcPr>
          <w:p>
            <w:pPr>
              <w:pStyle w:val="69"/>
              <w:adjustRightInd w:val="0"/>
              <w:snapToGrid w:val="0"/>
              <w:rPr>
                <w:color w:val="auto"/>
                <w:kern w:val="0"/>
                <w:highlight w:val="none"/>
              </w:rPr>
            </w:pPr>
            <w:r>
              <w:rPr>
                <w:color w:val="auto"/>
                <w:kern w:val="0"/>
                <w:highlight w:val="none"/>
              </w:rPr>
              <w:t>不同行驶速度修正量 km/h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33" w:type="dxa"/>
            <w:vMerge w:val="continue"/>
            <w:vAlign w:val="center"/>
          </w:tcPr>
          <w:p>
            <w:pPr>
              <w:pStyle w:val="69"/>
              <w:adjustRightInd w:val="0"/>
              <w:snapToGrid w:val="0"/>
              <w:rPr>
                <w:color w:val="auto"/>
                <w:kern w:val="0"/>
                <w:highlight w:val="none"/>
              </w:rPr>
            </w:pPr>
          </w:p>
        </w:tc>
        <w:tc>
          <w:tcPr>
            <w:tcW w:w="2284" w:type="dxa"/>
            <w:vAlign w:val="center"/>
          </w:tcPr>
          <w:p>
            <w:pPr>
              <w:pStyle w:val="69"/>
              <w:adjustRightInd w:val="0"/>
              <w:snapToGrid w:val="0"/>
              <w:rPr>
                <w:color w:val="auto"/>
                <w:sz w:val="24"/>
                <w:szCs w:val="22"/>
                <w:highlight w:val="none"/>
              </w:rPr>
            </w:pPr>
            <w:r>
              <w:rPr>
                <w:rFonts w:hint="eastAsia"/>
                <w:color w:val="auto"/>
                <w:sz w:val="24"/>
                <w:szCs w:val="22"/>
                <w:highlight w:val="none"/>
              </w:rPr>
              <w:t>3</w:t>
            </w:r>
            <w:r>
              <w:rPr>
                <w:color w:val="auto"/>
                <w:sz w:val="24"/>
                <w:szCs w:val="22"/>
                <w:highlight w:val="none"/>
              </w:rPr>
              <w:t>0</w:t>
            </w:r>
          </w:p>
        </w:tc>
        <w:tc>
          <w:tcPr>
            <w:tcW w:w="2284" w:type="dxa"/>
            <w:vAlign w:val="center"/>
          </w:tcPr>
          <w:p>
            <w:pPr>
              <w:pStyle w:val="69"/>
              <w:adjustRightInd w:val="0"/>
              <w:snapToGrid w:val="0"/>
              <w:rPr>
                <w:color w:val="auto"/>
                <w:sz w:val="24"/>
                <w:szCs w:val="22"/>
                <w:highlight w:val="none"/>
              </w:rPr>
            </w:pPr>
            <w:r>
              <w:rPr>
                <w:rFonts w:hint="eastAsia"/>
                <w:color w:val="auto"/>
                <w:sz w:val="24"/>
                <w:szCs w:val="22"/>
                <w:highlight w:val="none"/>
              </w:rPr>
              <w:t>4</w:t>
            </w:r>
            <w:r>
              <w:rPr>
                <w:color w:val="auto"/>
                <w:sz w:val="24"/>
                <w:szCs w:val="22"/>
                <w:highlight w:val="none"/>
              </w:rPr>
              <w:t>0</w:t>
            </w:r>
          </w:p>
        </w:tc>
        <w:tc>
          <w:tcPr>
            <w:tcW w:w="2285" w:type="dxa"/>
            <w:vAlign w:val="center"/>
          </w:tcPr>
          <w:p>
            <w:pPr>
              <w:pStyle w:val="69"/>
              <w:adjustRightInd w:val="0"/>
              <w:snapToGrid w:val="0"/>
              <w:rPr>
                <w:color w:val="auto"/>
                <w:sz w:val="24"/>
                <w:szCs w:val="22"/>
                <w:highlight w:val="none"/>
              </w:rPr>
            </w:pPr>
            <w:r>
              <w:rPr>
                <w:color w:val="auto"/>
                <w:sz w:val="24"/>
                <w:szCs w:val="22"/>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33" w:type="dxa"/>
            <w:vAlign w:val="center"/>
          </w:tcPr>
          <w:p>
            <w:pPr>
              <w:pStyle w:val="69"/>
              <w:adjustRightInd w:val="0"/>
              <w:snapToGrid w:val="0"/>
              <w:rPr>
                <w:color w:val="auto"/>
                <w:kern w:val="0"/>
                <w:highlight w:val="none"/>
              </w:rPr>
            </w:pPr>
            <w:r>
              <w:rPr>
                <w:rFonts w:hint="eastAsia"/>
                <w:color w:val="auto"/>
                <w:kern w:val="0"/>
                <w:highlight w:val="none"/>
              </w:rPr>
              <w:t>沥青混凝土</w:t>
            </w:r>
          </w:p>
        </w:tc>
        <w:tc>
          <w:tcPr>
            <w:tcW w:w="2284" w:type="dxa"/>
            <w:vAlign w:val="center"/>
          </w:tcPr>
          <w:p>
            <w:pPr>
              <w:pStyle w:val="69"/>
              <w:adjustRightInd w:val="0"/>
              <w:snapToGrid w:val="0"/>
              <w:rPr>
                <w:color w:val="auto"/>
                <w:sz w:val="24"/>
                <w:szCs w:val="22"/>
                <w:highlight w:val="none"/>
              </w:rPr>
            </w:pPr>
            <w:r>
              <w:rPr>
                <w:rFonts w:hint="eastAsia"/>
                <w:color w:val="auto"/>
                <w:sz w:val="24"/>
                <w:szCs w:val="22"/>
                <w:highlight w:val="none"/>
              </w:rPr>
              <w:t>0</w:t>
            </w:r>
          </w:p>
        </w:tc>
        <w:tc>
          <w:tcPr>
            <w:tcW w:w="2284" w:type="dxa"/>
            <w:vAlign w:val="center"/>
          </w:tcPr>
          <w:p>
            <w:pPr>
              <w:pStyle w:val="69"/>
              <w:adjustRightInd w:val="0"/>
              <w:snapToGrid w:val="0"/>
              <w:rPr>
                <w:color w:val="auto"/>
                <w:sz w:val="24"/>
                <w:szCs w:val="22"/>
                <w:highlight w:val="none"/>
              </w:rPr>
            </w:pPr>
            <w:r>
              <w:rPr>
                <w:rFonts w:hint="eastAsia"/>
                <w:color w:val="auto"/>
                <w:sz w:val="24"/>
                <w:szCs w:val="22"/>
                <w:highlight w:val="none"/>
              </w:rPr>
              <w:t>0</w:t>
            </w:r>
          </w:p>
        </w:tc>
        <w:tc>
          <w:tcPr>
            <w:tcW w:w="2285" w:type="dxa"/>
            <w:vAlign w:val="center"/>
          </w:tcPr>
          <w:p>
            <w:pPr>
              <w:pStyle w:val="69"/>
              <w:adjustRightInd w:val="0"/>
              <w:snapToGrid w:val="0"/>
              <w:rPr>
                <w:color w:val="auto"/>
                <w:sz w:val="24"/>
                <w:szCs w:val="22"/>
                <w:highlight w:val="none"/>
              </w:rPr>
            </w:pPr>
            <w:r>
              <w:rPr>
                <w:rFonts w:hint="eastAsia"/>
                <w:color w:val="auto"/>
                <w:sz w:val="24"/>
                <w:szCs w:val="22"/>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33" w:type="dxa"/>
            <w:vAlign w:val="center"/>
          </w:tcPr>
          <w:p>
            <w:pPr>
              <w:pStyle w:val="69"/>
              <w:adjustRightInd w:val="0"/>
              <w:snapToGrid w:val="0"/>
              <w:rPr>
                <w:color w:val="auto"/>
                <w:kern w:val="0"/>
                <w:highlight w:val="none"/>
              </w:rPr>
            </w:pPr>
            <w:r>
              <w:rPr>
                <w:rFonts w:hint="eastAsia"/>
                <w:color w:val="auto"/>
                <w:kern w:val="0"/>
                <w:highlight w:val="none"/>
              </w:rPr>
              <w:t>水泥混凝土</w:t>
            </w:r>
          </w:p>
        </w:tc>
        <w:tc>
          <w:tcPr>
            <w:tcW w:w="2284" w:type="dxa"/>
            <w:vAlign w:val="center"/>
          </w:tcPr>
          <w:p>
            <w:pPr>
              <w:pStyle w:val="69"/>
              <w:adjustRightInd w:val="0"/>
              <w:snapToGrid w:val="0"/>
              <w:rPr>
                <w:color w:val="auto"/>
                <w:sz w:val="24"/>
                <w:szCs w:val="22"/>
                <w:highlight w:val="none"/>
              </w:rPr>
            </w:pPr>
            <w:r>
              <w:rPr>
                <w:rFonts w:hint="eastAsia"/>
                <w:color w:val="auto"/>
                <w:sz w:val="24"/>
                <w:szCs w:val="22"/>
                <w:highlight w:val="none"/>
              </w:rPr>
              <w:t>1</w:t>
            </w:r>
            <w:r>
              <w:rPr>
                <w:color w:val="auto"/>
                <w:sz w:val="24"/>
                <w:szCs w:val="22"/>
                <w:highlight w:val="none"/>
              </w:rPr>
              <w:t>.0</w:t>
            </w:r>
          </w:p>
        </w:tc>
        <w:tc>
          <w:tcPr>
            <w:tcW w:w="2284" w:type="dxa"/>
            <w:vAlign w:val="center"/>
          </w:tcPr>
          <w:p>
            <w:pPr>
              <w:pStyle w:val="69"/>
              <w:adjustRightInd w:val="0"/>
              <w:snapToGrid w:val="0"/>
              <w:rPr>
                <w:color w:val="auto"/>
                <w:sz w:val="24"/>
                <w:szCs w:val="22"/>
                <w:highlight w:val="none"/>
              </w:rPr>
            </w:pPr>
            <w:r>
              <w:rPr>
                <w:rFonts w:hint="eastAsia"/>
                <w:color w:val="auto"/>
                <w:sz w:val="24"/>
                <w:szCs w:val="22"/>
                <w:highlight w:val="none"/>
              </w:rPr>
              <w:t>1</w:t>
            </w:r>
            <w:r>
              <w:rPr>
                <w:color w:val="auto"/>
                <w:sz w:val="24"/>
                <w:szCs w:val="22"/>
                <w:highlight w:val="none"/>
              </w:rPr>
              <w:t>.5</w:t>
            </w:r>
          </w:p>
        </w:tc>
        <w:tc>
          <w:tcPr>
            <w:tcW w:w="2285" w:type="dxa"/>
            <w:vAlign w:val="center"/>
          </w:tcPr>
          <w:p>
            <w:pPr>
              <w:pStyle w:val="69"/>
              <w:adjustRightInd w:val="0"/>
              <w:snapToGrid w:val="0"/>
              <w:rPr>
                <w:color w:val="auto"/>
                <w:sz w:val="24"/>
                <w:szCs w:val="22"/>
                <w:highlight w:val="none"/>
              </w:rPr>
            </w:pPr>
            <w:r>
              <w:rPr>
                <w:rFonts w:hint="eastAsia"/>
                <w:color w:val="auto"/>
                <w:sz w:val="24"/>
                <w:szCs w:val="22"/>
                <w:highlight w:val="none"/>
              </w:rPr>
              <w:t>2</w:t>
            </w:r>
            <w:r>
              <w:rPr>
                <w:color w:val="auto"/>
                <w:sz w:val="24"/>
                <w:szCs w:val="22"/>
                <w:highlight w:val="none"/>
              </w:rPr>
              <w:t>.0</w:t>
            </w:r>
          </w:p>
        </w:tc>
      </w:tr>
    </w:tbl>
    <w:p>
      <w:pPr>
        <w:numPr>
          <w:ilvl w:val="0"/>
          <w:numId w:val="9"/>
        </w:numPr>
        <w:spacing w:line="360" w:lineRule="auto"/>
        <w:ind w:firstLine="480" w:firstLineChars="200"/>
        <w:rPr>
          <w:rFonts w:hint="eastAsia"/>
          <w:color w:val="auto"/>
          <w:sz w:val="24"/>
          <w:highlight w:val="none"/>
        </w:rPr>
      </w:pPr>
      <w:r>
        <w:rPr>
          <w:rFonts w:hint="eastAsia"/>
          <w:color w:val="auto"/>
          <w:sz w:val="24"/>
          <w:highlight w:val="none"/>
        </w:rPr>
        <w:t>声波传播途径中引起的衰减量（</w:t>
      </w:r>
      <w:r>
        <w:rPr>
          <w:color w:val="auto"/>
          <w:sz w:val="24"/>
          <w:highlight w:val="none"/>
        </w:rPr>
        <w:t>∆</w:t>
      </w:r>
      <w:r>
        <w:rPr>
          <w:rFonts w:hint="eastAsia"/>
          <w:color w:val="auto"/>
          <w:sz w:val="24"/>
          <w:highlight w:val="none"/>
        </w:rPr>
        <w:t>L</w:t>
      </w:r>
      <w:r>
        <w:rPr>
          <w:rFonts w:hint="eastAsia"/>
          <w:color w:val="auto"/>
          <w:sz w:val="24"/>
          <w:highlight w:val="none"/>
          <w:vertAlign w:val="subscript"/>
        </w:rPr>
        <w:t>2</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①大气吸收引起的衰减（A</w:t>
      </w:r>
      <w:r>
        <w:rPr>
          <w:rFonts w:hint="eastAsia"/>
          <w:color w:val="auto"/>
          <w:sz w:val="24"/>
          <w:highlight w:val="none"/>
          <w:vertAlign w:val="subscript"/>
        </w:rPr>
        <w:t>atm</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大气吸收引起的衰减按下式计算：</w:t>
      </w:r>
    </w:p>
    <w:p>
      <w:pPr>
        <w:spacing w:line="360" w:lineRule="auto"/>
        <w:ind w:firstLine="480" w:firstLineChars="200"/>
        <w:jc w:val="center"/>
        <w:rPr>
          <w:rFonts w:hint="eastAsia"/>
          <w:color w:val="auto"/>
          <w:sz w:val="24"/>
          <w:highlight w:val="none"/>
        </w:rPr>
      </w:pPr>
      <w:r>
        <w:rPr>
          <w:rFonts w:hint="eastAsia"/>
          <w:color w:val="auto"/>
          <w:position w:val="-24"/>
          <w:sz w:val="24"/>
          <w:highlight w:val="none"/>
        </w:rPr>
        <w:object>
          <v:shape id="_x0000_i1053" o:spt="75" type="#_x0000_t75" style="height:31pt;width:76pt;" o:ole="t" filled="f" o:preferrelative="t" stroked="f" coordsize="21600,21600">
            <v:path/>
            <v:fill on="f" focussize="0,0"/>
            <v:stroke on="f"/>
            <v:imagedata r:id="rId66" o:title=""/>
            <o:lock v:ext="edit" aspectratio="t"/>
            <w10:wrap type="none"/>
            <w10:anchorlock/>
          </v:shape>
          <o:OLEObject Type="Embed" ProgID="Equation.3" ShapeID="_x0000_i1053" DrawAspect="Content" ObjectID="_1468075753" r:id="rId65">
            <o:LockedField>false</o:LockedField>
          </o:OLEObject>
        </w:object>
      </w:r>
    </w:p>
    <w:p>
      <w:pPr>
        <w:spacing w:line="360" w:lineRule="auto"/>
        <w:rPr>
          <w:rFonts w:hint="eastAsia"/>
          <w:color w:val="auto"/>
          <w:sz w:val="24"/>
          <w:highlight w:val="none"/>
        </w:rPr>
      </w:pPr>
      <w:r>
        <w:rPr>
          <w:rFonts w:hint="eastAsia"/>
          <w:color w:val="auto"/>
          <w:sz w:val="24"/>
          <w:highlight w:val="none"/>
        </w:rPr>
        <w:t>式中：A</w:t>
      </w:r>
      <w:r>
        <w:rPr>
          <w:rFonts w:hint="eastAsia"/>
          <w:color w:val="auto"/>
          <w:sz w:val="24"/>
          <w:highlight w:val="none"/>
          <w:vertAlign w:val="subscript"/>
        </w:rPr>
        <w:t>atm</w:t>
      </w:r>
      <w:r>
        <w:rPr>
          <w:rFonts w:hint="eastAsia"/>
          <w:color w:val="auto"/>
          <w:sz w:val="24"/>
          <w:highlight w:val="none"/>
        </w:rPr>
        <w:t xml:space="preserve"> —大气吸收引起的衰减，dB；</w:t>
      </w:r>
    </w:p>
    <w:p>
      <w:pPr>
        <w:spacing w:line="360" w:lineRule="auto"/>
        <w:ind w:firstLine="480" w:firstLineChars="200"/>
        <w:rPr>
          <w:color w:val="auto"/>
          <w:sz w:val="24"/>
          <w:szCs w:val="22"/>
          <w:highlight w:val="none"/>
        </w:rPr>
      </w:pPr>
      <w:r>
        <w:rPr>
          <w:color w:val="auto"/>
          <w:sz w:val="24"/>
          <w:highlight w:val="none"/>
        </w:rPr>
        <w:t>α—与温度、湿度和声波频率有关的大气吸收衰减系数，预测计算中一般根据建设项目所处区域常年平均气温和湿度选择相应的大气吸收衰减系数</w:t>
      </w:r>
      <w:r>
        <w:rPr>
          <w:rFonts w:hint="eastAsia"/>
          <w:color w:val="auto"/>
          <w:sz w:val="24"/>
          <w:highlight w:val="none"/>
        </w:rPr>
        <w:t>，表4.2-2</w:t>
      </w:r>
      <w:r>
        <w:rPr>
          <w:color w:val="auto"/>
          <w:sz w:val="24"/>
          <w:highlight w:val="none"/>
        </w:rPr>
        <w:t>；</w:t>
      </w:r>
      <w:r>
        <w:rPr>
          <w:color w:val="auto"/>
          <w:sz w:val="24"/>
          <w:szCs w:val="22"/>
          <w:highlight w:val="none"/>
        </w:rPr>
        <w:t>本项目交通噪声中心频率按 500Hz，项目所在地年平均温度21.0℃、年平均湿度7</w:t>
      </w:r>
      <w:r>
        <w:rPr>
          <w:rFonts w:hint="eastAsia"/>
          <w:color w:val="auto"/>
          <w:sz w:val="24"/>
          <w:szCs w:val="22"/>
          <w:highlight w:val="none"/>
        </w:rPr>
        <w:t>7</w:t>
      </w:r>
      <w:r>
        <w:rPr>
          <w:color w:val="auto"/>
          <w:sz w:val="24"/>
          <w:szCs w:val="22"/>
          <w:highlight w:val="none"/>
        </w:rPr>
        <w:t>%，取 a=2.8。</w:t>
      </w:r>
    </w:p>
    <w:p>
      <w:pPr>
        <w:adjustRightInd w:val="0"/>
        <w:snapToGrid w:val="0"/>
        <w:jc w:val="center"/>
        <w:rPr>
          <w:rFonts w:eastAsia="黑体"/>
          <w:color w:val="auto"/>
          <w:sz w:val="24"/>
          <w:highlight w:val="none"/>
        </w:rPr>
      </w:pPr>
    </w:p>
    <w:p>
      <w:pPr>
        <w:adjustRightInd w:val="0"/>
        <w:snapToGrid w:val="0"/>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4.2</w:t>
      </w:r>
      <w:r>
        <w:rPr>
          <w:rFonts w:eastAsia="黑体"/>
          <w:color w:val="auto"/>
          <w:sz w:val="24"/>
          <w:highlight w:val="none"/>
        </w:rPr>
        <w:t>-</w:t>
      </w:r>
      <w:r>
        <w:rPr>
          <w:rFonts w:hint="eastAsia" w:eastAsia="黑体"/>
          <w:color w:val="auto"/>
          <w:sz w:val="24"/>
          <w:highlight w:val="none"/>
        </w:rPr>
        <w:t xml:space="preserve">2  </w:t>
      </w:r>
      <w:r>
        <w:rPr>
          <w:rFonts w:eastAsia="黑体"/>
          <w:color w:val="auto"/>
          <w:sz w:val="24"/>
          <w:highlight w:val="none"/>
        </w:rPr>
        <w:t>倍频带噪声的大气吸收衰减系数 a</w:t>
      </w:r>
    </w:p>
    <w:tbl>
      <w:tblPr>
        <w:tblStyle w:val="23"/>
        <w:tblW w:w="912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082"/>
        <w:gridCol w:w="903"/>
        <w:gridCol w:w="905"/>
        <w:gridCol w:w="905"/>
        <w:gridCol w:w="905"/>
        <w:gridCol w:w="905"/>
        <w:gridCol w:w="906"/>
        <w:gridCol w:w="906"/>
        <w:gridCol w:w="9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3" w:type="dxa"/>
            <w:vMerge w:val="restart"/>
            <w:tcBorders>
              <w:top w:val="single" w:color="auto" w:sz="12" w:space="0"/>
            </w:tcBorders>
            <w:tcMar>
              <w:left w:w="28" w:type="dxa"/>
              <w:right w:w="28" w:type="dxa"/>
            </w:tcMar>
            <w:vAlign w:val="center"/>
          </w:tcPr>
          <w:p>
            <w:pPr>
              <w:spacing w:line="340" w:lineRule="exact"/>
              <w:jc w:val="center"/>
              <w:rPr>
                <w:color w:val="auto"/>
                <w:szCs w:val="20"/>
                <w:highlight w:val="none"/>
              </w:rPr>
            </w:pPr>
            <w:r>
              <w:rPr>
                <w:color w:val="auto"/>
                <w:szCs w:val="20"/>
                <w:highlight w:val="none"/>
              </w:rPr>
              <w:t>温度</w:t>
            </w:r>
          </w:p>
          <w:p>
            <w:pPr>
              <w:spacing w:line="340" w:lineRule="exact"/>
              <w:jc w:val="center"/>
              <w:rPr>
                <w:color w:val="auto"/>
                <w:szCs w:val="20"/>
                <w:highlight w:val="none"/>
              </w:rPr>
            </w:pPr>
            <w:r>
              <w:rPr>
                <w:color w:val="auto"/>
                <w:szCs w:val="20"/>
                <w:highlight w:val="none"/>
              </w:rPr>
              <w:t>°C</w:t>
            </w:r>
          </w:p>
        </w:tc>
        <w:tc>
          <w:tcPr>
            <w:tcW w:w="1082" w:type="dxa"/>
            <w:vMerge w:val="restart"/>
            <w:tcBorders>
              <w:top w:val="single" w:color="auto" w:sz="12" w:space="0"/>
            </w:tcBorders>
            <w:tcMar>
              <w:left w:w="28" w:type="dxa"/>
              <w:right w:w="28" w:type="dxa"/>
            </w:tcMar>
            <w:vAlign w:val="center"/>
          </w:tcPr>
          <w:p>
            <w:pPr>
              <w:spacing w:line="340" w:lineRule="exact"/>
              <w:jc w:val="center"/>
              <w:rPr>
                <w:color w:val="auto"/>
                <w:szCs w:val="20"/>
                <w:highlight w:val="none"/>
              </w:rPr>
            </w:pPr>
            <w:r>
              <w:rPr>
                <w:color w:val="auto"/>
                <w:szCs w:val="20"/>
                <w:highlight w:val="none"/>
              </w:rPr>
              <w:t>相对湿度</w:t>
            </w:r>
          </w:p>
          <w:p>
            <w:pPr>
              <w:spacing w:line="340" w:lineRule="exact"/>
              <w:jc w:val="center"/>
              <w:rPr>
                <w:color w:val="auto"/>
                <w:szCs w:val="20"/>
                <w:highlight w:val="none"/>
              </w:rPr>
            </w:pPr>
            <w:r>
              <w:rPr>
                <w:color w:val="auto"/>
                <w:szCs w:val="20"/>
                <w:highlight w:val="none"/>
              </w:rPr>
              <w:t>%</w:t>
            </w:r>
          </w:p>
        </w:tc>
        <w:tc>
          <w:tcPr>
            <w:tcW w:w="7241" w:type="dxa"/>
            <w:gridSpan w:val="8"/>
            <w:tcBorders>
              <w:top w:val="single" w:color="auto" w:sz="12" w:space="0"/>
            </w:tcBorders>
            <w:tcMar>
              <w:left w:w="28" w:type="dxa"/>
              <w:right w:w="28" w:type="dxa"/>
            </w:tcMar>
            <w:vAlign w:val="center"/>
          </w:tcPr>
          <w:p>
            <w:pPr>
              <w:spacing w:line="340" w:lineRule="exact"/>
              <w:jc w:val="center"/>
              <w:rPr>
                <w:color w:val="auto"/>
                <w:szCs w:val="20"/>
                <w:highlight w:val="none"/>
              </w:rPr>
            </w:pPr>
            <w:r>
              <w:rPr>
                <w:color w:val="auto"/>
                <w:szCs w:val="20"/>
                <w:highlight w:val="none"/>
              </w:rPr>
              <w:t>大气吸收衰减系数a，dB/km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3" w:type="dxa"/>
            <w:vMerge w:val="continue"/>
            <w:tcMar>
              <w:left w:w="28" w:type="dxa"/>
              <w:right w:w="28" w:type="dxa"/>
            </w:tcMar>
            <w:vAlign w:val="center"/>
          </w:tcPr>
          <w:p>
            <w:pPr>
              <w:spacing w:line="340" w:lineRule="exact"/>
              <w:jc w:val="center"/>
              <w:rPr>
                <w:color w:val="auto"/>
                <w:szCs w:val="20"/>
                <w:highlight w:val="none"/>
              </w:rPr>
            </w:pPr>
          </w:p>
        </w:tc>
        <w:tc>
          <w:tcPr>
            <w:tcW w:w="1082" w:type="dxa"/>
            <w:vMerge w:val="continue"/>
            <w:tcMar>
              <w:left w:w="28" w:type="dxa"/>
              <w:right w:w="28" w:type="dxa"/>
            </w:tcMar>
            <w:vAlign w:val="center"/>
          </w:tcPr>
          <w:p>
            <w:pPr>
              <w:spacing w:line="340" w:lineRule="exact"/>
              <w:jc w:val="center"/>
              <w:rPr>
                <w:color w:val="auto"/>
                <w:szCs w:val="20"/>
                <w:highlight w:val="none"/>
              </w:rPr>
            </w:pPr>
          </w:p>
        </w:tc>
        <w:tc>
          <w:tcPr>
            <w:tcW w:w="7241" w:type="dxa"/>
            <w:gridSpan w:val="8"/>
            <w:tcMar>
              <w:left w:w="28" w:type="dxa"/>
              <w:right w:w="28" w:type="dxa"/>
            </w:tcMar>
            <w:vAlign w:val="center"/>
          </w:tcPr>
          <w:p>
            <w:pPr>
              <w:spacing w:line="340" w:lineRule="exact"/>
              <w:jc w:val="center"/>
              <w:rPr>
                <w:color w:val="auto"/>
                <w:szCs w:val="20"/>
                <w:highlight w:val="none"/>
              </w:rPr>
            </w:pPr>
            <w:r>
              <w:rPr>
                <w:color w:val="auto"/>
                <w:szCs w:val="20"/>
                <w:highlight w:val="none"/>
              </w:rPr>
              <w:t>倍频带中心频率Hz</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3" w:type="dxa"/>
            <w:vMerge w:val="continue"/>
            <w:tcMar>
              <w:left w:w="28" w:type="dxa"/>
              <w:right w:w="28" w:type="dxa"/>
            </w:tcMar>
            <w:vAlign w:val="center"/>
          </w:tcPr>
          <w:p>
            <w:pPr>
              <w:spacing w:line="340" w:lineRule="exact"/>
              <w:jc w:val="center"/>
              <w:rPr>
                <w:color w:val="auto"/>
                <w:szCs w:val="20"/>
                <w:highlight w:val="none"/>
              </w:rPr>
            </w:pPr>
          </w:p>
        </w:tc>
        <w:tc>
          <w:tcPr>
            <w:tcW w:w="1082" w:type="dxa"/>
            <w:vMerge w:val="continue"/>
            <w:tcMar>
              <w:left w:w="28" w:type="dxa"/>
              <w:right w:w="28" w:type="dxa"/>
            </w:tcMar>
            <w:vAlign w:val="center"/>
          </w:tcPr>
          <w:p>
            <w:pPr>
              <w:spacing w:line="340" w:lineRule="exact"/>
              <w:jc w:val="center"/>
              <w:rPr>
                <w:color w:val="auto"/>
                <w:szCs w:val="20"/>
                <w:highlight w:val="none"/>
              </w:rPr>
            </w:pPr>
          </w:p>
        </w:tc>
        <w:tc>
          <w:tcPr>
            <w:tcW w:w="903"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6</w:t>
            </w:r>
            <w:r>
              <w:rPr>
                <w:color w:val="auto"/>
                <w:szCs w:val="20"/>
                <w:highlight w:val="none"/>
              </w:rPr>
              <w:t>3</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25</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50</w:t>
            </w:r>
          </w:p>
        </w:tc>
        <w:tc>
          <w:tcPr>
            <w:tcW w:w="905" w:type="dxa"/>
            <w:tcMar>
              <w:left w:w="28" w:type="dxa"/>
              <w:right w:w="28" w:type="dxa"/>
            </w:tcMar>
            <w:vAlign w:val="center"/>
          </w:tcPr>
          <w:p>
            <w:pPr>
              <w:spacing w:line="340" w:lineRule="exact"/>
              <w:jc w:val="center"/>
              <w:rPr>
                <w:color w:val="auto"/>
                <w:szCs w:val="20"/>
                <w:highlight w:val="none"/>
              </w:rPr>
            </w:pPr>
            <w:r>
              <w:rPr>
                <w:color w:val="auto"/>
                <w:szCs w:val="20"/>
                <w:highlight w:val="none"/>
              </w:rPr>
              <w:t>500</w:t>
            </w:r>
          </w:p>
        </w:tc>
        <w:tc>
          <w:tcPr>
            <w:tcW w:w="905" w:type="dxa"/>
            <w:tcMar>
              <w:left w:w="28" w:type="dxa"/>
              <w:right w:w="28" w:type="dxa"/>
            </w:tcMar>
            <w:vAlign w:val="center"/>
          </w:tcPr>
          <w:p>
            <w:pPr>
              <w:spacing w:line="340" w:lineRule="exact"/>
              <w:jc w:val="center"/>
              <w:rPr>
                <w:color w:val="auto"/>
                <w:szCs w:val="20"/>
                <w:highlight w:val="none"/>
              </w:rPr>
            </w:pPr>
            <w:r>
              <w:rPr>
                <w:color w:val="auto"/>
                <w:szCs w:val="20"/>
                <w:highlight w:val="none"/>
              </w:rPr>
              <w:t>1000</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000</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4</w:t>
            </w:r>
            <w:r>
              <w:rPr>
                <w:color w:val="auto"/>
                <w:szCs w:val="20"/>
                <w:highlight w:val="none"/>
              </w:rPr>
              <w:t>000</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8</w:t>
            </w:r>
            <w:r>
              <w:rPr>
                <w:color w:val="auto"/>
                <w:szCs w:val="20"/>
                <w:highlight w:val="none"/>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3"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0</w:t>
            </w:r>
          </w:p>
        </w:tc>
        <w:tc>
          <w:tcPr>
            <w:tcW w:w="108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7</w:t>
            </w:r>
            <w:r>
              <w:rPr>
                <w:color w:val="auto"/>
                <w:szCs w:val="20"/>
                <w:highlight w:val="none"/>
              </w:rPr>
              <w:t>0</w:t>
            </w:r>
          </w:p>
        </w:tc>
        <w:tc>
          <w:tcPr>
            <w:tcW w:w="903"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.1</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.4</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.0</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.9</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3</w:t>
            </w:r>
            <w:r>
              <w:rPr>
                <w:color w:val="auto"/>
                <w:szCs w:val="20"/>
                <w:highlight w:val="none"/>
              </w:rPr>
              <w:t>.7</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9</w:t>
            </w:r>
            <w:r>
              <w:rPr>
                <w:color w:val="auto"/>
                <w:szCs w:val="20"/>
                <w:highlight w:val="none"/>
              </w:rPr>
              <w:t>.7</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3</w:t>
            </w:r>
            <w:r>
              <w:rPr>
                <w:color w:val="auto"/>
                <w:szCs w:val="20"/>
                <w:highlight w:val="none"/>
              </w:rPr>
              <w:t>2.8</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17.0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3"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0</w:t>
            </w:r>
          </w:p>
        </w:tc>
        <w:tc>
          <w:tcPr>
            <w:tcW w:w="108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7</w:t>
            </w:r>
            <w:r>
              <w:rPr>
                <w:color w:val="auto"/>
                <w:szCs w:val="20"/>
                <w:highlight w:val="none"/>
              </w:rPr>
              <w:t>0</w:t>
            </w:r>
          </w:p>
        </w:tc>
        <w:tc>
          <w:tcPr>
            <w:tcW w:w="903"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.1</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.3</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.1</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.8</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5</w:t>
            </w:r>
            <w:r>
              <w:rPr>
                <w:color w:val="auto"/>
                <w:szCs w:val="20"/>
                <w:highlight w:val="none"/>
              </w:rPr>
              <w:t>.0</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9</w:t>
            </w:r>
            <w:r>
              <w:rPr>
                <w:color w:val="auto"/>
                <w:szCs w:val="20"/>
                <w:highlight w:val="none"/>
              </w:rPr>
              <w:t>.0</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2.9</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7</w:t>
            </w:r>
            <w:r>
              <w:rPr>
                <w:color w:val="auto"/>
                <w:szCs w:val="20"/>
                <w:highlight w:val="none"/>
              </w:rPr>
              <w:t>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3"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3</w:t>
            </w:r>
            <w:r>
              <w:rPr>
                <w:color w:val="auto"/>
                <w:szCs w:val="20"/>
                <w:highlight w:val="none"/>
              </w:rPr>
              <w:t>0</w:t>
            </w:r>
          </w:p>
        </w:tc>
        <w:tc>
          <w:tcPr>
            <w:tcW w:w="108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7</w:t>
            </w:r>
            <w:r>
              <w:rPr>
                <w:color w:val="auto"/>
                <w:szCs w:val="20"/>
                <w:highlight w:val="none"/>
              </w:rPr>
              <w:t>0</w:t>
            </w:r>
          </w:p>
        </w:tc>
        <w:tc>
          <w:tcPr>
            <w:tcW w:w="903"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.1</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.3</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.0</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3</w:t>
            </w:r>
            <w:r>
              <w:rPr>
                <w:color w:val="auto"/>
                <w:szCs w:val="20"/>
                <w:highlight w:val="none"/>
              </w:rPr>
              <w:t>.1</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7</w:t>
            </w:r>
            <w:r>
              <w:rPr>
                <w:color w:val="auto"/>
                <w:szCs w:val="20"/>
                <w:highlight w:val="none"/>
              </w:rPr>
              <w:t>.4</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2.7</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3.1</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5</w:t>
            </w:r>
            <w:r>
              <w:rPr>
                <w:color w:val="auto"/>
                <w:szCs w:val="20"/>
                <w:highlight w:val="none"/>
              </w:rPr>
              <w:t>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3"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5</w:t>
            </w:r>
          </w:p>
        </w:tc>
        <w:tc>
          <w:tcPr>
            <w:tcW w:w="108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0</w:t>
            </w:r>
          </w:p>
        </w:tc>
        <w:tc>
          <w:tcPr>
            <w:tcW w:w="903"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.3</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.6</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.2</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.7</w:t>
            </w:r>
          </w:p>
        </w:tc>
        <w:tc>
          <w:tcPr>
            <w:tcW w:w="905"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8</w:t>
            </w:r>
            <w:r>
              <w:rPr>
                <w:color w:val="auto"/>
                <w:szCs w:val="20"/>
                <w:highlight w:val="none"/>
              </w:rPr>
              <w:t>.2</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8.2</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8.8</w:t>
            </w:r>
          </w:p>
        </w:tc>
        <w:tc>
          <w:tcPr>
            <w:tcW w:w="906"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3" w:type="dxa"/>
            <w:tcBorders>
              <w:bottom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5</w:t>
            </w:r>
          </w:p>
        </w:tc>
        <w:tc>
          <w:tcPr>
            <w:tcW w:w="1082" w:type="dxa"/>
            <w:tcBorders>
              <w:bottom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5</w:t>
            </w:r>
            <w:r>
              <w:rPr>
                <w:color w:val="auto"/>
                <w:szCs w:val="20"/>
                <w:highlight w:val="none"/>
              </w:rPr>
              <w:t>0</w:t>
            </w:r>
          </w:p>
        </w:tc>
        <w:tc>
          <w:tcPr>
            <w:tcW w:w="903" w:type="dxa"/>
            <w:tcBorders>
              <w:bottom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.1</w:t>
            </w:r>
          </w:p>
        </w:tc>
        <w:tc>
          <w:tcPr>
            <w:tcW w:w="905" w:type="dxa"/>
            <w:tcBorders>
              <w:bottom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.5</w:t>
            </w:r>
          </w:p>
        </w:tc>
        <w:tc>
          <w:tcPr>
            <w:tcW w:w="905" w:type="dxa"/>
            <w:tcBorders>
              <w:bottom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.2</w:t>
            </w:r>
          </w:p>
        </w:tc>
        <w:tc>
          <w:tcPr>
            <w:tcW w:w="905" w:type="dxa"/>
            <w:tcBorders>
              <w:bottom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.2</w:t>
            </w:r>
          </w:p>
        </w:tc>
        <w:tc>
          <w:tcPr>
            <w:tcW w:w="905" w:type="dxa"/>
            <w:tcBorders>
              <w:bottom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4</w:t>
            </w:r>
            <w:r>
              <w:rPr>
                <w:color w:val="auto"/>
                <w:szCs w:val="20"/>
                <w:highlight w:val="none"/>
              </w:rPr>
              <w:t>.2</w:t>
            </w:r>
          </w:p>
        </w:tc>
        <w:tc>
          <w:tcPr>
            <w:tcW w:w="906" w:type="dxa"/>
            <w:tcBorders>
              <w:bottom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0.8</w:t>
            </w:r>
          </w:p>
        </w:tc>
        <w:tc>
          <w:tcPr>
            <w:tcW w:w="906" w:type="dxa"/>
            <w:tcBorders>
              <w:bottom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3</w:t>
            </w:r>
            <w:r>
              <w:rPr>
                <w:color w:val="auto"/>
                <w:szCs w:val="20"/>
                <w:highlight w:val="none"/>
              </w:rPr>
              <w:t>6.2</w:t>
            </w:r>
          </w:p>
        </w:tc>
        <w:tc>
          <w:tcPr>
            <w:tcW w:w="906" w:type="dxa"/>
            <w:tcBorders>
              <w:bottom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29.0</w:t>
            </w:r>
          </w:p>
        </w:tc>
      </w:tr>
    </w:tbl>
    <w:p>
      <w:pPr>
        <w:spacing w:line="360" w:lineRule="auto"/>
        <w:ind w:firstLine="480" w:firstLineChars="200"/>
        <w:rPr>
          <w:color w:val="auto"/>
          <w:sz w:val="24"/>
          <w:highlight w:val="none"/>
        </w:rPr>
      </w:pPr>
      <w:r>
        <w:rPr>
          <w:color w:val="auto"/>
          <w:sz w:val="24"/>
          <w:highlight w:val="none"/>
        </w:rPr>
        <w:t>r —预测点距声源的距离；</w:t>
      </w:r>
    </w:p>
    <w:p>
      <w:pPr>
        <w:spacing w:line="360" w:lineRule="auto"/>
        <w:ind w:firstLine="480" w:firstLineChars="200"/>
        <w:rPr>
          <w:color w:val="auto"/>
          <w:sz w:val="24"/>
          <w:highlight w:val="none"/>
        </w:rPr>
      </w:pPr>
      <w:r>
        <w:rPr>
          <w:color w:val="auto"/>
          <w:sz w:val="24"/>
          <w:highlight w:val="none"/>
        </w:rPr>
        <w:t>r0——参考位置距声源的距离。</w:t>
      </w:r>
    </w:p>
    <w:p>
      <w:pPr>
        <w:spacing w:line="360" w:lineRule="auto"/>
        <w:ind w:firstLine="480" w:firstLineChars="200"/>
        <w:rPr>
          <w:rFonts w:hint="eastAsia"/>
          <w:color w:val="auto"/>
          <w:sz w:val="24"/>
          <w:highlight w:val="none"/>
        </w:rPr>
      </w:pPr>
      <w:r>
        <w:rPr>
          <w:rFonts w:hint="eastAsia"/>
          <w:color w:val="auto"/>
          <w:sz w:val="24"/>
          <w:highlight w:val="none"/>
        </w:rPr>
        <w:t>②地面效应引起的衰减（A</w:t>
      </w:r>
      <w:r>
        <w:rPr>
          <w:rFonts w:hint="eastAsia"/>
          <w:color w:val="auto"/>
          <w:sz w:val="24"/>
          <w:highlight w:val="none"/>
          <w:vertAlign w:val="subscript"/>
        </w:rPr>
        <w:t>gr</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地面类型可分为：</w:t>
      </w:r>
    </w:p>
    <w:p>
      <w:pPr>
        <w:spacing w:line="360" w:lineRule="auto"/>
        <w:ind w:firstLine="480" w:firstLineChars="200"/>
        <w:rPr>
          <w:rFonts w:hint="eastAsia"/>
          <w:color w:val="auto"/>
          <w:sz w:val="24"/>
          <w:highlight w:val="none"/>
        </w:rPr>
      </w:pPr>
      <w:r>
        <w:rPr>
          <w:rFonts w:hint="eastAsia"/>
          <w:color w:val="auto"/>
          <w:sz w:val="24"/>
          <w:highlight w:val="none"/>
        </w:rPr>
        <w:t>a）坚实地面，包括铺筑过的路面、水面、冰面以及夯实地面；</w:t>
      </w:r>
    </w:p>
    <w:p>
      <w:pPr>
        <w:spacing w:line="360" w:lineRule="auto"/>
        <w:ind w:firstLine="480" w:firstLineChars="200"/>
        <w:rPr>
          <w:rFonts w:hint="eastAsia"/>
          <w:color w:val="auto"/>
          <w:sz w:val="24"/>
          <w:highlight w:val="none"/>
        </w:rPr>
      </w:pPr>
      <w:r>
        <w:rPr>
          <w:rFonts w:hint="eastAsia"/>
          <w:color w:val="auto"/>
          <w:sz w:val="24"/>
          <w:highlight w:val="none"/>
        </w:rPr>
        <w:t>b）疏松地面，包括被草或其他植物覆盖的地面，以及农田等适合于植物生长的地面；</w:t>
      </w:r>
    </w:p>
    <w:p>
      <w:pPr>
        <w:spacing w:line="360" w:lineRule="auto"/>
        <w:ind w:firstLine="480" w:firstLineChars="200"/>
        <w:rPr>
          <w:rFonts w:hint="eastAsia"/>
          <w:color w:val="auto"/>
          <w:sz w:val="24"/>
          <w:highlight w:val="none"/>
        </w:rPr>
      </w:pPr>
      <w:r>
        <w:rPr>
          <w:rFonts w:hint="eastAsia"/>
          <w:color w:val="auto"/>
          <w:sz w:val="24"/>
          <w:highlight w:val="none"/>
        </w:rPr>
        <w:t>c）混合地面，由坚实地面和疏松地面组成。</w:t>
      </w:r>
    </w:p>
    <w:p>
      <w:pPr>
        <w:spacing w:line="360" w:lineRule="auto"/>
        <w:ind w:firstLine="480" w:firstLineChars="200"/>
        <w:rPr>
          <w:rFonts w:hint="eastAsia"/>
          <w:color w:val="auto"/>
          <w:sz w:val="24"/>
          <w:highlight w:val="none"/>
        </w:rPr>
      </w:pPr>
      <w:r>
        <w:rPr>
          <w:rFonts w:hint="eastAsia"/>
          <w:color w:val="auto"/>
          <w:sz w:val="24"/>
          <w:highlight w:val="none"/>
        </w:rPr>
        <w:t>声波掠过疏松地面传播时，或大部分为疏松地面的混合地面，在预测点仅计算A声级前提下，地面效应引起的倍频带衰减可用下计算：</w:t>
      </w:r>
    </w:p>
    <w:p>
      <w:pPr>
        <w:spacing w:line="360" w:lineRule="auto"/>
        <w:jc w:val="center"/>
        <w:rPr>
          <w:rFonts w:hint="eastAsia"/>
          <w:color w:val="auto"/>
          <w:sz w:val="24"/>
          <w:highlight w:val="none"/>
        </w:rPr>
      </w:pPr>
      <w:r>
        <w:rPr>
          <w:rFonts w:hint="eastAsia"/>
          <w:color w:val="auto"/>
          <w:position w:val="-28"/>
          <w:sz w:val="24"/>
          <w:highlight w:val="none"/>
        </w:rPr>
        <w:object>
          <v:shape id="_x0000_i1054" o:spt="75" type="#_x0000_t75" style="height:34pt;width:142pt;" o:ole="t" filled="f" o:preferrelative="t" stroked="f" coordsize="21600,21600">
            <v:path/>
            <v:fill on="f" focussize="0,0"/>
            <v:stroke on="f"/>
            <v:imagedata r:id="rId68" o:title=""/>
            <o:lock v:ext="edit" aspectratio="t"/>
            <w10:wrap type="none"/>
            <w10:anchorlock/>
          </v:shape>
          <o:OLEObject Type="Embed" ProgID="Equation.3" ShapeID="_x0000_i1054" DrawAspect="Content" ObjectID="_1468075754" r:id="rId67">
            <o:LockedField>false</o:LockedField>
          </o:OLEObject>
        </w:object>
      </w:r>
    </w:p>
    <w:p>
      <w:pPr>
        <w:spacing w:line="360" w:lineRule="auto"/>
        <w:ind w:left="420" w:leftChars="200"/>
        <w:rPr>
          <w:rFonts w:hint="eastAsia"/>
          <w:color w:val="auto"/>
          <w:sz w:val="24"/>
          <w:highlight w:val="none"/>
        </w:rPr>
      </w:pPr>
      <w:r>
        <w:rPr>
          <w:rFonts w:hint="eastAsia"/>
          <w:color w:val="auto"/>
          <w:sz w:val="24"/>
          <w:highlight w:val="none"/>
        </w:rPr>
        <w:t>式中：A</w:t>
      </w:r>
      <w:r>
        <w:rPr>
          <w:rFonts w:hint="eastAsia"/>
          <w:color w:val="auto"/>
          <w:sz w:val="24"/>
          <w:highlight w:val="none"/>
          <w:vertAlign w:val="subscript"/>
        </w:rPr>
        <w:t>gr</w:t>
      </w:r>
      <w:r>
        <w:rPr>
          <w:rFonts w:hint="eastAsia"/>
          <w:color w:val="auto"/>
          <w:sz w:val="24"/>
          <w:highlight w:val="none"/>
        </w:rPr>
        <w:t xml:space="preserve"> —地面效应引起的衰减，dB；</w:t>
      </w:r>
    </w:p>
    <w:p>
      <w:pPr>
        <w:spacing w:line="360" w:lineRule="auto"/>
        <w:ind w:left="420" w:leftChars="200"/>
        <w:rPr>
          <w:rFonts w:hint="eastAsia"/>
          <w:color w:val="auto"/>
          <w:sz w:val="24"/>
          <w:highlight w:val="none"/>
        </w:rPr>
      </w:pPr>
      <w:r>
        <w:rPr>
          <w:rFonts w:hint="eastAsia"/>
          <w:color w:val="auto"/>
          <w:sz w:val="24"/>
          <w:highlight w:val="none"/>
        </w:rPr>
        <w:t>r —预测点距声源的距离，m；</w:t>
      </w:r>
    </w:p>
    <w:p>
      <w:pPr>
        <w:spacing w:line="360" w:lineRule="auto"/>
        <w:ind w:left="420" w:leftChars="200"/>
        <w:rPr>
          <w:rFonts w:hint="eastAsia"/>
          <w:color w:val="auto"/>
          <w:sz w:val="24"/>
          <w:highlight w:val="none"/>
        </w:rPr>
      </w:pPr>
      <w:r>
        <w:rPr>
          <w:rFonts w:hint="eastAsia"/>
          <w:color w:val="auto"/>
          <w:sz w:val="24"/>
          <w:highlight w:val="none"/>
        </w:rPr>
        <w:t>h</w:t>
      </w:r>
      <w:r>
        <w:rPr>
          <w:rFonts w:hint="eastAsia"/>
          <w:color w:val="auto"/>
          <w:sz w:val="24"/>
          <w:highlight w:val="none"/>
          <w:vertAlign w:val="subscript"/>
        </w:rPr>
        <w:t>m</w:t>
      </w:r>
      <w:r>
        <w:rPr>
          <w:rFonts w:hint="eastAsia"/>
          <w:color w:val="auto"/>
          <w:sz w:val="24"/>
          <w:highlight w:val="none"/>
        </w:rPr>
        <w:t>—传播路径的平均离地高度，m；可按图4.2-2进行计算，</w:t>
      </w:r>
      <w:r>
        <w:rPr>
          <w:rFonts w:hint="eastAsia"/>
          <w:color w:val="auto"/>
          <w:position w:val="-10"/>
          <w:sz w:val="24"/>
          <w:highlight w:val="none"/>
        </w:rPr>
        <w:object>
          <v:shape id="_x0000_i1055" o:spt="75" type="#_x0000_t75" style="height:17pt;width:51pt;" o:ole="t" filled="f" o:preferrelative="t" stroked="f" coordsize="21600,21600">
            <v:path/>
            <v:fill on="f" focussize="0,0"/>
            <v:stroke on="f"/>
            <v:imagedata r:id="rId70" o:title=""/>
            <o:lock v:ext="edit" aspectratio="t"/>
            <w10:wrap type="none"/>
            <w10:anchorlock/>
          </v:shape>
          <o:OLEObject Type="Embed" ProgID="Equation.3" ShapeID="_x0000_i1055" DrawAspect="Content" ObjectID="_1468075755" r:id="rId69">
            <o:LockedField>false</o:LockedField>
          </o:OLEObject>
        </w:object>
      </w:r>
      <w:r>
        <w:rPr>
          <w:rFonts w:hint="eastAsia"/>
          <w:color w:val="auto"/>
          <w:sz w:val="24"/>
          <w:highlight w:val="none"/>
        </w:rPr>
        <w:t>；F：面积，m</w:t>
      </w:r>
      <w:r>
        <w:rPr>
          <w:rFonts w:hint="eastAsia"/>
          <w:color w:val="auto"/>
          <w:sz w:val="24"/>
          <w:highlight w:val="none"/>
          <w:vertAlign w:val="superscript"/>
        </w:rPr>
        <w:t>2</w:t>
      </w:r>
      <w:r>
        <w:rPr>
          <w:rFonts w:hint="eastAsia"/>
          <w:color w:val="auto"/>
          <w:sz w:val="24"/>
          <w:highlight w:val="none"/>
        </w:rPr>
        <w:t>，若 A</w:t>
      </w:r>
      <w:r>
        <w:rPr>
          <w:rFonts w:hint="eastAsia"/>
          <w:color w:val="auto"/>
          <w:sz w:val="24"/>
          <w:highlight w:val="none"/>
          <w:vertAlign w:val="subscript"/>
        </w:rPr>
        <w:t>gr</w:t>
      </w:r>
      <w:r>
        <w:rPr>
          <w:rFonts w:hint="eastAsia"/>
          <w:color w:val="auto"/>
          <w:sz w:val="24"/>
          <w:highlight w:val="none"/>
        </w:rPr>
        <w:t>计算出负值，则 A</w:t>
      </w:r>
      <w:r>
        <w:rPr>
          <w:rFonts w:hint="eastAsia"/>
          <w:color w:val="auto"/>
          <w:sz w:val="24"/>
          <w:highlight w:val="none"/>
          <w:vertAlign w:val="subscript"/>
        </w:rPr>
        <w:t>gr</w:t>
      </w:r>
      <w:r>
        <w:rPr>
          <w:rFonts w:hint="eastAsia"/>
          <w:color w:val="auto"/>
          <w:sz w:val="24"/>
          <w:highlight w:val="none"/>
        </w:rPr>
        <w:t xml:space="preserve"> 可用“0”代替。</w:t>
      </w:r>
    </w:p>
    <w:p>
      <w:pPr>
        <w:spacing w:line="360" w:lineRule="auto"/>
        <w:ind w:left="420" w:leftChars="200"/>
        <w:rPr>
          <w:rFonts w:hint="eastAsia"/>
          <w:color w:val="auto"/>
          <w:sz w:val="24"/>
          <w:highlight w:val="none"/>
        </w:rPr>
      </w:pPr>
      <w:r>
        <w:rPr>
          <w:rFonts w:hint="eastAsia"/>
          <w:color w:val="auto"/>
          <w:sz w:val="24"/>
          <w:highlight w:val="none"/>
        </w:rPr>
        <w:t>其他情况可参照 GB/T 17247.2 进行计算。</w:t>
      </w:r>
    </w:p>
    <w:p>
      <w:pPr>
        <w:spacing w:line="360" w:lineRule="auto"/>
        <w:jc w:val="center"/>
        <w:rPr>
          <w:color w:val="auto"/>
          <w:highlight w:val="none"/>
        </w:rPr>
      </w:pPr>
      <w:r>
        <w:rPr>
          <w:color w:val="auto"/>
          <w:highlight w:val="none"/>
        </w:rPr>
        <w:drawing>
          <wp:inline distT="0" distB="0" distL="114300" distR="114300">
            <wp:extent cx="5221605" cy="2414270"/>
            <wp:effectExtent l="0" t="0" r="0" b="0"/>
            <wp:docPr id="14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92"/>
                    <pic:cNvPicPr>
                      <a:picLocks noChangeAspect="1"/>
                    </pic:cNvPicPr>
                  </pic:nvPicPr>
                  <pic:blipFill>
                    <a:blip r:embed="rId71"/>
                    <a:stretch>
                      <a:fillRect/>
                    </a:stretch>
                  </pic:blipFill>
                  <pic:spPr>
                    <a:xfrm>
                      <a:off x="0" y="0"/>
                      <a:ext cx="5221605" cy="2414270"/>
                    </a:xfrm>
                    <a:prstGeom prst="rect">
                      <a:avLst/>
                    </a:prstGeom>
                    <a:noFill/>
                    <a:ln>
                      <a:noFill/>
                    </a:ln>
                  </pic:spPr>
                </pic:pic>
              </a:graphicData>
            </a:graphic>
          </wp:inline>
        </w:drawing>
      </w:r>
    </w:p>
    <w:p>
      <w:pPr>
        <w:spacing w:before="120" w:beforeLines="50"/>
        <w:ind w:firstLine="480"/>
        <w:jc w:val="center"/>
        <w:rPr>
          <w:rFonts w:hint="eastAsia"/>
          <w:b/>
          <w:bCs/>
          <w:color w:val="auto"/>
          <w:sz w:val="24"/>
          <w:highlight w:val="none"/>
        </w:rPr>
      </w:pPr>
      <w:r>
        <w:rPr>
          <w:rFonts w:hint="eastAsia"/>
          <w:b/>
          <w:bCs/>
          <w:color w:val="auto"/>
          <w:sz w:val="24"/>
          <w:highlight w:val="none"/>
        </w:rPr>
        <w:t>图4.2-2 估计平均高度 hm的方法</w:t>
      </w:r>
    </w:p>
    <w:p>
      <w:pPr>
        <w:spacing w:line="360" w:lineRule="auto"/>
        <w:ind w:firstLine="480" w:firstLineChars="200"/>
        <w:rPr>
          <w:rFonts w:hint="eastAsia"/>
          <w:color w:val="auto"/>
          <w:sz w:val="24"/>
          <w:highlight w:val="none"/>
        </w:rPr>
      </w:pPr>
      <w:r>
        <w:rPr>
          <w:rFonts w:hint="eastAsia"/>
          <w:color w:val="auto"/>
          <w:sz w:val="24"/>
          <w:highlight w:val="none"/>
        </w:rPr>
        <w:t>③障碍物屏蔽引起的衰减（A</w:t>
      </w:r>
      <w:r>
        <w:rPr>
          <w:rFonts w:hint="eastAsia"/>
          <w:color w:val="auto"/>
          <w:sz w:val="24"/>
          <w:highlight w:val="none"/>
          <w:vertAlign w:val="subscript"/>
        </w:rPr>
        <w:t>bar</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位于声源和预测点之间的实体障碍物，如围墙、建筑物、土坡或地堑等起声屏障作用，从而引起声能量的较大衰减。在环境影响评价中，可将各种形式的屏障简化为具有一定高度的薄屏障。</w:t>
      </w:r>
    </w:p>
    <w:p>
      <w:pPr>
        <w:spacing w:line="360" w:lineRule="auto"/>
        <w:ind w:firstLine="480" w:firstLineChars="200"/>
        <w:rPr>
          <w:rFonts w:hint="eastAsia"/>
          <w:color w:val="auto"/>
          <w:sz w:val="24"/>
          <w:highlight w:val="none"/>
        </w:rPr>
      </w:pPr>
      <w:r>
        <w:rPr>
          <w:rFonts w:hint="eastAsia"/>
          <w:color w:val="auto"/>
          <w:sz w:val="24"/>
          <w:highlight w:val="none"/>
        </w:rPr>
        <w:t>如图4.2-3 所示，S、O、P 三点在同一平面内且垂直于地面。</w:t>
      </w:r>
    </w:p>
    <w:p>
      <w:pPr>
        <w:spacing w:line="360" w:lineRule="auto"/>
        <w:ind w:firstLine="480" w:firstLineChars="200"/>
        <w:rPr>
          <w:rFonts w:hint="eastAsia"/>
          <w:color w:val="auto"/>
          <w:sz w:val="24"/>
          <w:highlight w:val="none"/>
        </w:rPr>
      </w:pPr>
      <w:r>
        <w:rPr>
          <w:rFonts w:hint="eastAsia"/>
          <w:color w:val="auto"/>
          <w:sz w:val="24"/>
          <w:highlight w:val="none"/>
        </w:rPr>
        <w:t xml:space="preserve">定义 </w:t>
      </w:r>
      <w:r>
        <w:rPr>
          <w:color w:val="auto"/>
          <w:sz w:val="24"/>
          <w:highlight w:val="none"/>
        </w:rPr>
        <w:t>δ</w:t>
      </w:r>
      <w:r>
        <w:rPr>
          <w:rFonts w:hint="eastAsia"/>
          <w:color w:val="auto"/>
          <w:sz w:val="24"/>
          <w:highlight w:val="none"/>
        </w:rPr>
        <w:t>＝SO＋OP－SP 为声程差，N＝2</w:t>
      </w:r>
      <w:r>
        <w:rPr>
          <w:color w:val="auto"/>
          <w:sz w:val="24"/>
          <w:highlight w:val="none"/>
        </w:rPr>
        <w:t>δ</w:t>
      </w:r>
      <w:r>
        <w:rPr>
          <w:rFonts w:hint="eastAsia"/>
          <w:color w:val="auto"/>
          <w:sz w:val="24"/>
          <w:highlight w:val="none"/>
        </w:rPr>
        <w:t xml:space="preserve"> / </w:t>
      </w:r>
      <w:r>
        <w:rPr>
          <w:color w:val="auto"/>
          <w:sz w:val="24"/>
          <w:highlight w:val="none"/>
        </w:rPr>
        <w:t>λ为菲涅尔数，其中λ</w:t>
      </w:r>
      <w:r>
        <w:rPr>
          <w:rFonts w:hint="eastAsia"/>
          <w:color w:val="auto"/>
          <w:sz w:val="24"/>
          <w:highlight w:val="none"/>
        </w:rPr>
        <w:t>为声波波长。在噪声预测中，声屏障插入损失的计算方法需要根据实际情况作简化处理。</w:t>
      </w:r>
    </w:p>
    <w:p>
      <w:pPr>
        <w:spacing w:line="360" w:lineRule="auto"/>
        <w:ind w:firstLine="420" w:firstLineChars="200"/>
        <w:jc w:val="center"/>
        <w:rPr>
          <w:color w:val="auto"/>
          <w:sz w:val="24"/>
          <w:highlight w:val="none"/>
        </w:rPr>
      </w:pPr>
      <w:r>
        <w:rPr>
          <w:color w:val="auto"/>
          <w:highlight w:val="none"/>
        </w:rPr>
        <w:drawing>
          <wp:inline distT="0" distB="0" distL="114300" distR="114300">
            <wp:extent cx="2914015" cy="1680210"/>
            <wp:effectExtent l="0" t="0" r="0" b="0"/>
            <wp:docPr id="143"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78"/>
                    <pic:cNvPicPr>
                      <a:picLocks noChangeAspect="1"/>
                    </pic:cNvPicPr>
                  </pic:nvPicPr>
                  <pic:blipFill>
                    <a:blip r:embed="rId72"/>
                    <a:srcRect t="13397" b="11087"/>
                    <a:stretch>
                      <a:fillRect/>
                    </a:stretch>
                  </pic:blipFill>
                  <pic:spPr>
                    <a:xfrm>
                      <a:off x="0" y="0"/>
                      <a:ext cx="2914015" cy="1680210"/>
                    </a:xfrm>
                    <a:prstGeom prst="rect">
                      <a:avLst/>
                    </a:prstGeom>
                    <a:noFill/>
                    <a:ln>
                      <a:noFill/>
                    </a:ln>
                  </pic:spPr>
                </pic:pic>
              </a:graphicData>
            </a:graphic>
          </wp:inline>
        </w:drawing>
      </w:r>
    </w:p>
    <w:p>
      <w:pPr>
        <w:spacing w:before="120" w:beforeLines="50"/>
        <w:ind w:firstLine="480"/>
        <w:jc w:val="center"/>
        <w:rPr>
          <w:rFonts w:hint="eastAsia"/>
          <w:b/>
          <w:bCs/>
          <w:color w:val="auto"/>
          <w:sz w:val="24"/>
          <w:highlight w:val="none"/>
        </w:rPr>
      </w:pPr>
      <w:r>
        <w:rPr>
          <w:rFonts w:hint="eastAsia"/>
          <w:b/>
          <w:bCs/>
          <w:color w:val="auto"/>
          <w:sz w:val="24"/>
          <w:highlight w:val="none"/>
        </w:rPr>
        <w:t>图4.2-3 无限长声屏障示意图</w:t>
      </w:r>
    </w:p>
    <w:p>
      <w:pPr>
        <w:spacing w:line="360" w:lineRule="auto"/>
        <w:ind w:firstLine="480" w:firstLineChars="200"/>
        <w:rPr>
          <w:rFonts w:hint="eastAsia"/>
          <w:color w:val="auto"/>
          <w:sz w:val="24"/>
          <w:highlight w:val="none"/>
        </w:rPr>
      </w:pPr>
      <w:r>
        <w:rPr>
          <w:rFonts w:hint="eastAsia"/>
          <w:color w:val="auto"/>
          <w:sz w:val="24"/>
          <w:highlight w:val="none"/>
        </w:rPr>
        <w:t>屏障衰减A</w:t>
      </w:r>
      <w:r>
        <w:rPr>
          <w:rFonts w:hint="eastAsia"/>
          <w:color w:val="auto"/>
          <w:sz w:val="24"/>
          <w:highlight w:val="none"/>
          <w:vertAlign w:val="subscript"/>
        </w:rPr>
        <w:t>bar</w:t>
      </w:r>
      <w:r>
        <w:rPr>
          <w:rFonts w:hint="eastAsia"/>
          <w:color w:val="auto"/>
          <w:sz w:val="24"/>
          <w:highlight w:val="none"/>
        </w:rPr>
        <w:t>在单绕射（即薄屏障）情况，衰减最大取 20 dB；在双绕射（即厚屏障）情况，衰减最大取 25 dB。</w:t>
      </w:r>
    </w:p>
    <w:p>
      <w:pPr>
        <w:numPr>
          <w:ilvl w:val="0"/>
          <w:numId w:val="10"/>
        </w:numPr>
        <w:spacing w:line="360" w:lineRule="auto"/>
        <w:ind w:left="0" w:firstLine="480" w:firstLineChars="200"/>
        <w:rPr>
          <w:rFonts w:hint="eastAsia"/>
          <w:color w:val="auto"/>
          <w:sz w:val="24"/>
          <w:highlight w:val="none"/>
        </w:rPr>
      </w:pPr>
      <w:r>
        <w:rPr>
          <w:rFonts w:hint="eastAsia"/>
          <w:color w:val="auto"/>
          <w:sz w:val="24"/>
          <w:highlight w:val="none"/>
        </w:rPr>
        <w:t>有限长薄屏障在点声源声场中引起的衰减</w:t>
      </w:r>
    </w:p>
    <w:p>
      <w:pPr>
        <w:spacing w:line="360" w:lineRule="auto"/>
        <w:ind w:firstLine="480" w:firstLineChars="200"/>
        <w:rPr>
          <w:color w:val="auto"/>
          <w:sz w:val="24"/>
          <w:highlight w:val="none"/>
        </w:rPr>
      </w:pPr>
      <w:r>
        <w:rPr>
          <w:color w:val="auto"/>
          <w:sz w:val="24"/>
          <w:highlight w:val="none"/>
        </w:rPr>
        <w:t>a）首先计算图</w:t>
      </w:r>
      <w:r>
        <w:rPr>
          <w:rFonts w:hint="eastAsia"/>
          <w:color w:val="auto"/>
          <w:sz w:val="24"/>
          <w:highlight w:val="none"/>
        </w:rPr>
        <w:t>4.2-4</w:t>
      </w:r>
      <w:r>
        <w:rPr>
          <w:color w:val="auto"/>
          <w:sz w:val="24"/>
          <w:highlight w:val="none"/>
        </w:rPr>
        <w:t xml:space="preserve"> 所示三个传播途径的声程差 δ</w:t>
      </w:r>
      <w:r>
        <w:rPr>
          <w:color w:val="auto"/>
          <w:sz w:val="24"/>
          <w:highlight w:val="none"/>
          <w:vertAlign w:val="subscript"/>
        </w:rPr>
        <w:t>1</w:t>
      </w:r>
      <w:r>
        <w:rPr>
          <w:color w:val="auto"/>
          <w:sz w:val="24"/>
          <w:highlight w:val="none"/>
        </w:rPr>
        <w:t>，δ</w:t>
      </w:r>
      <w:r>
        <w:rPr>
          <w:color w:val="auto"/>
          <w:sz w:val="24"/>
          <w:highlight w:val="none"/>
          <w:vertAlign w:val="subscript"/>
        </w:rPr>
        <w:t>2</w:t>
      </w:r>
      <w:r>
        <w:rPr>
          <w:color w:val="auto"/>
          <w:sz w:val="24"/>
          <w:highlight w:val="none"/>
        </w:rPr>
        <w:t>，δ</w:t>
      </w:r>
      <w:r>
        <w:rPr>
          <w:color w:val="auto"/>
          <w:sz w:val="24"/>
          <w:highlight w:val="none"/>
          <w:vertAlign w:val="subscript"/>
        </w:rPr>
        <w:t>3</w:t>
      </w:r>
      <w:r>
        <w:rPr>
          <w:color w:val="auto"/>
          <w:sz w:val="24"/>
          <w:highlight w:val="none"/>
        </w:rPr>
        <w:t xml:space="preserve"> 和相应的菲涅尔数 N</w:t>
      </w:r>
      <w:r>
        <w:rPr>
          <w:color w:val="auto"/>
          <w:sz w:val="24"/>
          <w:highlight w:val="none"/>
          <w:vertAlign w:val="subscript"/>
        </w:rPr>
        <w:t>1</w:t>
      </w:r>
      <w:r>
        <w:rPr>
          <w:color w:val="auto"/>
          <w:sz w:val="24"/>
          <w:highlight w:val="none"/>
        </w:rPr>
        <w:t>、N</w:t>
      </w:r>
      <w:r>
        <w:rPr>
          <w:color w:val="auto"/>
          <w:sz w:val="24"/>
          <w:highlight w:val="none"/>
          <w:vertAlign w:val="subscript"/>
        </w:rPr>
        <w:t>2</w:t>
      </w:r>
      <w:r>
        <w:rPr>
          <w:color w:val="auto"/>
          <w:sz w:val="24"/>
          <w:highlight w:val="none"/>
        </w:rPr>
        <w:t>、N</w:t>
      </w:r>
      <w:r>
        <w:rPr>
          <w:color w:val="auto"/>
          <w:sz w:val="24"/>
          <w:highlight w:val="none"/>
          <w:vertAlign w:val="subscript"/>
        </w:rPr>
        <w:t>3</w:t>
      </w:r>
      <w:r>
        <w:rPr>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b）声屏障引起的衰减按下式计算：</w:t>
      </w:r>
    </w:p>
    <w:p>
      <w:pPr>
        <w:spacing w:line="360" w:lineRule="auto"/>
        <w:jc w:val="center"/>
        <w:rPr>
          <w:rFonts w:hint="eastAsia"/>
          <w:color w:val="auto"/>
          <w:sz w:val="24"/>
          <w:highlight w:val="none"/>
        </w:rPr>
      </w:pPr>
      <w:r>
        <w:rPr>
          <w:rFonts w:hint="eastAsia"/>
          <w:color w:val="auto"/>
          <w:position w:val="-30"/>
          <w:sz w:val="24"/>
          <w:highlight w:val="none"/>
        </w:rPr>
        <w:object>
          <v:shape id="_x0000_i1056" o:spt="75" type="#_x0000_t75" style="height:34pt;width:232pt;" o:ole="t" filled="f" o:preferrelative="t" stroked="f" coordsize="21600,21600">
            <v:path/>
            <v:fill on="f" focussize="0,0"/>
            <v:stroke on="f"/>
            <v:imagedata r:id="rId74" o:title=""/>
            <o:lock v:ext="edit" aspectratio="t"/>
            <w10:wrap type="none"/>
            <w10:anchorlock/>
          </v:shape>
          <o:OLEObject Type="Embed" ProgID="Equation.3" ShapeID="_x0000_i1056" DrawAspect="Content" ObjectID="_1468075756" r:id="rId73">
            <o:LockedField>false</o:LockedField>
          </o:OLEObject>
        </w:object>
      </w:r>
    </w:p>
    <w:p>
      <w:pPr>
        <w:spacing w:line="360" w:lineRule="auto"/>
        <w:rPr>
          <w:rFonts w:hint="eastAsia"/>
          <w:color w:val="auto"/>
          <w:sz w:val="24"/>
          <w:highlight w:val="none"/>
        </w:rPr>
      </w:pPr>
      <w:r>
        <w:rPr>
          <w:rFonts w:hint="eastAsia"/>
          <w:color w:val="auto"/>
          <w:sz w:val="24"/>
          <w:highlight w:val="none"/>
        </w:rPr>
        <w:t>式中：A</w:t>
      </w:r>
      <w:r>
        <w:rPr>
          <w:rFonts w:hint="eastAsia"/>
          <w:color w:val="auto"/>
          <w:sz w:val="24"/>
          <w:highlight w:val="none"/>
          <w:vertAlign w:val="subscript"/>
        </w:rPr>
        <w:t>bar</w:t>
      </w:r>
      <w:r>
        <w:rPr>
          <w:rFonts w:hint="eastAsia"/>
          <w:color w:val="auto"/>
          <w:sz w:val="24"/>
          <w:highlight w:val="none"/>
        </w:rPr>
        <w:t xml:space="preserve"> ——障碍物屏蔽引起的衰减，dB；</w:t>
      </w:r>
    </w:p>
    <w:p>
      <w:pPr>
        <w:spacing w:line="360" w:lineRule="auto"/>
        <w:ind w:firstLine="480" w:firstLineChars="200"/>
        <w:rPr>
          <w:color w:val="auto"/>
          <w:sz w:val="24"/>
          <w:highlight w:val="none"/>
        </w:rPr>
      </w:pPr>
      <w:r>
        <w:rPr>
          <w:color w:val="auto"/>
          <w:sz w:val="24"/>
          <w:highlight w:val="none"/>
        </w:rPr>
        <w:t>N</w:t>
      </w:r>
      <w:r>
        <w:rPr>
          <w:color w:val="auto"/>
          <w:sz w:val="24"/>
          <w:highlight w:val="none"/>
          <w:vertAlign w:val="subscript"/>
        </w:rPr>
        <w:t>1</w:t>
      </w:r>
      <w:r>
        <w:rPr>
          <w:color w:val="auto"/>
          <w:sz w:val="24"/>
          <w:highlight w:val="none"/>
        </w:rPr>
        <w:t>、N</w:t>
      </w:r>
      <w:r>
        <w:rPr>
          <w:color w:val="auto"/>
          <w:sz w:val="24"/>
          <w:highlight w:val="none"/>
          <w:vertAlign w:val="subscript"/>
        </w:rPr>
        <w:t>2</w:t>
      </w:r>
      <w:r>
        <w:rPr>
          <w:color w:val="auto"/>
          <w:sz w:val="24"/>
          <w:highlight w:val="none"/>
        </w:rPr>
        <w:t>、N</w:t>
      </w:r>
      <w:r>
        <w:rPr>
          <w:color w:val="auto"/>
          <w:sz w:val="24"/>
          <w:highlight w:val="none"/>
          <w:vertAlign w:val="subscript"/>
        </w:rPr>
        <w:t>3</w:t>
      </w:r>
      <w:r>
        <w:rPr>
          <w:color w:val="auto"/>
          <w:sz w:val="24"/>
          <w:highlight w:val="none"/>
        </w:rPr>
        <w:t xml:space="preserve">——图 </w:t>
      </w:r>
      <w:r>
        <w:rPr>
          <w:rFonts w:hint="eastAsia"/>
          <w:color w:val="auto"/>
          <w:sz w:val="24"/>
          <w:highlight w:val="none"/>
        </w:rPr>
        <w:t>4.2-4</w:t>
      </w:r>
      <w:r>
        <w:rPr>
          <w:color w:val="auto"/>
          <w:sz w:val="24"/>
          <w:highlight w:val="none"/>
        </w:rPr>
        <w:t>所示三个传播途径的声程差 δ</w:t>
      </w:r>
      <w:r>
        <w:rPr>
          <w:color w:val="auto"/>
          <w:sz w:val="24"/>
          <w:highlight w:val="none"/>
          <w:vertAlign w:val="subscript"/>
        </w:rPr>
        <w:t>1</w:t>
      </w:r>
      <w:r>
        <w:rPr>
          <w:color w:val="auto"/>
          <w:sz w:val="24"/>
          <w:highlight w:val="none"/>
        </w:rPr>
        <w:t>，δ</w:t>
      </w:r>
      <w:r>
        <w:rPr>
          <w:color w:val="auto"/>
          <w:sz w:val="24"/>
          <w:highlight w:val="none"/>
          <w:vertAlign w:val="subscript"/>
        </w:rPr>
        <w:t>2</w:t>
      </w:r>
      <w:r>
        <w:rPr>
          <w:color w:val="auto"/>
          <w:sz w:val="24"/>
          <w:highlight w:val="none"/>
        </w:rPr>
        <w:t>，δ</w:t>
      </w:r>
      <w:r>
        <w:rPr>
          <w:color w:val="auto"/>
          <w:sz w:val="24"/>
          <w:highlight w:val="none"/>
          <w:vertAlign w:val="subscript"/>
        </w:rPr>
        <w:t>3</w:t>
      </w:r>
      <w:r>
        <w:rPr>
          <w:color w:val="auto"/>
          <w:sz w:val="24"/>
          <w:highlight w:val="none"/>
        </w:rPr>
        <w:t>相应的菲涅尔数。</w:t>
      </w:r>
    </w:p>
    <w:p>
      <w:pPr>
        <w:spacing w:line="360" w:lineRule="auto"/>
        <w:ind w:firstLine="480" w:firstLineChars="200"/>
        <w:rPr>
          <w:rFonts w:hint="eastAsia"/>
          <w:color w:val="auto"/>
          <w:sz w:val="24"/>
          <w:highlight w:val="none"/>
        </w:rPr>
      </w:pPr>
      <w:r>
        <w:rPr>
          <w:rFonts w:hint="eastAsia"/>
          <w:color w:val="auto"/>
          <w:sz w:val="24"/>
          <w:highlight w:val="none"/>
        </w:rPr>
        <w:t>当屏障很长（作无限长处理）时，仅可考虑顶端绕射衰减，按下式进行计算：</w:t>
      </w:r>
    </w:p>
    <w:p>
      <w:pPr>
        <w:spacing w:line="360" w:lineRule="auto"/>
        <w:jc w:val="center"/>
        <w:rPr>
          <w:color w:val="auto"/>
          <w:sz w:val="24"/>
          <w:highlight w:val="none"/>
        </w:rPr>
      </w:pPr>
      <w:r>
        <w:rPr>
          <w:rFonts w:hint="eastAsia"/>
          <w:color w:val="auto"/>
          <w:position w:val="-30"/>
          <w:sz w:val="24"/>
          <w:highlight w:val="none"/>
        </w:rPr>
        <w:object>
          <v:shape id="_x0000_i1057" o:spt="75" type="#_x0000_t75" style="height:34pt;width:123pt;" o:ole="t" filled="f" o:preferrelative="t" stroked="f" coordsize="21600,21600">
            <v:path/>
            <v:fill on="f" focussize="0,0"/>
            <v:stroke on="f"/>
            <v:imagedata r:id="rId76" o:title=""/>
            <o:lock v:ext="edit" aspectratio="t"/>
            <w10:wrap type="none"/>
            <w10:anchorlock/>
          </v:shape>
          <o:OLEObject Type="Embed" ProgID="Equation.3" ShapeID="_x0000_i1057" DrawAspect="Content" ObjectID="_1468075757" r:id="rId75">
            <o:LockedField>false</o:LockedField>
          </o:OLEObject>
        </w:object>
      </w:r>
    </w:p>
    <w:p>
      <w:pPr>
        <w:spacing w:line="360" w:lineRule="auto"/>
        <w:rPr>
          <w:color w:val="auto"/>
          <w:sz w:val="24"/>
          <w:highlight w:val="none"/>
        </w:rPr>
      </w:pPr>
      <w:r>
        <w:rPr>
          <w:color w:val="auto"/>
          <w:sz w:val="24"/>
          <w:highlight w:val="none"/>
        </w:rPr>
        <w:t>式中：A</w:t>
      </w:r>
      <w:r>
        <w:rPr>
          <w:color w:val="auto"/>
          <w:sz w:val="24"/>
          <w:highlight w:val="none"/>
          <w:vertAlign w:val="subscript"/>
        </w:rPr>
        <w:t xml:space="preserve">bar </w:t>
      </w:r>
      <w:r>
        <w:rPr>
          <w:color w:val="auto"/>
          <w:sz w:val="24"/>
          <w:highlight w:val="none"/>
        </w:rPr>
        <w:t>——障碍物屏蔽引起的衰减，dB；</w:t>
      </w:r>
    </w:p>
    <w:p>
      <w:pPr>
        <w:spacing w:line="360" w:lineRule="auto"/>
        <w:ind w:firstLine="480" w:firstLineChars="200"/>
        <w:rPr>
          <w:color w:val="auto"/>
          <w:sz w:val="24"/>
          <w:highlight w:val="none"/>
        </w:rPr>
      </w:pPr>
      <w:r>
        <w:rPr>
          <w:color w:val="auto"/>
          <w:sz w:val="24"/>
          <w:highlight w:val="none"/>
        </w:rPr>
        <w:t>N</w:t>
      </w:r>
      <w:r>
        <w:rPr>
          <w:color w:val="auto"/>
          <w:sz w:val="24"/>
          <w:highlight w:val="none"/>
          <w:vertAlign w:val="subscript"/>
        </w:rPr>
        <w:t>1</w:t>
      </w:r>
      <w:r>
        <w:rPr>
          <w:color w:val="auto"/>
          <w:sz w:val="24"/>
          <w:highlight w:val="none"/>
        </w:rPr>
        <w:t>——顶端绕射的声程差 δ</w:t>
      </w:r>
      <w:r>
        <w:rPr>
          <w:color w:val="auto"/>
          <w:sz w:val="24"/>
          <w:highlight w:val="none"/>
          <w:vertAlign w:val="subscript"/>
        </w:rPr>
        <w:t>1</w:t>
      </w:r>
      <w:r>
        <w:rPr>
          <w:color w:val="auto"/>
          <w:sz w:val="24"/>
          <w:highlight w:val="none"/>
        </w:rPr>
        <w:t xml:space="preserve"> 相应的菲涅尔数。</w:t>
      </w:r>
    </w:p>
    <w:p>
      <w:pPr>
        <w:spacing w:line="360" w:lineRule="auto"/>
        <w:ind w:firstLine="420" w:firstLineChars="200"/>
        <w:jc w:val="center"/>
        <w:rPr>
          <w:color w:val="auto"/>
          <w:sz w:val="24"/>
          <w:highlight w:val="none"/>
        </w:rPr>
      </w:pPr>
      <w:r>
        <w:rPr>
          <w:color w:val="auto"/>
          <w:highlight w:val="none"/>
        </w:rPr>
        <w:drawing>
          <wp:inline distT="0" distB="0" distL="114300" distR="114300">
            <wp:extent cx="2620645" cy="2426335"/>
            <wp:effectExtent l="0" t="0" r="0" b="0"/>
            <wp:docPr id="144"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79"/>
                    <pic:cNvPicPr>
                      <a:picLocks noChangeAspect="1"/>
                    </pic:cNvPicPr>
                  </pic:nvPicPr>
                  <pic:blipFill>
                    <a:blip r:embed="rId77"/>
                    <a:stretch>
                      <a:fillRect/>
                    </a:stretch>
                  </pic:blipFill>
                  <pic:spPr>
                    <a:xfrm>
                      <a:off x="0" y="0"/>
                      <a:ext cx="2620645" cy="2426335"/>
                    </a:xfrm>
                    <a:prstGeom prst="rect">
                      <a:avLst/>
                    </a:prstGeom>
                    <a:noFill/>
                    <a:ln>
                      <a:noFill/>
                    </a:ln>
                  </pic:spPr>
                </pic:pic>
              </a:graphicData>
            </a:graphic>
          </wp:inline>
        </w:drawing>
      </w:r>
    </w:p>
    <w:p>
      <w:pPr>
        <w:spacing w:before="120" w:beforeLines="50"/>
        <w:ind w:firstLine="480"/>
        <w:jc w:val="center"/>
        <w:rPr>
          <w:rFonts w:hint="eastAsia"/>
          <w:b/>
          <w:bCs/>
          <w:color w:val="auto"/>
          <w:sz w:val="24"/>
          <w:highlight w:val="none"/>
        </w:rPr>
      </w:pPr>
      <w:r>
        <w:rPr>
          <w:rFonts w:hint="eastAsia"/>
          <w:b/>
          <w:bCs/>
          <w:color w:val="auto"/>
          <w:sz w:val="24"/>
          <w:highlight w:val="none"/>
        </w:rPr>
        <w:t>图4.2-4 有限长声屏障传播路径</w:t>
      </w:r>
    </w:p>
    <w:p>
      <w:pPr>
        <w:numPr>
          <w:ilvl w:val="0"/>
          <w:numId w:val="10"/>
        </w:numPr>
        <w:spacing w:line="360" w:lineRule="auto"/>
        <w:ind w:left="0" w:firstLine="480" w:firstLineChars="200"/>
        <w:rPr>
          <w:rFonts w:hint="eastAsia"/>
          <w:color w:val="auto"/>
          <w:sz w:val="24"/>
          <w:highlight w:val="none"/>
        </w:rPr>
      </w:pPr>
      <w:r>
        <w:rPr>
          <w:rFonts w:hint="eastAsia"/>
          <w:color w:val="auto"/>
          <w:sz w:val="24"/>
          <w:highlight w:val="none"/>
        </w:rPr>
        <w:t>双绕射计算</w:t>
      </w:r>
    </w:p>
    <w:p>
      <w:pPr>
        <w:spacing w:line="360" w:lineRule="auto"/>
        <w:ind w:firstLine="480" w:firstLineChars="200"/>
        <w:rPr>
          <w:rFonts w:hint="eastAsia"/>
          <w:color w:val="auto"/>
          <w:sz w:val="24"/>
          <w:highlight w:val="none"/>
        </w:rPr>
      </w:pPr>
      <w:r>
        <w:rPr>
          <w:rFonts w:hint="eastAsia"/>
          <w:color w:val="auto"/>
          <w:sz w:val="24"/>
          <w:highlight w:val="none"/>
        </w:rPr>
        <w:t>对于图4.2-5 所示的双绕射情形，可由下式计算绕射声与直达声之间的声程</w:t>
      </w:r>
      <w:r>
        <w:rPr>
          <w:color w:val="auto"/>
          <w:sz w:val="24"/>
          <w:highlight w:val="none"/>
        </w:rPr>
        <w:t>差δ</w:t>
      </w:r>
      <w:r>
        <w:rPr>
          <w:rFonts w:hint="eastAsia"/>
          <w:color w:val="auto"/>
          <w:sz w:val="24"/>
          <w:highlight w:val="none"/>
        </w:rPr>
        <w:t>：</w:t>
      </w:r>
    </w:p>
    <w:p>
      <w:pPr>
        <w:spacing w:line="360" w:lineRule="auto"/>
        <w:jc w:val="center"/>
        <w:rPr>
          <w:rFonts w:hint="eastAsia"/>
          <w:color w:val="auto"/>
          <w:sz w:val="24"/>
          <w:highlight w:val="none"/>
        </w:rPr>
      </w:pPr>
      <w:r>
        <w:rPr>
          <w:rFonts w:hint="eastAsia"/>
          <w:color w:val="auto"/>
          <w:position w:val="-12"/>
          <w:sz w:val="24"/>
          <w:highlight w:val="none"/>
        </w:rPr>
        <w:object>
          <v:shape id="_x0000_i1058" o:spt="75" type="#_x0000_t75" style="height:27pt;width:138pt;" o:ole="t" filled="f" o:preferrelative="t" stroked="f" coordsize="21600,21600">
            <v:path/>
            <v:fill on="f" focussize="0,0"/>
            <v:stroke on="f"/>
            <v:imagedata r:id="rId79" o:title=""/>
            <o:lock v:ext="edit" aspectratio="t"/>
            <w10:wrap type="none"/>
            <w10:anchorlock/>
          </v:shape>
          <o:OLEObject Type="Embed" ProgID="Equation.3" ShapeID="_x0000_i1058" DrawAspect="Content" ObjectID="_1468075758" r:id="rId78">
            <o:LockedField>false</o:LockedField>
          </o:OLEObject>
        </w:object>
      </w:r>
    </w:p>
    <w:p>
      <w:pPr>
        <w:spacing w:line="360" w:lineRule="auto"/>
        <w:rPr>
          <w:rFonts w:hint="eastAsia"/>
          <w:color w:val="auto"/>
          <w:sz w:val="24"/>
          <w:highlight w:val="none"/>
        </w:rPr>
      </w:pPr>
      <w:r>
        <w:rPr>
          <w:rFonts w:hint="eastAsia"/>
          <w:color w:val="auto"/>
          <w:sz w:val="24"/>
          <w:highlight w:val="none"/>
        </w:rPr>
        <w:t>式中：δ—声程差，m；</w:t>
      </w:r>
    </w:p>
    <w:p>
      <w:pPr>
        <w:spacing w:line="360" w:lineRule="auto"/>
        <w:ind w:firstLine="480" w:firstLineChars="200"/>
        <w:rPr>
          <w:rFonts w:hint="eastAsia"/>
          <w:color w:val="auto"/>
          <w:sz w:val="24"/>
          <w:highlight w:val="none"/>
        </w:rPr>
      </w:pPr>
      <w:r>
        <w:rPr>
          <w:rFonts w:hint="eastAsia"/>
          <w:color w:val="auto"/>
          <w:sz w:val="24"/>
          <w:highlight w:val="none"/>
        </w:rPr>
        <w:t>a—声源和接收点之间的距离在平行于屏障上边界的投影长度，m；</w:t>
      </w:r>
    </w:p>
    <w:p>
      <w:pPr>
        <w:spacing w:line="360" w:lineRule="auto"/>
        <w:ind w:firstLine="480" w:firstLineChars="200"/>
        <w:rPr>
          <w:rFonts w:hint="eastAsia"/>
          <w:color w:val="auto"/>
          <w:sz w:val="24"/>
          <w:highlight w:val="none"/>
        </w:rPr>
      </w:pPr>
      <w:r>
        <w:rPr>
          <w:rFonts w:hint="eastAsia"/>
          <w:color w:val="auto"/>
          <w:sz w:val="24"/>
          <w:highlight w:val="none"/>
        </w:rPr>
        <w:t>d</w:t>
      </w:r>
      <w:r>
        <w:rPr>
          <w:rFonts w:hint="eastAsia"/>
          <w:color w:val="auto"/>
          <w:sz w:val="24"/>
          <w:highlight w:val="none"/>
          <w:vertAlign w:val="subscript"/>
        </w:rPr>
        <w:t>ss</w:t>
      </w:r>
      <w:r>
        <w:rPr>
          <w:rFonts w:hint="eastAsia"/>
          <w:color w:val="auto"/>
          <w:sz w:val="24"/>
          <w:highlight w:val="none"/>
        </w:rPr>
        <w:t xml:space="preserve"> —声源到第一绕射边的距离，m；</w:t>
      </w:r>
    </w:p>
    <w:p>
      <w:pPr>
        <w:spacing w:line="360" w:lineRule="auto"/>
        <w:ind w:firstLine="480" w:firstLineChars="200"/>
        <w:rPr>
          <w:rFonts w:hint="eastAsia"/>
          <w:color w:val="auto"/>
          <w:sz w:val="24"/>
          <w:highlight w:val="none"/>
        </w:rPr>
      </w:pPr>
      <w:r>
        <w:rPr>
          <w:rFonts w:hint="eastAsia"/>
          <w:color w:val="auto"/>
          <w:sz w:val="24"/>
          <w:highlight w:val="none"/>
        </w:rPr>
        <w:t>d</w:t>
      </w:r>
      <w:r>
        <w:rPr>
          <w:rFonts w:hint="eastAsia"/>
          <w:color w:val="auto"/>
          <w:sz w:val="24"/>
          <w:highlight w:val="none"/>
          <w:vertAlign w:val="subscript"/>
        </w:rPr>
        <w:t>sr</w:t>
      </w:r>
      <w:r>
        <w:rPr>
          <w:rFonts w:hint="eastAsia"/>
          <w:color w:val="auto"/>
          <w:sz w:val="24"/>
          <w:highlight w:val="none"/>
        </w:rPr>
        <w:t xml:space="preserve"> —第二绕射边到接收点的距离，m；</w:t>
      </w:r>
    </w:p>
    <w:p>
      <w:pPr>
        <w:spacing w:line="360" w:lineRule="auto"/>
        <w:ind w:firstLine="480" w:firstLineChars="200"/>
        <w:rPr>
          <w:rFonts w:hint="eastAsia"/>
          <w:color w:val="auto"/>
          <w:sz w:val="24"/>
          <w:highlight w:val="none"/>
        </w:rPr>
      </w:pPr>
      <w:r>
        <w:rPr>
          <w:rFonts w:hint="eastAsia"/>
          <w:color w:val="auto"/>
          <w:sz w:val="24"/>
          <w:highlight w:val="none"/>
        </w:rPr>
        <w:t>e—在双绕射情况下两个绕射边界之间的距离，m；</w:t>
      </w:r>
    </w:p>
    <w:p>
      <w:pPr>
        <w:spacing w:line="360" w:lineRule="auto"/>
        <w:ind w:firstLine="480" w:firstLineChars="200"/>
        <w:rPr>
          <w:rFonts w:hint="eastAsia"/>
          <w:color w:val="auto"/>
          <w:sz w:val="24"/>
          <w:highlight w:val="none"/>
        </w:rPr>
      </w:pPr>
      <w:r>
        <w:rPr>
          <w:rFonts w:hint="eastAsia"/>
          <w:color w:val="auto"/>
          <w:sz w:val="24"/>
          <w:highlight w:val="none"/>
        </w:rPr>
        <w:t>d—声源到接收点的直线距离，m。</w:t>
      </w:r>
    </w:p>
    <w:p>
      <w:pPr>
        <w:spacing w:line="360" w:lineRule="auto"/>
        <w:ind w:firstLine="480" w:firstLineChars="200"/>
        <w:rPr>
          <w:rFonts w:hint="eastAsia"/>
          <w:color w:val="auto"/>
          <w:sz w:val="24"/>
          <w:highlight w:val="none"/>
        </w:rPr>
      </w:pPr>
      <w:r>
        <w:rPr>
          <w:rFonts w:hint="eastAsia"/>
          <w:color w:val="auto"/>
          <w:sz w:val="24"/>
          <w:highlight w:val="none"/>
        </w:rPr>
        <w:t>屏障衰减 A</w:t>
      </w:r>
      <w:r>
        <w:rPr>
          <w:rFonts w:hint="eastAsia"/>
          <w:color w:val="auto"/>
          <w:sz w:val="24"/>
          <w:highlight w:val="none"/>
          <w:vertAlign w:val="subscript"/>
        </w:rPr>
        <w:t>bar</w:t>
      </w:r>
      <w:r>
        <w:rPr>
          <w:rFonts w:hint="eastAsia"/>
          <w:color w:val="auto"/>
          <w:sz w:val="24"/>
          <w:highlight w:val="none"/>
        </w:rPr>
        <w:t xml:space="preserve"> 参照 GB/T 17247.2 进行计算。计算屏障衰减后，不再考虑地面效应衰减。</w:t>
      </w:r>
    </w:p>
    <w:p>
      <w:pPr>
        <w:pStyle w:val="13"/>
        <w:adjustRightInd w:val="0"/>
        <w:snapToGrid w:val="0"/>
        <w:jc w:val="center"/>
        <w:rPr>
          <w:color w:val="auto"/>
          <w:highlight w:val="none"/>
        </w:rPr>
      </w:pPr>
      <w:r>
        <w:rPr>
          <w:color w:val="auto"/>
          <w:highlight w:val="none"/>
        </w:rPr>
        <w:drawing>
          <wp:inline distT="0" distB="0" distL="114300" distR="114300">
            <wp:extent cx="2990850" cy="3165475"/>
            <wp:effectExtent l="0" t="0" r="0" b="0"/>
            <wp:docPr id="145"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81"/>
                    <pic:cNvPicPr>
                      <a:picLocks noChangeAspect="1"/>
                    </pic:cNvPicPr>
                  </pic:nvPicPr>
                  <pic:blipFill>
                    <a:blip r:embed="rId80"/>
                    <a:stretch>
                      <a:fillRect/>
                    </a:stretch>
                  </pic:blipFill>
                  <pic:spPr>
                    <a:xfrm>
                      <a:off x="0" y="0"/>
                      <a:ext cx="2990850" cy="3165475"/>
                    </a:xfrm>
                    <a:prstGeom prst="rect">
                      <a:avLst/>
                    </a:prstGeom>
                    <a:noFill/>
                    <a:ln>
                      <a:noFill/>
                    </a:ln>
                  </pic:spPr>
                </pic:pic>
              </a:graphicData>
            </a:graphic>
          </wp:inline>
        </w:drawing>
      </w:r>
    </w:p>
    <w:p>
      <w:pPr>
        <w:spacing w:before="120" w:beforeLines="50"/>
        <w:ind w:firstLine="480"/>
        <w:jc w:val="center"/>
        <w:rPr>
          <w:rFonts w:hint="eastAsia"/>
          <w:b/>
          <w:bCs/>
          <w:color w:val="auto"/>
          <w:sz w:val="24"/>
          <w:highlight w:val="none"/>
        </w:rPr>
      </w:pPr>
      <w:r>
        <w:rPr>
          <w:rFonts w:hint="eastAsia"/>
          <w:b/>
          <w:bCs/>
          <w:color w:val="auto"/>
          <w:sz w:val="24"/>
          <w:highlight w:val="none"/>
        </w:rPr>
        <w:t>图4.2-5 利用建筑物、土堤作为厚屏障</w:t>
      </w:r>
    </w:p>
    <w:p>
      <w:pPr>
        <w:numPr>
          <w:ilvl w:val="0"/>
          <w:numId w:val="10"/>
        </w:numPr>
        <w:spacing w:line="360" w:lineRule="auto"/>
        <w:ind w:left="0" w:firstLine="480" w:firstLineChars="200"/>
        <w:rPr>
          <w:rFonts w:hint="eastAsia"/>
          <w:color w:val="auto"/>
          <w:sz w:val="24"/>
          <w:highlight w:val="none"/>
        </w:rPr>
      </w:pPr>
      <w:r>
        <w:rPr>
          <w:rFonts w:hint="eastAsia"/>
          <w:color w:val="auto"/>
          <w:sz w:val="24"/>
          <w:highlight w:val="none"/>
        </w:rPr>
        <w:t>屏障在线声源声场中引起的衰减</w:t>
      </w:r>
    </w:p>
    <w:p>
      <w:pPr>
        <w:spacing w:line="360" w:lineRule="auto"/>
        <w:ind w:firstLine="480" w:firstLineChars="200"/>
        <w:rPr>
          <w:rFonts w:hint="eastAsia"/>
          <w:color w:val="auto"/>
          <w:sz w:val="24"/>
          <w:highlight w:val="none"/>
        </w:rPr>
      </w:pPr>
      <w:r>
        <w:rPr>
          <w:rFonts w:hint="eastAsia"/>
          <w:color w:val="auto"/>
          <w:sz w:val="24"/>
          <w:highlight w:val="none"/>
        </w:rPr>
        <w:t>无限长声屏障参照 HJ/T 90 中 4.2.1.2 规定的方法进行计算，计算公式为：</w:t>
      </w:r>
    </w:p>
    <w:p>
      <w:pPr>
        <w:spacing w:line="360" w:lineRule="auto"/>
        <w:ind w:firstLine="480" w:firstLineChars="200"/>
        <w:jc w:val="center"/>
        <w:rPr>
          <w:rFonts w:hint="eastAsia"/>
          <w:color w:val="auto"/>
          <w:sz w:val="24"/>
          <w:highlight w:val="none"/>
        </w:rPr>
      </w:pPr>
      <w:r>
        <w:rPr>
          <w:rFonts w:hint="eastAsia"/>
          <w:color w:val="auto"/>
          <w:position w:val="-90"/>
          <w:sz w:val="24"/>
          <w:highlight w:val="none"/>
        </w:rPr>
        <w:object>
          <v:shape id="_x0000_i1059" o:spt="75" type="#_x0000_t75" style="height:96pt;width:206pt;" o:ole="t" filled="f" o:preferrelative="t" stroked="f" coordsize="21600,21600">
            <v:path/>
            <v:fill on="f" focussize="0,0"/>
            <v:stroke on="f"/>
            <v:imagedata r:id="rId82" o:title=""/>
            <o:lock v:ext="edit" aspectratio="t"/>
            <w10:wrap type="none"/>
            <w10:anchorlock/>
          </v:shape>
          <o:OLEObject Type="Embed" ProgID="Equation.3" ShapeID="_x0000_i1059" DrawAspect="Content" ObjectID="_1468075759" r:id="rId81">
            <o:LockedField>false</o:LockedField>
          </o:OLEObject>
        </w:object>
      </w:r>
    </w:p>
    <w:p>
      <w:pPr>
        <w:spacing w:line="360" w:lineRule="auto"/>
        <w:rPr>
          <w:rFonts w:hint="eastAsia"/>
          <w:color w:val="auto"/>
          <w:sz w:val="24"/>
          <w:highlight w:val="none"/>
        </w:rPr>
      </w:pPr>
      <w:r>
        <w:rPr>
          <w:rFonts w:hint="eastAsia"/>
          <w:color w:val="auto"/>
          <w:sz w:val="24"/>
          <w:highlight w:val="none"/>
        </w:rPr>
        <w:t>式中：A</w:t>
      </w:r>
      <w:r>
        <w:rPr>
          <w:rFonts w:hint="eastAsia"/>
          <w:color w:val="auto"/>
          <w:sz w:val="24"/>
          <w:highlight w:val="none"/>
          <w:vertAlign w:val="subscript"/>
        </w:rPr>
        <w:t>bar</w:t>
      </w:r>
      <w:r>
        <w:rPr>
          <w:rFonts w:hint="eastAsia"/>
          <w:color w:val="auto"/>
          <w:sz w:val="24"/>
          <w:highlight w:val="none"/>
        </w:rPr>
        <w:t xml:space="preserve"> —障碍物屏蔽引起的衰减，dB；</w:t>
      </w:r>
    </w:p>
    <w:p>
      <w:pPr>
        <w:spacing w:line="360" w:lineRule="auto"/>
        <w:ind w:firstLine="420" w:firstLineChars="200"/>
        <w:rPr>
          <w:rFonts w:hint="eastAsia"/>
          <w:color w:val="auto"/>
          <w:sz w:val="24"/>
          <w:highlight w:val="none"/>
        </w:rPr>
      </w:pPr>
      <w:r>
        <w:rPr>
          <w:rFonts w:eastAsia="Times New Roman"/>
          <w:i/>
          <w:color w:val="auto"/>
          <w:highlight w:val="none"/>
        </w:rPr>
        <w:t>f</w:t>
      </w:r>
      <w:r>
        <w:rPr>
          <w:rFonts w:hint="eastAsia"/>
          <w:color w:val="auto"/>
          <w:sz w:val="24"/>
          <w:highlight w:val="none"/>
        </w:rPr>
        <w:t>—声波频率，Hz；</w:t>
      </w:r>
    </w:p>
    <w:p>
      <w:pPr>
        <w:spacing w:line="360" w:lineRule="auto"/>
        <w:ind w:firstLine="480" w:firstLineChars="200"/>
        <w:rPr>
          <w:color w:val="auto"/>
          <w:sz w:val="24"/>
          <w:highlight w:val="none"/>
        </w:rPr>
      </w:pPr>
      <w:r>
        <w:rPr>
          <w:color w:val="auto"/>
          <w:sz w:val="24"/>
          <w:highlight w:val="none"/>
        </w:rPr>
        <w:t>δ—声程差，m；</w:t>
      </w:r>
    </w:p>
    <w:p>
      <w:pPr>
        <w:spacing w:line="360" w:lineRule="auto"/>
        <w:ind w:firstLine="480" w:firstLineChars="200"/>
        <w:rPr>
          <w:color w:val="auto"/>
          <w:sz w:val="24"/>
          <w:highlight w:val="none"/>
        </w:rPr>
      </w:pPr>
      <w:r>
        <w:rPr>
          <w:color w:val="auto"/>
          <w:sz w:val="24"/>
          <w:highlight w:val="none"/>
        </w:rPr>
        <w:t>c—声速，m/s。</w:t>
      </w:r>
    </w:p>
    <w:p>
      <w:pPr>
        <w:spacing w:line="360" w:lineRule="auto"/>
        <w:ind w:firstLine="480" w:firstLineChars="200"/>
        <w:rPr>
          <w:rFonts w:hint="eastAsia"/>
          <w:color w:val="auto"/>
          <w:sz w:val="24"/>
          <w:highlight w:val="none"/>
        </w:rPr>
      </w:pPr>
      <w:r>
        <w:rPr>
          <w:rFonts w:hint="eastAsia"/>
          <w:color w:val="auto"/>
          <w:sz w:val="24"/>
          <w:highlight w:val="none"/>
        </w:rPr>
        <w:t>在公路建设项目评价中可采用 500 Hz 频率的声波计算得到的屏障衰减量近似作为 A 声级的衰减量。</w:t>
      </w:r>
    </w:p>
    <w:p>
      <w:pPr>
        <w:spacing w:line="360" w:lineRule="auto"/>
        <w:ind w:firstLine="480" w:firstLineChars="200"/>
        <w:rPr>
          <w:rFonts w:hint="eastAsia"/>
          <w:color w:val="auto"/>
          <w:sz w:val="24"/>
          <w:highlight w:val="none"/>
        </w:rPr>
      </w:pPr>
      <w:r>
        <w:rPr>
          <w:rFonts w:hint="eastAsia"/>
          <w:color w:val="auto"/>
          <w:sz w:val="24"/>
          <w:highlight w:val="none"/>
        </w:rPr>
        <w:t>在使用式上式计算声屏障衰减时，当菲涅尔数 0＞N＞-0.2 时也应计算衰减量，同时保证衰减量为正值，负值时舍弃。</w:t>
      </w:r>
    </w:p>
    <w:p>
      <w:pPr>
        <w:spacing w:line="360" w:lineRule="auto"/>
        <w:ind w:firstLine="480" w:firstLineChars="200"/>
        <w:rPr>
          <w:rFonts w:hint="eastAsia"/>
          <w:color w:val="auto"/>
          <w:sz w:val="24"/>
          <w:highlight w:val="none"/>
        </w:rPr>
      </w:pPr>
      <w:r>
        <w:rPr>
          <w:rFonts w:hint="eastAsia"/>
          <w:color w:val="auto"/>
          <w:sz w:val="24"/>
          <w:highlight w:val="none"/>
        </w:rPr>
        <w:t>有限长声屏障的衰减量（A</w:t>
      </w:r>
      <w:r>
        <w:rPr>
          <w:rFonts w:hint="eastAsia"/>
          <w:color w:val="auto"/>
          <w:sz w:val="24"/>
          <w:highlight w:val="none"/>
          <w:vertAlign w:val="subscript"/>
        </w:rPr>
        <w:t>bar</w:t>
      </w:r>
      <w:r>
        <w:rPr>
          <w:rFonts w:hint="eastAsia"/>
          <w:color w:val="auto"/>
          <w:sz w:val="24"/>
          <w:highlight w:val="none"/>
        </w:rPr>
        <w:t>）可按公式近似计算：</w:t>
      </w:r>
    </w:p>
    <w:p>
      <w:pPr>
        <w:spacing w:line="360" w:lineRule="auto"/>
        <w:jc w:val="center"/>
        <w:rPr>
          <w:color w:val="auto"/>
          <w:sz w:val="24"/>
          <w:highlight w:val="none"/>
        </w:rPr>
      </w:pPr>
      <w:r>
        <w:rPr>
          <w:rFonts w:hint="eastAsia"/>
          <w:color w:val="auto"/>
          <w:position w:val="-28"/>
          <w:sz w:val="24"/>
          <w:highlight w:val="none"/>
        </w:rPr>
        <w:object>
          <v:shape id="_x0000_i1060" o:spt="75" type="#_x0000_t75" style="height:34pt;width:159pt;" o:ole="t" filled="f" o:preferrelative="t" stroked="f" coordsize="21600,21600">
            <v:path/>
            <v:fill on="f" focussize="0,0"/>
            <v:stroke on="f"/>
            <v:imagedata r:id="rId84" o:title=""/>
            <o:lock v:ext="edit" aspectratio="t"/>
            <w10:wrap type="none"/>
            <w10:anchorlock/>
          </v:shape>
          <o:OLEObject Type="Embed" ProgID="Equation.3" ShapeID="_x0000_i1060" DrawAspect="Content" ObjectID="_1468075760" r:id="rId83">
            <o:LockedField>false</o:LockedField>
          </o:OLEObject>
        </w:object>
      </w:r>
    </w:p>
    <w:p>
      <w:pPr>
        <w:spacing w:line="360" w:lineRule="auto"/>
        <w:rPr>
          <w:rFonts w:hint="eastAsia"/>
          <w:color w:val="auto"/>
          <w:sz w:val="24"/>
          <w:highlight w:val="none"/>
        </w:rPr>
      </w:pPr>
      <w:r>
        <w:rPr>
          <w:rFonts w:hint="eastAsia"/>
          <w:color w:val="auto"/>
          <w:sz w:val="24"/>
          <w:highlight w:val="none"/>
        </w:rPr>
        <w:t>式中：A</w:t>
      </w:r>
      <w:r>
        <w:rPr>
          <w:rFonts w:hint="eastAsia"/>
          <w:color w:val="auto"/>
          <w:sz w:val="24"/>
          <w:highlight w:val="none"/>
          <w:vertAlign w:val="subscript"/>
        </w:rPr>
        <w:t>bar</w:t>
      </w:r>
      <w:r>
        <w:rPr>
          <w:rFonts w:hint="eastAsia"/>
          <w:color w:val="auto"/>
          <w:sz w:val="24"/>
          <w:highlight w:val="none"/>
        </w:rPr>
        <w:t xml:space="preserve"> —有限长声屏障引起的衰减，dB；</w:t>
      </w:r>
    </w:p>
    <w:p>
      <w:pPr>
        <w:spacing w:line="360" w:lineRule="auto"/>
        <w:ind w:firstLine="480" w:firstLineChars="200"/>
        <w:rPr>
          <w:rFonts w:hint="eastAsia"/>
          <w:color w:val="auto"/>
          <w:sz w:val="24"/>
          <w:highlight w:val="none"/>
        </w:rPr>
      </w:pPr>
      <w:r>
        <w:rPr>
          <w:color w:val="auto"/>
          <w:sz w:val="24"/>
          <w:highlight w:val="none"/>
        </w:rPr>
        <w:t>β</w:t>
      </w:r>
      <w:r>
        <w:rPr>
          <w:rFonts w:hint="eastAsia"/>
          <w:color w:val="auto"/>
          <w:sz w:val="24"/>
          <w:highlight w:val="none"/>
        </w:rPr>
        <w:t>—受声点与声屏障两端连接线的夹角，（°）；</w:t>
      </w:r>
    </w:p>
    <w:p>
      <w:pPr>
        <w:spacing w:line="360" w:lineRule="auto"/>
        <w:ind w:firstLine="480" w:firstLineChars="200"/>
        <w:rPr>
          <w:rFonts w:hint="eastAsia"/>
          <w:color w:val="auto"/>
          <w:sz w:val="24"/>
          <w:highlight w:val="none"/>
        </w:rPr>
      </w:pPr>
      <w:r>
        <w:rPr>
          <w:color w:val="auto"/>
          <w:sz w:val="24"/>
          <w:highlight w:val="none"/>
        </w:rPr>
        <w:t>θ</w:t>
      </w:r>
      <w:r>
        <w:rPr>
          <w:rFonts w:hint="eastAsia"/>
          <w:color w:val="auto"/>
          <w:sz w:val="24"/>
          <w:highlight w:val="none"/>
        </w:rPr>
        <w:t>—受声点与线声源两端连接线的夹角，（°）；</w:t>
      </w:r>
    </w:p>
    <w:p>
      <w:pPr>
        <w:spacing w:line="360" w:lineRule="auto"/>
        <w:ind w:firstLine="480" w:firstLineChars="200"/>
        <w:rPr>
          <w:rFonts w:hint="eastAsia"/>
          <w:color w:val="auto"/>
          <w:sz w:val="24"/>
          <w:highlight w:val="none"/>
        </w:rPr>
      </w:pPr>
      <w:r>
        <w:rPr>
          <w:rFonts w:hint="eastAsia"/>
          <w:color w:val="auto"/>
          <w:sz w:val="24"/>
          <w:highlight w:val="none"/>
        </w:rPr>
        <w:t>A</w:t>
      </w:r>
      <w:r>
        <w:rPr>
          <w:rFonts w:hint="eastAsia"/>
          <w:color w:val="auto"/>
          <w:sz w:val="24"/>
          <w:highlight w:val="none"/>
          <w:vertAlign w:val="subscript"/>
        </w:rPr>
        <w:t>bar</w:t>
      </w:r>
      <w:r>
        <w:rPr>
          <w:rFonts w:hint="eastAsia"/>
          <w:color w:val="auto"/>
          <w:sz w:val="24"/>
          <w:highlight w:val="none"/>
        </w:rPr>
        <w:t>——无限长声屏障的衰减量，dB。</w:t>
      </w:r>
    </w:p>
    <w:p>
      <w:pPr>
        <w:spacing w:line="360" w:lineRule="auto"/>
        <w:ind w:firstLine="420" w:firstLineChars="200"/>
        <w:jc w:val="center"/>
        <w:rPr>
          <w:color w:val="auto"/>
          <w:highlight w:val="none"/>
        </w:rPr>
      </w:pPr>
      <w:r>
        <w:rPr>
          <w:color w:val="auto"/>
          <w:highlight w:val="none"/>
        </w:rPr>
        <w:drawing>
          <wp:inline distT="0" distB="0" distL="114300" distR="114300">
            <wp:extent cx="2943225" cy="1771650"/>
            <wp:effectExtent l="0" t="0" r="0" b="0"/>
            <wp:docPr id="146"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88"/>
                    <pic:cNvPicPr>
                      <a:picLocks noChangeAspect="1"/>
                    </pic:cNvPicPr>
                  </pic:nvPicPr>
                  <pic:blipFill>
                    <a:blip r:embed="rId85"/>
                    <a:srcRect t="4854" b="4854"/>
                    <a:stretch>
                      <a:fillRect/>
                    </a:stretch>
                  </pic:blipFill>
                  <pic:spPr>
                    <a:xfrm>
                      <a:off x="0" y="0"/>
                      <a:ext cx="2943225" cy="1771650"/>
                    </a:xfrm>
                    <a:prstGeom prst="rect">
                      <a:avLst/>
                    </a:prstGeom>
                    <a:noFill/>
                    <a:ln>
                      <a:noFill/>
                    </a:ln>
                  </pic:spPr>
                </pic:pic>
              </a:graphicData>
            </a:graphic>
          </wp:inline>
        </w:drawing>
      </w:r>
    </w:p>
    <w:p>
      <w:pPr>
        <w:adjustRightInd w:val="0"/>
        <w:snapToGrid w:val="0"/>
        <w:spacing w:line="360" w:lineRule="auto"/>
        <w:ind w:firstLine="482"/>
        <w:jc w:val="center"/>
        <w:rPr>
          <w:rFonts w:hint="eastAsia"/>
          <w:b/>
          <w:bCs/>
          <w:color w:val="auto"/>
          <w:sz w:val="24"/>
          <w:highlight w:val="none"/>
        </w:rPr>
      </w:pPr>
      <w:r>
        <w:rPr>
          <w:rFonts w:hint="eastAsia"/>
          <w:b/>
          <w:bCs/>
          <w:color w:val="auto"/>
          <w:sz w:val="24"/>
          <w:highlight w:val="none"/>
        </w:rPr>
        <w:t>图4.2-6 受声点与线声源两端连接线的夹角（遮蔽角）</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声屏障的透射、反射修正可参照 HJ/T 90 计算。</w:t>
      </w:r>
    </w:p>
    <w:p>
      <w:pPr>
        <w:spacing w:line="360" w:lineRule="auto"/>
        <w:ind w:firstLine="480" w:firstLineChars="200"/>
        <w:rPr>
          <w:color w:val="auto"/>
          <w:sz w:val="24"/>
          <w:highlight w:val="none"/>
        </w:rPr>
      </w:pPr>
      <w:r>
        <w:rPr>
          <w:rFonts w:hint="eastAsia"/>
          <w:color w:val="auto"/>
          <w:sz w:val="24"/>
          <w:highlight w:val="none"/>
        </w:rPr>
        <w:t>4）</w:t>
      </w:r>
      <w:r>
        <w:rPr>
          <w:color w:val="auto"/>
          <w:sz w:val="24"/>
          <w:highlight w:val="none"/>
        </w:rPr>
        <w:t xml:space="preserve">高路堤和低路堑两侧声影区衰减量计算 </w:t>
      </w:r>
    </w:p>
    <w:p>
      <w:pPr>
        <w:spacing w:line="360" w:lineRule="auto"/>
        <w:ind w:firstLine="480" w:firstLineChars="200"/>
        <w:rPr>
          <w:color w:val="auto"/>
          <w:sz w:val="24"/>
          <w:highlight w:val="none"/>
        </w:rPr>
      </w:pPr>
      <w:r>
        <w:rPr>
          <w:color w:val="auto"/>
          <w:sz w:val="24"/>
          <w:highlight w:val="none"/>
        </w:rPr>
        <w:t xml:space="preserve">高路堤和低路堑两侧声影区衰减量Abar为预测点在高路堤和低路堑两侧声影区内引起的附加衰减量。当预测点处于声照区时，Abar=0； </w:t>
      </w:r>
    </w:p>
    <w:p>
      <w:pPr>
        <w:spacing w:line="360" w:lineRule="auto"/>
        <w:ind w:firstLine="480" w:firstLineChars="200"/>
        <w:rPr>
          <w:color w:val="auto"/>
          <w:sz w:val="24"/>
          <w:highlight w:val="none"/>
        </w:rPr>
      </w:pPr>
      <w:r>
        <w:rPr>
          <w:color w:val="auto"/>
          <w:sz w:val="24"/>
          <w:highlight w:val="none"/>
        </w:rPr>
        <w:t xml:space="preserve">当预测点处于声影区时，Abar取决于声程差δ。 </w:t>
      </w:r>
    </w:p>
    <w:p>
      <w:pPr>
        <w:spacing w:line="360" w:lineRule="auto"/>
        <w:ind w:firstLine="480" w:firstLineChars="200"/>
        <w:rPr>
          <w:color w:val="auto"/>
          <w:sz w:val="24"/>
          <w:highlight w:val="none"/>
        </w:rPr>
      </w:pPr>
      <w:r>
        <w:rPr>
          <w:color w:val="auto"/>
          <w:sz w:val="24"/>
          <w:highlight w:val="none"/>
        </w:rPr>
        <w:t>由</w:t>
      </w:r>
      <w:r>
        <w:rPr>
          <w:rFonts w:hint="eastAsia"/>
          <w:color w:val="auto"/>
          <w:sz w:val="24"/>
          <w:highlight w:val="none"/>
        </w:rPr>
        <w:t>图4.2-7</w:t>
      </w:r>
      <w:r>
        <w:rPr>
          <w:color w:val="auto"/>
          <w:sz w:val="24"/>
          <w:highlight w:val="none"/>
        </w:rPr>
        <w:t>计算δ，δ=a+b-c，在由图</w:t>
      </w:r>
      <w:r>
        <w:rPr>
          <w:rFonts w:hint="eastAsia"/>
          <w:color w:val="auto"/>
          <w:sz w:val="24"/>
          <w:highlight w:val="none"/>
        </w:rPr>
        <w:t>4.2-8</w:t>
      </w:r>
      <w:r>
        <w:rPr>
          <w:color w:val="auto"/>
          <w:sz w:val="24"/>
          <w:highlight w:val="none"/>
        </w:rPr>
        <w:t>查处Abar。</w:t>
      </w:r>
    </w:p>
    <w:p>
      <w:pPr>
        <w:spacing w:line="360" w:lineRule="auto"/>
        <w:ind w:firstLine="480" w:firstLineChars="200"/>
        <w:jc w:val="center"/>
        <w:rPr>
          <w:color w:val="auto"/>
          <w:sz w:val="24"/>
          <w:highlight w:val="none"/>
        </w:rPr>
      </w:pPr>
      <w:r>
        <w:rPr>
          <w:color w:val="auto"/>
          <w:kern w:val="0"/>
          <w:sz w:val="24"/>
          <w:highlight w:val="none"/>
        </w:rPr>
        <w:drawing>
          <wp:inline distT="0" distB="0" distL="114300" distR="114300">
            <wp:extent cx="2451735" cy="1114425"/>
            <wp:effectExtent l="0" t="0" r="0" b="0"/>
            <wp:docPr id="147" name="图片 63" descr="声影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3" descr="声影去"/>
                    <pic:cNvPicPr>
                      <a:picLocks noChangeAspect="1"/>
                    </pic:cNvPicPr>
                  </pic:nvPicPr>
                  <pic:blipFill>
                    <a:blip r:embed="rId86"/>
                    <a:stretch>
                      <a:fillRect/>
                    </a:stretch>
                  </pic:blipFill>
                  <pic:spPr>
                    <a:xfrm>
                      <a:off x="0" y="0"/>
                      <a:ext cx="2451735" cy="1114425"/>
                    </a:xfrm>
                    <a:prstGeom prst="rect">
                      <a:avLst/>
                    </a:prstGeom>
                    <a:noFill/>
                    <a:ln>
                      <a:noFill/>
                    </a:ln>
                  </pic:spPr>
                </pic:pic>
              </a:graphicData>
            </a:graphic>
          </wp:inline>
        </w:drawing>
      </w:r>
    </w:p>
    <w:p>
      <w:pPr>
        <w:spacing w:before="120" w:beforeLines="50"/>
        <w:ind w:firstLine="480"/>
        <w:jc w:val="center"/>
        <w:rPr>
          <w:rFonts w:hint="eastAsia"/>
          <w:b/>
          <w:bCs/>
          <w:color w:val="auto"/>
          <w:sz w:val="24"/>
          <w:highlight w:val="none"/>
        </w:rPr>
      </w:pPr>
      <w:r>
        <w:rPr>
          <w:rFonts w:hint="eastAsia"/>
          <w:b/>
          <w:bCs/>
          <w:color w:val="auto"/>
          <w:sz w:val="24"/>
          <w:highlight w:val="none"/>
        </w:rPr>
        <w:t>图4.2-7 声程差δ计算示意图</w:t>
      </w:r>
    </w:p>
    <w:p>
      <w:pPr>
        <w:spacing w:line="360" w:lineRule="auto"/>
        <w:ind w:firstLine="480" w:firstLineChars="200"/>
        <w:jc w:val="center"/>
        <w:rPr>
          <w:color w:val="auto"/>
          <w:sz w:val="24"/>
          <w:highlight w:val="none"/>
        </w:rPr>
      </w:pPr>
      <w:r>
        <w:rPr>
          <w:color w:val="auto"/>
          <w:sz w:val="24"/>
          <w:highlight w:val="none"/>
        </w:rPr>
        <w:drawing>
          <wp:inline distT="0" distB="0" distL="114300" distR="114300">
            <wp:extent cx="3112770" cy="1611630"/>
            <wp:effectExtent l="0" t="0" r="0" b="0"/>
            <wp:docPr id="1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1"/>
                    <pic:cNvPicPr>
                      <a:picLocks noChangeAspect="1"/>
                    </pic:cNvPicPr>
                  </pic:nvPicPr>
                  <pic:blipFill>
                    <a:blip r:embed="rId87"/>
                    <a:srcRect t="3645"/>
                    <a:stretch>
                      <a:fillRect/>
                    </a:stretch>
                  </pic:blipFill>
                  <pic:spPr>
                    <a:xfrm>
                      <a:off x="0" y="0"/>
                      <a:ext cx="3112770" cy="1611630"/>
                    </a:xfrm>
                    <a:prstGeom prst="rect">
                      <a:avLst/>
                    </a:prstGeom>
                    <a:noFill/>
                    <a:ln>
                      <a:noFill/>
                    </a:ln>
                  </pic:spPr>
                </pic:pic>
              </a:graphicData>
            </a:graphic>
          </wp:inline>
        </w:drawing>
      </w:r>
    </w:p>
    <w:p>
      <w:pPr>
        <w:spacing w:line="360" w:lineRule="auto"/>
        <w:ind w:firstLine="480" w:firstLineChars="200"/>
        <w:jc w:val="center"/>
        <w:rPr>
          <w:rFonts w:hint="eastAsia"/>
          <w:b/>
          <w:bCs/>
          <w:color w:val="auto"/>
          <w:sz w:val="24"/>
          <w:highlight w:val="none"/>
        </w:rPr>
      </w:pPr>
      <w:r>
        <w:rPr>
          <w:rFonts w:hint="eastAsia" w:ascii="黑体" w:hAnsi="黑体" w:eastAsia="黑体"/>
          <w:color w:val="auto"/>
          <w:sz w:val="24"/>
          <w:highlight w:val="none"/>
        </w:rPr>
        <w:t xml:space="preserve"> </w:t>
      </w:r>
      <w:r>
        <w:rPr>
          <w:rFonts w:ascii="黑体" w:hAnsi="黑体" w:eastAsia="黑体"/>
          <w:color w:val="auto"/>
          <w:sz w:val="24"/>
          <w:highlight w:val="none"/>
        </w:rPr>
        <w:t xml:space="preserve"> </w:t>
      </w:r>
      <w:r>
        <w:rPr>
          <w:rFonts w:hint="eastAsia"/>
          <w:b/>
          <w:bCs/>
          <w:color w:val="auto"/>
          <w:sz w:val="24"/>
          <w:highlight w:val="none"/>
        </w:rPr>
        <w:t xml:space="preserve">  图4.2-8 噪声衰减量Abar与声程差δ关系曲线（f=500Hz）</w:t>
      </w:r>
    </w:p>
    <w:p>
      <w:pPr>
        <w:spacing w:line="360" w:lineRule="auto"/>
        <w:ind w:firstLine="480" w:firstLineChars="200"/>
        <w:rPr>
          <w:rFonts w:hint="eastAsia"/>
          <w:color w:val="auto"/>
          <w:sz w:val="24"/>
          <w:highlight w:val="none"/>
        </w:rPr>
      </w:pPr>
      <w:r>
        <w:rPr>
          <w:rFonts w:hint="eastAsia"/>
          <w:color w:val="auto"/>
          <w:sz w:val="24"/>
          <w:highlight w:val="none"/>
        </w:rPr>
        <w:t>④其他方面效应引起的衰减（A</w:t>
      </w:r>
      <w:r>
        <w:rPr>
          <w:rFonts w:hint="eastAsia"/>
          <w:color w:val="auto"/>
          <w:sz w:val="24"/>
          <w:highlight w:val="none"/>
          <w:vertAlign w:val="subscript"/>
        </w:rPr>
        <w:t>misc</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其他衰减包括通过工业场所的衰减；通过建筑群的衰减等。在声环境影响评价中，一般情况下，不考虑自然条件（如风、温度梯度、雾）变化引起的附加修正。</w:t>
      </w:r>
    </w:p>
    <w:p>
      <w:pPr>
        <w:spacing w:line="360" w:lineRule="auto"/>
        <w:ind w:firstLine="480" w:firstLineChars="200"/>
        <w:rPr>
          <w:rFonts w:hint="eastAsia"/>
          <w:color w:val="auto"/>
          <w:sz w:val="24"/>
          <w:highlight w:val="none"/>
        </w:rPr>
      </w:pPr>
      <w:r>
        <w:rPr>
          <w:rFonts w:hint="eastAsia"/>
          <w:color w:val="auto"/>
          <w:sz w:val="24"/>
          <w:highlight w:val="none"/>
        </w:rPr>
        <w:t>工业场所的衰减可参照 GB/T 17247.2 进行计算。</w:t>
      </w:r>
    </w:p>
    <w:p>
      <w:pPr>
        <w:spacing w:line="360" w:lineRule="auto"/>
        <w:ind w:firstLine="480" w:firstLineChars="200"/>
        <w:rPr>
          <w:rFonts w:hint="eastAsia"/>
          <w:color w:val="auto"/>
          <w:sz w:val="24"/>
          <w:highlight w:val="none"/>
        </w:rPr>
      </w:pPr>
      <w:r>
        <w:rPr>
          <w:color w:val="auto"/>
          <w:sz w:val="24"/>
          <w:highlight w:val="none"/>
        </w:rPr>
        <w:t>a、</w:t>
      </w:r>
      <w:r>
        <w:rPr>
          <w:rFonts w:hint="eastAsia"/>
          <w:color w:val="auto"/>
          <w:sz w:val="24"/>
          <w:highlight w:val="none"/>
        </w:rPr>
        <w:t>绿化林带引起的衰减（A</w:t>
      </w:r>
      <w:r>
        <w:rPr>
          <w:rFonts w:hint="eastAsia"/>
          <w:color w:val="auto"/>
          <w:sz w:val="24"/>
          <w:highlight w:val="none"/>
          <w:vertAlign w:val="subscript"/>
        </w:rPr>
        <w:t>fol</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绿化林带的附加衰减与树种、林带结构和密度等因素有关。在声源附近的绿化林带，或在预测点附近的绿化林带，或两者均有的情况都可以使声波衰减，见图 4.2-9。</w:t>
      </w:r>
    </w:p>
    <w:p>
      <w:pPr>
        <w:adjustRightInd w:val="0"/>
        <w:snapToGrid w:val="0"/>
        <w:spacing w:line="360" w:lineRule="auto"/>
        <w:jc w:val="center"/>
        <w:rPr>
          <w:color w:val="auto"/>
          <w:sz w:val="24"/>
          <w:highlight w:val="none"/>
        </w:rPr>
      </w:pPr>
      <w:r>
        <w:rPr>
          <w:color w:val="auto"/>
          <w:highlight w:val="none"/>
        </w:rPr>
        <w:drawing>
          <wp:inline distT="0" distB="0" distL="114300" distR="114300">
            <wp:extent cx="5757545" cy="1256030"/>
            <wp:effectExtent l="0" t="0" r="0" b="0"/>
            <wp:docPr id="14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94"/>
                    <pic:cNvPicPr>
                      <a:picLocks noChangeAspect="1"/>
                    </pic:cNvPicPr>
                  </pic:nvPicPr>
                  <pic:blipFill>
                    <a:blip r:embed="rId88"/>
                    <a:stretch>
                      <a:fillRect/>
                    </a:stretch>
                  </pic:blipFill>
                  <pic:spPr>
                    <a:xfrm>
                      <a:off x="0" y="0"/>
                      <a:ext cx="5757545" cy="1256030"/>
                    </a:xfrm>
                    <a:prstGeom prst="rect">
                      <a:avLst/>
                    </a:prstGeom>
                    <a:noFill/>
                    <a:ln>
                      <a:noFill/>
                    </a:ln>
                  </pic:spPr>
                </pic:pic>
              </a:graphicData>
            </a:graphic>
          </wp:inline>
        </w:drawing>
      </w:r>
    </w:p>
    <w:p>
      <w:pPr>
        <w:spacing w:before="120" w:beforeLines="50"/>
        <w:ind w:firstLine="480"/>
        <w:jc w:val="center"/>
        <w:rPr>
          <w:rFonts w:hint="eastAsia"/>
          <w:b/>
          <w:bCs/>
          <w:color w:val="auto"/>
          <w:sz w:val="24"/>
          <w:highlight w:val="none"/>
        </w:rPr>
      </w:pPr>
      <w:r>
        <w:rPr>
          <w:rFonts w:hint="eastAsia"/>
          <w:b/>
          <w:bCs/>
          <w:color w:val="auto"/>
          <w:sz w:val="24"/>
          <w:highlight w:val="none"/>
        </w:rPr>
        <w:t xml:space="preserve">    图4.2-9 通过树和灌木时噪声衰减示意图</w:t>
      </w:r>
    </w:p>
    <w:p>
      <w:pPr>
        <w:spacing w:line="360" w:lineRule="auto"/>
        <w:ind w:firstLine="480" w:firstLineChars="200"/>
        <w:rPr>
          <w:rFonts w:hint="eastAsia"/>
          <w:color w:val="auto"/>
          <w:sz w:val="24"/>
          <w:highlight w:val="none"/>
        </w:rPr>
      </w:pPr>
      <w:r>
        <w:rPr>
          <w:rFonts w:hint="eastAsia"/>
          <w:color w:val="auto"/>
          <w:sz w:val="24"/>
          <w:highlight w:val="none"/>
        </w:rPr>
        <w:t>通过树叶传播造成的噪声衰减随通过树叶传播距离 d</w:t>
      </w:r>
      <w:r>
        <w:rPr>
          <w:rFonts w:hint="eastAsia"/>
          <w:color w:val="auto"/>
          <w:sz w:val="24"/>
          <w:highlight w:val="none"/>
          <w:vertAlign w:val="subscript"/>
        </w:rPr>
        <w:t>f</w:t>
      </w:r>
      <w:r>
        <w:rPr>
          <w:rFonts w:hint="eastAsia"/>
          <w:color w:val="auto"/>
          <w:sz w:val="24"/>
          <w:highlight w:val="none"/>
        </w:rPr>
        <w:t>的增长而增加，其中 d</w:t>
      </w:r>
      <w:r>
        <w:rPr>
          <w:rFonts w:hint="eastAsia"/>
          <w:color w:val="auto"/>
          <w:sz w:val="24"/>
          <w:highlight w:val="none"/>
          <w:vertAlign w:val="subscript"/>
        </w:rPr>
        <w:t>f</w:t>
      </w:r>
      <w:r>
        <w:rPr>
          <w:rFonts w:hint="eastAsia"/>
          <w:color w:val="auto"/>
          <w:sz w:val="24"/>
          <w:highlight w:val="none"/>
        </w:rPr>
        <w:t>=d</w:t>
      </w:r>
      <w:r>
        <w:rPr>
          <w:rFonts w:hint="eastAsia"/>
          <w:color w:val="auto"/>
          <w:sz w:val="24"/>
          <w:highlight w:val="none"/>
          <w:vertAlign w:val="subscript"/>
        </w:rPr>
        <w:t>1</w:t>
      </w:r>
      <w:r>
        <w:rPr>
          <w:rFonts w:hint="eastAsia"/>
          <w:color w:val="auto"/>
          <w:sz w:val="24"/>
          <w:highlight w:val="none"/>
        </w:rPr>
        <w:t>+d</w:t>
      </w:r>
      <w:r>
        <w:rPr>
          <w:rFonts w:hint="eastAsia"/>
          <w:color w:val="auto"/>
          <w:sz w:val="24"/>
          <w:highlight w:val="none"/>
          <w:vertAlign w:val="subscript"/>
        </w:rPr>
        <w:t>2</w:t>
      </w:r>
      <w:r>
        <w:rPr>
          <w:rFonts w:hint="eastAsia"/>
          <w:color w:val="auto"/>
          <w:sz w:val="24"/>
          <w:highlight w:val="none"/>
        </w:rPr>
        <w:t>，为了计算 d</w:t>
      </w:r>
      <w:r>
        <w:rPr>
          <w:rFonts w:hint="eastAsia"/>
          <w:color w:val="auto"/>
          <w:sz w:val="24"/>
          <w:highlight w:val="none"/>
          <w:vertAlign w:val="subscript"/>
        </w:rPr>
        <w:t>1</w:t>
      </w:r>
      <w:r>
        <w:rPr>
          <w:rFonts w:hint="eastAsia"/>
          <w:color w:val="auto"/>
          <w:sz w:val="24"/>
          <w:highlight w:val="none"/>
        </w:rPr>
        <w:t>和 d</w:t>
      </w:r>
      <w:r>
        <w:rPr>
          <w:rFonts w:hint="eastAsia"/>
          <w:color w:val="auto"/>
          <w:sz w:val="24"/>
          <w:highlight w:val="none"/>
          <w:vertAlign w:val="subscript"/>
        </w:rPr>
        <w:t>2</w:t>
      </w:r>
      <w:r>
        <w:rPr>
          <w:rFonts w:hint="eastAsia"/>
          <w:color w:val="auto"/>
          <w:sz w:val="24"/>
          <w:highlight w:val="none"/>
        </w:rPr>
        <w:t>，可假设弯曲路径的半径为 5 km。</w:t>
      </w:r>
    </w:p>
    <w:p>
      <w:pPr>
        <w:spacing w:line="360" w:lineRule="auto"/>
        <w:ind w:firstLine="480" w:firstLineChars="200"/>
        <w:rPr>
          <w:rFonts w:hint="eastAsia"/>
          <w:color w:val="auto"/>
          <w:sz w:val="24"/>
          <w:highlight w:val="none"/>
        </w:rPr>
      </w:pPr>
      <w:r>
        <w:rPr>
          <w:rFonts w:hint="eastAsia"/>
          <w:color w:val="auto"/>
          <w:sz w:val="24"/>
          <w:highlight w:val="none"/>
        </w:rPr>
        <w:t>表 4.2-3 中的第一行给出了通过总长度为10 m到20 m之间的乔灌结合郁闭度较高的林带时，由林带引起的衰减；第二行为通过总长度20m到200 m之间林带时的衰减系数；当通过林带的路径长度大于200 m时，可使用200 m的衰减值。</w:t>
      </w:r>
    </w:p>
    <w:p>
      <w:pPr>
        <w:spacing w:before="120" w:beforeLines="50"/>
        <w:ind w:firstLine="480"/>
        <w:jc w:val="center"/>
        <w:rPr>
          <w:rFonts w:hint="eastAsia"/>
          <w:b/>
          <w:bCs/>
          <w:color w:val="auto"/>
          <w:sz w:val="24"/>
          <w:highlight w:val="none"/>
        </w:rPr>
      </w:pPr>
      <w:r>
        <w:rPr>
          <w:rFonts w:hint="eastAsia"/>
          <w:b/>
          <w:bCs/>
          <w:color w:val="auto"/>
          <w:sz w:val="24"/>
          <w:highlight w:val="none"/>
        </w:rPr>
        <w:t>表4.2-3  倍频带噪声通过林带传播时产生的衰减</w:t>
      </w:r>
    </w:p>
    <w:tbl>
      <w:tblPr>
        <w:tblStyle w:val="23"/>
        <w:tblW w:w="912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350"/>
        <w:gridCol w:w="801"/>
        <w:gridCol w:w="802"/>
        <w:gridCol w:w="802"/>
        <w:gridCol w:w="802"/>
        <w:gridCol w:w="802"/>
        <w:gridCol w:w="802"/>
        <w:gridCol w:w="802"/>
        <w:gridCol w:w="8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352" w:type="dxa"/>
            <w:vMerge w:val="restart"/>
            <w:tcBorders>
              <w:top w:val="single" w:color="auto" w:sz="12" w:space="0"/>
            </w:tcBorders>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项目</w:t>
            </w:r>
          </w:p>
        </w:tc>
        <w:tc>
          <w:tcPr>
            <w:tcW w:w="1350" w:type="dxa"/>
            <w:vMerge w:val="restart"/>
            <w:tcBorders>
              <w:top w:val="single" w:color="auto" w:sz="12" w:space="0"/>
            </w:tcBorders>
            <w:tcMar>
              <w:left w:w="28" w:type="dxa"/>
              <w:right w:w="28" w:type="dxa"/>
            </w:tcMar>
            <w:vAlign w:val="center"/>
          </w:tcPr>
          <w:p>
            <w:pPr>
              <w:spacing w:line="340" w:lineRule="exact"/>
              <w:jc w:val="center"/>
              <w:rPr>
                <w:rFonts w:hint="eastAsia"/>
                <w:color w:val="auto"/>
                <w:szCs w:val="20"/>
                <w:highlight w:val="none"/>
              </w:rPr>
            </w:pPr>
            <w:r>
              <w:rPr>
                <w:rFonts w:hint="eastAsia"/>
                <w:color w:val="auto"/>
                <w:szCs w:val="20"/>
                <w:highlight w:val="none"/>
              </w:rPr>
              <w:t>传播距离</w:t>
            </w:r>
          </w:p>
          <w:p>
            <w:pPr>
              <w:spacing w:line="340" w:lineRule="exact"/>
              <w:jc w:val="center"/>
              <w:rPr>
                <w:color w:val="auto"/>
                <w:szCs w:val="20"/>
                <w:highlight w:val="none"/>
              </w:rPr>
            </w:pPr>
            <w:r>
              <w:rPr>
                <w:rFonts w:hint="eastAsia"/>
                <w:color w:val="auto"/>
                <w:szCs w:val="20"/>
                <w:highlight w:val="none"/>
              </w:rPr>
              <w:t>d</w:t>
            </w:r>
            <w:r>
              <w:rPr>
                <w:rFonts w:hint="eastAsia"/>
                <w:color w:val="auto"/>
                <w:szCs w:val="20"/>
                <w:highlight w:val="none"/>
                <w:vertAlign w:val="subscript"/>
              </w:rPr>
              <w:t>f</w:t>
            </w:r>
            <w:r>
              <w:rPr>
                <w:rFonts w:hint="eastAsia"/>
                <w:color w:val="auto"/>
                <w:szCs w:val="20"/>
                <w:highlight w:val="none"/>
              </w:rPr>
              <w:t>/m</w:t>
            </w:r>
          </w:p>
        </w:tc>
        <w:tc>
          <w:tcPr>
            <w:tcW w:w="6424" w:type="dxa"/>
            <w:gridSpan w:val="8"/>
            <w:tcBorders>
              <w:top w:val="single" w:color="auto" w:sz="12" w:space="0"/>
            </w:tcBorders>
            <w:tcMar>
              <w:left w:w="28" w:type="dxa"/>
              <w:right w:w="28" w:type="dxa"/>
            </w:tcMar>
            <w:vAlign w:val="center"/>
          </w:tcPr>
          <w:p>
            <w:pPr>
              <w:spacing w:line="340" w:lineRule="exact"/>
              <w:jc w:val="center"/>
              <w:rPr>
                <w:color w:val="auto"/>
                <w:szCs w:val="20"/>
                <w:highlight w:val="none"/>
              </w:rPr>
            </w:pPr>
            <w:r>
              <w:rPr>
                <w:color w:val="auto"/>
                <w:szCs w:val="20"/>
                <w:highlight w:val="none"/>
              </w:rPr>
              <w:t>倍频带中心频率Hz</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2" w:type="dxa"/>
            <w:vMerge w:val="continue"/>
            <w:tcMar>
              <w:left w:w="28" w:type="dxa"/>
              <w:right w:w="28" w:type="dxa"/>
            </w:tcMar>
            <w:vAlign w:val="center"/>
          </w:tcPr>
          <w:p>
            <w:pPr>
              <w:spacing w:line="340" w:lineRule="exact"/>
              <w:jc w:val="center"/>
              <w:rPr>
                <w:color w:val="auto"/>
                <w:szCs w:val="20"/>
                <w:highlight w:val="none"/>
              </w:rPr>
            </w:pPr>
          </w:p>
        </w:tc>
        <w:tc>
          <w:tcPr>
            <w:tcW w:w="1350" w:type="dxa"/>
            <w:vMerge w:val="continue"/>
            <w:tcMar>
              <w:left w:w="28" w:type="dxa"/>
              <w:right w:w="28" w:type="dxa"/>
            </w:tcMar>
            <w:vAlign w:val="center"/>
          </w:tcPr>
          <w:p>
            <w:pPr>
              <w:spacing w:line="340" w:lineRule="exact"/>
              <w:jc w:val="center"/>
              <w:rPr>
                <w:color w:val="auto"/>
                <w:szCs w:val="20"/>
                <w:highlight w:val="none"/>
              </w:rPr>
            </w:pPr>
          </w:p>
        </w:tc>
        <w:tc>
          <w:tcPr>
            <w:tcW w:w="801"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6</w:t>
            </w:r>
            <w:r>
              <w:rPr>
                <w:color w:val="auto"/>
                <w:szCs w:val="20"/>
                <w:highlight w:val="none"/>
              </w:rPr>
              <w:t>3</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25</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50</w:t>
            </w:r>
          </w:p>
        </w:tc>
        <w:tc>
          <w:tcPr>
            <w:tcW w:w="802" w:type="dxa"/>
            <w:tcMar>
              <w:left w:w="28" w:type="dxa"/>
              <w:right w:w="28" w:type="dxa"/>
            </w:tcMar>
            <w:vAlign w:val="center"/>
          </w:tcPr>
          <w:p>
            <w:pPr>
              <w:spacing w:line="340" w:lineRule="exact"/>
              <w:jc w:val="center"/>
              <w:rPr>
                <w:color w:val="auto"/>
                <w:szCs w:val="20"/>
                <w:highlight w:val="none"/>
              </w:rPr>
            </w:pPr>
            <w:r>
              <w:rPr>
                <w:color w:val="auto"/>
                <w:szCs w:val="20"/>
                <w:highlight w:val="none"/>
              </w:rPr>
              <w:t>500</w:t>
            </w:r>
          </w:p>
        </w:tc>
        <w:tc>
          <w:tcPr>
            <w:tcW w:w="802" w:type="dxa"/>
            <w:tcMar>
              <w:left w:w="28" w:type="dxa"/>
              <w:right w:w="28" w:type="dxa"/>
            </w:tcMar>
            <w:vAlign w:val="center"/>
          </w:tcPr>
          <w:p>
            <w:pPr>
              <w:spacing w:line="340" w:lineRule="exact"/>
              <w:jc w:val="center"/>
              <w:rPr>
                <w:color w:val="auto"/>
                <w:szCs w:val="20"/>
                <w:highlight w:val="none"/>
              </w:rPr>
            </w:pPr>
            <w:r>
              <w:rPr>
                <w:color w:val="auto"/>
                <w:szCs w:val="20"/>
                <w:highlight w:val="none"/>
              </w:rPr>
              <w:t>1000</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000</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4</w:t>
            </w:r>
            <w:r>
              <w:rPr>
                <w:color w:val="auto"/>
                <w:szCs w:val="20"/>
                <w:highlight w:val="none"/>
              </w:rPr>
              <w:t>000</w:t>
            </w:r>
          </w:p>
        </w:tc>
        <w:tc>
          <w:tcPr>
            <w:tcW w:w="811"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8</w:t>
            </w:r>
            <w:r>
              <w:rPr>
                <w:color w:val="auto"/>
                <w:szCs w:val="20"/>
                <w:highlight w:val="none"/>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 xml:space="preserve">衰减/dB </w:t>
            </w:r>
          </w:p>
        </w:tc>
        <w:tc>
          <w:tcPr>
            <w:tcW w:w="1350"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 xml:space="preserve">10≤df＜20 </w:t>
            </w:r>
          </w:p>
        </w:tc>
        <w:tc>
          <w:tcPr>
            <w:tcW w:w="801"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.1</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.4</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.0</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.9</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3</w:t>
            </w:r>
            <w:r>
              <w:rPr>
                <w:color w:val="auto"/>
                <w:szCs w:val="20"/>
                <w:highlight w:val="none"/>
              </w:rPr>
              <w:t>.7</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9</w:t>
            </w:r>
            <w:r>
              <w:rPr>
                <w:color w:val="auto"/>
                <w:szCs w:val="20"/>
                <w:highlight w:val="none"/>
              </w:rPr>
              <w:t>.7</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3</w:t>
            </w:r>
            <w:r>
              <w:rPr>
                <w:color w:val="auto"/>
                <w:szCs w:val="20"/>
                <w:highlight w:val="none"/>
              </w:rPr>
              <w:t>2.8</w:t>
            </w:r>
          </w:p>
        </w:tc>
        <w:tc>
          <w:tcPr>
            <w:tcW w:w="811"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17.0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衰减系数/(dB/m)</w:t>
            </w:r>
          </w:p>
        </w:tc>
        <w:tc>
          <w:tcPr>
            <w:tcW w:w="1350"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 xml:space="preserve">20≤df＜200 </w:t>
            </w:r>
          </w:p>
        </w:tc>
        <w:tc>
          <w:tcPr>
            <w:tcW w:w="801"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.1</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0</w:t>
            </w:r>
            <w:r>
              <w:rPr>
                <w:color w:val="auto"/>
                <w:szCs w:val="20"/>
                <w:highlight w:val="none"/>
              </w:rPr>
              <w:t>.3</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1</w:t>
            </w:r>
            <w:r>
              <w:rPr>
                <w:color w:val="auto"/>
                <w:szCs w:val="20"/>
                <w:highlight w:val="none"/>
              </w:rPr>
              <w:t>.1</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.8</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5</w:t>
            </w:r>
            <w:r>
              <w:rPr>
                <w:color w:val="auto"/>
                <w:szCs w:val="20"/>
                <w:highlight w:val="none"/>
              </w:rPr>
              <w:t>.0</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9</w:t>
            </w:r>
            <w:r>
              <w:rPr>
                <w:color w:val="auto"/>
                <w:szCs w:val="20"/>
                <w:highlight w:val="none"/>
              </w:rPr>
              <w:t>.0</w:t>
            </w:r>
          </w:p>
        </w:tc>
        <w:tc>
          <w:tcPr>
            <w:tcW w:w="802"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2</w:t>
            </w:r>
            <w:r>
              <w:rPr>
                <w:color w:val="auto"/>
                <w:szCs w:val="20"/>
                <w:highlight w:val="none"/>
              </w:rPr>
              <w:t>2.9</w:t>
            </w:r>
          </w:p>
        </w:tc>
        <w:tc>
          <w:tcPr>
            <w:tcW w:w="811" w:type="dxa"/>
            <w:tcMar>
              <w:left w:w="28" w:type="dxa"/>
              <w:right w:w="28" w:type="dxa"/>
            </w:tcMar>
            <w:vAlign w:val="center"/>
          </w:tcPr>
          <w:p>
            <w:pPr>
              <w:spacing w:line="340" w:lineRule="exact"/>
              <w:jc w:val="center"/>
              <w:rPr>
                <w:color w:val="auto"/>
                <w:szCs w:val="20"/>
                <w:highlight w:val="none"/>
              </w:rPr>
            </w:pPr>
            <w:r>
              <w:rPr>
                <w:rFonts w:hint="eastAsia"/>
                <w:color w:val="auto"/>
                <w:szCs w:val="20"/>
                <w:highlight w:val="none"/>
              </w:rPr>
              <w:t>7</w:t>
            </w:r>
            <w:r>
              <w:rPr>
                <w:color w:val="auto"/>
                <w:szCs w:val="20"/>
                <w:highlight w:val="none"/>
              </w:rPr>
              <w:t>6.6</w:t>
            </w:r>
          </w:p>
        </w:tc>
      </w:tr>
    </w:tbl>
    <w:p>
      <w:pPr>
        <w:adjustRightInd w:val="0"/>
        <w:snapToGrid w:val="0"/>
        <w:spacing w:line="360" w:lineRule="auto"/>
        <w:ind w:firstLine="480" w:firstLineChars="200"/>
        <w:rPr>
          <w:rFonts w:hint="eastAsia"/>
          <w:color w:val="auto"/>
          <w:sz w:val="24"/>
          <w:highlight w:val="none"/>
        </w:rPr>
      </w:pPr>
      <w:r>
        <w:rPr>
          <w:color w:val="auto"/>
          <w:sz w:val="24"/>
          <w:highlight w:val="none"/>
        </w:rPr>
        <w:t>b、</w:t>
      </w:r>
      <w:r>
        <w:rPr>
          <w:rFonts w:hint="eastAsia"/>
          <w:color w:val="auto"/>
          <w:sz w:val="24"/>
          <w:highlight w:val="none"/>
        </w:rPr>
        <w:t>建筑群噪声衰减（A</w:t>
      </w:r>
      <w:r>
        <w:rPr>
          <w:rFonts w:hint="eastAsia"/>
          <w:color w:val="auto"/>
          <w:sz w:val="24"/>
          <w:highlight w:val="none"/>
          <w:vertAlign w:val="subscript"/>
        </w:rPr>
        <w:t>hous</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建筑群衰减 A</w:t>
      </w:r>
      <w:r>
        <w:rPr>
          <w:rFonts w:hint="eastAsia"/>
          <w:color w:val="auto"/>
          <w:sz w:val="24"/>
          <w:highlight w:val="none"/>
          <w:vertAlign w:val="subscript"/>
        </w:rPr>
        <w:t>hous</w:t>
      </w:r>
      <w:r>
        <w:rPr>
          <w:rFonts w:hint="eastAsia"/>
          <w:color w:val="auto"/>
          <w:sz w:val="24"/>
          <w:highlight w:val="none"/>
        </w:rPr>
        <w:t>不超过 10 dB 时，近似等效连续 A 声级按下式估算。当从受声点可直接观察到线路时，不考虑此项衰减。</w:t>
      </w:r>
    </w:p>
    <w:p>
      <w:pPr>
        <w:spacing w:line="360" w:lineRule="auto"/>
        <w:ind w:firstLine="480" w:firstLineChars="200"/>
        <w:jc w:val="center"/>
        <w:rPr>
          <w:color w:val="auto"/>
          <w:sz w:val="24"/>
          <w:highlight w:val="none"/>
        </w:rPr>
      </w:pPr>
      <w:r>
        <w:rPr>
          <w:rFonts w:hint="eastAsia"/>
          <w:color w:val="auto"/>
          <w:position w:val="-12"/>
          <w:sz w:val="24"/>
          <w:highlight w:val="none"/>
        </w:rPr>
        <w:object>
          <v:shape id="_x0000_i1061" o:spt="75" type="#_x0000_t75" style="height:18pt;width:103pt;" o:ole="t" filled="f" o:preferrelative="t" stroked="f" coordsize="21600,21600">
            <v:path/>
            <v:fill on="f" focussize="0,0"/>
            <v:stroke on="f"/>
            <v:imagedata r:id="rId90" o:title=""/>
            <o:lock v:ext="edit" aspectratio="t"/>
            <w10:wrap type="none"/>
            <w10:anchorlock/>
          </v:shape>
          <o:OLEObject Type="Embed" ProgID="Equation.3" ShapeID="_x0000_i1061" DrawAspect="Content" ObjectID="_1468075761" r:id="rId89">
            <o:LockedField>false</o:LockedField>
          </o:OLEObject>
        </w:object>
      </w:r>
    </w:p>
    <w:p>
      <w:pPr>
        <w:spacing w:line="360" w:lineRule="auto"/>
        <w:ind w:firstLine="480" w:firstLineChars="200"/>
        <w:rPr>
          <w:rFonts w:hint="eastAsia"/>
          <w:color w:val="auto"/>
          <w:sz w:val="24"/>
          <w:highlight w:val="none"/>
        </w:rPr>
      </w:pPr>
      <w:r>
        <w:rPr>
          <w:rFonts w:hint="eastAsia"/>
          <w:color w:val="auto"/>
          <w:sz w:val="24"/>
          <w:highlight w:val="none"/>
        </w:rPr>
        <w:t>式中A</w:t>
      </w:r>
      <w:r>
        <w:rPr>
          <w:rFonts w:hint="eastAsia"/>
          <w:color w:val="auto"/>
          <w:sz w:val="24"/>
          <w:highlight w:val="none"/>
          <w:vertAlign w:val="subscript"/>
        </w:rPr>
        <w:t>hous,1</w:t>
      </w:r>
      <w:r>
        <w:rPr>
          <w:rFonts w:hint="eastAsia"/>
          <w:color w:val="auto"/>
          <w:sz w:val="24"/>
          <w:highlight w:val="none"/>
        </w:rPr>
        <w:t>按下式计算，单位为dB。</w:t>
      </w:r>
    </w:p>
    <w:p>
      <w:pPr>
        <w:spacing w:line="360" w:lineRule="auto"/>
        <w:ind w:firstLine="480" w:firstLineChars="200"/>
        <w:jc w:val="center"/>
        <w:rPr>
          <w:color w:val="auto"/>
          <w:sz w:val="24"/>
          <w:highlight w:val="none"/>
        </w:rPr>
      </w:pPr>
      <w:r>
        <w:rPr>
          <w:rFonts w:hint="eastAsia"/>
          <w:color w:val="auto"/>
          <w:position w:val="-12"/>
          <w:sz w:val="24"/>
          <w:highlight w:val="none"/>
        </w:rPr>
        <w:object>
          <v:shape id="_x0000_i1062" o:spt="75" type="#_x0000_t75" style="height:18pt;width:75pt;" o:ole="t" filled="f" o:preferrelative="t" stroked="f" coordsize="21600,21600">
            <v:path/>
            <v:fill on="f" focussize="0,0"/>
            <v:stroke on="f"/>
            <v:imagedata r:id="rId92" o:title=""/>
            <o:lock v:ext="edit" aspectratio="t"/>
            <w10:wrap type="none"/>
            <w10:anchorlock/>
          </v:shape>
          <o:OLEObject Type="Embed" ProgID="Equation.3" ShapeID="_x0000_i1062" DrawAspect="Content" ObjectID="_1468075762" r:id="rId91">
            <o:LockedField>false</o:LockedField>
          </o:OLEObject>
        </w:object>
      </w:r>
    </w:p>
    <w:p>
      <w:pPr>
        <w:spacing w:line="360" w:lineRule="auto"/>
        <w:rPr>
          <w:rFonts w:hint="eastAsia"/>
          <w:color w:val="auto"/>
          <w:sz w:val="24"/>
          <w:highlight w:val="none"/>
        </w:rPr>
      </w:pPr>
      <w:r>
        <w:rPr>
          <w:rFonts w:hint="eastAsia"/>
          <w:color w:val="auto"/>
          <w:sz w:val="24"/>
          <w:highlight w:val="none"/>
        </w:rPr>
        <w:t>式中：B—沿声传播路线上的建筑物的密度，等于建筑物总平面面积除以总地面面积（包括建筑物所占面积）；</w:t>
      </w:r>
    </w:p>
    <w:p>
      <w:pPr>
        <w:spacing w:line="360" w:lineRule="auto"/>
        <w:ind w:firstLine="480" w:firstLineChars="200"/>
        <w:rPr>
          <w:rFonts w:hint="eastAsia"/>
          <w:color w:val="auto"/>
          <w:sz w:val="24"/>
          <w:highlight w:val="none"/>
        </w:rPr>
      </w:pPr>
      <w:r>
        <w:rPr>
          <w:rFonts w:hint="eastAsia"/>
          <w:color w:val="auto"/>
          <w:sz w:val="24"/>
          <w:highlight w:val="none"/>
        </w:rPr>
        <w:t>d</w:t>
      </w:r>
      <w:r>
        <w:rPr>
          <w:rFonts w:hint="eastAsia"/>
          <w:color w:val="auto"/>
          <w:sz w:val="24"/>
          <w:highlight w:val="none"/>
          <w:vertAlign w:val="subscript"/>
        </w:rPr>
        <w:t>b</w:t>
      </w:r>
      <w:r>
        <w:rPr>
          <w:rFonts w:hint="eastAsia"/>
          <w:color w:val="auto"/>
          <w:sz w:val="24"/>
          <w:highlight w:val="none"/>
        </w:rPr>
        <w:t>—通过建筑群的声传播路线长度，按下式计算，d</w:t>
      </w:r>
      <w:r>
        <w:rPr>
          <w:rFonts w:hint="eastAsia"/>
          <w:color w:val="auto"/>
          <w:sz w:val="24"/>
          <w:highlight w:val="none"/>
          <w:vertAlign w:val="subscript"/>
        </w:rPr>
        <w:t>1</w:t>
      </w:r>
      <w:r>
        <w:rPr>
          <w:rFonts w:hint="eastAsia"/>
          <w:color w:val="auto"/>
          <w:sz w:val="24"/>
          <w:highlight w:val="none"/>
        </w:rPr>
        <w:t>和d</w:t>
      </w:r>
      <w:r>
        <w:rPr>
          <w:rFonts w:hint="eastAsia"/>
          <w:color w:val="auto"/>
          <w:sz w:val="24"/>
          <w:highlight w:val="none"/>
          <w:vertAlign w:val="subscript"/>
        </w:rPr>
        <w:t>2</w:t>
      </w:r>
      <w:r>
        <w:rPr>
          <w:rFonts w:hint="eastAsia"/>
          <w:color w:val="auto"/>
          <w:sz w:val="24"/>
          <w:highlight w:val="none"/>
        </w:rPr>
        <w:t>如图4.2-10所示。</w:t>
      </w:r>
    </w:p>
    <w:p>
      <w:pPr>
        <w:spacing w:line="360" w:lineRule="auto"/>
        <w:ind w:firstLine="480" w:firstLineChars="200"/>
        <w:jc w:val="center"/>
        <w:rPr>
          <w:rFonts w:hint="eastAsia"/>
          <w:color w:val="auto"/>
          <w:sz w:val="24"/>
          <w:highlight w:val="none"/>
        </w:rPr>
      </w:pPr>
      <w:r>
        <w:rPr>
          <w:rFonts w:hint="eastAsia"/>
          <w:color w:val="auto"/>
          <w:position w:val="-12"/>
          <w:sz w:val="24"/>
          <w:highlight w:val="none"/>
        </w:rPr>
        <w:object>
          <v:shape id="_x0000_i1063" o:spt="75" type="#_x0000_t75" style="height:18pt;width:59pt;" o:ole="t" filled="f" o:preferrelative="t" stroked="f" coordsize="21600,21600">
            <v:path/>
            <v:fill on="f" focussize="0,0"/>
            <v:stroke on="f"/>
            <v:imagedata r:id="rId94" o:title=""/>
            <o:lock v:ext="edit" aspectratio="t"/>
            <w10:wrap type="none"/>
            <w10:anchorlock/>
          </v:shape>
          <o:OLEObject Type="Embed" ProgID="Equation.3" ShapeID="_x0000_i1063" DrawAspect="Content" ObjectID="_1468075763" r:id="rId93">
            <o:LockedField>false</o:LockedField>
          </o:OLEObject>
        </w:object>
      </w:r>
    </w:p>
    <w:p>
      <w:pPr>
        <w:spacing w:line="360" w:lineRule="auto"/>
        <w:jc w:val="center"/>
        <w:rPr>
          <w:rFonts w:hint="eastAsia"/>
          <w:b/>
          <w:bCs/>
          <w:color w:val="auto"/>
          <w:sz w:val="24"/>
          <w:highlight w:val="none"/>
        </w:rPr>
      </w:pPr>
      <w:r>
        <w:rPr>
          <w:color w:val="auto"/>
          <w:highlight w:val="none"/>
        </w:rPr>
        <w:drawing>
          <wp:inline distT="0" distB="0" distL="114300" distR="114300">
            <wp:extent cx="5758180" cy="1873885"/>
            <wp:effectExtent l="0" t="0" r="0" b="0"/>
            <wp:docPr id="150"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98"/>
                    <pic:cNvPicPr>
                      <a:picLocks noChangeAspect="1"/>
                    </pic:cNvPicPr>
                  </pic:nvPicPr>
                  <pic:blipFill>
                    <a:blip r:embed="rId95"/>
                    <a:stretch>
                      <a:fillRect/>
                    </a:stretch>
                  </pic:blipFill>
                  <pic:spPr>
                    <a:xfrm>
                      <a:off x="0" y="0"/>
                      <a:ext cx="5758180" cy="1873885"/>
                    </a:xfrm>
                    <a:prstGeom prst="rect">
                      <a:avLst/>
                    </a:prstGeom>
                    <a:noFill/>
                    <a:ln>
                      <a:noFill/>
                    </a:ln>
                  </pic:spPr>
                </pic:pic>
              </a:graphicData>
            </a:graphic>
          </wp:inline>
        </w:drawing>
      </w:r>
      <w:r>
        <w:rPr>
          <w:rFonts w:hint="eastAsia" w:ascii="黑体" w:hAnsi="黑体" w:eastAsia="黑体"/>
          <w:color w:val="auto"/>
          <w:sz w:val="24"/>
          <w:highlight w:val="none"/>
        </w:rPr>
        <w:t xml:space="preserve"> </w:t>
      </w:r>
      <w:r>
        <w:rPr>
          <w:rFonts w:ascii="黑体" w:hAnsi="黑体" w:eastAsia="黑体"/>
          <w:color w:val="auto"/>
          <w:sz w:val="24"/>
          <w:highlight w:val="none"/>
        </w:rPr>
        <w:t xml:space="preserve">   </w:t>
      </w:r>
      <w:r>
        <w:rPr>
          <w:rFonts w:hint="eastAsia"/>
          <w:b/>
          <w:bCs/>
          <w:color w:val="auto"/>
          <w:sz w:val="24"/>
          <w:highlight w:val="none"/>
        </w:rPr>
        <w:t>图4.2-10 建筑群中声传播路径</w:t>
      </w:r>
    </w:p>
    <w:p>
      <w:pPr>
        <w:spacing w:line="360" w:lineRule="auto"/>
        <w:ind w:firstLine="480" w:firstLineChars="200"/>
        <w:jc w:val="left"/>
        <w:rPr>
          <w:rFonts w:hint="eastAsia"/>
          <w:color w:val="auto"/>
          <w:sz w:val="24"/>
          <w:highlight w:val="none"/>
        </w:rPr>
      </w:pPr>
      <w:r>
        <w:rPr>
          <w:rFonts w:hint="eastAsia"/>
          <w:color w:val="auto"/>
          <w:sz w:val="24"/>
          <w:highlight w:val="none"/>
        </w:rPr>
        <w:t>假如声源沿线附近有成排整齐排列的建筑物时，则可将附加项A</w:t>
      </w:r>
      <w:r>
        <w:rPr>
          <w:rFonts w:hint="eastAsia"/>
          <w:color w:val="auto"/>
          <w:sz w:val="24"/>
          <w:highlight w:val="none"/>
          <w:vertAlign w:val="subscript"/>
        </w:rPr>
        <w:t>hous,2</w:t>
      </w:r>
      <w:r>
        <w:rPr>
          <w:rFonts w:hint="eastAsia"/>
          <w:color w:val="auto"/>
          <w:sz w:val="24"/>
          <w:highlight w:val="none"/>
        </w:rPr>
        <w:t>包括在内（假定这一项小于在同一位置上与建筑物平均高度等高的一个屏障插入损失）。A</w:t>
      </w:r>
      <w:r>
        <w:rPr>
          <w:rFonts w:hint="eastAsia"/>
          <w:color w:val="auto"/>
          <w:sz w:val="24"/>
          <w:highlight w:val="none"/>
          <w:vertAlign w:val="subscript"/>
        </w:rPr>
        <w:t>hous,2</w:t>
      </w:r>
      <w:r>
        <w:rPr>
          <w:rFonts w:hint="eastAsia"/>
          <w:color w:val="auto"/>
          <w:sz w:val="24"/>
          <w:highlight w:val="none"/>
        </w:rPr>
        <w:t>按下式计算。</w:t>
      </w:r>
    </w:p>
    <w:p>
      <w:pPr>
        <w:pStyle w:val="13"/>
        <w:jc w:val="center"/>
        <w:rPr>
          <w:rFonts w:hint="eastAsia"/>
          <w:color w:val="auto"/>
          <w:highlight w:val="none"/>
        </w:rPr>
      </w:pPr>
      <w:r>
        <w:rPr>
          <w:rFonts w:hint="eastAsia"/>
          <w:color w:val="auto"/>
          <w:position w:val="-12"/>
          <w:sz w:val="24"/>
          <w:highlight w:val="none"/>
        </w:rPr>
        <w:object>
          <v:shape id="_x0000_i1064" o:spt="75" type="#_x0000_t75" style="height:18pt;width:109pt;" o:ole="t" filled="f" o:preferrelative="t" stroked="f" coordsize="21600,21600">
            <v:path/>
            <v:fill on="f" focussize="0,0"/>
            <v:stroke on="f"/>
            <v:imagedata r:id="rId97" o:title=""/>
            <o:lock v:ext="edit" aspectratio="t"/>
            <w10:wrap type="none"/>
            <w10:anchorlock/>
          </v:shape>
          <o:OLEObject Type="Embed" ProgID="Equation.3" ShapeID="_x0000_i1064" DrawAspect="Content" ObjectID="_1468075764" r:id="rId96">
            <o:LockedField>false</o:LockedField>
          </o:OLEObject>
        </w:object>
      </w:r>
    </w:p>
    <w:p>
      <w:pPr>
        <w:spacing w:line="360" w:lineRule="auto"/>
        <w:ind w:firstLine="480" w:firstLineChars="200"/>
        <w:jc w:val="left"/>
        <w:rPr>
          <w:rFonts w:hint="eastAsia"/>
          <w:color w:val="auto"/>
          <w:sz w:val="24"/>
          <w:highlight w:val="none"/>
        </w:rPr>
      </w:pPr>
      <w:bookmarkStart w:id="52" w:name="_Hlk107524536"/>
      <w:r>
        <w:rPr>
          <w:rFonts w:hint="eastAsia"/>
          <w:color w:val="auto"/>
          <w:sz w:val="24"/>
          <w:highlight w:val="none"/>
        </w:rPr>
        <w:t>式中：</w:t>
      </w:r>
    </w:p>
    <w:p>
      <w:pPr>
        <w:spacing w:line="360" w:lineRule="auto"/>
        <w:ind w:firstLine="480" w:firstLineChars="200"/>
        <w:jc w:val="left"/>
        <w:rPr>
          <w:rFonts w:hint="eastAsia"/>
          <w:color w:val="auto"/>
          <w:sz w:val="24"/>
          <w:highlight w:val="none"/>
        </w:rPr>
      </w:pPr>
      <w:r>
        <w:rPr>
          <w:rFonts w:hint="eastAsia"/>
          <w:color w:val="auto"/>
          <w:sz w:val="24"/>
          <w:highlight w:val="none"/>
        </w:rPr>
        <w:t>p —沿声源纵向分布的建筑物正面总长度除以对应的声源长度，其值小于或等于 90%。</w:t>
      </w:r>
    </w:p>
    <w:p>
      <w:pPr>
        <w:spacing w:line="360" w:lineRule="auto"/>
        <w:ind w:firstLine="480" w:firstLineChars="200"/>
        <w:jc w:val="left"/>
        <w:rPr>
          <w:rFonts w:hint="eastAsia"/>
          <w:color w:val="auto"/>
          <w:sz w:val="24"/>
          <w:highlight w:val="none"/>
        </w:rPr>
      </w:pPr>
      <w:r>
        <w:rPr>
          <w:rFonts w:hint="eastAsia"/>
          <w:color w:val="auto"/>
          <w:sz w:val="24"/>
          <w:highlight w:val="none"/>
        </w:rPr>
        <w:t>在进行预测计算时，建筑群衰减A</w:t>
      </w:r>
      <w:r>
        <w:rPr>
          <w:rFonts w:hint="eastAsia"/>
          <w:color w:val="auto"/>
          <w:sz w:val="24"/>
          <w:highlight w:val="none"/>
          <w:vertAlign w:val="subscript"/>
        </w:rPr>
        <w:t>hous</w:t>
      </w:r>
      <w:r>
        <w:rPr>
          <w:rFonts w:hint="eastAsia"/>
          <w:color w:val="auto"/>
          <w:sz w:val="24"/>
          <w:highlight w:val="none"/>
        </w:rPr>
        <w:t>与地面效应引起的衰减A</w:t>
      </w:r>
      <w:r>
        <w:rPr>
          <w:rFonts w:hint="eastAsia"/>
          <w:color w:val="auto"/>
          <w:sz w:val="24"/>
          <w:highlight w:val="none"/>
          <w:vertAlign w:val="subscript"/>
        </w:rPr>
        <w:t>gr</w:t>
      </w:r>
      <w:r>
        <w:rPr>
          <w:rFonts w:hint="eastAsia"/>
          <w:color w:val="auto"/>
          <w:sz w:val="24"/>
          <w:highlight w:val="none"/>
        </w:rPr>
        <w:t>通常只需考虑一项最主要的衰减。对于通过建筑群的声传播，一般不考虑地面效应引起的衰减 A</w:t>
      </w:r>
      <w:r>
        <w:rPr>
          <w:rFonts w:hint="eastAsia"/>
          <w:color w:val="auto"/>
          <w:sz w:val="24"/>
          <w:highlight w:val="none"/>
          <w:vertAlign w:val="subscript"/>
        </w:rPr>
        <w:t>gr</w:t>
      </w:r>
      <w:r>
        <w:rPr>
          <w:rFonts w:hint="eastAsia"/>
          <w:color w:val="auto"/>
          <w:sz w:val="24"/>
          <w:highlight w:val="none"/>
        </w:rPr>
        <w:t>；但地面效应引起的衰减 A</w:t>
      </w:r>
      <w:r>
        <w:rPr>
          <w:rFonts w:hint="eastAsia"/>
          <w:color w:val="auto"/>
          <w:sz w:val="24"/>
          <w:highlight w:val="none"/>
          <w:vertAlign w:val="subscript"/>
        </w:rPr>
        <w:t>gr</w:t>
      </w:r>
      <w:r>
        <w:rPr>
          <w:rFonts w:hint="eastAsia"/>
          <w:color w:val="auto"/>
          <w:sz w:val="24"/>
          <w:highlight w:val="none"/>
        </w:rPr>
        <w:t>（假定预测点与声源之间不存在建筑群时的计算结果）大于建筑群衰减 A</w:t>
      </w:r>
      <w:r>
        <w:rPr>
          <w:rFonts w:hint="eastAsia"/>
          <w:color w:val="auto"/>
          <w:sz w:val="24"/>
          <w:highlight w:val="none"/>
          <w:vertAlign w:val="subscript"/>
        </w:rPr>
        <w:t>hous</w:t>
      </w:r>
      <w:r>
        <w:rPr>
          <w:rFonts w:hint="eastAsia"/>
          <w:color w:val="auto"/>
          <w:sz w:val="24"/>
          <w:highlight w:val="none"/>
        </w:rPr>
        <w:t xml:space="preserve"> 时，则不考虑建筑群插入损失 A</w:t>
      </w:r>
      <w:r>
        <w:rPr>
          <w:rFonts w:hint="eastAsia"/>
          <w:color w:val="auto"/>
          <w:sz w:val="24"/>
          <w:highlight w:val="none"/>
          <w:vertAlign w:val="subscript"/>
        </w:rPr>
        <w:t>hous</w:t>
      </w:r>
      <w:r>
        <w:rPr>
          <w:rFonts w:hint="eastAsia"/>
          <w:color w:val="auto"/>
          <w:sz w:val="24"/>
          <w:highlight w:val="none"/>
        </w:rPr>
        <w:t>。</w:t>
      </w:r>
    </w:p>
    <w:bookmarkEnd w:id="52"/>
    <w:p>
      <w:pPr>
        <w:spacing w:line="360" w:lineRule="auto"/>
        <w:outlineLvl w:val="2"/>
        <w:rPr>
          <w:rFonts w:hint="eastAsia" w:eastAsia="黑体"/>
          <w:color w:val="auto"/>
          <w:sz w:val="24"/>
          <w:highlight w:val="none"/>
        </w:rPr>
      </w:pPr>
      <w:r>
        <w:rPr>
          <w:rFonts w:hint="eastAsia" w:eastAsia="黑体"/>
          <w:color w:val="auto"/>
          <w:sz w:val="24"/>
          <w:highlight w:val="none"/>
        </w:rPr>
        <w:t>4.2.2交通噪声预测评价</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1、交通噪声水平方向影响预测</w:t>
      </w:r>
    </w:p>
    <w:p>
      <w:pPr>
        <w:adjustRightInd w:val="0"/>
        <w:snapToGrid w:val="0"/>
        <w:spacing w:line="360" w:lineRule="auto"/>
        <w:ind w:firstLine="480"/>
        <w:rPr>
          <w:rFonts w:hint="eastAsia"/>
          <w:snapToGrid w:val="0"/>
          <w:color w:val="auto"/>
          <w:kern w:val="0"/>
          <w:sz w:val="24"/>
          <w:highlight w:val="none"/>
        </w:rPr>
      </w:pPr>
      <w:r>
        <w:rPr>
          <w:rFonts w:hint="eastAsia" w:hAnsi="宋体"/>
          <w:color w:val="auto"/>
          <w:sz w:val="24"/>
          <w:highlight w:val="none"/>
        </w:rPr>
        <w:t>根据选定的预测模式，选取2025年、2031年、2039年分别做为项目近、中、远期代表年份，结合各路段地形地貌情况确定的各个参数，计算出一般路段在各评价年份、距路中心不同距离接受点处的交通噪声预测值。路段预测结果见表4.2-5</w:t>
      </w:r>
      <w:r>
        <w:rPr>
          <w:rFonts w:hint="eastAsia"/>
          <w:snapToGrid w:val="0"/>
          <w:color w:val="auto"/>
          <w:kern w:val="0"/>
          <w:sz w:val="24"/>
          <w:highlight w:val="none"/>
        </w:rPr>
        <w:t>。</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交通噪声影响预测是假定在开阔空旷的平路基条件下，不考虑地形地貌、树林、房屋等障碍对声波的附加衰减，只考虑声波的距离几何衰减和地面的吸收及空气吸收而获得的在离地面1.2m处的纯交通噪声的贡献值在水平向的影响分布。</w:t>
      </w:r>
    </w:p>
    <w:p>
      <w:pPr>
        <w:adjustRightInd w:val="0"/>
        <w:snapToGrid w:val="0"/>
        <w:spacing w:line="360" w:lineRule="auto"/>
        <w:ind w:firstLine="480" w:firstLineChars="200"/>
        <w:rPr>
          <w:rFonts w:hint="eastAsia"/>
          <w:snapToGrid w:val="0"/>
          <w:color w:val="auto"/>
          <w:kern w:val="0"/>
          <w:sz w:val="24"/>
          <w:highlight w:val="none"/>
        </w:rPr>
        <w:sectPr>
          <w:pgSz w:w="11906" w:h="16838"/>
          <w:pgMar w:top="1134" w:right="1418" w:bottom="1134" w:left="1418" w:header="851" w:footer="907" w:gutter="0"/>
          <w:pgBorders>
            <w:top w:val="none" w:sz="0" w:space="0"/>
            <w:left w:val="none" w:sz="0" w:space="0"/>
            <w:bottom w:val="none" w:sz="0" w:space="0"/>
            <w:right w:val="none" w:sz="0" w:space="0"/>
          </w:pgBorders>
          <w:cols w:space="720" w:num="1"/>
          <w:docGrid w:linePitch="312" w:charSpace="0"/>
        </w:sectPr>
      </w:pPr>
    </w:p>
    <w:p>
      <w:pPr>
        <w:pStyle w:val="2"/>
        <w:tabs>
          <w:tab w:val="left" w:pos="1068"/>
        </w:tabs>
        <w:ind w:firstLine="0"/>
        <w:jc w:val="right"/>
        <w:rPr>
          <w:rFonts w:hint="eastAsia"/>
          <w:b/>
          <w:bCs/>
          <w:color w:val="auto"/>
          <w:sz w:val="24"/>
          <w:highlight w:val="none"/>
        </w:rPr>
      </w:pPr>
      <w:r>
        <w:rPr>
          <w:rFonts w:hint="eastAsia"/>
          <w:b/>
          <w:bCs/>
          <w:color w:val="auto"/>
          <w:sz w:val="24"/>
          <w:highlight w:val="none"/>
        </w:rPr>
        <w:t>表4.2-5   项目横向交通噪声预测值一览表                    单位： dB（A）</w:t>
      </w:r>
    </w:p>
    <w:tbl>
      <w:tblPr>
        <w:tblStyle w:val="23"/>
        <w:tblW w:w="1459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2269"/>
        <w:gridCol w:w="1767"/>
        <w:gridCol w:w="1460"/>
        <w:gridCol w:w="827"/>
        <w:gridCol w:w="830"/>
        <w:gridCol w:w="827"/>
        <w:gridCol w:w="826"/>
        <w:gridCol w:w="826"/>
        <w:gridCol w:w="826"/>
        <w:gridCol w:w="826"/>
        <w:gridCol w:w="826"/>
        <w:gridCol w:w="826"/>
        <w:gridCol w:w="826"/>
        <w:gridCol w:w="83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636" w:hRule="atLeast"/>
          <w:tblHeader/>
          <w:jc w:val="center"/>
        </w:trPr>
        <w:tc>
          <w:tcPr>
            <w:tcW w:w="5496" w:type="dxa"/>
            <w:gridSpan w:val="3"/>
            <w:vMerge w:val="restart"/>
            <w:vAlign w:val="center"/>
          </w:tcPr>
          <w:p>
            <w:pPr>
              <w:widowControl/>
              <w:jc w:val="center"/>
              <w:textAlignment w:val="center"/>
              <w:rPr>
                <w:color w:val="auto"/>
                <w:szCs w:val="21"/>
                <w:highlight w:val="none"/>
              </w:rPr>
            </w:pPr>
            <w:r>
              <w:rPr>
                <w:rFonts w:hint="eastAsia"/>
                <w:color w:val="auto"/>
                <w:kern w:val="0"/>
                <w:szCs w:val="21"/>
                <w:highlight w:val="none"/>
                <w:lang w:bidi="ar"/>
              </w:rPr>
              <w:t>预测年限</w:t>
            </w:r>
          </w:p>
        </w:tc>
        <w:tc>
          <w:tcPr>
            <w:tcW w:w="9098" w:type="dxa"/>
            <w:gridSpan w:val="11"/>
            <w:vAlign w:val="center"/>
          </w:tcPr>
          <w:p>
            <w:pPr>
              <w:widowControl/>
              <w:jc w:val="center"/>
              <w:textAlignment w:val="center"/>
              <w:rPr>
                <w:color w:val="auto"/>
                <w:szCs w:val="21"/>
                <w:highlight w:val="none"/>
              </w:rPr>
            </w:pPr>
            <w:r>
              <w:rPr>
                <w:color w:val="auto"/>
                <w:kern w:val="0"/>
                <w:szCs w:val="21"/>
                <w:highlight w:val="none"/>
                <w:lang w:bidi="ar"/>
              </w:rPr>
              <w:t>与</w:t>
            </w:r>
            <w:r>
              <w:rPr>
                <w:rFonts w:hint="eastAsia"/>
                <w:color w:val="auto"/>
                <w:kern w:val="0"/>
                <w:szCs w:val="21"/>
                <w:highlight w:val="none"/>
                <w:lang w:bidi="ar"/>
              </w:rPr>
              <w:t>道路红线</w:t>
            </w:r>
            <w:r>
              <w:rPr>
                <w:color w:val="auto"/>
                <w:kern w:val="0"/>
                <w:szCs w:val="21"/>
                <w:highlight w:val="none"/>
                <w:lang w:bidi="ar"/>
              </w:rPr>
              <w:t>距离（</w:t>
            </w:r>
            <w:r>
              <w:rPr>
                <w:rStyle w:val="42"/>
                <w:rFonts w:hint="default" w:ascii="Times New Roman" w:hAnsi="Times New Roman"/>
                <w:color w:val="auto"/>
                <w:sz w:val="21"/>
                <w:szCs w:val="21"/>
                <w:highlight w:val="none"/>
                <w:lang w:bidi="ar"/>
              </w:rPr>
              <w:t>m</w:t>
            </w:r>
            <w:r>
              <w:rPr>
                <w:rStyle w:val="41"/>
                <w:rFonts w:hint="default" w:ascii="Times New Roman" w:hAnsi="Times New Roman" w:cs="Times New Roman"/>
                <w:b w:val="0"/>
                <w:color w:val="auto"/>
                <w:sz w:val="21"/>
                <w:szCs w:val="21"/>
                <w:highlight w:val="none"/>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tblHeader/>
          <w:jc w:val="center"/>
        </w:trPr>
        <w:tc>
          <w:tcPr>
            <w:tcW w:w="5496" w:type="dxa"/>
            <w:gridSpan w:val="3"/>
            <w:vMerge w:val="continue"/>
            <w:vAlign w:val="center"/>
          </w:tcPr>
          <w:p>
            <w:pPr>
              <w:jc w:val="center"/>
              <w:rPr>
                <w:color w:val="auto"/>
                <w:szCs w:val="21"/>
                <w:highlight w:val="none"/>
              </w:rPr>
            </w:pP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0</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 xml:space="preserve">10 </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 xml:space="preserve">20 </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 xml:space="preserve">30 </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 xml:space="preserve">40 </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 xml:space="preserve">60 </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 xml:space="preserve">80 </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 xml:space="preserve">100 </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 xml:space="preserve">140 </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180</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 xml:space="preserve">200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北梦山路天桥段</w:t>
            </w:r>
          </w:p>
        </w:tc>
        <w:tc>
          <w:tcPr>
            <w:tcW w:w="1767" w:type="dxa"/>
            <w:vMerge w:val="restart"/>
            <w:vAlign w:val="center"/>
          </w:tcPr>
          <w:p>
            <w:pPr>
              <w:widowControl/>
              <w:jc w:val="center"/>
              <w:textAlignment w:val="center"/>
              <w:rPr>
                <w:color w:val="auto"/>
                <w:szCs w:val="21"/>
                <w:highlight w:val="none"/>
              </w:rPr>
            </w:pPr>
            <w:r>
              <w:rPr>
                <w:color w:val="auto"/>
                <w:kern w:val="0"/>
                <w:szCs w:val="21"/>
                <w:highlight w:val="none"/>
                <w:lang w:bidi="ar"/>
              </w:rPr>
              <w:t>近期（</w:t>
            </w:r>
            <w:r>
              <w:rPr>
                <w:rStyle w:val="42"/>
                <w:rFonts w:hint="default" w:ascii="Times New Roman" w:hAnsi="Times New Roman"/>
                <w:color w:val="auto"/>
                <w:sz w:val="21"/>
                <w:szCs w:val="21"/>
                <w:highlight w:val="none"/>
                <w:lang w:bidi="ar"/>
              </w:rPr>
              <w:t>2025年</w:t>
            </w:r>
            <w:r>
              <w:rPr>
                <w:rStyle w:val="41"/>
                <w:rFonts w:hint="default" w:ascii="Times New Roman" w:hAnsi="Times New Roman" w:cs="Times New Roman"/>
                <w:b w:val="0"/>
                <w:color w:val="auto"/>
                <w:sz w:val="21"/>
                <w:szCs w:val="21"/>
                <w:highlight w:val="none"/>
                <w:lang w:bidi="ar"/>
              </w:rPr>
              <w:t>）</w:t>
            </w:r>
          </w:p>
        </w:tc>
        <w:tc>
          <w:tcPr>
            <w:tcW w:w="1460" w:type="dxa"/>
            <w:vAlign w:val="center"/>
          </w:tcPr>
          <w:p>
            <w:pPr>
              <w:widowControl/>
              <w:jc w:val="center"/>
              <w:textAlignment w:val="center"/>
              <w:rPr>
                <w:color w:val="auto"/>
                <w:szCs w:val="21"/>
                <w:highlight w:val="none"/>
              </w:rPr>
            </w:pPr>
            <w:r>
              <w:rPr>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64.79</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60.96</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58.85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57.5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56.41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54.74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53.45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52.34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50.41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48.97</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continue"/>
            <w:vAlign w:val="center"/>
          </w:tcPr>
          <w:p>
            <w:pPr>
              <w:jc w:val="center"/>
              <w:rPr>
                <w:color w:val="auto"/>
                <w:szCs w:val="21"/>
                <w:highlight w:val="none"/>
              </w:rPr>
            </w:pPr>
          </w:p>
        </w:tc>
        <w:tc>
          <w:tcPr>
            <w:tcW w:w="1767" w:type="dxa"/>
            <w:vMerge w:val="continue"/>
            <w:vAlign w:val="center"/>
          </w:tcPr>
          <w:p>
            <w:pPr>
              <w:jc w:val="center"/>
              <w:rPr>
                <w:color w:val="auto"/>
                <w:szCs w:val="21"/>
                <w:highlight w:val="none"/>
              </w:rPr>
            </w:pPr>
          </w:p>
        </w:tc>
        <w:tc>
          <w:tcPr>
            <w:tcW w:w="1460" w:type="dxa"/>
            <w:vAlign w:val="center"/>
          </w:tcPr>
          <w:p>
            <w:pPr>
              <w:widowControl/>
              <w:jc w:val="center"/>
              <w:textAlignment w:val="center"/>
              <w:rPr>
                <w:color w:val="auto"/>
                <w:szCs w:val="21"/>
                <w:highlight w:val="none"/>
              </w:rPr>
            </w:pPr>
            <w:r>
              <w:rPr>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58.3</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54.5</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52.42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51.08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50.01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48.35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47.08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45.98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44.05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42.63</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41.97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82" w:hRule="atLeast"/>
          <w:jc w:val="center"/>
        </w:trPr>
        <w:tc>
          <w:tcPr>
            <w:tcW w:w="2269" w:type="dxa"/>
            <w:vMerge w:val="continue"/>
            <w:vAlign w:val="center"/>
          </w:tcPr>
          <w:p>
            <w:pPr>
              <w:widowControl/>
              <w:jc w:val="center"/>
              <w:textAlignment w:val="center"/>
              <w:rPr>
                <w:color w:val="auto"/>
                <w:kern w:val="0"/>
                <w:szCs w:val="21"/>
                <w:highlight w:val="none"/>
                <w:lang w:bidi="ar"/>
              </w:rPr>
            </w:pPr>
          </w:p>
        </w:tc>
        <w:tc>
          <w:tcPr>
            <w:tcW w:w="1767" w:type="dxa"/>
            <w:vMerge w:val="restart"/>
            <w:vAlign w:val="center"/>
          </w:tcPr>
          <w:p>
            <w:pPr>
              <w:widowControl/>
              <w:jc w:val="center"/>
              <w:textAlignment w:val="center"/>
              <w:rPr>
                <w:color w:val="auto"/>
                <w:szCs w:val="21"/>
                <w:highlight w:val="none"/>
              </w:rPr>
            </w:pPr>
            <w:r>
              <w:rPr>
                <w:color w:val="auto"/>
                <w:kern w:val="0"/>
                <w:szCs w:val="21"/>
                <w:highlight w:val="none"/>
                <w:lang w:bidi="ar"/>
              </w:rPr>
              <w:t>中期（</w:t>
            </w:r>
            <w:r>
              <w:rPr>
                <w:rStyle w:val="42"/>
                <w:rFonts w:hint="default" w:ascii="Times New Roman" w:hAnsi="Times New Roman"/>
                <w:color w:val="auto"/>
                <w:sz w:val="21"/>
                <w:szCs w:val="21"/>
                <w:highlight w:val="none"/>
                <w:lang w:bidi="ar"/>
              </w:rPr>
              <w:t>2031年</w:t>
            </w:r>
            <w:r>
              <w:rPr>
                <w:rStyle w:val="41"/>
                <w:rFonts w:hint="default" w:ascii="Times New Roman" w:hAnsi="Times New Roman" w:cs="Times New Roman"/>
                <w:b w:val="0"/>
                <w:color w:val="auto"/>
                <w:sz w:val="21"/>
                <w:szCs w:val="21"/>
                <w:highlight w:val="none"/>
                <w:lang w:bidi="ar"/>
              </w:rPr>
              <w:t>）</w:t>
            </w:r>
          </w:p>
        </w:tc>
        <w:tc>
          <w:tcPr>
            <w:tcW w:w="1460" w:type="dxa"/>
            <w:vAlign w:val="center"/>
          </w:tcPr>
          <w:p>
            <w:pPr>
              <w:widowControl/>
              <w:jc w:val="center"/>
              <w:textAlignment w:val="center"/>
              <w:rPr>
                <w:color w:val="auto"/>
                <w:szCs w:val="21"/>
                <w:highlight w:val="none"/>
              </w:rPr>
            </w:pPr>
            <w:r>
              <w:rPr>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64.84</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61.02</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58.91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57.56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56.47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54.79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53.51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52.39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50.46</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continue"/>
            <w:vAlign w:val="center"/>
          </w:tcPr>
          <w:p>
            <w:pPr>
              <w:jc w:val="center"/>
              <w:rPr>
                <w:color w:val="auto"/>
                <w:szCs w:val="21"/>
                <w:highlight w:val="none"/>
              </w:rPr>
            </w:pPr>
          </w:p>
        </w:tc>
        <w:tc>
          <w:tcPr>
            <w:tcW w:w="1767" w:type="dxa"/>
            <w:vMerge w:val="continue"/>
            <w:vAlign w:val="center"/>
          </w:tcPr>
          <w:p>
            <w:pPr>
              <w:jc w:val="center"/>
              <w:rPr>
                <w:color w:val="auto"/>
                <w:szCs w:val="21"/>
                <w:highlight w:val="none"/>
              </w:rPr>
            </w:pPr>
          </w:p>
        </w:tc>
        <w:tc>
          <w:tcPr>
            <w:tcW w:w="1460" w:type="dxa"/>
            <w:vAlign w:val="center"/>
          </w:tcPr>
          <w:p>
            <w:pPr>
              <w:widowControl/>
              <w:jc w:val="center"/>
              <w:textAlignment w:val="center"/>
              <w:rPr>
                <w:color w:val="auto"/>
                <w:szCs w:val="21"/>
                <w:highlight w:val="none"/>
              </w:rPr>
            </w:pPr>
            <w:r>
              <w:rPr>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58.69</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54.88</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52.78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51.43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50.35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48.68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46.29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45.3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44.36</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15" w:hRule="atLeast"/>
          <w:jc w:val="center"/>
        </w:trPr>
        <w:tc>
          <w:tcPr>
            <w:tcW w:w="2269" w:type="dxa"/>
            <w:vMerge w:val="continue"/>
            <w:vAlign w:val="center"/>
          </w:tcPr>
          <w:p>
            <w:pPr>
              <w:widowControl/>
              <w:jc w:val="center"/>
              <w:textAlignment w:val="center"/>
              <w:rPr>
                <w:color w:val="auto"/>
                <w:kern w:val="0"/>
                <w:szCs w:val="21"/>
                <w:highlight w:val="none"/>
                <w:lang w:bidi="ar"/>
              </w:rPr>
            </w:pPr>
          </w:p>
        </w:tc>
        <w:tc>
          <w:tcPr>
            <w:tcW w:w="1767" w:type="dxa"/>
            <w:vMerge w:val="restart"/>
            <w:vAlign w:val="center"/>
          </w:tcPr>
          <w:p>
            <w:pPr>
              <w:widowControl/>
              <w:jc w:val="center"/>
              <w:textAlignment w:val="center"/>
              <w:rPr>
                <w:color w:val="auto"/>
                <w:szCs w:val="21"/>
                <w:highlight w:val="none"/>
              </w:rPr>
            </w:pPr>
            <w:r>
              <w:rPr>
                <w:color w:val="auto"/>
                <w:kern w:val="0"/>
                <w:szCs w:val="21"/>
                <w:highlight w:val="none"/>
                <w:lang w:bidi="ar"/>
              </w:rPr>
              <w:t>远期（</w:t>
            </w:r>
            <w:r>
              <w:rPr>
                <w:rStyle w:val="42"/>
                <w:rFonts w:hint="default" w:ascii="Times New Roman" w:hAnsi="Times New Roman"/>
                <w:color w:val="auto"/>
                <w:sz w:val="21"/>
                <w:szCs w:val="21"/>
                <w:highlight w:val="none"/>
                <w:lang w:bidi="ar"/>
              </w:rPr>
              <w:t>2039年</w:t>
            </w:r>
            <w:r>
              <w:rPr>
                <w:rStyle w:val="41"/>
                <w:rFonts w:hint="default" w:ascii="Times New Roman" w:hAnsi="Times New Roman" w:cs="Times New Roman"/>
                <w:b w:val="0"/>
                <w:color w:val="auto"/>
                <w:sz w:val="21"/>
                <w:szCs w:val="21"/>
                <w:highlight w:val="none"/>
                <w:lang w:bidi="ar"/>
              </w:rPr>
              <w:t>）</w:t>
            </w:r>
          </w:p>
        </w:tc>
        <w:tc>
          <w:tcPr>
            <w:tcW w:w="1460" w:type="dxa"/>
            <w:vAlign w:val="center"/>
          </w:tcPr>
          <w:p>
            <w:pPr>
              <w:widowControl/>
              <w:jc w:val="center"/>
              <w:textAlignment w:val="center"/>
              <w:rPr>
                <w:color w:val="auto"/>
                <w:szCs w:val="21"/>
                <w:highlight w:val="none"/>
              </w:rPr>
            </w:pPr>
            <w:r>
              <w:rPr>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64.91</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61.09</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58.98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57.63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56.54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54.86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53.58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52.46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50.53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49.1</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jc w:val="center"/>
              <w:rPr>
                <w:color w:val="auto"/>
                <w:szCs w:val="21"/>
                <w:highlight w:val="none"/>
              </w:rPr>
            </w:pPr>
          </w:p>
        </w:tc>
        <w:tc>
          <w:tcPr>
            <w:tcW w:w="1767" w:type="dxa"/>
            <w:vMerge w:val="continue"/>
            <w:vAlign w:val="center"/>
          </w:tcPr>
          <w:p>
            <w:pPr>
              <w:jc w:val="center"/>
              <w:rPr>
                <w:color w:val="auto"/>
                <w:szCs w:val="21"/>
                <w:highlight w:val="none"/>
              </w:rPr>
            </w:pPr>
          </w:p>
        </w:tc>
        <w:tc>
          <w:tcPr>
            <w:tcW w:w="1460" w:type="dxa"/>
            <w:vAlign w:val="center"/>
          </w:tcPr>
          <w:p>
            <w:pPr>
              <w:widowControl/>
              <w:jc w:val="center"/>
              <w:textAlignment w:val="center"/>
              <w:rPr>
                <w:color w:val="auto"/>
                <w:szCs w:val="21"/>
                <w:highlight w:val="none"/>
              </w:rPr>
            </w:pPr>
            <w:r>
              <w:rPr>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58.75</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54.94</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52.84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51.49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50.41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48.74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47.46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46.35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44.42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42.99</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46" w:hRule="atLeast"/>
          <w:jc w:val="center"/>
        </w:trPr>
        <w:tc>
          <w:tcPr>
            <w:tcW w:w="2269"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隧道南侧</w:t>
            </w:r>
          </w:p>
          <w:p>
            <w:pPr>
              <w:widowControl/>
              <w:jc w:val="center"/>
              <w:textAlignment w:val="center"/>
              <w:rPr>
                <w:color w:val="auto"/>
                <w:kern w:val="0"/>
                <w:szCs w:val="21"/>
                <w:highlight w:val="none"/>
                <w:lang w:bidi="ar"/>
              </w:rPr>
            </w:pPr>
            <w:r>
              <w:rPr>
                <w:rFonts w:hint="eastAsia"/>
                <w:color w:val="auto"/>
                <w:kern w:val="0"/>
                <w:szCs w:val="21"/>
                <w:highlight w:val="none"/>
                <w:lang w:bidi="ar"/>
              </w:rPr>
              <w:t>U槽路段</w:t>
            </w: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近期（</w:t>
            </w:r>
            <w:r>
              <w:rPr>
                <w:color w:val="auto"/>
                <w:kern w:val="0"/>
                <w:szCs w:val="21"/>
                <w:highlight w:val="none"/>
                <w:lang w:bidi="ar"/>
              </w:rPr>
              <w:t>20</w:t>
            </w:r>
            <w:r>
              <w:rPr>
                <w:rFonts w:hint="eastAsia"/>
                <w:color w:val="auto"/>
                <w:kern w:val="0"/>
                <w:szCs w:val="21"/>
                <w:highlight w:val="none"/>
                <w:lang w:bidi="ar"/>
              </w:rPr>
              <w:t>25</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64.94</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61.47</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59.36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57.86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56.75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54.99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53.55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52.43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49.14</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58.85</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55.36</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53.23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51.72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50.59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47.35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46.21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44.36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42.9</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中期（</w:t>
            </w:r>
            <w:r>
              <w:rPr>
                <w:color w:val="auto"/>
                <w:kern w:val="0"/>
                <w:szCs w:val="21"/>
                <w:highlight w:val="none"/>
                <w:lang w:bidi="ar"/>
              </w:rPr>
              <w:t>20</w:t>
            </w:r>
            <w:r>
              <w:rPr>
                <w:rFonts w:hint="eastAsia"/>
                <w:color w:val="auto"/>
                <w:kern w:val="0"/>
                <w:szCs w:val="21"/>
                <w:highlight w:val="none"/>
                <w:lang w:bidi="ar"/>
              </w:rPr>
              <w:t>31</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64.99</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61.51</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59.41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57.91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55.04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52.48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50.65</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58.99</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55.51</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51.89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50.78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47.56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46.43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45.45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44.59</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43.13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远期（</w:t>
            </w:r>
            <w:r>
              <w:rPr>
                <w:color w:val="auto"/>
                <w:kern w:val="0"/>
                <w:szCs w:val="21"/>
                <w:highlight w:val="none"/>
                <w:lang w:bidi="ar"/>
              </w:rPr>
              <w:t>203</w:t>
            </w:r>
            <w:r>
              <w:rPr>
                <w:rFonts w:hint="eastAsia"/>
                <w:color w:val="auto"/>
                <w:kern w:val="0"/>
                <w:szCs w:val="21"/>
                <w:highlight w:val="none"/>
                <w:lang w:bidi="ar"/>
              </w:rPr>
              <w:t>9</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65.06</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61.58</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59.47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57.98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56.87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55.11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53.67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52.55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50.72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49.26</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59.05</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55.57</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53.45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51.95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50.83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49.06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47.62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46.49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44.65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43.19</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59" w:hRule="atLeast"/>
          <w:jc w:val="center"/>
        </w:trPr>
        <w:tc>
          <w:tcPr>
            <w:tcW w:w="2269"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隧道南侧</w:t>
            </w:r>
          </w:p>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箱型路段</w:t>
            </w: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近期（</w:t>
            </w:r>
            <w:r>
              <w:rPr>
                <w:color w:val="auto"/>
                <w:kern w:val="0"/>
                <w:szCs w:val="21"/>
                <w:highlight w:val="none"/>
                <w:lang w:bidi="ar"/>
              </w:rPr>
              <w:t>20</w:t>
            </w:r>
            <w:r>
              <w:rPr>
                <w:rFonts w:hint="eastAsia"/>
                <w:color w:val="auto"/>
                <w:kern w:val="0"/>
                <w:szCs w:val="21"/>
                <w:highlight w:val="none"/>
                <w:lang w:bidi="ar"/>
              </w:rPr>
              <w:t>25</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62.55</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59.11</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56.36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54.77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53.64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52.03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50.85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49.87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48.41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47.22</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56.44</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50.24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48.64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45.88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44.69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43.7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42.22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41.01</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40.39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中期（</w:t>
            </w:r>
            <w:r>
              <w:rPr>
                <w:color w:val="auto"/>
                <w:kern w:val="0"/>
                <w:szCs w:val="21"/>
                <w:highlight w:val="none"/>
                <w:lang w:bidi="ar"/>
              </w:rPr>
              <w:t>20</w:t>
            </w:r>
            <w:r>
              <w:rPr>
                <w:rFonts w:hint="eastAsia"/>
                <w:color w:val="auto"/>
                <w:kern w:val="0"/>
                <w:szCs w:val="21"/>
                <w:highlight w:val="none"/>
                <w:lang w:bidi="ar"/>
              </w:rPr>
              <w:t>31</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62.6</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59.16</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56.4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54.82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53.69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52.08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50.9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49.92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49.15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48.47</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56.55</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53.12</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50.36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48.78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47.64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46.04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44.86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43.87</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43.1</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42.41</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41.21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9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远期（</w:t>
            </w:r>
            <w:r>
              <w:rPr>
                <w:color w:val="auto"/>
                <w:kern w:val="0"/>
                <w:szCs w:val="21"/>
                <w:highlight w:val="none"/>
                <w:lang w:bidi="ar"/>
              </w:rPr>
              <w:t>203</w:t>
            </w:r>
            <w:r>
              <w:rPr>
                <w:rFonts w:hint="eastAsia"/>
                <w:color w:val="auto"/>
                <w:kern w:val="0"/>
                <w:szCs w:val="21"/>
                <w:highlight w:val="none"/>
                <w:lang w:bidi="ar"/>
              </w:rPr>
              <w:t>9</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62.67</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59.24</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56.48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54.89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53.76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52.15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50.97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49.99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48.54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47.34</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56.62</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53.19</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50.43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48.84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47.71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44.92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43.93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42.47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41.27</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40.65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restar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双层隧道段</w:t>
            </w: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近期（</w:t>
            </w:r>
            <w:r>
              <w:rPr>
                <w:color w:val="auto"/>
                <w:kern w:val="0"/>
                <w:szCs w:val="21"/>
                <w:highlight w:val="none"/>
                <w:lang w:bidi="ar"/>
              </w:rPr>
              <w:t>20</w:t>
            </w:r>
            <w:r>
              <w:rPr>
                <w:rFonts w:hint="eastAsia"/>
                <w:color w:val="auto"/>
                <w:kern w:val="0"/>
                <w:szCs w:val="21"/>
                <w:highlight w:val="none"/>
                <w:lang w:bidi="ar"/>
              </w:rPr>
              <w:t>25</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42.46</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43.15</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43.94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45.87</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47.52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47.54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47.33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47.09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46.43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45.76</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36.41</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37.07</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37.86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39.73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41.36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41.39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41.17</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40.94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40.27</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39.59</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39.27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中期（</w:t>
            </w:r>
            <w:r>
              <w:rPr>
                <w:color w:val="auto"/>
                <w:kern w:val="0"/>
                <w:szCs w:val="21"/>
                <w:highlight w:val="none"/>
                <w:lang w:bidi="ar"/>
              </w:rPr>
              <w:t>20</w:t>
            </w:r>
            <w:r>
              <w:rPr>
                <w:rFonts w:hint="eastAsia"/>
                <w:color w:val="auto"/>
                <w:kern w:val="0"/>
                <w:szCs w:val="21"/>
                <w:highlight w:val="none"/>
                <w:lang w:bidi="ar"/>
              </w:rPr>
              <w:t>31</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42.51</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43.21</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43.99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45.93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47.57</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47.39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47.15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46.85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46.49</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36.54</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37.2</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37.98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39.88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41.53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41.55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41.33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41.09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40.8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40.43</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39.75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远期（</w:t>
            </w:r>
            <w:r>
              <w:rPr>
                <w:color w:val="auto"/>
                <w:kern w:val="0"/>
                <w:szCs w:val="21"/>
                <w:highlight w:val="none"/>
                <w:lang w:bidi="ar"/>
              </w:rPr>
              <w:t>203</w:t>
            </w:r>
            <w:r>
              <w:rPr>
                <w:rFonts w:hint="eastAsia"/>
                <w:color w:val="auto"/>
                <w:kern w:val="0"/>
                <w:szCs w:val="21"/>
                <w:highlight w:val="none"/>
                <w:lang w:bidi="ar"/>
              </w:rPr>
              <w:t>9</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42.58</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43.27</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44.06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47.64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47.67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47.46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47.22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46.56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45.88</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45.56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36.6</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37.26</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38.04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39.94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41.59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41.61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41.39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41.16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40.49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39.81</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39.49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隧道北侧</w:t>
            </w:r>
          </w:p>
          <w:p>
            <w:pPr>
              <w:widowControl/>
              <w:jc w:val="center"/>
              <w:textAlignment w:val="center"/>
              <w:rPr>
                <w:color w:val="auto"/>
                <w:kern w:val="0"/>
                <w:szCs w:val="21"/>
                <w:highlight w:val="none"/>
                <w:lang w:bidi="ar"/>
              </w:rPr>
            </w:pPr>
            <w:r>
              <w:rPr>
                <w:rFonts w:hint="eastAsia"/>
                <w:color w:val="auto"/>
                <w:kern w:val="0"/>
                <w:szCs w:val="21"/>
                <w:highlight w:val="none"/>
                <w:lang w:bidi="ar"/>
              </w:rPr>
              <w:t>箱型路段</w:t>
            </w: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近期（</w:t>
            </w:r>
            <w:r>
              <w:rPr>
                <w:color w:val="auto"/>
                <w:kern w:val="0"/>
                <w:szCs w:val="21"/>
                <w:highlight w:val="none"/>
                <w:lang w:bidi="ar"/>
              </w:rPr>
              <w:t>20</w:t>
            </w:r>
            <w:r>
              <w:rPr>
                <w:rFonts w:hint="eastAsia"/>
                <w:color w:val="auto"/>
                <w:kern w:val="0"/>
                <w:szCs w:val="21"/>
                <w:highlight w:val="none"/>
                <w:lang w:bidi="ar"/>
              </w:rPr>
              <w:t>25</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61.41</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57.63</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56.23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55.62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55.36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55.26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55.63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54.95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53.95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53.61</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53.55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54.97</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50.55</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47.67</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47.25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46.93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46.98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46.59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45.74</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中期（</w:t>
            </w:r>
            <w:r>
              <w:rPr>
                <w:color w:val="auto"/>
                <w:kern w:val="0"/>
                <w:szCs w:val="21"/>
                <w:highlight w:val="none"/>
                <w:lang w:bidi="ar"/>
              </w:rPr>
              <w:t>20</w:t>
            </w:r>
            <w:r>
              <w:rPr>
                <w:rFonts w:hint="eastAsia"/>
                <w:color w:val="auto"/>
                <w:kern w:val="0"/>
                <w:szCs w:val="21"/>
                <w:highlight w:val="none"/>
                <w:lang w:bidi="ar"/>
              </w:rPr>
              <w:t>31</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61.96</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57.97</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55.75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54.29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53.21</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51.53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50.25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49.3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48.86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48.2</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55.92</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51.91</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49.69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48.22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47.13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45.45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44.18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43.23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42.79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42.13</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40.99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远期（</w:t>
            </w:r>
            <w:r>
              <w:rPr>
                <w:color w:val="auto"/>
                <w:kern w:val="0"/>
                <w:szCs w:val="21"/>
                <w:highlight w:val="none"/>
                <w:lang w:bidi="ar"/>
              </w:rPr>
              <w:t>203</w:t>
            </w:r>
            <w:r>
              <w:rPr>
                <w:rFonts w:hint="eastAsia"/>
                <w:color w:val="auto"/>
                <w:kern w:val="0"/>
                <w:szCs w:val="21"/>
                <w:highlight w:val="none"/>
                <w:lang w:bidi="ar"/>
              </w:rPr>
              <w:t>9</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62.03</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58.04</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55.83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54.37</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53.28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51.6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50.33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49.38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48.27</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47.13</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55.99</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51.98</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49.76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48.29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45.52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44.24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43.29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42.19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41.05</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40.54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430" w:hRule="atLeast"/>
          <w:jc w:val="center"/>
        </w:trPr>
        <w:tc>
          <w:tcPr>
            <w:tcW w:w="2269"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隧道北侧</w:t>
            </w:r>
          </w:p>
          <w:p>
            <w:pPr>
              <w:widowControl/>
              <w:jc w:val="center"/>
              <w:textAlignment w:val="center"/>
              <w:rPr>
                <w:color w:val="auto"/>
                <w:kern w:val="0"/>
                <w:szCs w:val="21"/>
                <w:highlight w:val="none"/>
                <w:lang w:bidi="ar"/>
              </w:rPr>
            </w:pPr>
            <w:r>
              <w:rPr>
                <w:rFonts w:hint="eastAsia"/>
                <w:color w:val="auto"/>
                <w:kern w:val="0"/>
                <w:szCs w:val="21"/>
                <w:highlight w:val="none"/>
                <w:lang w:bidi="ar"/>
              </w:rPr>
              <w:t>U槽路段</w:t>
            </w: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近期（</w:t>
            </w:r>
            <w:r>
              <w:rPr>
                <w:color w:val="auto"/>
                <w:kern w:val="0"/>
                <w:szCs w:val="21"/>
                <w:highlight w:val="none"/>
                <w:lang w:bidi="ar"/>
              </w:rPr>
              <w:t>20</w:t>
            </w:r>
            <w:r>
              <w:rPr>
                <w:rFonts w:hint="eastAsia"/>
                <w:color w:val="auto"/>
                <w:kern w:val="0"/>
                <w:szCs w:val="21"/>
                <w:highlight w:val="none"/>
                <w:lang w:bidi="ar"/>
              </w:rPr>
              <w:t>25</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61.91</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57.92</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55.7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54.24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53.15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51.47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49.25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48.14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55.81</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51.8</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49.58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48.11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47.02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45.34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44.06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43.11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41.99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40.86</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40.34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中期（</w:t>
            </w:r>
            <w:r>
              <w:rPr>
                <w:color w:val="auto"/>
                <w:kern w:val="0"/>
                <w:szCs w:val="21"/>
                <w:highlight w:val="none"/>
                <w:lang w:bidi="ar"/>
              </w:rPr>
              <w:t>20</w:t>
            </w:r>
            <w:r>
              <w:rPr>
                <w:rFonts w:hint="eastAsia"/>
                <w:color w:val="auto"/>
                <w:kern w:val="0"/>
                <w:szCs w:val="21"/>
                <w:highlight w:val="none"/>
                <w:lang w:bidi="ar"/>
              </w:rPr>
              <w:t>31</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62.87</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59.02</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57.14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55.89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54.92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53.45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52.19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51.19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50.3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49.47</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56.69</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52.88</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51.03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49.79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48.83</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47.38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46.12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45.12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44.24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43.41</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42.19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远期（</w:t>
            </w:r>
            <w:r>
              <w:rPr>
                <w:color w:val="auto"/>
                <w:kern w:val="0"/>
                <w:szCs w:val="21"/>
                <w:highlight w:val="none"/>
                <w:lang w:bidi="ar"/>
              </w:rPr>
              <w:t>203</w:t>
            </w:r>
            <w:r>
              <w:rPr>
                <w:rFonts w:hint="eastAsia"/>
                <w:color w:val="auto"/>
                <w:kern w:val="0"/>
                <w:szCs w:val="21"/>
                <w:highlight w:val="none"/>
                <w:lang w:bidi="ar"/>
              </w:rPr>
              <w:t>9</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62.94</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59.09</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57.22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55.97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54.99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53.53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52.26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51.26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49.54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48.32</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56.75</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52.94</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51.08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49.85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48.89</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47.44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46.18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45.18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43.47</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42.25</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41.69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隧道北侧</w:t>
            </w:r>
          </w:p>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高架路段</w:t>
            </w: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近期（</w:t>
            </w:r>
            <w:r>
              <w:rPr>
                <w:color w:val="auto"/>
                <w:kern w:val="0"/>
                <w:szCs w:val="21"/>
                <w:highlight w:val="none"/>
                <w:lang w:bidi="ar"/>
              </w:rPr>
              <w:t>20</w:t>
            </w:r>
            <w:r>
              <w:rPr>
                <w:rFonts w:hint="eastAsia"/>
                <w:color w:val="auto"/>
                <w:kern w:val="0"/>
                <w:szCs w:val="21"/>
                <w:highlight w:val="none"/>
                <w:lang w:bidi="ar"/>
              </w:rPr>
              <w:t>25</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64.79</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60.96</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58.85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57.5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56.41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54.74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53.45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52.34</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50.41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48.97</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58.3</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54.5</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52.42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51.08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50.01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48.35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47.08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45.98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44.05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42.63</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41.97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restar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中期（</w:t>
            </w:r>
            <w:r>
              <w:rPr>
                <w:color w:val="auto"/>
                <w:kern w:val="0"/>
                <w:szCs w:val="21"/>
                <w:highlight w:val="none"/>
                <w:lang w:bidi="ar"/>
              </w:rPr>
              <w:t>20</w:t>
            </w:r>
            <w:r>
              <w:rPr>
                <w:rFonts w:hint="eastAsia"/>
                <w:color w:val="auto"/>
                <w:kern w:val="0"/>
                <w:szCs w:val="21"/>
                <w:highlight w:val="none"/>
                <w:lang w:bidi="ar"/>
              </w:rPr>
              <w:t>31</w:t>
            </w:r>
            <w:r>
              <w:rPr>
                <w:color w:val="auto"/>
                <w:kern w:val="0"/>
                <w:szCs w:val="21"/>
                <w:highlight w:val="none"/>
                <w:lang w:bidi="ar"/>
              </w:rPr>
              <w:t>年）</w:t>
            </w: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64.67</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61.27</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59.36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58.05</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56.99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55.22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53.88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52.59</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51.54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50.59</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48.98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continue"/>
            <w:vAlign w:val="center"/>
          </w:tcPr>
          <w:p>
            <w:pPr>
              <w:widowControl/>
              <w:jc w:val="center"/>
              <w:textAlignment w:val="center"/>
              <w:rPr>
                <w:rFonts w:hint="eastAsia"/>
                <w:color w:val="auto"/>
                <w:kern w:val="0"/>
                <w:szCs w:val="21"/>
                <w:highlight w:val="none"/>
                <w:lang w:bidi="ar"/>
              </w:rPr>
            </w:pPr>
          </w:p>
        </w:tc>
        <w:tc>
          <w:tcPr>
            <w:tcW w:w="1767" w:type="dxa"/>
            <w:vMerge w:val="continue"/>
            <w:vAlign w:val="center"/>
          </w:tcPr>
          <w:p>
            <w:pPr>
              <w:widowControl/>
              <w:jc w:val="center"/>
              <w:textAlignment w:val="center"/>
              <w:rPr>
                <w:rFonts w:hint="eastAsia"/>
                <w:color w:val="auto"/>
                <w:kern w:val="0"/>
                <w:szCs w:val="21"/>
                <w:highlight w:val="none"/>
                <w:lang w:bidi="ar"/>
              </w:rPr>
            </w:pPr>
          </w:p>
        </w:tc>
        <w:tc>
          <w:tcPr>
            <w:tcW w:w="146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58.68</w:t>
            </w:r>
          </w:p>
        </w:tc>
        <w:tc>
          <w:tcPr>
            <w:tcW w:w="830"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55.28</w:t>
            </w:r>
          </w:p>
        </w:tc>
        <w:tc>
          <w:tcPr>
            <w:tcW w:w="8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53.36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52.04</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50.98</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49.2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47.86</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46.57</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45.52</w:t>
            </w:r>
          </w:p>
        </w:tc>
        <w:tc>
          <w:tcPr>
            <w:tcW w:w="826"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44.57</w:t>
            </w:r>
          </w:p>
        </w:tc>
        <w:tc>
          <w:tcPr>
            <w:tcW w:w="832"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42.95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28" w:hRule="atLeast"/>
          <w:jc w:val="center"/>
        </w:trPr>
        <w:tc>
          <w:tcPr>
            <w:tcW w:w="2269" w:type="dxa"/>
            <w:vMerge w:val="continue"/>
            <w:vAlign w:val="center"/>
          </w:tcPr>
          <w:p>
            <w:pPr>
              <w:widowControl/>
              <w:jc w:val="center"/>
              <w:textAlignment w:val="center"/>
              <w:rPr>
                <w:color w:val="auto"/>
                <w:kern w:val="0"/>
                <w:szCs w:val="21"/>
                <w:highlight w:val="none"/>
                <w:lang w:bidi="ar"/>
              </w:rPr>
            </w:pPr>
          </w:p>
        </w:tc>
        <w:tc>
          <w:tcPr>
            <w:tcW w:w="1767" w:type="dxa"/>
            <w:vMerge w:val="restart"/>
            <w:vAlign w:val="center"/>
          </w:tcPr>
          <w:p>
            <w:pPr>
              <w:widowControl/>
              <w:jc w:val="center"/>
              <w:textAlignment w:val="center"/>
              <w:rPr>
                <w:color w:val="auto"/>
                <w:szCs w:val="21"/>
                <w:highlight w:val="none"/>
              </w:rPr>
            </w:pPr>
            <w:r>
              <w:rPr>
                <w:color w:val="auto"/>
                <w:kern w:val="0"/>
                <w:szCs w:val="21"/>
                <w:highlight w:val="none"/>
                <w:lang w:bidi="ar"/>
              </w:rPr>
              <w:t>远期（</w:t>
            </w:r>
            <w:r>
              <w:rPr>
                <w:rStyle w:val="42"/>
                <w:rFonts w:hint="default" w:ascii="Times New Roman" w:hAnsi="Times New Roman"/>
                <w:color w:val="auto"/>
                <w:sz w:val="21"/>
                <w:szCs w:val="21"/>
                <w:highlight w:val="none"/>
                <w:lang w:bidi="ar"/>
              </w:rPr>
              <w:t>2039年</w:t>
            </w:r>
            <w:r>
              <w:rPr>
                <w:rStyle w:val="41"/>
                <w:rFonts w:hint="default" w:ascii="Times New Roman" w:hAnsi="Times New Roman" w:cs="Times New Roman"/>
                <w:b w:val="0"/>
                <w:color w:val="auto"/>
                <w:sz w:val="21"/>
                <w:szCs w:val="21"/>
                <w:highlight w:val="none"/>
                <w:lang w:bidi="ar"/>
              </w:rPr>
              <w:t>）</w:t>
            </w:r>
          </w:p>
        </w:tc>
        <w:tc>
          <w:tcPr>
            <w:tcW w:w="1460" w:type="dxa"/>
            <w:vAlign w:val="center"/>
          </w:tcPr>
          <w:p>
            <w:pPr>
              <w:widowControl/>
              <w:jc w:val="center"/>
              <w:textAlignment w:val="center"/>
              <w:rPr>
                <w:color w:val="auto"/>
                <w:szCs w:val="21"/>
                <w:highlight w:val="none"/>
              </w:rPr>
            </w:pPr>
            <w:r>
              <w:rPr>
                <w:color w:val="auto"/>
                <w:kern w:val="0"/>
                <w:szCs w:val="21"/>
                <w:highlight w:val="none"/>
                <w:lang w:bidi="ar"/>
              </w:rPr>
              <w:t>昼间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64.74</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61.34</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59.43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58.11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57.05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55.28</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53.95</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52.66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50.66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49.04</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48.39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60" w:hRule="atLeast"/>
          <w:jc w:val="center"/>
        </w:trPr>
        <w:tc>
          <w:tcPr>
            <w:tcW w:w="2269" w:type="dxa"/>
            <w:vMerge w:val="continue"/>
            <w:vAlign w:val="center"/>
          </w:tcPr>
          <w:p>
            <w:pPr>
              <w:jc w:val="center"/>
              <w:rPr>
                <w:color w:val="auto"/>
                <w:szCs w:val="21"/>
                <w:highlight w:val="none"/>
              </w:rPr>
            </w:pPr>
          </w:p>
        </w:tc>
        <w:tc>
          <w:tcPr>
            <w:tcW w:w="1767" w:type="dxa"/>
            <w:vMerge w:val="continue"/>
            <w:vAlign w:val="center"/>
          </w:tcPr>
          <w:p>
            <w:pPr>
              <w:jc w:val="center"/>
              <w:rPr>
                <w:color w:val="auto"/>
                <w:szCs w:val="21"/>
                <w:highlight w:val="none"/>
              </w:rPr>
            </w:pPr>
          </w:p>
        </w:tc>
        <w:tc>
          <w:tcPr>
            <w:tcW w:w="1460" w:type="dxa"/>
            <w:vAlign w:val="center"/>
          </w:tcPr>
          <w:p>
            <w:pPr>
              <w:widowControl/>
              <w:jc w:val="center"/>
              <w:textAlignment w:val="center"/>
              <w:rPr>
                <w:color w:val="auto"/>
                <w:szCs w:val="21"/>
                <w:highlight w:val="none"/>
              </w:rPr>
            </w:pPr>
            <w:r>
              <w:rPr>
                <w:color w:val="auto"/>
                <w:kern w:val="0"/>
                <w:szCs w:val="21"/>
                <w:highlight w:val="none"/>
                <w:lang w:bidi="ar"/>
              </w:rPr>
              <w:t>夜间</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58.74</w:t>
            </w:r>
          </w:p>
        </w:tc>
        <w:tc>
          <w:tcPr>
            <w:tcW w:w="830"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55.34</w:t>
            </w:r>
          </w:p>
        </w:tc>
        <w:tc>
          <w:tcPr>
            <w:tcW w:w="827"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53.42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52.1</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51.03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49.26</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47.92</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46.63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44.63</w:t>
            </w:r>
          </w:p>
        </w:tc>
        <w:tc>
          <w:tcPr>
            <w:tcW w:w="826"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43.01</w:t>
            </w:r>
          </w:p>
        </w:tc>
        <w:tc>
          <w:tcPr>
            <w:tcW w:w="832" w:type="dxa"/>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42.35</w:t>
            </w:r>
          </w:p>
        </w:tc>
      </w:tr>
    </w:tbl>
    <w:p>
      <w:pPr>
        <w:pStyle w:val="2"/>
        <w:tabs>
          <w:tab w:val="left" w:pos="1068"/>
        </w:tabs>
        <w:ind w:firstLine="0"/>
        <w:jc w:val="right"/>
        <w:rPr>
          <w:b/>
          <w:bCs/>
          <w:color w:val="auto"/>
          <w:sz w:val="24"/>
          <w:highlight w:val="none"/>
        </w:rPr>
      </w:pPr>
    </w:p>
    <w:p>
      <w:pPr>
        <w:ind w:firstLine="480"/>
        <w:rPr>
          <w:rFonts w:hint="eastAsia"/>
          <w:color w:val="auto"/>
          <w:highlight w:val="none"/>
        </w:rPr>
        <w:sectPr>
          <w:pgSz w:w="16838" w:h="11906" w:orient="landscape"/>
          <w:pgMar w:top="1361" w:right="1134" w:bottom="1247" w:left="1134" w:header="851" w:footer="992" w:gutter="0"/>
          <w:pgBorders>
            <w:top w:val="none" w:sz="0" w:space="0"/>
            <w:left w:val="none" w:sz="0" w:space="0"/>
            <w:bottom w:val="none" w:sz="0" w:space="0"/>
            <w:right w:val="none" w:sz="0" w:space="0"/>
          </w:pgBorders>
          <w:cols w:space="720" w:num="1"/>
          <w:docGrid w:linePitch="312" w:charSpace="0"/>
        </w:sectPr>
      </w:pPr>
    </w:p>
    <w:p>
      <w:pPr>
        <w:adjustRightInd w:val="0"/>
        <w:snapToGrid w:val="0"/>
        <w:spacing w:line="360" w:lineRule="auto"/>
        <w:ind w:firstLine="480"/>
        <w:rPr>
          <w:rFonts w:hint="eastAsia"/>
          <w:snapToGrid w:val="0"/>
          <w:color w:val="auto"/>
          <w:kern w:val="0"/>
          <w:sz w:val="24"/>
          <w:highlight w:val="none"/>
        </w:rPr>
      </w:pPr>
      <w:bookmarkStart w:id="53" w:name="_Ref280800283"/>
      <w:r>
        <w:rPr>
          <w:rFonts w:hint="eastAsia"/>
          <w:snapToGrid w:val="0"/>
          <w:color w:val="auto"/>
          <w:kern w:val="0"/>
          <w:sz w:val="24"/>
          <w:highlight w:val="none"/>
        </w:rPr>
        <w:t>由预测结果可知：</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（1）北梦山路天桥路段执行4a类标准区域运营近、中、远期昼间噪声在红线处均可达标，运营近、中、远期夜间达标距离</w:t>
      </w:r>
      <w:r>
        <w:rPr>
          <w:rFonts w:hint="eastAsia"/>
          <w:snapToGrid w:val="0"/>
          <w:color w:val="auto"/>
          <w:kern w:val="0"/>
          <w:sz w:val="24"/>
          <w:highlight w:val="none"/>
          <w:lang w:eastAsia="zh-CN"/>
        </w:rPr>
        <w:t>分别</w:t>
      </w:r>
      <w:r>
        <w:rPr>
          <w:rFonts w:hint="eastAsia"/>
          <w:snapToGrid w:val="0"/>
          <w:color w:val="auto"/>
          <w:kern w:val="0"/>
          <w:sz w:val="24"/>
          <w:highlight w:val="none"/>
        </w:rPr>
        <w:t>在距道路红线</w:t>
      </w:r>
      <w:r>
        <w:rPr>
          <w:rFonts w:hint="eastAsia"/>
          <w:snapToGrid w:val="0"/>
          <w:color w:val="auto"/>
          <w:kern w:val="0"/>
          <w:sz w:val="24"/>
          <w:highlight w:val="none"/>
          <w:lang w:val="en-US" w:eastAsia="zh-CN"/>
        </w:rPr>
        <w:t>9</w:t>
      </w:r>
      <w:r>
        <w:rPr>
          <w:rFonts w:hint="eastAsia"/>
          <w:snapToGrid w:val="0"/>
          <w:color w:val="auto"/>
          <w:kern w:val="0"/>
          <w:sz w:val="24"/>
          <w:highlight w:val="none"/>
        </w:rPr>
        <w:t>m</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10m、10m</w:t>
      </w:r>
      <w:r>
        <w:rPr>
          <w:rFonts w:hint="eastAsia"/>
          <w:snapToGrid w:val="0"/>
          <w:color w:val="auto"/>
          <w:kern w:val="0"/>
          <w:sz w:val="24"/>
          <w:highlight w:val="none"/>
        </w:rPr>
        <w:t>处；执行2类标准区域运营近、中、远期昼间达标距离</w:t>
      </w:r>
      <w:r>
        <w:rPr>
          <w:rFonts w:hint="eastAsia"/>
          <w:snapToGrid w:val="0"/>
          <w:color w:val="auto"/>
          <w:kern w:val="0"/>
          <w:sz w:val="24"/>
          <w:highlight w:val="none"/>
          <w:lang w:eastAsia="zh-CN"/>
        </w:rPr>
        <w:t>分别</w:t>
      </w:r>
      <w:r>
        <w:rPr>
          <w:rFonts w:hint="eastAsia"/>
          <w:snapToGrid w:val="0"/>
          <w:color w:val="auto"/>
          <w:kern w:val="0"/>
          <w:sz w:val="24"/>
          <w:highlight w:val="none"/>
        </w:rPr>
        <w:t>在距道路红线14m</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15m、15m</w:t>
      </w:r>
      <w:r>
        <w:rPr>
          <w:rFonts w:hint="eastAsia"/>
          <w:snapToGrid w:val="0"/>
          <w:color w:val="auto"/>
          <w:kern w:val="0"/>
          <w:sz w:val="24"/>
          <w:highlight w:val="none"/>
        </w:rPr>
        <w:t>处，运营近、中、远期夜间噪声达标距离分别为距道路红线</w:t>
      </w:r>
      <w:r>
        <w:rPr>
          <w:rFonts w:hint="eastAsia"/>
          <w:snapToGrid w:val="0"/>
          <w:color w:val="auto"/>
          <w:kern w:val="0"/>
          <w:sz w:val="24"/>
          <w:highlight w:val="none"/>
          <w:lang w:val="en-US" w:eastAsia="zh-CN"/>
        </w:rPr>
        <w:t>41</w:t>
      </w:r>
      <w:r>
        <w:rPr>
          <w:rFonts w:hint="eastAsia"/>
          <w:snapToGrid w:val="0"/>
          <w:color w:val="auto"/>
          <w:kern w:val="0"/>
          <w:sz w:val="24"/>
          <w:highlight w:val="none"/>
        </w:rPr>
        <w:t>m、</w:t>
      </w:r>
      <w:r>
        <w:rPr>
          <w:rFonts w:hint="eastAsia"/>
          <w:snapToGrid w:val="0"/>
          <w:color w:val="auto"/>
          <w:kern w:val="0"/>
          <w:sz w:val="24"/>
          <w:highlight w:val="none"/>
          <w:lang w:val="en-US" w:eastAsia="zh-CN"/>
        </w:rPr>
        <w:t>44</w:t>
      </w:r>
      <w:r>
        <w:rPr>
          <w:rFonts w:hint="eastAsia"/>
          <w:snapToGrid w:val="0"/>
          <w:color w:val="auto"/>
          <w:kern w:val="0"/>
          <w:sz w:val="24"/>
          <w:highlight w:val="none"/>
        </w:rPr>
        <w:t>m、4</w:t>
      </w:r>
      <w:r>
        <w:rPr>
          <w:rFonts w:hint="eastAsia"/>
          <w:snapToGrid w:val="0"/>
          <w:color w:val="auto"/>
          <w:kern w:val="0"/>
          <w:sz w:val="24"/>
          <w:highlight w:val="none"/>
          <w:lang w:val="en-US" w:eastAsia="zh-CN"/>
        </w:rPr>
        <w:t>5</w:t>
      </w:r>
      <w:r>
        <w:rPr>
          <w:rFonts w:hint="eastAsia"/>
          <w:snapToGrid w:val="0"/>
          <w:color w:val="auto"/>
          <w:kern w:val="0"/>
          <w:sz w:val="24"/>
          <w:highlight w:val="none"/>
        </w:rPr>
        <w:t>m处。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（2）隧道南侧U型槽路段执行4a类标准区域运营近、中、远期昼间噪声在红线处均可达标，运营近、中、远期夜间达标距离分别在距道路红线12m、1</w:t>
      </w:r>
      <w:r>
        <w:rPr>
          <w:rFonts w:hint="eastAsia"/>
          <w:snapToGrid w:val="0"/>
          <w:color w:val="auto"/>
          <w:kern w:val="0"/>
          <w:sz w:val="24"/>
          <w:highlight w:val="none"/>
          <w:lang w:val="en-US" w:eastAsia="zh-CN"/>
        </w:rPr>
        <w:t>2</w:t>
      </w:r>
      <w:r>
        <w:rPr>
          <w:rFonts w:hint="eastAsia"/>
          <w:snapToGrid w:val="0"/>
          <w:color w:val="auto"/>
          <w:kern w:val="0"/>
          <w:sz w:val="24"/>
          <w:highlight w:val="none"/>
        </w:rPr>
        <w:t>m、13m处；执行2类标准区域运营近、中、远期昼间达标距离</w:t>
      </w:r>
      <w:r>
        <w:rPr>
          <w:rFonts w:hint="eastAsia"/>
          <w:snapToGrid w:val="0"/>
          <w:color w:val="auto"/>
          <w:kern w:val="0"/>
          <w:sz w:val="24"/>
          <w:highlight w:val="none"/>
          <w:lang w:eastAsia="zh-CN"/>
        </w:rPr>
        <w:t>均</w:t>
      </w:r>
      <w:r>
        <w:rPr>
          <w:rFonts w:hint="eastAsia"/>
          <w:snapToGrid w:val="0"/>
          <w:color w:val="auto"/>
          <w:kern w:val="0"/>
          <w:sz w:val="24"/>
          <w:highlight w:val="none"/>
        </w:rPr>
        <w:t>在距道路红线17m处，运营近、中、远期夜间噪声达标距离分别为距道路红线4</w:t>
      </w:r>
      <w:r>
        <w:rPr>
          <w:rFonts w:hint="eastAsia"/>
          <w:snapToGrid w:val="0"/>
          <w:color w:val="auto"/>
          <w:kern w:val="0"/>
          <w:sz w:val="24"/>
          <w:highlight w:val="none"/>
          <w:lang w:val="en-US" w:eastAsia="zh-CN"/>
        </w:rPr>
        <w:t>6</w:t>
      </w:r>
      <w:r>
        <w:rPr>
          <w:rFonts w:hint="eastAsia"/>
          <w:snapToGrid w:val="0"/>
          <w:color w:val="auto"/>
          <w:kern w:val="0"/>
          <w:sz w:val="24"/>
          <w:highlight w:val="none"/>
        </w:rPr>
        <w:t>m、48m、49m处。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（3）隧道南侧箱型路段执行4a类标准区域运营近、中、远期昼间噪声在红线处均可达标，运营近、中、远期夜间达标距离分别在距道路红线</w:t>
      </w:r>
      <w:r>
        <w:rPr>
          <w:rFonts w:hint="eastAsia"/>
          <w:snapToGrid w:val="0"/>
          <w:color w:val="auto"/>
          <w:kern w:val="0"/>
          <w:sz w:val="24"/>
          <w:highlight w:val="none"/>
          <w:lang w:val="en-US" w:eastAsia="zh-CN"/>
        </w:rPr>
        <w:t>4</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m处；执行2类标准区域运营近、中、远期昼间达标距离</w:t>
      </w:r>
      <w:r>
        <w:rPr>
          <w:rFonts w:hint="eastAsia"/>
          <w:snapToGrid w:val="0"/>
          <w:color w:val="auto"/>
          <w:kern w:val="0"/>
          <w:sz w:val="24"/>
          <w:highlight w:val="none"/>
          <w:lang w:eastAsia="zh-CN"/>
        </w:rPr>
        <w:t>均在</w:t>
      </w:r>
      <w:r>
        <w:rPr>
          <w:rFonts w:hint="eastAsia"/>
          <w:snapToGrid w:val="0"/>
          <w:color w:val="auto"/>
          <w:kern w:val="0"/>
          <w:sz w:val="24"/>
          <w:highlight w:val="none"/>
        </w:rPr>
        <w:t>距道路红线</w:t>
      </w:r>
      <w:r>
        <w:rPr>
          <w:rFonts w:hint="eastAsia"/>
          <w:snapToGrid w:val="0"/>
          <w:color w:val="auto"/>
          <w:kern w:val="0"/>
          <w:sz w:val="24"/>
          <w:highlight w:val="none"/>
          <w:lang w:val="en-US" w:eastAsia="zh-CN"/>
        </w:rPr>
        <w:t>8</w:t>
      </w:r>
      <w:r>
        <w:rPr>
          <w:rFonts w:hint="eastAsia"/>
          <w:snapToGrid w:val="0"/>
          <w:color w:val="auto"/>
          <w:kern w:val="0"/>
          <w:sz w:val="24"/>
          <w:highlight w:val="none"/>
        </w:rPr>
        <w:t>m处，运营近、中、远期夜间噪声达标距离分别为距道路红线</w:t>
      </w:r>
      <w:r>
        <w:rPr>
          <w:rFonts w:hint="eastAsia"/>
          <w:snapToGrid w:val="0"/>
          <w:color w:val="auto"/>
          <w:kern w:val="0"/>
          <w:sz w:val="24"/>
          <w:highlight w:val="none"/>
          <w:lang w:val="en-US" w:eastAsia="zh-CN"/>
        </w:rPr>
        <w:t>22</w:t>
      </w:r>
      <w:r>
        <w:rPr>
          <w:rFonts w:hint="eastAsia"/>
          <w:snapToGrid w:val="0"/>
          <w:color w:val="auto"/>
          <w:kern w:val="0"/>
          <w:sz w:val="24"/>
          <w:highlight w:val="none"/>
        </w:rPr>
        <w:t>m、</w:t>
      </w:r>
      <w:r>
        <w:rPr>
          <w:rFonts w:hint="eastAsia"/>
          <w:snapToGrid w:val="0"/>
          <w:color w:val="auto"/>
          <w:kern w:val="0"/>
          <w:sz w:val="24"/>
          <w:highlight w:val="none"/>
          <w:lang w:val="en-US" w:eastAsia="zh-CN"/>
        </w:rPr>
        <w:t>22</w:t>
      </w:r>
      <w:r>
        <w:rPr>
          <w:rFonts w:hint="eastAsia"/>
          <w:snapToGrid w:val="0"/>
          <w:color w:val="auto"/>
          <w:kern w:val="0"/>
          <w:sz w:val="24"/>
          <w:highlight w:val="none"/>
        </w:rPr>
        <w:t>m、</w:t>
      </w:r>
      <w:r>
        <w:rPr>
          <w:rFonts w:hint="eastAsia"/>
          <w:snapToGrid w:val="0"/>
          <w:color w:val="auto"/>
          <w:kern w:val="0"/>
          <w:sz w:val="24"/>
          <w:highlight w:val="none"/>
          <w:lang w:val="en-US" w:eastAsia="zh-CN"/>
        </w:rPr>
        <w:t>23</w:t>
      </w:r>
      <w:r>
        <w:rPr>
          <w:rFonts w:hint="eastAsia"/>
          <w:snapToGrid w:val="0"/>
          <w:color w:val="auto"/>
          <w:kern w:val="0"/>
          <w:sz w:val="24"/>
          <w:highlight w:val="none"/>
        </w:rPr>
        <w:t>m处。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（4）双层隧道路段执行4a类、2类标准区域运营近、中、远期昼间和夜间噪声在红线处均可达标。</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（5）隧道北侧箱型路段执行4a类标准区域运营近、中、远期昼间噪声在红线处均可达标，运营近、中、远期夜间达标距离</w:t>
      </w:r>
      <w:r>
        <w:rPr>
          <w:rFonts w:hint="eastAsia"/>
          <w:snapToGrid w:val="0"/>
          <w:color w:val="auto"/>
          <w:kern w:val="0"/>
          <w:sz w:val="24"/>
          <w:highlight w:val="none"/>
          <w:lang w:eastAsia="zh-CN"/>
        </w:rPr>
        <w:t>均在</w:t>
      </w:r>
      <w:r>
        <w:rPr>
          <w:rFonts w:hint="eastAsia"/>
          <w:snapToGrid w:val="0"/>
          <w:color w:val="auto"/>
          <w:kern w:val="0"/>
          <w:sz w:val="24"/>
          <w:highlight w:val="none"/>
        </w:rPr>
        <w:t>距道路红线</w:t>
      </w:r>
      <w:r>
        <w:rPr>
          <w:rFonts w:hint="eastAsia"/>
          <w:snapToGrid w:val="0"/>
          <w:color w:val="auto"/>
          <w:kern w:val="0"/>
          <w:sz w:val="24"/>
          <w:highlight w:val="none"/>
          <w:lang w:val="en-US" w:eastAsia="zh-CN"/>
        </w:rPr>
        <w:t>3</w:t>
      </w:r>
      <w:r>
        <w:rPr>
          <w:rFonts w:hint="eastAsia"/>
          <w:snapToGrid w:val="0"/>
          <w:color w:val="auto"/>
          <w:kern w:val="0"/>
          <w:sz w:val="24"/>
          <w:highlight w:val="none"/>
        </w:rPr>
        <w:t>m处；执行2类标准区域运营近、中、远期昼间达标距离分别在距道路红线</w:t>
      </w:r>
      <w:r>
        <w:rPr>
          <w:rFonts w:hint="eastAsia"/>
          <w:snapToGrid w:val="0"/>
          <w:color w:val="auto"/>
          <w:kern w:val="0"/>
          <w:sz w:val="24"/>
          <w:highlight w:val="none"/>
          <w:lang w:val="en-US" w:eastAsia="zh-CN"/>
        </w:rPr>
        <w:t>3</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m处，运营近、中、远期夜间噪声达标距离分别为距道路红线</w:t>
      </w:r>
      <w:r>
        <w:rPr>
          <w:rFonts w:hint="eastAsia"/>
          <w:snapToGrid w:val="0"/>
          <w:color w:val="auto"/>
          <w:kern w:val="0"/>
          <w:sz w:val="24"/>
          <w:highlight w:val="none"/>
          <w:lang w:val="en-US" w:eastAsia="zh-CN"/>
        </w:rPr>
        <w:t>13</w:t>
      </w:r>
      <w:r>
        <w:rPr>
          <w:rFonts w:hint="eastAsia"/>
          <w:snapToGrid w:val="0"/>
          <w:color w:val="auto"/>
          <w:kern w:val="0"/>
          <w:sz w:val="24"/>
          <w:highlight w:val="none"/>
        </w:rPr>
        <w:t>m、</w:t>
      </w:r>
      <w:r>
        <w:rPr>
          <w:rFonts w:hint="eastAsia"/>
          <w:snapToGrid w:val="0"/>
          <w:color w:val="auto"/>
          <w:kern w:val="0"/>
          <w:sz w:val="24"/>
          <w:highlight w:val="none"/>
          <w:lang w:val="en-US" w:eastAsia="zh-CN"/>
        </w:rPr>
        <w:t>19</w:t>
      </w:r>
      <w:r>
        <w:rPr>
          <w:rFonts w:hint="eastAsia"/>
          <w:snapToGrid w:val="0"/>
          <w:color w:val="auto"/>
          <w:kern w:val="0"/>
          <w:sz w:val="24"/>
          <w:highlight w:val="none"/>
        </w:rPr>
        <w:t>m、</w:t>
      </w:r>
      <w:r>
        <w:rPr>
          <w:rFonts w:hint="eastAsia"/>
          <w:snapToGrid w:val="0"/>
          <w:color w:val="auto"/>
          <w:kern w:val="0"/>
          <w:sz w:val="24"/>
          <w:highlight w:val="none"/>
          <w:lang w:val="en-US" w:eastAsia="zh-CN"/>
        </w:rPr>
        <w:t>19m</w:t>
      </w:r>
      <w:r>
        <w:rPr>
          <w:rFonts w:hint="eastAsia"/>
          <w:snapToGrid w:val="0"/>
          <w:color w:val="auto"/>
          <w:kern w:val="0"/>
          <w:sz w:val="24"/>
          <w:highlight w:val="none"/>
        </w:rPr>
        <w:t>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（6）隧道北侧U型槽路段执行4a类标准区域运营近、中、远期昼间噪声在红线处均可达标，运营近、中、远期夜间达标距离</w:t>
      </w:r>
      <w:r>
        <w:rPr>
          <w:rFonts w:hint="eastAsia"/>
          <w:snapToGrid w:val="0"/>
          <w:color w:val="auto"/>
          <w:kern w:val="0"/>
          <w:sz w:val="24"/>
          <w:highlight w:val="none"/>
          <w:lang w:eastAsia="zh-CN"/>
        </w:rPr>
        <w:t>分别在</w:t>
      </w:r>
      <w:r>
        <w:rPr>
          <w:rFonts w:hint="eastAsia"/>
          <w:snapToGrid w:val="0"/>
          <w:color w:val="auto"/>
          <w:kern w:val="0"/>
          <w:sz w:val="24"/>
          <w:highlight w:val="none"/>
        </w:rPr>
        <w:t>距道路红线</w:t>
      </w:r>
      <w:r>
        <w:rPr>
          <w:rFonts w:hint="eastAsia"/>
          <w:snapToGrid w:val="0"/>
          <w:color w:val="auto"/>
          <w:kern w:val="0"/>
          <w:sz w:val="24"/>
          <w:highlight w:val="none"/>
          <w:lang w:val="en-US" w:eastAsia="zh-CN"/>
        </w:rPr>
        <w:t>2</w:t>
      </w:r>
      <w:r>
        <w:rPr>
          <w:rFonts w:hint="eastAsia"/>
          <w:snapToGrid w:val="0"/>
          <w:color w:val="auto"/>
          <w:kern w:val="0"/>
          <w:sz w:val="24"/>
          <w:highlight w:val="none"/>
        </w:rPr>
        <w:t>m</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4m、5m</w:t>
      </w:r>
      <w:r>
        <w:rPr>
          <w:rFonts w:hint="eastAsia"/>
          <w:snapToGrid w:val="0"/>
          <w:color w:val="auto"/>
          <w:kern w:val="0"/>
          <w:sz w:val="24"/>
          <w:highlight w:val="none"/>
        </w:rPr>
        <w:t>处；执行2类标准区域运营近、中、远期昼间达标距离分别在距道路红线</w:t>
      </w:r>
      <w:r>
        <w:rPr>
          <w:rFonts w:hint="eastAsia"/>
          <w:snapToGrid w:val="0"/>
          <w:color w:val="auto"/>
          <w:kern w:val="0"/>
          <w:sz w:val="24"/>
          <w:highlight w:val="none"/>
          <w:lang w:val="en-US" w:eastAsia="zh-CN"/>
        </w:rPr>
        <w:t>5</w:t>
      </w:r>
      <w:r>
        <w:rPr>
          <w:rFonts w:hint="eastAsia"/>
          <w:snapToGrid w:val="0"/>
          <w:color w:val="auto"/>
          <w:kern w:val="0"/>
          <w:sz w:val="24"/>
          <w:highlight w:val="none"/>
        </w:rPr>
        <w:t>m、</w:t>
      </w:r>
      <w:r>
        <w:rPr>
          <w:rFonts w:hint="eastAsia"/>
          <w:snapToGrid w:val="0"/>
          <w:color w:val="auto"/>
          <w:kern w:val="0"/>
          <w:sz w:val="24"/>
          <w:highlight w:val="none"/>
          <w:lang w:val="en-US" w:eastAsia="zh-CN"/>
        </w:rPr>
        <w:t>7</w:t>
      </w:r>
      <w:r>
        <w:rPr>
          <w:rFonts w:hint="eastAsia"/>
          <w:snapToGrid w:val="0"/>
          <w:color w:val="auto"/>
          <w:kern w:val="0"/>
          <w:sz w:val="24"/>
          <w:highlight w:val="none"/>
        </w:rPr>
        <w:t>m、</w:t>
      </w:r>
      <w:r>
        <w:rPr>
          <w:rFonts w:hint="eastAsia"/>
          <w:snapToGrid w:val="0"/>
          <w:color w:val="auto"/>
          <w:kern w:val="0"/>
          <w:sz w:val="24"/>
          <w:highlight w:val="none"/>
          <w:lang w:val="en-US" w:eastAsia="zh-CN"/>
        </w:rPr>
        <w:t>8</w:t>
      </w:r>
      <w:r>
        <w:rPr>
          <w:rFonts w:hint="eastAsia"/>
          <w:snapToGrid w:val="0"/>
          <w:color w:val="auto"/>
          <w:kern w:val="0"/>
          <w:sz w:val="24"/>
          <w:highlight w:val="none"/>
        </w:rPr>
        <w:t>m处，运营近、中、远期夜间噪声达标距离分别为距道路红线</w:t>
      </w:r>
      <w:r>
        <w:rPr>
          <w:rFonts w:hint="eastAsia"/>
          <w:snapToGrid w:val="0"/>
          <w:color w:val="auto"/>
          <w:kern w:val="0"/>
          <w:sz w:val="24"/>
          <w:highlight w:val="none"/>
          <w:lang w:val="en-US" w:eastAsia="zh-CN"/>
        </w:rPr>
        <w:t>18</w:t>
      </w:r>
      <w:r>
        <w:rPr>
          <w:rFonts w:hint="eastAsia"/>
          <w:snapToGrid w:val="0"/>
          <w:color w:val="auto"/>
          <w:kern w:val="0"/>
          <w:sz w:val="24"/>
          <w:highlight w:val="none"/>
        </w:rPr>
        <w:t>m、</w:t>
      </w:r>
      <w:r>
        <w:rPr>
          <w:rFonts w:hint="eastAsia"/>
          <w:snapToGrid w:val="0"/>
          <w:color w:val="auto"/>
          <w:kern w:val="0"/>
          <w:sz w:val="24"/>
          <w:highlight w:val="none"/>
          <w:lang w:val="en-US" w:eastAsia="zh-CN"/>
        </w:rPr>
        <w:t>29</w:t>
      </w:r>
      <w:r>
        <w:rPr>
          <w:rFonts w:hint="eastAsia"/>
          <w:snapToGrid w:val="0"/>
          <w:color w:val="auto"/>
          <w:kern w:val="0"/>
          <w:sz w:val="24"/>
          <w:highlight w:val="none"/>
        </w:rPr>
        <w:t>m、</w:t>
      </w:r>
      <w:r>
        <w:rPr>
          <w:rFonts w:hint="eastAsia"/>
          <w:snapToGrid w:val="0"/>
          <w:color w:val="auto"/>
          <w:kern w:val="0"/>
          <w:sz w:val="24"/>
          <w:highlight w:val="none"/>
          <w:lang w:val="en-US" w:eastAsia="zh-CN"/>
        </w:rPr>
        <w:t>29m</w:t>
      </w:r>
      <w:r>
        <w:rPr>
          <w:rFonts w:hint="eastAsia"/>
          <w:snapToGrid w:val="0"/>
          <w:color w:val="auto"/>
          <w:kern w:val="0"/>
          <w:sz w:val="24"/>
          <w:highlight w:val="none"/>
        </w:rPr>
        <w:t>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（7）隧道北侧高架路段执行4a类标准区域运营近、中、远期昼间噪声在红线处均可达标，运营近、中、远期夜间达标距离分别在距道路红线</w:t>
      </w:r>
      <w:r>
        <w:rPr>
          <w:rFonts w:hint="eastAsia"/>
          <w:snapToGrid w:val="0"/>
          <w:color w:val="auto"/>
          <w:kern w:val="0"/>
          <w:sz w:val="24"/>
          <w:highlight w:val="none"/>
          <w:lang w:val="en-US" w:eastAsia="zh-CN"/>
        </w:rPr>
        <w:t>9</w:t>
      </w:r>
      <w:r>
        <w:rPr>
          <w:rFonts w:hint="eastAsia"/>
          <w:snapToGrid w:val="0"/>
          <w:color w:val="auto"/>
          <w:kern w:val="0"/>
          <w:sz w:val="24"/>
          <w:highlight w:val="none"/>
        </w:rPr>
        <w:t>m、</w:t>
      </w:r>
      <w:r>
        <w:rPr>
          <w:rFonts w:hint="eastAsia"/>
          <w:snapToGrid w:val="0"/>
          <w:color w:val="auto"/>
          <w:kern w:val="0"/>
          <w:sz w:val="24"/>
          <w:highlight w:val="none"/>
          <w:lang w:val="en-US" w:eastAsia="zh-CN"/>
        </w:rPr>
        <w:t>12</w:t>
      </w:r>
      <w:r>
        <w:rPr>
          <w:rFonts w:hint="eastAsia"/>
          <w:snapToGrid w:val="0"/>
          <w:color w:val="auto"/>
          <w:kern w:val="0"/>
          <w:sz w:val="24"/>
          <w:highlight w:val="none"/>
        </w:rPr>
        <w:t>m、</w:t>
      </w:r>
      <w:r>
        <w:rPr>
          <w:rFonts w:hint="eastAsia"/>
          <w:snapToGrid w:val="0"/>
          <w:color w:val="auto"/>
          <w:kern w:val="0"/>
          <w:sz w:val="24"/>
          <w:highlight w:val="none"/>
          <w:lang w:val="en-US" w:eastAsia="zh-CN"/>
        </w:rPr>
        <w:t>12</w:t>
      </w:r>
      <w:r>
        <w:rPr>
          <w:rFonts w:hint="eastAsia"/>
          <w:snapToGrid w:val="0"/>
          <w:color w:val="auto"/>
          <w:kern w:val="0"/>
          <w:sz w:val="24"/>
          <w:highlight w:val="none"/>
        </w:rPr>
        <w:t>m处；执行2类标准区域运营近、中、远期昼间达标距离分别在距道路红线1</w:t>
      </w:r>
      <w:r>
        <w:rPr>
          <w:rFonts w:hint="eastAsia"/>
          <w:snapToGrid w:val="0"/>
          <w:color w:val="auto"/>
          <w:kern w:val="0"/>
          <w:sz w:val="24"/>
          <w:highlight w:val="none"/>
          <w:lang w:val="en-US" w:eastAsia="zh-CN"/>
        </w:rPr>
        <w:t>4</w:t>
      </w:r>
      <w:r>
        <w:rPr>
          <w:rFonts w:hint="eastAsia"/>
          <w:snapToGrid w:val="0"/>
          <w:color w:val="auto"/>
          <w:kern w:val="0"/>
          <w:sz w:val="24"/>
          <w:highlight w:val="none"/>
        </w:rPr>
        <w:t>m、</w:t>
      </w:r>
      <w:r>
        <w:rPr>
          <w:rFonts w:hint="eastAsia"/>
          <w:snapToGrid w:val="0"/>
          <w:color w:val="auto"/>
          <w:kern w:val="0"/>
          <w:sz w:val="24"/>
          <w:highlight w:val="none"/>
          <w:lang w:val="en-US" w:eastAsia="zh-CN"/>
        </w:rPr>
        <w:t>17</w:t>
      </w:r>
      <w:r>
        <w:rPr>
          <w:rFonts w:hint="eastAsia"/>
          <w:snapToGrid w:val="0"/>
          <w:color w:val="auto"/>
          <w:kern w:val="0"/>
          <w:sz w:val="24"/>
          <w:highlight w:val="none"/>
        </w:rPr>
        <w:t>m、</w:t>
      </w:r>
      <w:r>
        <w:rPr>
          <w:rFonts w:hint="eastAsia"/>
          <w:snapToGrid w:val="0"/>
          <w:color w:val="auto"/>
          <w:kern w:val="0"/>
          <w:sz w:val="24"/>
          <w:highlight w:val="none"/>
          <w:lang w:val="en-US" w:eastAsia="zh-CN"/>
        </w:rPr>
        <w:t>17</w:t>
      </w:r>
      <w:r>
        <w:rPr>
          <w:rFonts w:hint="eastAsia"/>
          <w:snapToGrid w:val="0"/>
          <w:color w:val="auto"/>
          <w:kern w:val="0"/>
          <w:sz w:val="24"/>
          <w:highlight w:val="none"/>
        </w:rPr>
        <w:t>m处，运营近、中、远期夜间噪声达标距离分别为距道路红线4</w:t>
      </w:r>
      <w:r>
        <w:rPr>
          <w:rFonts w:hint="eastAsia"/>
          <w:snapToGrid w:val="0"/>
          <w:color w:val="auto"/>
          <w:kern w:val="0"/>
          <w:sz w:val="24"/>
          <w:highlight w:val="none"/>
          <w:lang w:val="en-US" w:eastAsia="zh-CN"/>
        </w:rPr>
        <w:t>1</w:t>
      </w:r>
      <w:r>
        <w:rPr>
          <w:rFonts w:hint="eastAsia"/>
          <w:snapToGrid w:val="0"/>
          <w:color w:val="auto"/>
          <w:kern w:val="0"/>
          <w:sz w:val="24"/>
          <w:highlight w:val="none"/>
        </w:rPr>
        <w:t>m、</w:t>
      </w:r>
      <w:r>
        <w:rPr>
          <w:rFonts w:hint="eastAsia"/>
          <w:snapToGrid w:val="0"/>
          <w:color w:val="auto"/>
          <w:kern w:val="0"/>
          <w:sz w:val="24"/>
          <w:highlight w:val="none"/>
          <w:lang w:val="en-US" w:eastAsia="zh-CN"/>
        </w:rPr>
        <w:t>51</w:t>
      </w:r>
      <w:r>
        <w:rPr>
          <w:rFonts w:hint="eastAsia"/>
          <w:snapToGrid w:val="0"/>
          <w:color w:val="auto"/>
          <w:kern w:val="0"/>
          <w:sz w:val="24"/>
          <w:highlight w:val="none"/>
        </w:rPr>
        <w:t>m、</w:t>
      </w:r>
      <w:r>
        <w:rPr>
          <w:rFonts w:hint="eastAsia"/>
          <w:snapToGrid w:val="0"/>
          <w:color w:val="auto"/>
          <w:kern w:val="0"/>
          <w:sz w:val="24"/>
          <w:highlight w:val="none"/>
          <w:lang w:val="en-US" w:eastAsia="zh-CN"/>
        </w:rPr>
        <w:t>52</w:t>
      </w:r>
      <w:r>
        <w:rPr>
          <w:rFonts w:hint="eastAsia"/>
          <w:snapToGrid w:val="0"/>
          <w:color w:val="auto"/>
          <w:kern w:val="0"/>
          <w:sz w:val="24"/>
          <w:highlight w:val="none"/>
        </w:rPr>
        <w:t>m处。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4、铅垂向及声环境保护目标预测</w:t>
      </w:r>
    </w:p>
    <w:p>
      <w:pPr>
        <w:adjustRightInd w:val="0"/>
        <w:snapToGrid w:val="0"/>
        <w:spacing w:line="360" w:lineRule="auto"/>
        <w:ind w:firstLine="480"/>
        <w:rPr>
          <w:rFonts w:hint="default" w:eastAsia="宋体"/>
          <w:snapToGrid w:val="0"/>
          <w:color w:val="auto"/>
          <w:kern w:val="0"/>
          <w:sz w:val="24"/>
          <w:highlight w:val="none"/>
          <w:lang w:val="en-US" w:eastAsia="zh-CN"/>
        </w:rPr>
      </w:pPr>
      <w:r>
        <w:rPr>
          <w:rFonts w:hint="eastAsia"/>
          <w:snapToGrid w:val="0"/>
          <w:color w:val="auto"/>
          <w:kern w:val="0"/>
          <w:sz w:val="24"/>
          <w:highlight w:val="none"/>
        </w:rPr>
        <w:t>项目纵面线形存在变化，路面与地面高差不一致，出于预测的可行性考虑，预测中考虑声波的几何衰减和地面的吸收、地形、空气吸收、树木、障碍物等环境因素的附加衰减及背景值。对于已安排现状</w:t>
      </w:r>
      <w:r>
        <w:rPr>
          <w:rFonts w:hint="eastAsia"/>
          <w:snapToGrid w:val="0"/>
          <w:color w:val="auto"/>
          <w:kern w:val="0"/>
          <w:sz w:val="24"/>
          <w:highlight w:val="none"/>
          <w:lang w:val="en-US" w:eastAsia="zh-CN"/>
        </w:rPr>
        <w:t>背景噪声</w:t>
      </w:r>
      <w:r>
        <w:rPr>
          <w:rFonts w:hint="eastAsia"/>
          <w:snapToGrid w:val="0"/>
          <w:color w:val="auto"/>
          <w:kern w:val="0"/>
          <w:sz w:val="24"/>
          <w:highlight w:val="none"/>
        </w:rPr>
        <w:t>监测的</w:t>
      </w:r>
      <w:r>
        <w:rPr>
          <w:rFonts w:hint="eastAsia"/>
          <w:snapToGrid w:val="0"/>
          <w:color w:val="auto"/>
          <w:kern w:val="0"/>
          <w:sz w:val="24"/>
          <w:highlight w:val="none"/>
          <w:lang w:eastAsia="zh-CN"/>
        </w:rPr>
        <w:t>声环境保护目标</w:t>
      </w:r>
      <w:r>
        <w:rPr>
          <w:rFonts w:hint="eastAsia"/>
          <w:snapToGrid w:val="0"/>
          <w:color w:val="auto"/>
          <w:kern w:val="0"/>
          <w:sz w:val="24"/>
          <w:highlight w:val="none"/>
        </w:rPr>
        <w:t>，</w:t>
      </w:r>
      <w:r>
        <w:rPr>
          <w:rFonts w:hint="eastAsia"/>
          <w:snapToGrid w:val="0"/>
          <w:color w:val="auto"/>
          <w:kern w:val="0"/>
          <w:sz w:val="24"/>
          <w:highlight w:val="none"/>
          <w:lang w:val="en-US" w:eastAsia="zh-CN"/>
        </w:rPr>
        <w:t>背景值</w:t>
      </w:r>
      <w:r>
        <w:rPr>
          <w:rFonts w:hint="eastAsia"/>
          <w:snapToGrid w:val="0"/>
          <w:color w:val="auto"/>
          <w:kern w:val="0"/>
          <w:sz w:val="24"/>
          <w:highlight w:val="none"/>
        </w:rPr>
        <w:t>则直接取监测值，对于未安排监测的</w:t>
      </w:r>
      <w:r>
        <w:rPr>
          <w:rFonts w:hint="eastAsia"/>
          <w:snapToGrid w:val="0"/>
          <w:color w:val="auto"/>
          <w:kern w:val="0"/>
          <w:sz w:val="24"/>
          <w:highlight w:val="none"/>
          <w:lang w:eastAsia="zh-CN"/>
        </w:rPr>
        <w:t>声环境保护目标</w:t>
      </w:r>
      <w:r>
        <w:rPr>
          <w:rFonts w:hint="eastAsia"/>
          <w:snapToGrid w:val="0"/>
          <w:color w:val="auto"/>
          <w:kern w:val="0"/>
          <w:sz w:val="24"/>
          <w:highlight w:val="none"/>
        </w:rPr>
        <w:t>，根据区域周围环境特点，取附近类似的</w:t>
      </w:r>
      <w:r>
        <w:rPr>
          <w:rFonts w:hint="eastAsia"/>
          <w:snapToGrid w:val="0"/>
          <w:color w:val="auto"/>
          <w:kern w:val="0"/>
          <w:sz w:val="24"/>
          <w:highlight w:val="none"/>
          <w:lang w:val="en-US" w:eastAsia="zh-CN"/>
        </w:rPr>
        <w:t>背景</w:t>
      </w:r>
      <w:r>
        <w:rPr>
          <w:rFonts w:hint="eastAsia"/>
          <w:snapToGrid w:val="0"/>
          <w:color w:val="auto"/>
          <w:kern w:val="0"/>
          <w:sz w:val="24"/>
          <w:highlight w:val="none"/>
        </w:rPr>
        <w:t>监测点值作为背景值</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现状噪声值</w:t>
      </w:r>
      <w:r>
        <w:rPr>
          <w:rFonts w:hint="eastAsia"/>
          <w:snapToGrid w:val="0"/>
          <w:color w:val="auto"/>
          <w:kern w:val="0"/>
          <w:sz w:val="24"/>
          <w:highlight w:val="none"/>
        </w:rPr>
        <w:t>采用现场监测结合模型计算法</w:t>
      </w:r>
      <w:r>
        <w:rPr>
          <w:rFonts w:hint="eastAsia"/>
          <w:snapToGrid w:val="0"/>
          <w:color w:val="auto"/>
          <w:kern w:val="0"/>
          <w:sz w:val="24"/>
          <w:highlight w:val="none"/>
          <w:lang w:val="en-US" w:eastAsia="zh-CN"/>
        </w:rPr>
        <w:t>得到</w:t>
      </w:r>
      <w:r>
        <w:rPr>
          <w:rFonts w:hint="eastAsia"/>
          <w:snapToGrid w:val="0"/>
          <w:color w:val="auto"/>
          <w:kern w:val="0"/>
          <w:sz w:val="24"/>
          <w:highlight w:val="none"/>
        </w:rPr>
        <w:t>。本工程沿线经过的声环境保护目标见表</w:t>
      </w:r>
      <w:r>
        <w:rPr>
          <w:rFonts w:hint="eastAsia"/>
          <w:color w:val="auto"/>
          <w:sz w:val="24"/>
          <w:highlight w:val="none"/>
        </w:rPr>
        <w:t>4.2-11</w:t>
      </w:r>
      <w:r>
        <w:rPr>
          <w:rFonts w:hint="eastAsia"/>
          <w:snapToGrid w:val="0"/>
          <w:color w:val="auto"/>
          <w:kern w:val="0"/>
          <w:sz w:val="24"/>
          <w:highlight w:val="none"/>
        </w:rPr>
        <w:t>。</w:t>
      </w:r>
      <w:r>
        <w:rPr>
          <w:rFonts w:hint="eastAsia"/>
          <w:snapToGrid w:val="0"/>
          <w:color w:val="auto"/>
          <w:kern w:val="0"/>
          <w:sz w:val="24"/>
          <w:highlight w:val="none"/>
          <w:lang w:eastAsia="zh-CN"/>
        </w:rPr>
        <w:t>道路</w:t>
      </w:r>
      <w:r>
        <w:rPr>
          <w:rFonts w:hint="eastAsia"/>
          <w:snapToGrid w:val="0"/>
          <w:color w:val="auto"/>
          <w:kern w:val="0"/>
          <w:sz w:val="24"/>
          <w:highlight w:val="none"/>
        </w:rPr>
        <w:t>沿线的声环境保护目标主要为沿线</w:t>
      </w:r>
      <w:r>
        <w:rPr>
          <w:rFonts w:hint="eastAsia"/>
          <w:snapToGrid w:val="0"/>
          <w:color w:val="auto"/>
          <w:kern w:val="0"/>
          <w:sz w:val="24"/>
          <w:highlight w:val="none"/>
          <w:lang w:eastAsia="zh-CN"/>
        </w:rPr>
        <w:t>居民区、学校、公园等</w:t>
      </w:r>
      <w:r>
        <w:rPr>
          <w:rFonts w:hint="eastAsia"/>
          <w:snapToGrid w:val="0"/>
          <w:color w:val="auto"/>
          <w:kern w:val="0"/>
          <w:sz w:val="24"/>
          <w:highlight w:val="none"/>
        </w:rPr>
        <w:t>，</w:t>
      </w:r>
      <w:r>
        <w:rPr>
          <w:rFonts w:hint="eastAsia"/>
          <w:snapToGrid w:val="0"/>
          <w:color w:val="auto"/>
          <w:kern w:val="0"/>
          <w:sz w:val="24"/>
          <w:highlight w:val="none"/>
          <w:lang w:eastAsia="zh-CN"/>
        </w:rPr>
        <w:t>声环境保护目标</w:t>
      </w:r>
      <w:r>
        <w:rPr>
          <w:rFonts w:hint="eastAsia"/>
          <w:snapToGrid w:val="0"/>
          <w:color w:val="auto"/>
          <w:kern w:val="0"/>
          <w:sz w:val="24"/>
          <w:highlight w:val="none"/>
        </w:rPr>
        <w:t>的环境噪声预测值由</w:t>
      </w:r>
      <w:r>
        <w:rPr>
          <w:rFonts w:hint="eastAsia"/>
          <w:snapToGrid w:val="0"/>
          <w:color w:val="auto"/>
          <w:kern w:val="0"/>
          <w:sz w:val="24"/>
          <w:highlight w:val="none"/>
          <w:lang w:eastAsia="zh-CN"/>
        </w:rPr>
        <w:t>道路</w:t>
      </w:r>
      <w:r>
        <w:rPr>
          <w:rFonts w:hint="eastAsia"/>
          <w:snapToGrid w:val="0"/>
          <w:color w:val="auto"/>
          <w:kern w:val="0"/>
          <w:sz w:val="24"/>
          <w:highlight w:val="none"/>
        </w:rPr>
        <w:t>交通噪声预测值与环境噪声本底值叠加得到，其中交通噪声预测值将根据</w:t>
      </w:r>
      <w:r>
        <w:rPr>
          <w:rFonts w:hint="eastAsia"/>
          <w:snapToGrid w:val="0"/>
          <w:color w:val="auto"/>
          <w:kern w:val="0"/>
          <w:sz w:val="24"/>
          <w:highlight w:val="none"/>
          <w:lang w:eastAsia="zh-CN"/>
        </w:rPr>
        <w:t>声环境保护目标</w:t>
      </w:r>
      <w:r>
        <w:rPr>
          <w:rFonts w:hint="eastAsia"/>
          <w:snapToGrid w:val="0"/>
          <w:color w:val="auto"/>
          <w:kern w:val="0"/>
          <w:sz w:val="24"/>
          <w:highlight w:val="none"/>
        </w:rPr>
        <w:t>所处位置确定其距离道路中心线的距离及路面的高度差，首排建筑遮挡衰减，再通过软件计算得到。项目声环境保护目标噪声叠加背景后的预测结果见表4.2-12。项目营运近期、中期、远期</w:t>
      </w:r>
      <w:r>
        <w:rPr>
          <w:rFonts w:hint="eastAsia"/>
          <w:snapToGrid w:val="0"/>
          <w:color w:val="auto"/>
          <w:kern w:val="0"/>
          <w:sz w:val="24"/>
          <w:highlight w:val="none"/>
          <w:lang w:val="en-US" w:eastAsia="zh-CN"/>
        </w:rPr>
        <w:t>等声级线图见图4.2-11~4.2-16。</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根据噪声预测结果可以看出：随着垂向高度的增加，预测点与道路中心距离逐渐增大，而噪声随离地高度变化并非单调下降，噪声值先随高度增加而增大，根据结果分析，各层噪声出现不同程度的超标现象。项目营运近期、中期、远期声环境保护目标均出现了不同程度的超标。</w:t>
      </w:r>
      <w:bookmarkEnd w:id="53"/>
    </w:p>
    <w:p>
      <w:pPr>
        <w:adjustRightInd w:val="0"/>
        <w:snapToGrid w:val="0"/>
        <w:spacing w:line="360" w:lineRule="auto"/>
        <w:ind w:firstLine="480"/>
        <w:rPr>
          <w:rFonts w:hint="eastAsia"/>
          <w:snapToGrid w:val="0"/>
          <w:color w:val="auto"/>
          <w:kern w:val="0"/>
          <w:sz w:val="24"/>
          <w:highlight w:val="none"/>
        </w:rPr>
        <w:sectPr>
          <w:pgSz w:w="11906" w:h="16838"/>
          <w:pgMar w:top="1134" w:right="1418" w:bottom="1134" w:left="1418" w:header="851" w:footer="567" w:gutter="0"/>
          <w:pgBorders>
            <w:top w:val="none" w:sz="0" w:space="0"/>
            <w:left w:val="none" w:sz="0" w:space="0"/>
            <w:bottom w:val="none" w:sz="0" w:space="0"/>
            <w:right w:val="none" w:sz="0" w:space="0"/>
          </w:pgBorders>
          <w:cols w:space="720" w:num="1"/>
          <w:docGrid w:linePitch="312" w:charSpace="0"/>
        </w:sectPr>
      </w:pPr>
    </w:p>
    <w:p>
      <w:pPr>
        <w:spacing w:before="120" w:beforeLines="50"/>
        <w:ind w:firstLine="480"/>
        <w:jc w:val="right"/>
        <w:rPr>
          <w:b/>
          <w:bCs/>
          <w:color w:val="auto"/>
          <w:sz w:val="24"/>
          <w:highlight w:val="none"/>
        </w:rPr>
      </w:pPr>
      <w:r>
        <w:rPr>
          <w:b/>
          <w:bCs/>
          <w:color w:val="auto"/>
          <w:sz w:val="24"/>
          <w:highlight w:val="none"/>
        </w:rPr>
        <w:t>表</w:t>
      </w:r>
      <w:r>
        <w:rPr>
          <w:rFonts w:hint="eastAsia"/>
          <w:b/>
          <w:bCs/>
          <w:color w:val="auto"/>
          <w:sz w:val="24"/>
          <w:highlight w:val="none"/>
        </w:rPr>
        <w:t>4.2</w:t>
      </w:r>
      <w:r>
        <w:rPr>
          <w:b/>
          <w:bCs/>
          <w:color w:val="auto"/>
          <w:sz w:val="24"/>
          <w:highlight w:val="none"/>
        </w:rPr>
        <w:t xml:space="preserve">-11    </w:t>
      </w:r>
      <w:r>
        <w:rPr>
          <w:rFonts w:hint="eastAsia"/>
          <w:b/>
          <w:bCs/>
          <w:color w:val="auto"/>
          <w:sz w:val="24"/>
          <w:highlight w:val="none"/>
        </w:rPr>
        <w:t>项目道路预测点噪声预测结果与达标分析表</w:t>
      </w:r>
      <w:r>
        <w:rPr>
          <w:b/>
          <w:bCs/>
          <w:color w:val="auto"/>
          <w:sz w:val="24"/>
          <w:highlight w:val="none"/>
        </w:rPr>
        <w:t xml:space="preserve">                  单位：dB(A)</w:t>
      </w:r>
    </w:p>
    <w:tbl>
      <w:tblPr>
        <w:tblStyle w:val="23"/>
        <w:tblW w:w="14596"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17"/>
        <w:gridCol w:w="1034"/>
        <w:gridCol w:w="1250"/>
        <w:gridCol w:w="683"/>
        <w:gridCol w:w="733"/>
        <w:gridCol w:w="684"/>
        <w:gridCol w:w="583"/>
        <w:gridCol w:w="617"/>
        <w:gridCol w:w="650"/>
        <w:gridCol w:w="653"/>
        <w:gridCol w:w="653"/>
        <w:gridCol w:w="653"/>
        <w:gridCol w:w="653"/>
        <w:gridCol w:w="1"/>
        <w:gridCol w:w="652"/>
        <w:gridCol w:w="653"/>
        <w:gridCol w:w="653"/>
        <w:gridCol w:w="653"/>
        <w:gridCol w:w="653"/>
        <w:gridCol w:w="653"/>
        <w:gridCol w:w="653"/>
        <w:gridCol w:w="6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54" w:hRule="atLeast"/>
          <w:tblHeader/>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序号</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声环境保护目标名称</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预测点与声源高差/m</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预测高度</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功能区类别</w:t>
            </w:r>
          </w:p>
        </w:tc>
        <w:tc>
          <w:tcPr>
            <w:tcW w:w="68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时段</w:t>
            </w:r>
          </w:p>
        </w:tc>
        <w:tc>
          <w:tcPr>
            <w:tcW w:w="5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标准值</w:t>
            </w:r>
          </w:p>
        </w:tc>
        <w:tc>
          <w:tcPr>
            <w:tcW w:w="6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背景值</w:t>
            </w:r>
          </w:p>
        </w:tc>
        <w:tc>
          <w:tcPr>
            <w:tcW w:w="6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现状值</w:t>
            </w:r>
          </w:p>
        </w:tc>
        <w:tc>
          <w:tcPr>
            <w:tcW w:w="2613" w:type="dxa"/>
            <w:gridSpan w:val="5"/>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kern w:val="0"/>
                <w:sz w:val="21"/>
                <w:szCs w:val="21"/>
                <w:highlight w:val="none"/>
                <w:u w:val="none"/>
                <w:lang w:val="en-US" w:eastAsia="zh-CN" w:bidi="ar"/>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运营近期</w:t>
            </w:r>
          </w:p>
        </w:tc>
        <w:tc>
          <w:tcPr>
            <w:tcW w:w="2611"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kern w:val="0"/>
                <w:sz w:val="21"/>
                <w:szCs w:val="21"/>
                <w:highlight w:val="none"/>
                <w:u w:val="none"/>
                <w:lang w:val="en-US" w:eastAsia="zh-CN" w:bidi="ar"/>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运营中期</w:t>
            </w:r>
          </w:p>
        </w:tc>
        <w:tc>
          <w:tcPr>
            <w:tcW w:w="2621"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kern w:val="0"/>
                <w:sz w:val="21"/>
                <w:szCs w:val="21"/>
                <w:highlight w:val="none"/>
                <w:u w:val="none"/>
                <w:lang w:val="en-US" w:eastAsia="zh-CN" w:bidi="ar"/>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运营远期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blHeader/>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5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贡献值</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预测值</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kern w:val="0"/>
                <w:sz w:val="21"/>
                <w:szCs w:val="21"/>
                <w:highlight w:val="none"/>
                <w:u w:val="none"/>
                <w:lang w:val="en-US" w:eastAsia="zh-CN" w:bidi="ar"/>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较现状</w:t>
            </w:r>
          </w:p>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增量</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超标量</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贡献值</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预测值</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较现状增量</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超标量</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贡献值</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预测值</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较现状增量</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超标量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省公安厅宿舍</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二环高架：-5.3~-4.1</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辅路：0.1~0.8</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高级人民法院</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二环高架：-5.9~-4.8</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辅路：0.19~0.58</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56.02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56.21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46.30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56.24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46.41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46.42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56.30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46.29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56.00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46.01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融侨花园</w:t>
            </w:r>
            <w:r>
              <w:rPr>
                <w:rFonts w:hint="eastAsia" w:cs="Times New Roman"/>
                <w:i w:val="0"/>
                <w:iCs w:val="0"/>
                <w:color w:val="auto"/>
                <w:spacing w:val="-11"/>
                <w:kern w:val="0"/>
                <w:sz w:val="21"/>
                <w:szCs w:val="21"/>
                <w:highlight w:val="none"/>
                <w:u w:val="none"/>
                <w:lang w:val="en-US" w:eastAsia="zh-CN" w:bidi="ar"/>
              </w:rPr>
              <w:t>（III区）</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二环高架：-6.72~-5.93</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辅路：-0.04~0.38</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61.59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53.90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62.11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54.12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62.44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54.50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62.50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54.64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63.78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54.71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63.92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55.08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57.10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47.20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梅海园2期</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二环匝道：-2.35~0.96</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二环高架：-4.5~-0.6</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辅路：-0.39~0.78</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62.68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54.03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61.71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54.14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61.79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54.48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61.84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54.70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61.99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54.81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62.11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55.18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56.70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46.77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福建行政学校</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二环匝道：-0.06~2.16</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上层辅路：0.2~1.82</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下层主路：5.56~7.22</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66.68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57.14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66.72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58.00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5.91</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66.81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58.45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6.93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山海观花园新城</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二环匝道：0.22~2.56</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上层辅路：0.2~1.82</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下层主路：1.3~5.56</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64.81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55.22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55.30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64.90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55.36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64.99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55.41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65.11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55.52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65.01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55.47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64.84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55.23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64.62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54.89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64.78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54.98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65.14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55.03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55.36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64.99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55.00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64.61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54.28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64.18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53.96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63.97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53.76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63.90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53.66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53.58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53.57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62.18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62.17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53.24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62.00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53.13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东方苑</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上层辅路：-1.47~3.05</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下层主路：1.42~8.35</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掉头匝道：-7.49~2.7</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64.20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54.15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64.32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54.41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64.66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64.70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54.80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64.82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54.99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64.65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55.00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56.45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57.18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0.41</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67.20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58.20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0.71</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67.09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58.65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66.90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57.80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66.86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57.78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66.72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57.69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66.50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57.56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65.63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56.81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1.11</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65.28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56.47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64.12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54.96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63.54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0.81</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8</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九00医院</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上层辅路：-2.59~0.81</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下层主路：-2.36~2.21</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66.12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57.52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57.78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6.89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66.29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57.98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66.62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58.05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65.28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57.89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6.93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7.53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64.94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56.92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9</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西凤社区</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55.91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47.23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光华楼</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61.68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53.64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62.48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54.08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62.70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54.37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62.83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54.48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62.83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54.47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61.79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54.37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56.12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46.72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荣侨新村</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61.19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53.12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53.46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62.28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53.80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62.32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53.92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62.32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53.91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61.74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53.74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大梦山小区</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60.19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52.12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60.87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52.46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61.28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52.80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61.32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52.92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61.32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52.91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1.81</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60.74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52.74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1.71</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60.74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52.74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60.98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52.78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61.23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52.71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60.86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52.41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60.21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51.98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56.99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46.28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象山公寓</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上层辅路：-0.63~1.55</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下层主路：-0.24~2.88</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掉头匝道：-3.67~1.4</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64.31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54.38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64.63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54.69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64.82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54.80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64.65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54.61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64.65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山水公寓</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上层辅路：-0.92~2.99</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下层主路：5.02~6.99</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掉头匝道：-7.41~-3.1</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62.21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52.76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63.15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53.41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63.78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54.02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64.24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54.93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64.57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55.63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65.26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56.04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65.97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56.86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57.35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66.92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57.43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66.91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57.42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66.81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57.28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66.78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56.86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66.70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56.82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65.91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55.92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65.88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55.77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64.28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54.67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63.10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53.15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lang w:val="en-US"/>
              </w:rPr>
            </w:pPr>
            <w:r>
              <w:rPr>
                <w:rFonts w:hint="eastAsia" w:cs="Times New Roman"/>
                <w:i w:val="0"/>
                <w:iCs w:val="0"/>
                <w:color w:val="auto"/>
                <w:spacing w:val="-11"/>
                <w:kern w:val="0"/>
                <w:sz w:val="21"/>
                <w:szCs w:val="21"/>
                <w:highlight w:val="none"/>
                <w:u w:val="none"/>
                <w:lang w:val="en-US" w:eastAsia="zh-CN" w:bidi="ar"/>
              </w:rPr>
              <w:t>55.5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57.01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lang w:val="en-US"/>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w:t>
            </w:r>
            <w:r>
              <w:rPr>
                <w:rFonts w:hint="eastAsia" w:cs="Times New Roman"/>
                <w:i w:val="0"/>
                <w:iCs w:val="0"/>
                <w:color w:val="auto"/>
                <w:spacing w:val="-11"/>
                <w:kern w:val="0"/>
                <w:sz w:val="21"/>
                <w:szCs w:val="21"/>
                <w:highlight w:val="none"/>
                <w:u w:val="none"/>
                <w:lang w:val="en-US" w:eastAsia="zh-CN" w:bidi="ar"/>
              </w:rPr>
              <w:t>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46.28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职业病防治院宿舍</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上层辅路：1.52~3.18</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下层主路：8.98~10.91</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49.7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59.52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50.52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59.55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50.56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59.57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50.58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59.60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50.61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59.61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50.61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59.60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50.60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59.55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50.57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职业病防治院住院部</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上层辅路：3.43~22.9</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下层主路：30.33~31.26</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49.02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44.15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49.35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46.64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49.49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46.71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49.98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46.99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50.05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47.05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九龙山庄</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上层辅路：3.77~20.97</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下层主路：28.45~29.01</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45.50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41.75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45.51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41.74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41.75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45.30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41.75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45.54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41.76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41.75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45.50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41.73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45.22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41.13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西湖别墅</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上层辅路：4.02~15.13</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下层主路：22.5~25.48</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41.81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45.61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41.80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45.35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41.81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45.40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41.81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45.64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41.82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45.70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41.81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41.79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福建省司法大楼</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上层辅路：-1.58~2.99</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下层主路：5.96~8.81</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57.32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49.27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57.41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49.65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58.46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50.62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58.93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51.21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60.12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52.10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60.25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52.19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61.10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52.99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61.54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53.27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2.98</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61.78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58.88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53.68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62.32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53.96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3.59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31.2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62.20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54.02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62.18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0.61</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54.00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62.17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53.98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62.01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53.89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4.41</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61.53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53.33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4.61</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61.25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0.96</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52.94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井边新村</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上层辅路：-1.43~2.99</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下层主路：6.41~7.41</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62.92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-3.39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53.87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63.21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-2.21</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54.00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0.32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63.33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63.39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54.36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13.2</w:t>
            </w: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64.27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61.77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61.89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62.68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54.39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55.69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1.12</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1.89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56.08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-0.08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47.02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21</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西湖公园</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上层辅路：-5.5~1.47</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下层主路：-4.85~7.0</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掉头匝道：-10.13~-0.2</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1.07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43.42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47.97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1.97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左海公园</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二环匝道：-2.6~1.15</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二环高架：-7.27~-0.22</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上层辅路：-4.12~1.12</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下层主路：-0.22~6.7</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58.7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49.7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57.59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2.59</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8.01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8.06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55.2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59.37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4.17</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2.24</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51.25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6.38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23</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西山张真人殿</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上层辅路：17.5</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下层主路：25</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4a类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70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lang w:val="en-US"/>
              </w:rPr>
            </w:pPr>
            <w:r>
              <w:rPr>
                <w:rFonts w:hint="default" w:ascii="Times New Roman" w:hAnsi="Times New Roman" w:eastAsia="宋体" w:cs="Times New Roman"/>
                <w:i w:val="0"/>
                <w:iCs w:val="0"/>
                <w:color w:val="auto"/>
                <w:spacing w:val="-17"/>
                <w:kern w:val="0"/>
                <w:sz w:val="21"/>
                <w:szCs w:val="21"/>
                <w:highlight w:val="none"/>
                <w:u w:val="none"/>
                <w:lang w:val="en-US" w:eastAsia="zh-CN" w:bidi="ar"/>
              </w:rPr>
              <w:t>45.</w:t>
            </w:r>
            <w:r>
              <w:rPr>
                <w:rFonts w:hint="eastAsia" w:cs="Times New Roman"/>
                <w:i w:val="0"/>
                <w:iCs w:val="0"/>
                <w:color w:val="auto"/>
                <w:spacing w:val="-17"/>
                <w:kern w:val="0"/>
                <w:sz w:val="21"/>
                <w:szCs w:val="21"/>
                <w:highlight w:val="none"/>
                <w:u w:val="none"/>
                <w:lang w:val="en-US" w:eastAsia="zh-CN" w:bidi="ar"/>
              </w:rPr>
              <w:t>.15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eastAsia" w:cs="Times New Roman"/>
                <w:i w:val="0"/>
                <w:iCs w:val="0"/>
                <w:color w:val="auto"/>
                <w:spacing w:val="-11"/>
                <w:kern w:val="0"/>
                <w:sz w:val="21"/>
                <w:szCs w:val="21"/>
                <w:highlight w:val="none"/>
                <w:u w:val="none"/>
                <w:lang w:val="en-US" w:eastAsia="zh-CN" w:bidi="ar"/>
              </w:rPr>
              <w:t>45.15</w:t>
            </w: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44.99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w:t>
            </w:r>
            <w:r>
              <w:rPr>
                <w:rFonts w:hint="eastAsia" w:cs="Times New Roman"/>
                <w:i w:val="0"/>
                <w:iCs w:val="0"/>
                <w:color w:val="auto"/>
                <w:spacing w:val="-11"/>
                <w:kern w:val="0"/>
                <w:sz w:val="21"/>
                <w:szCs w:val="21"/>
                <w:highlight w:val="none"/>
                <w:u w:val="none"/>
                <w:lang w:val="en-US" w:eastAsia="zh-CN" w:bidi="ar"/>
              </w:rPr>
              <w:t>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w:t>
            </w:r>
            <w:r>
              <w:rPr>
                <w:rFonts w:hint="eastAsia" w:cs="Times New Roman"/>
                <w:i w:val="0"/>
                <w:iCs w:val="0"/>
                <w:color w:val="auto"/>
                <w:spacing w:val="-11"/>
                <w:kern w:val="0"/>
                <w:sz w:val="21"/>
                <w:szCs w:val="21"/>
                <w:highlight w:val="none"/>
                <w:u w:val="none"/>
                <w:lang w:val="en-US" w:eastAsia="zh-CN" w:bidi="ar"/>
              </w:rPr>
              <w:t>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lang w:val="en-US"/>
              </w:rPr>
            </w:pPr>
            <w:r>
              <w:rPr>
                <w:rFonts w:hint="eastAsia" w:cs="Times New Roman"/>
                <w:i w:val="0"/>
                <w:iCs w:val="0"/>
                <w:color w:val="auto"/>
                <w:spacing w:val="-11"/>
                <w:kern w:val="0"/>
                <w:sz w:val="21"/>
                <w:szCs w:val="21"/>
                <w:highlight w:val="none"/>
                <w:u w:val="none"/>
                <w:lang w:val="en-US" w:eastAsia="zh-CN" w:bidi="ar"/>
              </w:rPr>
              <w:t>3.02</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55</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kern w:val="0"/>
                <w:sz w:val="21"/>
                <w:szCs w:val="21"/>
                <w:highlight w:val="none"/>
                <w:u w:val="none"/>
                <w:lang w:val="en-US" w:eastAsia="zh-CN" w:bidi="ar"/>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r>
              <w:rPr>
                <w:rFonts w:hint="eastAsia" w:ascii="Times New Roman" w:hAnsi="Times New Roman" w:eastAsia="宋体" w:cs="Times New Roman"/>
                <w:i w:val="0"/>
                <w:iCs w:val="0"/>
                <w:color w:val="auto"/>
                <w:spacing w:val="-11"/>
                <w:kern w:val="0"/>
                <w:sz w:val="21"/>
                <w:szCs w:val="21"/>
                <w:highlight w:val="none"/>
                <w:u w:val="none"/>
                <w:lang w:val="en-US" w:eastAsia="zh-CN" w:bidi="ar"/>
              </w:rPr>
              <w:t>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kern w:val="0"/>
                <w:sz w:val="21"/>
                <w:szCs w:val="21"/>
                <w:highlight w:val="none"/>
                <w:u w:val="none"/>
                <w:lang w:val="en-US" w:eastAsia="zh-CN" w:bidi="ar"/>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41.1</w:t>
            </w:r>
            <w:r>
              <w:rPr>
                <w:rFonts w:hint="eastAsia" w:ascii="Times New Roman" w:hAnsi="Times New Roman" w:eastAsia="宋体" w:cs="Times New Roman"/>
                <w:i w:val="0"/>
                <w:iCs w:val="0"/>
                <w:color w:val="auto"/>
                <w:spacing w:val="-11"/>
                <w:kern w:val="0"/>
                <w:sz w:val="21"/>
                <w:szCs w:val="21"/>
                <w:highlight w:val="none"/>
                <w:u w:val="none"/>
                <w:lang w:val="en-US" w:eastAsia="zh-CN" w:bidi="ar"/>
              </w:rPr>
              <w:t>5</w:t>
            </w: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lang w:val="en-US"/>
              </w:rPr>
            </w:pPr>
            <w:r>
              <w:rPr>
                <w:rFonts w:hint="eastAsia" w:cs="Times New Roman"/>
                <w:i w:val="0"/>
                <w:iCs w:val="0"/>
                <w:color w:val="auto"/>
                <w:spacing w:val="-11"/>
                <w:kern w:val="0"/>
                <w:sz w:val="21"/>
                <w:szCs w:val="21"/>
                <w:highlight w:val="none"/>
                <w:u w:val="none"/>
                <w:lang w:val="en-US" w:eastAsia="zh-CN" w:bidi="ar"/>
              </w:rPr>
              <w:t>1.98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39.02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2.0</w:t>
            </w:r>
            <w:r>
              <w:rPr>
                <w:rFonts w:hint="eastAsia" w:cs="Times New Roman"/>
                <w:i w:val="0"/>
                <w:iCs w:val="0"/>
                <w:color w:val="auto"/>
                <w:spacing w:val="-11"/>
                <w:kern w:val="0"/>
                <w:sz w:val="21"/>
                <w:szCs w:val="21"/>
                <w:highlight w:val="none"/>
                <w:u w:val="none"/>
                <w:lang w:val="en-US" w:eastAsia="zh-CN" w:bidi="ar"/>
              </w:rPr>
              <w:t>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lang w:val="en-US"/>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w:t>
            </w:r>
            <w:r>
              <w:rPr>
                <w:rFonts w:hint="eastAsia" w:cs="Times New Roman"/>
                <w:i w:val="0"/>
                <w:iCs w:val="0"/>
                <w:color w:val="auto"/>
                <w:spacing w:val="-11"/>
                <w:kern w:val="0"/>
                <w:sz w:val="21"/>
                <w:szCs w:val="21"/>
                <w:highlight w:val="none"/>
                <w:u w:val="none"/>
                <w:lang w:val="en-US" w:eastAsia="zh-CN" w:bidi="ar"/>
              </w:rPr>
              <w:t>06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24</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伊斯兰圣墓</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上层辅路：-2~22</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下层主路：5.5~29.5</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48.13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49.03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5.33</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41.2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45.12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42.92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25</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福建省档案馆（后库）</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二环匝道：-0.06~2.16</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上层辅路：0.2~1.82</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下层主路：5.56~7.22</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56.11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47.39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46.3</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46.37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41.41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26</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梦山新村</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56.21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0.46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45.53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40.63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46.72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1.19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41.34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46.93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1.4</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27</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湖滨新城</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kern w:val="0"/>
                <w:sz w:val="21"/>
                <w:szCs w:val="21"/>
                <w:highlight w:val="none"/>
                <w:u w:val="none"/>
                <w:lang w:val="en-US" w:eastAsia="zh-CN" w:bidi="ar"/>
              </w:rPr>
            </w:pPr>
            <w:r>
              <w:rPr>
                <w:rFonts w:hint="eastAsia" w:ascii="Times New Roman" w:hAnsi="Times New Roman" w:eastAsia="宋体" w:cs="Times New Roman"/>
                <w:i w:val="0"/>
                <w:iCs w:val="0"/>
                <w:color w:val="auto"/>
                <w:spacing w:val="-11"/>
                <w:kern w:val="0"/>
                <w:sz w:val="21"/>
                <w:szCs w:val="21"/>
                <w:highlight w:val="none"/>
                <w:u w:val="none"/>
                <w:lang w:val="en-US" w:eastAsia="zh-CN" w:bidi="ar"/>
              </w:rPr>
              <w:t>上层辅路：-2.35~0.15</w:t>
            </w:r>
            <w:r>
              <w:rPr>
                <w:rFonts w:hint="eastAsia"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eastAsia" w:ascii="Times New Roman" w:hAnsi="Times New Roman" w:eastAsia="宋体" w:cs="Times New Roman"/>
                <w:i w:val="0"/>
                <w:iCs w:val="0"/>
                <w:color w:val="auto"/>
                <w:spacing w:val="-11"/>
                <w:kern w:val="0"/>
                <w:sz w:val="21"/>
                <w:szCs w:val="21"/>
                <w:highlight w:val="none"/>
                <w:u w:val="none"/>
                <w:lang w:val="en-US" w:eastAsia="zh-CN" w:bidi="ar"/>
              </w:rPr>
              <w:t>下层主路：3.81~7.07</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56.72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48.82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48.89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57.37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0.65</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kern w:val="0"/>
                <w:sz w:val="21"/>
                <w:szCs w:val="21"/>
                <w:highlight w:val="none"/>
                <w:u w:val="none"/>
                <w:lang w:val="en-US" w:eastAsia="zh-CN" w:bidi="ar"/>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46.25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41.99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1.35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42.67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42.73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1.56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28</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福州西湖国际学校</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kern w:val="0"/>
                <w:sz w:val="21"/>
                <w:szCs w:val="21"/>
                <w:highlight w:val="none"/>
                <w:u w:val="none"/>
                <w:lang w:val="en-US" w:eastAsia="zh-CN" w:bidi="ar"/>
              </w:rPr>
            </w:pPr>
            <w:r>
              <w:rPr>
                <w:rFonts w:hint="eastAsia" w:ascii="Times New Roman" w:hAnsi="Times New Roman" w:eastAsia="宋体" w:cs="Times New Roman"/>
                <w:i w:val="0"/>
                <w:iCs w:val="0"/>
                <w:color w:val="auto"/>
                <w:spacing w:val="-11"/>
                <w:kern w:val="0"/>
                <w:sz w:val="21"/>
                <w:szCs w:val="21"/>
                <w:highlight w:val="none"/>
                <w:u w:val="none"/>
                <w:lang w:val="en-US" w:eastAsia="zh-CN" w:bidi="ar"/>
              </w:rPr>
              <w:t>上层辅路：-0.74~7.22</w:t>
            </w:r>
            <w:r>
              <w:rPr>
                <w:rFonts w:hint="eastAsia"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eastAsia" w:ascii="Times New Roman" w:hAnsi="Times New Roman" w:eastAsia="宋体" w:cs="Times New Roman"/>
                <w:i w:val="0"/>
                <w:iCs w:val="0"/>
                <w:color w:val="auto"/>
                <w:spacing w:val="-11"/>
                <w:kern w:val="0"/>
                <w:sz w:val="21"/>
                <w:szCs w:val="21"/>
                <w:highlight w:val="none"/>
                <w:u w:val="none"/>
                <w:lang w:val="en-US" w:eastAsia="zh-CN" w:bidi="ar"/>
              </w:rPr>
              <w:t>下层主路：-0.35~2.29</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56.75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45.28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0.26</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46.20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38.88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46.94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39.15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46.98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39.21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46.99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0.79</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29</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双安城</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上层辅路：-3.13~-0.1</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下层主路：2.81~7.04</w:t>
            </w:r>
            <w:r>
              <w:rPr>
                <w:rFonts w:hint="default" w:ascii="Times New Roman" w:hAnsi="Times New Roman" w:eastAsia="宋体" w:cs="Times New Roman"/>
                <w:i w:val="0"/>
                <w:iCs w:val="0"/>
                <w:color w:val="auto"/>
                <w:spacing w:val="-11"/>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spacing w:val="-11"/>
                <w:kern w:val="0"/>
                <w:sz w:val="21"/>
                <w:szCs w:val="21"/>
                <w:highlight w:val="none"/>
                <w:u w:val="none"/>
                <w:lang w:val="en-US" w:eastAsia="zh-CN" w:bidi="ar"/>
              </w:rPr>
              <w:t>掉头匝道：-9.62~-3.1</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56.7</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56.77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45.91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57.05</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0.28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46.2</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46.23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39.64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47.07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39.81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39.87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47.11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0.88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30</w:t>
            </w:r>
          </w:p>
        </w:tc>
        <w:tc>
          <w:tcPr>
            <w:tcW w:w="10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熊猫世界</w:t>
            </w:r>
          </w:p>
        </w:tc>
        <w:tc>
          <w:tcPr>
            <w:tcW w:w="12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w:t>
            </w:r>
          </w:p>
        </w:tc>
        <w:tc>
          <w:tcPr>
            <w:tcW w:w="6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1.2</w:t>
            </w:r>
          </w:p>
        </w:tc>
        <w:tc>
          <w:tcPr>
            <w:tcW w:w="73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2类</w:t>
            </w: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昼间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60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56.1</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56.14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0.17</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43.16</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43.23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56.32</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0.18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17"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0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125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73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pacing w:val="-11"/>
                <w:sz w:val="21"/>
                <w:szCs w:val="21"/>
                <w:highlight w:val="none"/>
                <w:u w:val="none"/>
              </w:rPr>
            </w:pPr>
          </w:p>
        </w:tc>
        <w:tc>
          <w:tcPr>
            <w:tcW w:w="6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夜间</w:t>
            </w:r>
          </w:p>
        </w:tc>
        <w:tc>
          <w:tcPr>
            <w:tcW w:w="5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50</w:t>
            </w:r>
          </w:p>
        </w:tc>
        <w:tc>
          <w:tcPr>
            <w:tcW w:w="6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45.5</w:t>
            </w:r>
          </w:p>
        </w:tc>
        <w:tc>
          <w:tcPr>
            <w:tcW w:w="6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 xml:space="preserve">45.50 </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36.44</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46.01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0.51</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37.03</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37.09</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46.08</w:t>
            </w:r>
          </w:p>
        </w:tc>
        <w:tc>
          <w:tcPr>
            <w:tcW w:w="6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0.58</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pacing w:val="-11"/>
                <w:sz w:val="21"/>
                <w:szCs w:val="21"/>
                <w:highlight w:val="none"/>
                <w:u w:val="none"/>
              </w:rPr>
            </w:pPr>
            <w:r>
              <w:rPr>
                <w:rFonts w:hint="default" w:ascii="Times New Roman" w:hAnsi="Times New Roman" w:eastAsia="宋体" w:cs="Times New Roman"/>
                <w:i w:val="0"/>
                <w:iCs w:val="0"/>
                <w:color w:val="auto"/>
                <w:spacing w:val="-11"/>
                <w:kern w:val="0"/>
                <w:sz w:val="21"/>
                <w:szCs w:val="21"/>
                <w:highlight w:val="none"/>
                <w:u w:val="none"/>
                <w:lang w:val="en-US" w:eastAsia="zh-CN" w:bidi="ar"/>
              </w:rPr>
              <w:t>/</w:t>
            </w:r>
          </w:p>
        </w:tc>
      </w:tr>
    </w:tbl>
    <w:p>
      <w:pPr>
        <w:jc w:val="left"/>
        <w:rPr>
          <w:color w:val="auto"/>
          <w:highlight w:val="none"/>
        </w:rPr>
      </w:pPr>
    </w:p>
    <w:p>
      <w:pPr>
        <w:adjustRightInd w:val="0"/>
        <w:snapToGrid w:val="0"/>
        <w:ind w:firstLine="480"/>
        <w:rPr>
          <w:rFonts w:hAnsi="宋体"/>
          <w:color w:val="auto"/>
          <w:highlight w:val="none"/>
        </w:rPr>
        <w:sectPr>
          <w:pgSz w:w="16838" w:h="11906" w:orient="landscape"/>
          <w:pgMar w:top="1134" w:right="1417" w:bottom="1134" w:left="1417"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outlineLvl w:val="2"/>
        <w:rPr>
          <w:rFonts w:hint="eastAsia" w:eastAsia="黑体"/>
          <w:color w:val="auto"/>
          <w:sz w:val="24"/>
          <w:highlight w:val="none"/>
        </w:rPr>
      </w:pPr>
      <w:r>
        <w:rPr>
          <w:rFonts w:hint="eastAsia" w:eastAsia="黑体"/>
          <w:color w:val="auto"/>
          <w:sz w:val="24"/>
          <w:highlight w:val="none"/>
        </w:rPr>
        <w:t>4.2.4小结</w:t>
      </w:r>
    </w:p>
    <w:p>
      <w:pPr>
        <w:adjustRightInd w:val="0"/>
        <w:snapToGrid w:val="0"/>
        <w:spacing w:line="360" w:lineRule="auto"/>
        <w:ind w:firstLine="480"/>
        <w:rPr>
          <w:snapToGrid w:val="0"/>
          <w:color w:val="auto"/>
          <w:kern w:val="0"/>
          <w:sz w:val="24"/>
          <w:highlight w:val="none"/>
        </w:rPr>
      </w:pPr>
      <w:r>
        <w:rPr>
          <w:rFonts w:hint="eastAsia"/>
          <w:snapToGrid w:val="0"/>
          <w:color w:val="auto"/>
          <w:kern w:val="0"/>
          <w:sz w:val="24"/>
          <w:highlight w:val="none"/>
        </w:rPr>
        <w:t>根据上表，项目沿线U槽、箱型路段声环境保护目标预测值低于现状噪声监测值，这是由于项目拓宽改造，建设双层道路，以此实现区域交通分流。下层U槽、箱型通道、隧道能够有效阻隔噪声，噪声预测值主要受上层辅路交通量影响。</w:t>
      </w:r>
    </w:p>
    <w:p>
      <w:pPr>
        <w:adjustRightInd w:val="0"/>
        <w:snapToGrid w:val="0"/>
        <w:spacing w:line="360" w:lineRule="auto"/>
        <w:ind w:firstLine="480" w:firstLineChars="200"/>
        <w:rPr>
          <w:rFonts w:hint="eastAsia"/>
          <w:color w:val="auto"/>
          <w:sz w:val="24"/>
          <w:highlight w:val="none"/>
        </w:rPr>
      </w:pPr>
      <w:r>
        <w:rPr>
          <w:rFonts w:hint="eastAsia"/>
          <w:snapToGrid w:val="0"/>
          <w:color w:val="auto"/>
          <w:kern w:val="0"/>
          <w:sz w:val="24"/>
          <w:highlight w:val="none"/>
        </w:rPr>
        <w:t>通过预测可知，</w:t>
      </w:r>
      <w:r>
        <w:rPr>
          <w:rFonts w:hint="eastAsia"/>
          <w:snapToGrid w:val="0"/>
          <w:color w:val="auto"/>
          <w:kern w:val="0"/>
          <w:sz w:val="24"/>
          <w:highlight w:val="none"/>
          <w:lang w:val="zh-CN"/>
        </w:rPr>
        <w:t>道路通车后沿线所有声环境保护目标的环境噪声将出现不同程度的超标，应采取必要的声控措施减小交通噪声影响。</w:t>
      </w:r>
      <w:r>
        <w:rPr>
          <w:rFonts w:hint="eastAsia"/>
          <w:color w:val="auto"/>
          <w:sz w:val="24"/>
          <w:highlight w:val="none"/>
        </w:rPr>
        <w:t>对这些超标声环境保护目标应根据超标范围及声环境保护目标特征采取临路建筑物种植高大植被，加装隔声窗、声屏障等噪声防治措施。</w:t>
      </w:r>
    </w:p>
    <w:p>
      <w:pPr>
        <w:adjustRightInd w:val="0"/>
        <w:snapToGrid w:val="0"/>
        <w:spacing w:line="360" w:lineRule="auto"/>
        <w:ind w:firstLine="480"/>
        <w:rPr>
          <w:rFonts w:hint="eastAsia"/>
          <w:snapToGrid w:val="0"/>
          <w:color w:val="auto"/>
          <w:kern w:val="0"/>
          <w:sz w:val="24"/>
          <w:highlight w:val="none"/>
          <w:lang w:val="zh-CN"/>
        </w:rPr>
      </w:pPr>
    </w:p>
    <w:p>
      <w:pPr>
        <w:pageBreakBefore/>
        <w:adjustRightInd w:val="0"/>
        <w:snapToGrid w:val="0"/>
        <w:spacing w:before="240" w:beforeLines="100" w:after="240" w:afterLines="100" w:line="360" w:lineRule="auto"/>
        <w:outlineLvl w:val="0"/>
        <w:rPr>
          <w:rFonts w:hint="eastAsia" w:eastAsia="黑体"/>
          <w:snapToGrid w:val="0"/>
          <w:color w:val="auto"/>
          <w:kern w:val="0"/>
          <w:sz w:val="30"/>
          <w:szCs w:val="30"/>
          <w:highlight w:val="none"/>
        </w:rPr>
      </w:pPr>
      <w:bookmarkStart w:id="54" w:name="_Toc3996"/>
      <w:r>
        <w:rPr>
          <w:rFonts w:hint="eastAsia" w:eastAsia="黑体"/>
          <w:snapToGrid w:val="0"/>
          <w:color w:val="auto"/>
          <w:kern w:val="0"/>
          <w:sz w:val="30"/>
          <w:szCs w:val="30"/>
          <w:highlight w:val="none"/>
        </w:rPr>
        <w:t>5 噪声防治措施</w:t>
      </w:r>
      <w:bookmarkEnd w:id="54"/>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55" w:name="_Toc14027"/>
      <w:r>
        <w:rPr>
          <w:rFonts w:hint="eastAsia" w:eastAsia="黑体"/>
          <w:snapToGrid w:val="0"/>
          <w:color w:val="auto"/>
          <w:kern w:val="0"/>
          <w:sz w:val="28"/>
          <w:szCs w:val="28"/>
          <w:highlight w:val="none"/>
        </w:rPr>
        <w:t>5.1 施工期噪声防治措施</w:t>
      </w:r>
      <w:bookmarkEnd w:id="55"/>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1）道路沿线声环境保护目标较多，施工中应采取以下措施：进行高噪声作业时应避开居民区的午间和夜间的休息时段，若夜间确需连续高噪声（高振动）业的，应报当地环保行政主管部门批准，并公告居民最大限度地争取民众支持。对施工期噪声超标的声环境保护目标，根据实际情况，在声环境保护目标</w:t>
      </w:r>
      <w:r>
        <w:rPr>
          <w:rFonts w:hint="eastAsia" w:hAnsi="宋体"/>
          <w:color w:val="auto"/>
          <w:sz w:val="24"/>
          <w:highlight w:val="none"/>
          <w:lang w:eastAsia="zh-CN"/>
        </w:rPr>
        <w:t>（九00医院总院、象山公寓、东方苑、山水公寓小区、双安城、职业病防治院、九龙山庄、西湖别墅、光华楼、西凤社区、大梦山小区、湖滨新城、福建省司法大楼、梅峰井边新村、山海观花园新城、福建行政学校、福建省档案馆（后库）、西湖公园、左海公园、梅海园2期、融侨花园（III区）、福建省高级人民法院、省公安厅宿舍）</w:t>
      </w:r>
      <w:r>
        <w:rPr>
          <w:rFonts w:hint="eastAsia" w:hAnsi="宋体"/>
          <w:color w:val="auto"/>
          <w:sz w:val="24"/>
          <w:highlight w:val="none"/>
        </w:rPr>
        <w:t>附近路段施工时应设置临时声屏障等降噪措施。</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2）施工应尽量选用低噪设备，并严格执行施工场界执行GB12523-2011《建筑施工场界环境噪声排放标准》，控制施工期噪声的影响；若因高噪设备造成施工场界噪声超标，则必须进行施工围挡或移动声屏障等措施。</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（3）在路线近距内有集中村镇居民区的路段，强噪声施工机械（装载机、振捣器等）夜间（22:00-6:00）停止施工作业，如需连续作业应向当地环保部门申报。</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（4）合理安排施工活动，尽量缩短工期，减少施工噪声影响时间。避免强噪声施工机械在同一区域内同时使用。</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（5）施工中注意选用效率高、噪声低的机械，并注意对机械的正确操作及维修，使之维持最佳工作状态和最低声级水平。</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6）按劳动卫生标准，保护施工人员的身心健康，施工单位应合理安排工作人员，做到轮换操作筑路机械，或穿插安排高噪声和低噪声的工作，给工人以恢复听力的时间。同时，要注意保护机械，合理操作，尽量使筑路机械维持低声量级水平。操作时，工人应戴耳罩和头盔。</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（7）建筑材料运输尽量选择远离居住区等声环境保护目标的路线。</w:t>
      </w:r>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56" w:name="_Toc31507"/>
      <w:r>
        <w:rPr>
          <w:rFonts w:hint="eastAsia" w:eastAsia="黑体"/>
          <w:snapToGrid w:val="0"/>
          <w:color w:val="auto"/>
          <w:kern w:val="0"/>
          <w:sz w:val="28"/>
          <w:szCs w:val="28"/>
          <w:highlight w:val="none"/>
        </w:rPr>
        <w:t>5.2 营运期交通噪声防治措施</w:t>
      </w:r>
      <w:bookmarkEnd w:id="56"/>
    </w:p>
    <w:p>
      <w:pPr>
        <w:spacing w:line="360" w:lineRule="auto"/>
        <w:ind w:firstLine="480"/>
        <w:rPr>
          <w:rFonts w:hint="eastAsia" w:ascii="宋体" w:hAnsi="宋体"/>
          <w:color w:val="auto"/>
          <w:sz w:val="24"/>
          <w:highlight w:val="none"/>
        </w:rPr>
      </w:pPr>
      <w:r>
        <w:rPr>
          <w:rFonts w:hint="eastAsia" w:ascii="宋体" w:hAnsi="宋体"/>
          <w:color w:val="auto"/>
          <w:sz w:val="24"/>
          <w:highlight w:val="none"/>
        </w:rPr>
        <w:t>（1）噪声防治措施</w:t>
      </w:r>
    </w:p>
    <w:p>
      <w:pPr>
        <w:spacing w:line="360" w:lineRule="auto"/>
        <w:ind w:firstLine="480"/>
        <w:rPr>
          <w:rFonts w:hint="eastAsia" w:ascii="宋体" w:hAnsi="宋体"/>
          <w:color w:val="auto"/>
          <w:sz w:val="24"/>
          <w:highlight w:val="none"/>
        </w:rPr>
      </w:pPr>
      <w:r>
        <w:rPr>
          <w:rFonts w:hint="eastAsia" w:ascii="宋体" w:hAnsi="宋体"/>
          <w:color w:val="auto"/>
          <w:sz w:val="24"/>
          <w:highlight w:val="none"/>
        </w:rPr>
        <w:t>①宜合理利用地物地貌、绿化带等作为隔声屏障，其建设应结合噪声衰减要求、周围土地利用现状与规划、景观要求、水土保持规划等进行。</w:t>
      </w:r>
    </w:p>
    <w:p>
      <w:pPr>
        <w:spacing w:line="360" w:lineRule="auto"/>
        <w:ind w:firstLine="480"/>
        <w:rPr>
          <w:rFonts w:hint="eastAsia" w:hAnsi="宋体"/>
          <w:color w:val="auto"/>
          <w:sz w:val="24"/>
          <w:highlight w:val="none"/>
        </w:rPr>
      </w:pPr>
      <w:r>
        <w:rPr>
          <w:rFonts w:hint="eastAsia" w:ascii="宋体" w:hAnsi="宋体"/>
          <w:color w:val="auto"/>
          <w:sz w:val="24"/>
          <w:highlight w:val="none"/>
        </w:rPr>
        <w:t>②</w:t>
      </w:r>
      <w:r>
        <w:rPr>
          <w:rFonts w:hint="eastAsia" w:hAnsi="宋体"/>
          <w:color w:val="auto"/>
          <w:sz w:val="24"/>
          <w:highlight w:val="none"/>
        </w:rPr>
        <w:t>结合区域生态建设规划，加强拟建工程征地范围内可绿化地段的绿化工作。对路堤边坡、排水沟边等进行统一的绿化工程设计，道路居民住宅路段两侧在可能情况下营造多层次结构的绿化林带，使之形成生态屏障，强化对交通噪声的阻隔与吸收作用。</w:t>
      </w:r>
    </w:p>
    <w:p>
      <w:pPr>
        <w:spacing w:line="360" w:lineRule="auto"/>
        <w:ind w:firstLine="480"/>
        <w:rPr>
          <w:rFonts w:hint="eastAsia" w:ascii="宋体" w:hAnsi="宋体"/>
          <w:color w:val="auto"/>
          <w:sz w:val="24"/>
          <w:highlight w:val="none"/>
        </w:rPr>
      </w:pPr>
      <w:r>
        <w:rPr>
          <w:rFonts w:hint="eastAsia" w:ascii="宋体" w:hAnsi="宋体"/>
          <w:color w:val="auto"/>
          <w:sz w:val="24"/>
          <w:highlight w:val="none"/>
        </w:rPr>
        <w:t>③在设备选型上尽量选用高效率、低噪声设备，设置减振缓冲装置，在各个设备房内墙壁设置吸声消音措施，加强对设备维护保养，保证设备正常运行。</w:t>
      </w:r>
    </w:p>
    <w:p>
      <w:pPr>
        <w:spacing w:line="360" w:lineRule="auto"/>
        <w:ind w:firstLine="480"/>
        <w:rPr>
          <w:rFonts w:hint="eastAsia" w:ascii="宋体" w:hAnsi="宋体"/>
          <w:color w:val="auto"/>
          <w:sz w:val="24"/>
          <w:highlight w:val="none"/>
        </w:rPr>
      </w:pPr>
      <w:r>
        <w:rPr>
          <w:rFonts w:hint="eastAsia" w:ascii="宋体" w:hAnsi="宋体"/>
          <w:color w:val="auto"/>
          <w:sz w:val="24"/>
          <w:highlight w:val="none"/>
        </w:rPr>
        <w:t>④道路建设部门应进行合理规划，尽量减少设置在道路中间的地下管线检查井口，或将井口设置在道路隔离带等车辆不经过的地方，并采用与井口结合紧密的井盖，以非金属材质井盖代替金属材质井盖，以降低车辆经过井盖时引发的撞击噪声。</w:t>
      </w:r>
    </w:p>
    <w:p>
      <w:pPr>
        <w:spacing w:line="360" w:lineRule="auto"/>
        <w:ind w:firstLine="480"/>
        <w:rPr>
          <w:rFonts w:hint="eastAsia" w:ascii="宋体" w:hAnsi="宋体"/>
          <w:color w:val="auto"/>
          <w:sz w:val="24"/>
          <w:highlight w:val="none"/>
        </w:rPr>
      </w:pPr>
      <w:r>
        <w:rPr>
          <w:rFonts w:hint="eastAsia" w:ascii="宋体" w:hAnsi="宋体"/>
          <w:color w:val="auto"/>
          <w:sz w:val="24"/>
          <w:highlight w:val="none"/>
        </w:rPr>
        <w:t>⑤交通管理部门宜利用交通管理手段，通过采取限鸣（含禁鸣）、限速等措施，合理控制道路交通参数（车流量、车速等），降低交通噪声。路政部门宜对道路进行经常性维护，提高路面平整度，降低道路交通噪声。</w:t>
      </w:r>
    </w:p>
    <w:p>
      <w:pPr>
        <w:spacing w:line="360" w:lineRule="auto"/>
        <w:ind w:firstLine="480"/>
        <w:rPr>
          <w:rFonts w:hint="eastAsia" w:hAnsi="宋体"/>
          <w:color w:val="auto"/>
          <w:sz w:val="24"/>
          <w:highlight w:val="none"/>
        </w:rPr>
      </w:pPr>
      <w:r>
        <w:rPr>
          <w:rFonts w:hint="eastAsia" w:ascii="宋体" w:hAnsi="宋体"/>
          <w:color w:val="auto"/>
          <w:sz w:val="24"/>
          <w:highlight w:val="none"/>
        </w:rPr>
        <w:t>⑥项目沿线可能受交通噪声影响的声环境保护目标为紧邻道路两侧小区、学校、公园等，根据预测结果，该沿线声环境保护目标均受交通噪声不同程度影响，其中超标范围值在1.17～8.93dB（A），因此项目应采取相应降噪措施，确保其声环境可符合4a、2类标准。</w:t>
      </w:r>
    </w:p>
    <w:p>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w:t>
      </w:r>
      <w:r>
        <w:rPr>
          <w:rFonts w:eastAsia="Times New Roman"/>
          <w:color w:val="auto"/>
          <w:sz w:val="24"/>
          <w:highlight w:val="none"/>
        </w:rPr>
        <w:t>2</w:t>
      </w:r>
      <w:r>
        <w:rPr>
          <w:rFonts w:hint="eastAsia" w:ascii="宋体" w:hAnsi="宋体"/>
          <w:color w:val="auto"/>
          <w:sz w:val="24"/>
          <w:highlight w:val="none"/>
        </w:rPr>
        <w:t>）噪声措施及其经济、技术论证</w:t>
      </w:r>
    </w:p>
    <w:p>
      <w:pPr>
        <w:spacing w:line="360" w:lineRule="auto"/>
        <w:ind w:firstLine="480"/>
        <w:jc w:val="left"/>
        <w:rPr>
          <w:color w:val="auto"/>
          <w:sz w:val="24"/>
          <w:highlight w:val="none"/>
        </w:rPr>
      </w:pPr>
      <w:r>
        <w:rPr>
          <w:rFonts w:hint="eastAsia" w:ascii="宋体" w:hAnsi="宋体"/>
          <w:color w:val="auto"/>
          <w:sz w:val="24"/>
          <w:highlight w:val="none"/>
        </w:rPr>
        <w:t>道路工程中采取的声环保措施主要有设置声屏障、环保拆迁、改变建筑物的使用功能、安装隔声窗和种植防噪林带，各类噪声措施降</w:t>
      </w:r>
      <w:r>
        <w:rPr>
          <w:color w:val="auto"/>
          <w:sz w:val="24"/>
          <w:highlight w:val="none"/>
        </w:rPr>
        <w:t>噪效果见表</w:t>
      </w:r>
      <w:r>
        <w:rPr>
          <w:rFonts w:hint="eastAsia"/>
          <w:color w:val="auto"/>
          <w:sz w:val="24"/>
          <w:highlight w:val="none"/>
        </w:rPr>
        <w:t>5.2</w:t>
      </w:r>
      <w:r>
        <w:rPr>
          <w:rFonts w:eastAsia="Times New Roman"/>
          <w:color w:val="auto"/>
          <w:sz w:val="24"/>
          <w:highlight w:val="none"/>
        </w:rPr>
        <w:t>-1</w:t>
      </w:r>
      <w:r>
        <w:rPr>
          <w:color w:val="auto"/>
          <w:sz w:val="24"/>
          <w:highlight w:val="none"/>
        </w:rPr>
        <w:t>。</w:t>
      </w:r>
    </w:p>
    <w:p>
      <w:pPr>
        <w:spacing w:before="120" w:beforeLines="50"/>
        <w:ind w:firstLine="480"/>
        <w:jc w:val="center"/>
        <w:rPr>
          <w:rFonts w:hint="eastAsia"/>
          <w:b/>
          <w:bCs/>
          <w:color w:val="auto"/>
          <w:sz w:val="24"/>
          <w:highlight w:val="none"/>
          <w:lang w:val="zh-CN"/>
        </w:rPr>
      </w:pPr>
      <w:r>
        <w:rPr>
          <w:rFonts w:hint="eastAsia"/>
          <w:b/>
          <w:bCs/>
          <w:color w:val="auto"/>
          <w:sz w:val="24"/>
          <w:highlight w:val="none"/>
        </w:rPr>
        <w:t xml:space="preserve">表5.2-1  </w:t>
      </w:r>
      <w:r>
        <w:rPr>
          <w:rFonts w:hint="eastAsia"/>
          <w:b/>
          <w:bCs/>
          <w:color w:val="auto"/>
          <w:sz w:val="24"/>
          <w:highlight w:val="none"/>
          <w:lang w:val="zh-CN"/>
        </w:rPr>
        <w:t>噪声环保措施方案比较</w:t>
      </w:r>
    </w:p>
    <w:tbl>
      <w:tblPr>
        <w:tblStyle w:val="23"/>
        <w:tblW w:w="925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993"/>
        <w:gridCol w:w="2217"/>
        <w:gridCol w:w="2702"/>
        <w:gridCol w:w="1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1090"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防治措施</w:t>
            </w:r>
          </w:p>
        </w:tc>
        <w:tc>
          <w:tcPr>
            <w:tcW w:w="1993"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优点</w:t>
            </w:r>
          </w:p>
        </w:tc>
        <w:tc>
          <w:tcPr>
            <w:tcW w:w="2217"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缺点</w:t>
            </w:r>
          </w:p>
        </w:tc>
        <w:tc>
          <w:tcPr>
            <w:tcW w:w="2702"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防治效果</w:t>
            </w:r>
          </w:p>
        </w:tc>
        <w:tc>
          <w:tcPr>
            <w:tcW w:w="1251"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实施费用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27" w:hRule="atLeast"/>
        </w:trPr>
        <w:tc>
          <w:tcPr>
            <w:tcW w:w="1090"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声屏障</w:t>
            </w:r>
          </w:p>
        </w:tc>
        <w:tc>
          <w:tcPr>
            <w:tcW w:w="1993"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节约土地、简单、实用、可行、有效，易在快速路建设中实施</w:t>
            </w:r>
          </w:p>
        </w:tc>
        <w:tc>
          <w:tcPr>
            <w:tcW w:w="2217"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路肩处一般情况下，在路肩声屏障后60m以内的声环境保护目标防噪效果好，造价较高；影响行</w:t>
            </w:r>
          </w:p>
          <w:p>
            <w:pPr>
              <w:jc w:val="center"/>
              <w:rPr>
                <w:rFonts w:hint="eastAsia"/>
                <w:color w:val="auto"/>
                <w:kern w:val="0"/>
                <w:szCs w:val="21"/>
                <w:highlight w:val="none"/>
                <w:lang w:val="zh-CN"/>
              </w:rPr>
            </w:pPr>
            <w:r>
              <w:rPr>
                <w:rFonts w:hint="eastAsia"/>
                <w:color w:val="auto"/>
                <w:kern w:val="0"/>
                <w:szCs w:val="21"/>
                <w:highlight w:val="none"/>
                <w:lang w:val="zh-CN"/>
              </w:rPr>
              <w:t>车安全</w:t>
            </w:r>
          </w:p>
        </w:tc>
        <w:tc>
          <w:tcPr>
            <w:tcW w:w="2702"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声屏障设计应由专业环保设计和结构设计单位承担，且首先应做好声屏障声学设计，即合理设计声屏障位置、高度、长度、插入损失值、声学材料。一般可降低噪声5～12dB</w:t>
            </w:r>
          </w:p>
        </w:tc>
        <w:tc>
          <w:tcPr>
            <w:tcW w:w="1251"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2000-5000</w:t>
            </w:r>
          </w:p>
          <w:p>
            <w:pPr>
              <w:jc w:val="center"/>
              <w:rPr>
                <w:rFonts w:hint="eastAsia"/>
                <w:color w:val="auto"/>
                <w:kern w:val="0"/>
                <w:szCs w:val="21"/>
                <w:highlight w:val="none"/>
                <w:lang w:val="zh-CN"/>
              </w:rPr>
            </w:pPr>
            <w:r>
              <w:rPr>
                <w:rFonts w:hint="eastAsia"/>
                <w:color w:val="auto"/>
                <w:kern w:val="0"/>
                <w:szCs w:val="21"/>
                <w:highlight w:val="none"/>
                <w:lang w:val="zh-CN"/>
              </w:rPr>
              <w:t>元/</w:t>
            </w:r>
            <w:r>
              <w:rPr>
                <w:rFonts w:hint="eastAsia"/>
                <w:color w:val="auto"/>
                <w:kern w:val="0"/>
                <w:szCs w:val="21"/>
                <w:highlight w:val="none"/>
              </w:rPr>
              <w:t>延</w:t>
            </w:r>
            <w:r>
              <w:rPr>
                <w:rFonts w:hint="eastAsia"/>
                <w:color w:val="auto"/>
                <w:kern w:val="0"/>
                <w:szCs w:val="21"/>
                <w:highlight w:val="none"/>
                <w:lang w:val="zh-CN"/>
              </w:rPr>
              <w:t>米左</w:t>
            </w:r>
          </w:p>
          <w:p>
            <w:pPr>
              <w:jc w:val="center"/>
              <w:rPr>
                <w:rFonts w:hint="eastAsia"/>
                <w:color w:val="auto"/>
                <w:kern w:val="0"/>
                <w:szCs w:val="21"/>
                <w:highlight w:val="none"/>
                <w:lang w:val="zh-CN"/>
              </w:rPr>
            </w:pPr>
            <w:r>
              <w:rPr>
                <w:rFonts w:hint="eastAsia"/>
                <w:color w:val="auto"/>
                <w:kern w:val="0"/>
                <w:szCs w:val="21"/>
                <w:highlight w:val="none"/>
                <w:lang w:val="zh-CN"/>
              </w:rPr>
              <w:t>右（根据声</w:t>
            </w:r>
          </w:p>
          <w:p>
            <w:pPr>
              <w:jc w:val="center"/>
              <w:rPr>
                <w:rFonts w:hint="eastAsia"/>
                <w:color w:val="auto"/>
                <w:kern w:val="0"/>
                <w:szCs w:val="21"/>
                <w:highlight w:val="none"/>
                <w:lang w:val="zh-CN"/>
              </w:rPr>
            </w:pPr>
            <w:r>
              <w:rPr>
                <w:rFonts w:hint="eastAsia"/>
                <w:color w:val="auto"/>
                <w:kern w:val="0"/>
                <w:szCs w:val="21"/>
                <w:highlight w:val="none"/>
                <w:lang w:val="zh-CN"/>
              </w:rPr>
              <w:t>学材料区</w:t>
            </w:r>
          </w:p>
          <w:p>
            <w:pPr>
              <w:jc w:val="center"/>
              <w:rPr>
                <w:rFonts w:hint="eastAsia"/>
                <w:color w:val="auto"/>
                <w:kern w:val="0"/>
                <w:szCs w:val="21"/>
                <w:highlight w:val="none"/>
                <w:lang w:val="zh-CN"/>
              </w:rPr>
            </w:pPr>
            <w:r>
              <w:rPr>
                <w:rFonts w:hint="eastAsia"/>
                <w:color w:val="auto"/>
                <w:kern w:val="0"/>
                <w:szCs w:val="21"/>
                <w:highlight w:val="none"/>
                <w:lang w:val="zh-CN"/>
              </w:rPr>
              <w:t>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18" w:hRule="atLeast"/>
        </w:trPr>
        <w:tc>
          <w:tcPr>
            <w:tcW w:w="1090"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隔声窗</w:t>
            </w:r>
          </w:p>
        </w:tc>
        <w:tc>
          <w:tcPr>
            <w:tcW w:w="1993"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多用于公共建筑物，或者噪声污染特别严重，建筑结构较好的建筑物</w:t>
            </w:r>
          </w:p>
        </w:tc>
        <w:tc>
          <w:tcPr>
            <w:tcW w:w="2217"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只能解决室内声环境，不能解决室外声环境，并需解决通风问题</w:t>
            </w:r>
          </w:p>
        </w:tc>
        <w:tc>
          <w:tcPr>
            <w:tcW w:w="2702"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根据实际采用经验，在窗户全关闭的情况下，室内噪声可降低10～25dB，双层玻璃窗比单层玻璃窗降低10dB左右，可大大减轻交通噪声对室内的干扰</w:t>
            </w:r>
          </w:p>
        </w:tc>
        <w:tc>
          <w:tcPr>
            <w:tcW w:w="1251"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1500-2500</w:t>
            </w:r>
          </w:p>
          <w:p>
            <w:pPr>
              <w:jc w:val="center"/>
              <w:rPr>
                <w:rFonts w:hint="eastAsia"/>
                <w:color w:val="auto"/>
                <w:kern w:val="0"/>
                <w:szCs w:val="21"/>
                <w:highlight w:val="none"/>
                <w:lang w:val="zh-CN"/>
              </w:rPr>
            </w:pPr>
            <w:r>
              <w:rPr>
                <w:rFonts w:hint="eastAsia"/>
                <w:color w:val="auto"/>
                <w:kern w:val="0"/>
                <w:szCs w:val="21"/>
                <w:highlight w:val="none"/>
                <w:lang w:val="zh-CN"/>
              </w:rPr>
              <w:t>元/m</w:t>
            </w:r>
            <w:r>
              <w:rPr>
                <w:rFonts w:hint="eastAsia"/>
                <w:color w:val="auto"/>
                <w:kern w:val="0"/>
                <w:szCs w:val="21"/>
                <w:highlight w:val="none"/>
                <w:vertAlign w:val="superscript"/>
                <w:lang w:val="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1090"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低噪声路面</w:t>
            </w:r>
          </w:p>
        </w:tc>
        <w:tc>
          <w:tcPr>
            <w:tcW w:w="1993"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经济合理、保持环境原有风貌、行车安全、行车舒适</w:t>
            </w:r>
          </w:p>
        </w:tc>
        <w:tc>
          <w:tcPr>
            <w:tcW w:w="2217"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耐久性差、空隙易堵塞，造成减噪效果减低</w:t>
            </w:r>
          </w:p>
        </w:tc>
        <w:tc>
          <w:tcPr>
            <w:tcW w:w="2702"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可降低噪声2～5dB</w:t>
            </w:r>
          </w:p>
        </w:tc>
        <w:tc>
          <w:tcPr>
            <w:tcW w:w="1251"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约300万元</w:t>
            </w:r>
          </w:p>
          <w:p>
            <w:pPr>
              <w:jc w:val="center"/>
              <w:rPr>
                <w:rFonts w:hint="eastAsia"/>
                <w:color w:val="auto"/>
                <w:kern w:val="0"/>
                <w:szCs w:val="21"/>
                <w:highlight w:val="none"/>
                <w:lang w:val="zh-CN"/>
              </w:rPr>
            </w:pPr>
            <w:r>
              <w:rPr>
                <w:rFonts w:hint="eastAsia"/>
                <w:color w:val="auto"/>
                <w:kern w:val="0"/>
                <w:szCs w:val="21"/>
                <w:highlight w:val="none"/>
                <w:lang w:val="zh-CN"/>
              </w:rPr>
              <w:t>/km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73" w:hRule="atLeast"/>
        </w:trPr>
        <w:tc>
          <w:tcPr>
            <w:tcW w:w="1090"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搬迁</w:t>
            </w:r>
          </w:p>
        </w:tc>
        <w:tc>
          <w:tcPr>
            <w:tcW w:w="1993"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具有可永久性“解决”噪声污染问题的优点，环境效益和社会效益显著</w:t>
            </w:r>
          </w:p>
        </w:tc>
        <w:tc>
          <w:tcPr>
            <w:tcW w:w="2217"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考虑重新征用土地进行开发建设，综合投资巨大，同时实施搬迁也会产生新环境问题</w:t>
            </w:r>
          </w:p>
        </w:tc>
        <w:tc>
          <w:tcPr>
            <w:tcW w:w="2702"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可彻底解决噪声扰民问题</w:t>
            </w:r>
          </w:p>
        </w:tc>
        <w:tc>
          <w:tcPr>
            <w:tcW w:w="1251"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按100万元</w:t>
            </w:r>
          </w:p>
          <w:p>
            <w:pPr>
              <w:jc w:val="center"/>
              <w:rPr>
                <w:rFonts w:hint="eastAsia"/>
                <w:color w:val="auto"/>
                <w:kern w:val="0"/>
                <w:szCs w:val="21"/>
                <w:highlight w:val="none"/>
                <w:lang w:val="zh-CN"/>
              </w:rPr>
            </w:pPr>
            <w:r>
              <w:rPr>
                <w:rFonts w:hint="eastAsia"/>
                <w:color w:val="auto"/>
                <w:kern w:val="0"/>
                <w:szCs w:val="21"/>
                <w:highlight w:val="none"/>
                <w:lang w:val="zh-CN"/>
              </w:rPr>
              <w:t>/户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90"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栽植绿化</w:t>
            </w:r>
          </w:p>
          <w:p>
            <w:pPr>
              <w:jc w:val="center"/>
              <w:rPr>
                <w:rFonts w:hint="eastAsia"/>
                <w:color w:val="auto"/>
                <w:kern w:val="0"/>
                <w:szCs w:val="21"/>
                <w:highlight w:val="none"/>
                <w:lang w:val="zh-CN"/>
              </w:rPr>
            </w:pPr>
            <w:r>
              <w:rPr>
                <w:rFonts w:hint="eastAsia"/>
                <w:color w:val="auto"/>
                <w:kern w:val="0"/>
                <w:szCs w:val="21"/>
                <w:highlight w:val="none"/>
                <w:lang w:val="zh-CN"/>
              </w:rPr>
              <w:t>降噪林带</w:t>
            </w:r>
          </w:p>
        </w:tc>
        <w:tc>
          <w:tcPr>
            <w:tcW w:w="1993"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防噪、防尘、水土保持、改善生态环境和美化环境等综合功能，对人的心理作用良好</w:t>
            </w:r>
          </w:p>
        </w:tc>
        <w:tc>
          <w:tcPr>
            <w:tcW w:w="2217"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占地较多，建设方面临购买土地及解决林带结构和宽度问题，一般对绿化林带的降噪功能不可估计过高</w:t>
            </w:r>
          </w:p>
        </w:tc>
        <w:tc>
          <w:tcPr>
            <w:tcW w:w="2702"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与林带的宽度、度、位置、</w:t>
            </w:r>
          </w:p>
          <w:p>
            <w:pPr>
              <w:jc w:val="center"/>
              <w:rPr>
                <w:rFonts w:hint="eastAsia"/>
                <w:color w:val="auto"/>
                <w:kern w:val="0"/>
                <w:szCs w:val="21"/>
                <w:highlight w:val="none"/>
                <w:lang w:val="zh-CN"/>
              </w:rPr>
            </w:pPr>
            <w:r>
              <w:rPr>
                <w:rFonts w:hint="eastAsia"/>
                <w:color w:val="auto"/>
                <w:kern w:val="0"/>
                <w:szCs w:val="21"/>
                <w:highlight w:val="none"/>
                <w:lang w:val="zh-CN"/>
              </w:rPr>
              <w:t>配置方式以及植物种类有密切关系，密植林带10m时可降噪1dB，加宽林带宽度最多可降低噪声10dB；且绿化未成林之前效果更差。</w:t>
            </w:r>
          </w:p>
        </w:tc>
        <w:tc>
          <w:tcPr>
            <w:tcW w:w="1251" w:type="dxa"/>
            <w:vAlign w:val="center"/>
          </w:tcPr>
          <w:p>
            <w:pPr>
              <w:jc w:val="center"/>
              <w:rPr>
                <w:rFonts w:hint="eastAsia"/>
                <w:color w:val="auto"/>
                <w:kern w:val="0"/>
                <w:szCs w:val="21"/>
                <w:highlight w:val="none"/>
                <w:lang w:val="zh-CN"/>
              </w:rPr>
            </w:pPr>
            <w:r>
              <w:rPr>
                <w:rFonts w:hint="eastAsia"/>
                <w:color w:val="auto"/>
                <w:kern w:val="0"/>
                <w:szCs w:val="21"/>
                <w:highlight w:val="none"/>
                <w:lang w:val="zh-CN"/>
              </w:rPr>
              <w:t>80元/m</w:t>
            </w:r>
            <w:r>
              <w:rPr>
                <w:rFonts w:hint="eastAsia"/>
                <w:color w:val="auto"/>
                <w:kern w:val="0"/>
                <w:szCs w:val="21"/>
                <w:highlight w:val="none"/>
                <w:vertAlign w:val="superscript"/>
                <w:lang w:val="zh-CN"/>
              </w:rPr>
              <w:t>2</w:t>
            </w:r>
          </w:p>
          <w:p>
            <w:pPr>
              <w:rPr>
                <w:rFonts w:hint="eastAsia"/>
                <w:color w:val="auto"/>
                <w:kern w:val="0"/>
                <w:szCs w:val="21"/>
                <w:highlight w:val="none"/>
                <w:lang w:val="zh-CN"/>
              </w:rPr>
            </w:pPr>
            <w:r>
              <w:rPr>
                <w:rFonts w:hint="eastAsia"/>
                <w:color w:val="auto"/>
                <w:kern w:val="0"/>
                <w:szCs w:val="21"/>
                <w:highlight w:val="none"/>
                <w:lang w:val="zh-CN"/>
              </w:rPr>
              <w:t>（包括苗木购置费和养护费用）</w:t>
            </w:r>
          </w:p>
        </w:tc>
      </w:tr>
    </w:tbl>
    <w:p>
      <w:pPr>
        <w:spacing w:before="120" w:beforeLines="50" w:line="360" w:lineRule="auto"/>
        <w:ind w:firstLine="480"/>
        <w:jc w:val="left"/>
        <w:rPr>
          <w:rFonts w:hint="eastAsia" w:ascii="宋体" w:hAnsi="宋体"/>
          <w:color w:val="auto"/>
          <w:sz w:val="24"/>
          <w:highlight w:val="none"/>
        </w:rPr>
      </w:pPr>
      <w:r>
        <w:rPr>
          <w:rFonts w:hint="eastAsia"/>
          <w:color w:val="auto"/>
          <w:sz w:val="24"/>
          <w:highlight w:val="none"/>
        </w:rPr>
        <w:t>（3）</w:t>
      </w:r>
      <w:r>
        <w:rPr>
          <w:rFonts w:hint="eastAsia" w:ascii="宋体" w:hAnsi="宋体"/>
          <w:color w:val="auto"/>
          <w:sz w:val="24"/>
          <w:highlight w:val="none"/>
        </w:rPr>
        <w:t>声环境保护目标降噪措施</w:t>
      </w:r>
    </w:p>
    <w:p>
      <w:pPr>
        <w:adjustRightInd w:val="0"/>
        <w:snapToGrid w:val="0"/>
        <w:spacing w:line="360" w:lineRule="auto"/>
        <w:ind w:firstLine="480"/>
        <w:rPr>
          <w:rFonts w:hint="eastAsia" w:eastAsia="黑体"/>
          <w:color w:val="auto"/>
          <w:sz w:val="24"/>
          <w:highlight w:val="none"/>
        </w:rPr>
      </w:pPr>
      <w:r>
        <w:rPr>
          <w:rFonts w:hint="eastAsia"/>
          <w:snapToGrid w:val="0"/>
          <w:color w:val="auto"/>
          <w:kern w:val="0"/>
          <w:sz w:val="24"/>
          <w:highlight w:val="none"/>
        </w:rPr>
        <w:t>由于省公安厅宿舍、光华楼、荣侨新村、大梦山小区均不在本项目道路中心线两侧，主要受项目红线外现状西二环北路、二环高架交通量的影响，本次暂不对其提出降噪措施。</w:t>
      </w:r>
      <w:r>
        <w:rPr>
          <w:rFonts w:hint="eastAsia" w:ascii="宋体" w:hAnsi="宋体"/>
          <w:color w:val="auto"/>
          <w:sz w:val="24"/>
          <w:highlight w:val="none"/>
        </w:rPr>
        <w:t>本评价仅对可能受项目道路中心线两侧声环境保护目标提出降噪措施建议，综合考虑通行便利和实际情况，项目可进行操作的噪声措施为入户安装隔声窗和设置声屏障，因此本环评建议主要采用涉及高架桥段安装声屏障，地面辅路段安装隔声窗和绿化林带作为降噪措施，相应具体降噪措施详见表</w:t>
      </w:r>
      <w:r>
        <w:rPr>
          <w:rFonts w:hint="eastAsia"/>
          <w:color w:val="auto"/>
          <w:sz w:val="24"/>
          <w:highlight w:val="none"/>
        </w:rPr>
        <w:t>5.2</w:t>
      </w:r>
      <w:r>
        <w:rPr>
          <w:rFonts w:eastAsia="Times New Roman"/>
          <w:color w:val="auto"/>
          <w:sz w:val="24"/>
          <w:highlight w:val="none"/>
        </w:rPr>
        <w:t>-2</w:t>
      </w:r>
      <w:r>
        <w:rPr>
          <w:rFonts w:hint="eastAsia"/>
          <w:color w:val="auto"/>
          <w:sz w:val="24"/>
          <w:highlight w:val="none"/>
        </w:rPr>
        <w:t>。</w:t>
      </w:r>
    </w:p>
    <w:p>
      <w:pPr>
        <w:adjustRightInd w:val="0"/>
        <w:snapToGrid w:val="0"/>
        <w:spacing w:line="360" w:lineRule="auto"/>
        <w:ind w:firstLine="480"/>
        <w:rPr>
          <w:rFonts w:hint="eastAsia" w:ascii="宋体" w:hAnsi="宋体"/>
          <w:color w:val="auto"/>
          <w:sz w:val="24"/>
          <w:highlight w:val="none"/>
        </w:rPr>
      </w:pPr>
      <w:r>
        <w:rPr>
          <w:rFonts w:hint="eastAsia" w:ascii="宋体" w:hAnsi="宋体"/>
          <w:color w:val="auto"/>
          <w:sz w:val="24"/>
          <w:highlight w:val="none"/>
        </w:rPr>
        <w:t>通过采取表</w:t>
      </w:r>
      <w:r>
        <w:rPr>
          <w:rFonts w:hint="eastAsia"/>
          <w:color w:val="auto"/>
          <w:sz w:val="24"/>
          <w:highlight w:val="none"/>
        </w:rPr>
        <w:t>5.2</w:t>
      </w:r>
      <w:r>
        <w:rPr>
          <w:rFonts w:eastAsia="Times New Roman"/>
          <w:color w:val="auto"/>
          <w:sz w:val="24"/>
          <w:highlight w:val="none"/>
        </w:rPr>
        <w:t>-2</w:t>
      </w:r>
      <w:r>
        <w:rPr>
          <w:rFonts w:hint="eastAsia" w:ascii="宋体" w:hAnsi="宋体"/>
          <w:color w:val="auto"/>
          <w:sz w:val="24"/>
          <w:highlight w:val="none"/>
        </w:rPr>
        <w:t>措施，可使得营运期噪声达标排放，有效减轻营运期噪声对周围环境的影响。同时上述措施环境合理，经济可行，从环保、技术、经济角度是可行的。</w:t>
      </w:r>
    </w:p>
    <w:p>
      <w:pPr>
        <w:adjustRightInd w:val="0"/>
        <w:snapToGrid w:val="0"/>
        <w:spacing w:line="360" w:lineRule="auto"/>
        <w:ind w:firstLine="480"/>
        <w:rPr>
          <w:rFonts w:hint="eastAsia" w:hAnsi="宋体"/>
          <w:color w:val="auto"/>
          <w:sz w:val="24"/>
          <w:highlight w:val="none"/>
        </w:rPr>
        <w:sectPr>
          <w:footerReference r:id="rId11" w:type="default"/>
          <w:pgSz w:w="11906" w:h="16838"/>
          <w:pgMar w:top="1440" w:right="1406" w:bottom="1440" w:left="1463" w:header="851" w:footer="1077" w:gutter="0"/>
          <w:pgBorders>
            <w:top w:val="none" w:sz="0" w:space="0"/>
            <w:left w:val="none" w:sz="0" w:space="0"/>
            <w:bottom w:val="none" w:sz="0" w:space="0"/>
            <w:right w:val="none" w:sz="0" w:space="0"/>
          </w:pgBorders>
          <w:cols w:space="720" w:num="1"/>
          <w:docGrid w:linePitch="312" w:charSpace="0"/>
        </w:sectPr>
      </w:pPr>
    </w:p>
    <w:p>
      <w:pPr>
        <w:spacing w:before="120" w:beforeLines="50"/>
        <w:ind w:firstLine="480"/>
        <w:jc w:val="center"/>
        <w:rPr>
          <w:rFonts w:hint="eastAsia"/>
          <w:b/>
          <w:bCs/>
          <w:color w:val="auto"/>
          <w:sz w:val="24"/>
          <w:highlight w:val="none"/>
        </w:rPr>
      </w:pPr>
      <w:r>
        <w:rPr>
          <w:rFonts w:hint="eastAsia"/>
          <w:b/>
          <w:bCs/>
          <w:color w:val="auto"/>
          <w:sz w:val="24"/>
          <w:highlight w:val="none"/>
        </w:rPr>
        <w:t>表 D.18</w:t>
      </w:r>
      <w:r>
        <w:rPr>
          <w:rFonts w:hint="eastAsia"/>
          <w:b/>
          <w:bCs/>
          <w:color w:val="auto"/>
          <w:sz w:val="24"/>
          <w:highlight w:val="none"/>
        </w:rPr>
        <w:tab/>
      </w:r>
      <w:r>
        <w:rPr>
          <w:rFonts w:hint="eastAsia"/>
          <w:b/>
          <w:bCs/>
          <w:color w:val="auto"/>
          <w:sz w:val="24"/>
          <w:highlight w:val="none"/>
        </w:rPr>
        <w:t>项目交通噪声控制措施及投资表</w:t>
      </w:r>
    </w:p>
    <w:p>
      <w:pPr>
        <w:pStyle w:val="9"/>
        <w:spacing w:before="9" w:after="1"/>
        <w:rPr>
          <w:rFonts w:ascii="黑体"/>
          <w:color w:val="auto"/>
          <w:sz w:val="13"/>
          <w:highlight w:val="none"/>
        </w:rPr>
      </w:pPr>
    </w:p>
    <w:tbl>
      <w:tblPr>
        <w:tblStyle w:val="23"/>
        <w:tblW w:w="13883" w:type="dxa"/>
        <w:jc w:val="center"/>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5"/>
        <w:gridCol w:w="1132"/>
        <w:gridCol w:w="1291"/>
        <w:gridCol w:w="429"/>
        <w:gridCol w:w="1229"/>
        <w:gridCol w:w="563"/>
        <w:gridCol w:w="618"/>
        <w:gridCol w:w="814"/>
        <w:gridCol w:w="852"/>
        <w:gridCol w:w="814"/>
        <w:gridCol w:w="758"/>
        <w:gridCol w:w="1247"/>
        <w:gridCol w:w="1533"/>
        <w:gridCol w:w="1719"/>
        <w:gridCol w:w="66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atLeast"/>
          <w:tblHeader/>
          <w:jc w:val="center"/>
        </w:trPr>
        <w:tc>
          <w:tcPr>
            <w:tcW w:w="215" w:type="dxa"/>
            <w:vMerge w:val="restart"/>
            <w:tcBorders>
              <w:left w:val="nil"/>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序号</w:t>
            </w:r>
          </w:p>
        </w:tc>
        <w:tc>
          <w:tcPr>
            <w:tcW w:w="1132" w:type="dxa"/>
            <w:vMerge w:val="restart"/>
            <w:tcBorders>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声环境保护目标名称</w:t>
            </w:r>
          </w:p>
        </w:tc>
        <w:tc>
          <w:tcPr>
            <w:tcW w:w="1291" w:type="dxa"/>
            <w:vMerge w:val="restart"/>
            <w:tcBorders>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里程范围</w:t>
            </w:r>
          </w:p>
        </w:tc>
        <w:tc>
          <w:tcPr>
            <w:tcW w:w="429" w:type="dxa"/>
            <w:vMerge w:val="restart"/>
            <w:tcBorders>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距离路中心线/m</w:t>
            </w:r>
          </w:p>
        </w:tc>
        <w:tc>
          <w:tcPr>
            <w:tcW w:w="1229" w:type="dxa"/>
            <w:vMerge w:val="restart"/>
            <w:tcBorders>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高差/m</w:t>
            </w:r>
          </w:p>
        </w:tc>
        <w:tc>
          <w:tcPr>
            <w:tcW w:w="1181" w:type="dxa"/>
            <w:gridSpan w:val="2"/>
            <w:tcBorders>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噪声预测值</w:t>
            </w:r>
          </w:p>
          <w:p>
            <w:pPr>
              <w:jc w:val="center"/>
              <w:rPr>
                <w:rFonts w:hint="eastAsia"/>
                <w:color w:val="auto"/>
                <w:szCs w:val="21"/>
                <w:highlight w:val="none"/>
              </w:rPr>
            </w:pPr>
            <w:r>
              <w:rPr>
                <w:rFonts w:hint="eastAsia"/>
                <w:color w:val="auto"/>
                <w:szCs w:val="21"/>
                <w:highlight w:val="none"/>
              </w:rPr>
              <w:t>/dB</w:t>
            </w:r>
          </w:p>
        </w:tc>
        <w:tc>
          <w:tcPr>
            <w:tcW w:w="1666" w:type="dxa"/>
            <w:gridSpan w:val="2"/>
            <w:tcBorders>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营运期超标量/dB</w:t>
            </w:r>
          </w:p>
        </w:tc>
        <w:tc>
          <w:tcPr>
            <w:tcW w:w="1572" w:type="dxa"/>
            <w:gridSpan w:val="2"/>
            <w:tcBorders>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受影响户数（人数）/户（人）</w:t>
            </w:r>
          </w:p>
        </w:tc>
        <w:tc>
          <w:tcPr>
            <w:tcW w:w="5168" w:type="dxa"/>
            <w:gridSpan w:val="4"/>
            <w:tcBorders>
              <w:left w:val="single" w:color="000000" w:sz="4" w:space="0"/>
              <w:bottom w:val="single" w:color="000000" w:sz="4" w:space="0"/>
              <w:right w:val="nil"/>
            </w:tcBorders>
            <w:vAlign w:val="center"/>
          </w:tcPr>
          <w:p>
            <w:pPr>
              <w:jc w:val="center"/>
              <w:rPr>
                <w:rFonts w:hint="eastAsia"/>
                <w:color w:val="auto"/>
                <w:szCs w:val="21"/>
                <w:highlight w:val="none"/>
              </w:rPr>
            </w:pPr>
            <w:r>
              <w:rPr>
                <w:rFonts w:hint="eastAsia"/>
                <w:color w:val="auto"/>
                <w:szCs w:val="21"/>
                <w:highlight w:val="none"/>
              </w:rPr>
              <w:t>噪声防治措施及投资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atLeast"/>
          <w:tblHeader/>
          <w:jc w:val="center"/>
        </w:trPr>
        <w:tc>
          <w:tcPr>
            <w:tcW w:w="215" w:type="dxa"/>
            <w:vMerge w:val="continue"/>
            <w:tcBorders>
              <w:top w:val="single" w:color="000000" w:sz="4" w:space="0"/>
              <w:left w:val="nil"/>
              <w:bottom w:val="single" w:color="000000" w:sz="4" w:space="0"/>
              <w:right w:val="single" w:color="000000" w:sz="4" w:space="0"/>
            </w:tcBorders>
            <w:vAlign w:val="center"/>
          </w:tcPr>
          <w:p>
            <w:pPr>
              <w:jc w:val="center"/>
              <w:rPr>
                <w:rFonts w:hint="eastAsia"/>
                <w:color w:val="auto"/>
                <w:szCs w:val="21"/>
                <w:highlight w:val="none"/>
              </w:rPr>
            </w:pPr>
          </w:p>
        </w:tc>
        <w:tc>
          <w:tcPr>
            <w:tcW w:w="113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p>
        </w:tc>
        <w:tc>
          <w:tcPr>
            <w:tcW w:w="129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p>
        </w:tc>
        <w:tc>
          <w:tcPr>
            <w:tcW w:w="42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p>
        </w:tc>
        <w:tc>
          <w:tcPr>
            <w:tcW w:w="122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p>
        </w:tc>
        <w:tc>
          <w:tcPr>
            <w:tcW w:w="56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昼间</w:t>
            </w:r>
          </w:p>
        </w:tc>
        <w:tc>
          <w:tcPr>
            <w:tcW w:w="61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夜间</w:t>
            </w:r>
          </w:p>
        </w:tc>
        <w:tc>
          <w:tcPr>
            <w:tcW w:w="8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4a类区</w:t>
            </w:r>
          </w:p>
        </w:tc>
        <w:tc>
          <w:tcPr>
            <w:tcW w:w="8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2类区</w:t>
            </w:r>
          </w:p>
        </w:tc>
        <w:tc>
          <w:tcPr>
            <w:tcW w:w="8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4a类区</w:t>
            </w:r>
          </w:p>
        </w:tc>
        <w:tc>
          <w:tcPr>
            <w:tcW w:w="75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2类区</w:t>
            </w:r>
          </w:p>
        </w:tc>
        <w:tc>
          <w:tcPr>
            <w:tcW w:w="12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类型</w:t>
            </w:r>
          </w:p>
        </w:tc>
        <w:tc>
          <w:tcPr>
            <w:tcW w:w="153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规模</w:t>
            </w:r>
          </w:p>
        </w:tc>
        <w:tc>
          <w:tcPr>
            <w:tcW w:w="171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color w:val="auto"/>
                <w:szCs w:val="21"/>
                <w:highlight w:val="none"/>
              </w:rPr>
            </w:pPr>
            <w:r>
              <w:rPr>
                <w:rFonts w:hint="eastAsia"/>
                <w:color w:val="auto"/>
                <w:szCs w:val="21"/>
                <w:highlight w:val="none"/>
              </w:rPr>
              <w:t>噪声控制措</w:t>
            </w:r>
          </w:p>
          <w:p>
            <w:pPr>
              <w:jc w:val="center"/>
              <w:rPr>
                <w:rFonts w:hint="eastAsia"/>
                <w:color w:val="auto"/>
                <w:szCs w:val="21"/>
                <w:highlight w:val="none"/>
              </w:rPr>
            </w:pPr>
            <w:r>
              <w:rPr>
                <w:rFonts w:hint="eastAsia"/>
                <w:color w:val="auto"/>
                <w:szCs w:val="21"/>
                <w:highlight w:val="none"/>
              </w:rPr>
              <w:t>施效果</w:t>
            </w:r>
          </w:p>
        </w:tc>
        <w:tc>
          <w:tcPr>
            <w:tcW w:w="669" w:type="dxa"/>
            <w:tcBorders>
              <w:top w:val="single" w:color="000000" w:sz="4" w:space="0"/>
              <w:left w:val="single" w:color="000000" w:sz="4" w:space="0"/>
              <w:bottom w:val="single" w:color="000000" w:sz="4" w:space="0"/>
              <w:right w:val="nil"/>
            </w:tcBorders>
            <w:vAlign w:val="center"/>
          </w:tcPr>
          <w:p>
            <w:pPr>
              <w:jc w:val="center"/>
              <w:rPr>
                <w:rFonts w:hint="eastAsia"/>
                <w:color w:val="auto"/>
                <w:szCs w:val="21"/>
                <w:highlight w:val="none"/>
              </w:rPr>
            </w:pPr>
            <w:r>
              <w:rPr>
                <w:rFonts w:hint="eastAsia"/>
                <w:color w:val="auto"/>
                <w:szCs w:val="21"/>
                <w:highlight w:val="none"/>
              </w:rPr>
              <w:t>噪声控制措施投资/万元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3" w:hRule="atLeast"/>
          <w:jc w:val="center"/>
        </w:trPr>
        <w:tc>
          <w:tcPr>
            <w:tcW w:w="215" w:type="dxa"/>
            <w:vMerge w:val="restart"/>
            <w:tcBorders>
              <w:top w:val="single" w:color="000000" w:sz="4" w:space="0"/>
              <w:left w:val="nil"/>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1</w:t>
            </w:r>
          </w:p>
        </w:tc>
        <w:tc>
          <w:tcPr>
            <w:tcW w:w="1132"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融侨花园</w:t>
            </w:r>
          </w:p>
          <w:p>
            <w:pPr>
              <w:pStyle w:val="54"/>
              <w:rPr>
                <w:rFonts w:hint="eastAsia" w:ascii="Times New Roman"/>
                <w:color w:val="auto"/>
                <w:sz w:val="18"/>
                <w:highlight w:val="none"/>
              </w:rPr>
            </w:pPr>
            <w:r>
              <w:rPr>
                <w:rFonts w:hint="eastAsia" w:ascii="Times New Roman"/>
                <w:color w:val="auto"/>
                <w:sz w:val="18"/>
                <w:highlight w:val="none"/>
              </w:rPr>
              <w:t>（III区）</w:t>
            </w:r>
          </w:p>
        </w:tc>
        <w:tc>
          <w:tcPr>
            <w:tcW w:w="1291"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K0+960~红线范围外</w:t>
            </w:r>
          </w:p>
        </w:tc>
        <w:tc>
          <w:tcPr>
            <w:tcW w:w="429"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50</w:t>
            </w:r>
          </w:p>
        </w:tc>
        <w:tc>
          <w:tcPr>
            <w:tcW w:w="1229"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二环高架：-6.72~-5.93</w:t>
            </w:r>
          </w:p>
          <w:p>
            <w:pPr>
              <w:pStyle w:val="54"/>
              <w:rPr>
                <w:rFonts w:ascii="Times New Roman"/>
                <w:color w:val="auto"/>
                <w:sz w:val="18"/>
                <w:highlight w:val="none"/>
              </w:rPr>
            </w:pPr>
            <w:r>
              <w:rPr>
                <w:rFonts w:hint="eastAsia" w:ascii="Times New Roman"/>
                <w:color w:val="auto"/>
                <w:sz w:val="18"/>
                <w:highlight w:val="none"/>
              </w:rPr>
              <w:t>辅路：-0.04~0.38</w:t>
            </w:r>
          </w:p>
        </w:tc>
        <w:tc>
          <w:tcPr>
            <w:tcW w:w="563"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66.29</w:t>
            </w:r>
          </w:p>
        </w:tc>
        <w:tc>
          <w:tcPr>
            <w:tcW w:w="618"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59.89</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4.89</w:t>
            </w:r>
          </w:p>
        </w:tc>
        <w:tc>
          <w:tcPr>
            <w:tcW w:w="852"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0.4</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default" w:ascii="Times New Roman"/>
                <w:color w:val="auto"/>
                <w:sz w:val="18"/>
                <w:highlight w:val="none"/>
                <w:lang w:val="en-US"/>
              </w:rPr>
            </w:pPr>
            <w:r>
              <w:rPr>
                <w:rFonts w:hint="eastAsia" w:ascii="Times New Roman"/>
                <w:color w:val="auto"/>
                <w:sz w:val="18"/>
                <w:highlight w:val="none"/>
                <w:lang w:val="en-US" w:eastAsia="zh-CN"/>
              </w:rPr>
              <w:t>70户</w:t>
            </w:r>
          </w:p>
        </w:tc>
        <w:tc>
          <w:tcPr>
            <w:tcW w:w="758"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100户</w:t>
            </w: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安装声屏障</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eastAsia="zh-CN"/>
              </w:rPr>
              <w:t>二环高架</w:t>
            </w:r>
            <w:r>
              <w:rPr>
                <w:rFonts w:hint="eastAsia" w:ascii="Times New Roman"/>
                <w:color w:val="auto"/>
                <w:sz w:val="18"/>
                <w:highlight w:val="none"/>
                <w:lang w:val="en-US"/>
              </w:rPr>
              <w:t>靠融侨花园（III区）一侧安装</w:t>
            </w:r>
            <w:r>
              <w:rPr>
                <w:rFonts w:hint="eastAsia" w:ascii="Times New Roman"/>
                <w:color w:val="auto"/>
                <w:sz w:val="18"/>
                <w:highlight w:val="none"/>
                <w:lang w:val="en-US" w:eastAsia="zh-CN"/>
              </w:rPr>
              <w:t>70</w:t>
            </w:r>
            <w:r>
              <w:rPr>
                <w:rFonts w:hint="eastAsia" w:ascii="Times New Roman"/>
                <w:color w:val="auto"/>
                <w:sz w:val="18"/>
                <w:highlight w:val="none"/>
                <w:lang w:val="en-US"/>
              </w:rPr>
              <w:t>延米</w:t>
            </w:r>
            <w:r>
              <w:rPr>
                <w:rFonts w:hint="eastAsia" w:ascii="Times New Roman"/>
                <w:color w:val="auto"/>
                <w:sz w:val="18"/>
                <w:highlight w:val="none"/>
              </w:rPr>
              <w:t>声屏障</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降噪</w:t>
            </w:r>
            <w:r>
              <w:rPr>
                <w:rFonts w:hint="eastAsia" w:ascii="Times New Roman"/>
                <w:color w:val="auto"/>
                <w:sz w:val="18"/>
                <w:highlight w:val="none"/>
                <w:lang w:val="en-US" w:eastAsia="zh-CN"/>
              </w:rPr>
              <w:t>4.89</w:t>
            </w:r>
            <w:r>
              <w:rPr>
                <w:rFonts w:hint="eastAsia" w:ascii="Times New Roman"/>
                <w:color w:val="auto"/>
                <w:sz w:val="18"/>
                <w:highlight w:val="none"/>
                <w:lang w:val="en-US"/>
              </w:rPr>
              <w:t>dB</w:t>
            </w:r>
          </w:p>
        </w:tc>
        <w:tc>
          <w:tcPr>
            <w:tcW w:w="669" w:type="dxa"/>
            <w:tcBorders>
              <w:top w:val="single" w:color="000000" w:sz="4" w:space="0"/>
              <w:left w:val="single" w:color="000000" w:sz="4" w:space="0"/>
              <w:bottom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3" w:hRule="atLeast"/>
          <w:jc w:val="center"/>
        </w:trPr>
        <w:tc>
          <w:tcPr>
            <w:tcW w:w="215" w:type="dxa"/>
            <w:vMerge w:val="continue"/>
            <w:tcBorders>
              <w:left w:val="nil"/>
              <w:right w:val="single" w:color="000000" w:sz="4" w:space="0"/>
            </w:tcBorders>
            <w:vAlign w:val="center"/>
          </w:tcPr>
          <w:p>
            <w:pPr>
              <w:pStyle w:val="54"/>
              <w:rPr>
                <w:rFonts w:hint="eastAsia" w:ascii="Times New Roman"/>
                <w:color w:val="auto"/>
                <w:sz w:val="18"/>
                <w:highlight w:val="none"/>
                <w:lang w:val="en-US" w:eastAsia="zh-CN"/>
              </w:rPr>
            </w:pPr>
          </w:p>
        </w:tc>
        <w:tc>
          <w:tcPr>
            <w:tcW w:w="1132"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1291"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429"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eastAsia="zh-CN"/>
              </w:rPr>
            </w:pPr>
          </w:p>
        </w:tc>
        <w:tc>
          <w:tcPr>
            <w:tcW w:w="1229"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563"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eastAsia="zh-CN"/>
              </w:rPr>
            </w:pPr>
          </w:p>
        </w:tc>
        <w:tc>
          <w:tcPr>
            <w:tcW w:w="618" w:type="dxa"/>
            <w:vMerge w:val="continue"/>
            <w:tcBorders>
              <w:left w:val="single" w:color="000000" w:sz="4" w:space="0"/>
              <w:right w:val="single" w:color="000000" w:sz="4" w:space="0"/>
            </w:tcBorders>
            <w:vAlign w:val="center"/>
          </w:tcPr>
          <w:p>
            <w:pPr>
              <w:widowControl/>
              <w:jc w:val="center"/>
              <w:textAlignment w:val="center"/>
              <w:rPr>
                <w:rFonts w:hint="eastAsia"/>
                <w:color w:val="auto"/>
                <w:kern w:val="0"/>
                <w:szCs w:val="21"/>
                <w:highlight w:val="none"/>
                <w:lang w:val="en-US" w:eastAsia="zh-CN" w:bidi="ar"/>
              </w:rPr>
            </w:pPr>
          </w:p>
        </w:tc>
        <w:tc>
          <w:tcPr>
            <w:tcW w:w="814"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eastAsia="zh-CN"/>
              </w:rPr>
            </w:pPr>
          </w:p>
        </w:tc>
        <w:tc>
          <w:tcPr>
            <w:tcW w:w="852"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eastAsia="zh-CN"/>
              </w:rPr>
            </w:pPr>
          </w:p>
        </w:tc>
        <w:tc>
          <w:tcPr>
            <w:tcW w:w="814"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eastAsia="zh-CN"/>
              </w:rPr>
            </w:pPr>
          </w:p>
        </w:tc>
        <w:tc>
          <w:tcPr>
            <w:tcW w:w="758"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eastAsia="zh-CN"/>
              </w:rPr>
            </w:pP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长约</w:t>
            </w:r>
            <w:r>
              <w:rPr>
                <w:rFonts w:hint="eastAsia" w:ascii="Times New Roman"/>
                <w:color w:val="auto"/>
                <w:sz w:val="18"/>
                <w:highlight w:val="none"/>
                <w:lang w:val="en-US" w:eastAsia="zh-CN"/>
              </w:rPr>
              <w:t>7</w:t>
            </w:r>
            <w:r>
              <w:rPr>
                <w:rFonts w:hint="eastAsia" w:ascii="Times New Roman"/>
                <w:color w:val="auto"/>
                <w:sz w:val="18"/>
                <w:highlight w:val="none"/>
                <w:lang w:val="en-US"/>
              </w:rPr>
              <w:t>0m，宽10m</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bottom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5.6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04" w:hRule="atLeast"/>
          <w:jc w:val="center"/>
        </w:trPr>
        <w:tc>
          <w:tcPr>
            <w:tcW w:w="215" w:type="dxa"/>
            <w:tcBorders>
              <w:top w:val="single" w:color="000000" w:sz="4" w:space="0"/>
              <w:left w:val="nil"/>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2</w:t>
            </w:r>
          </w:p>
        </w:tc>
        <w:tc>
          <w:tcPr>
            <w:tcW w:w="1132" w:type="dxa"/>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rPr>
              <w:t>梅海园</w:t>
            </w:r>
            <w:r>
              <w:rPr>
                <w:rFonts w:hint="eastAsia" w:ascii="Times New Roman"/>
                <w:color w:val="auto"/>
                <w:sz w:val="18"/>
                <w:highlight w:val="none"/>
                <w:lang w:val="en-US"/>
              </w:rPr>
              <w:t>2期</w:t>
            </w:r>
          </w:p>
        </w:tc>
        <w:tc>
          <w:tcPr>
            <w:tcW w:w="1291" w:type="dxa"/>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K0+700~K0+920</w:t>
            </w:r>
          </w:p>
        </w:tc>
        <w:tc>
          <w:tcPr>
            <w:tcW w:w="429" w:type="dxa"/>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29</w:t>
            </w:r>
          </w:p>
        </w:tc>
        <w:tc>
          <w:tcPr>
            <w:tcW w:w="1229" w:type="dxa"/>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二环匝道：-2.35~0.96</w:t>
            </w:r>
          </w:p>
          <w:p>
            <w:pPr>
              <w:pStyle w:val="54"/>
              <w:rPr>
                <w:rFonts w:hint="eastAsia" w:ascii="Times New Roman"/>
                <w:color w:val="auto"/>
                <w:sz w:val="18"/>
                <w:highlight w:val="none"/>
              </w:rPr>
            </w:pPr>
            <w:r>
              <w:rPr>
                <w:rFonts w:hint="eastAsia" w:ascii="Times New Roman"/>
                <w:color w:val="auto"/>
                <w:sz w:val="18"/>
                <w:highlight w:val="none"/>
              </w:rPr>
              <w:t>二环高架：-4.5~-0.6</w:t>
            </w:r>
          </w:p>
          <w:p>
            <w:pPr>
              <w:pStyle w:val="54"/>
              <w:rPr>
                <w:rFonts w:ascii="Times New Roman"/>
                <w:color w:val="auto"/>
                <w:sz w:val="18"/>
                <w:highlight w:val="none"/>
              </w:rPr>
            </w:pPr>
            <w:r>
              <w:rPr>
                <w:rFonts w:hint="eastAsia" w:ascii="Times New Roman"/>
                <w:color w:val="auto"/>
                <w:sz w:val="18"/>
                <w:highlight w:val="none"/>
              </w:rPr>
              <w:t>辅路：-0.39~0.78</w:t>
            </w:r>
          </w:p>
        </w:tc>
        <w:tc>
          <w:tcPr>
            <w:tcW w:w="563" w:type="dxa"/>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66.59</w:t>
            </w:r>
          </w:p>
        </w:tc>
        <w:tc>
          <w:tcPr>
            <w:tcW w:w="618" w:type="dxa"/>
            <w:tcBorders>
              <w:top w:val="single" w:color="000000" w:sz="4" w:space="0"/>
              <w:left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60.19</w:t>
            </w:r>
          </w:p>
        </w:tc>
        <w:tc>
          <w:tcPr>
            <w:tcW w:w="814" w:type="dxa"/>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0.7</w:t>
            </w:r>
          </w:p>
        </w:tc>
        <w:tc>
          <w:tcPr>
            <w:tcW w:w="852" w:type="dxa"/>
            <w:tcBorders>
              <w:top w:val="single" w:color="000000" w:sz="4" w:space="0"/>
              <w:left w:val="single" w:color="000000" w:sz="4" w:space="0"/>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w:t>
            </w:r>
          </w:p>
        </w:tc>
        <w:tc>
          <w:tcPr>
            <w:tcW w:w="814" w:type="dxa"/>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lang w:val="en-US"/>
              </w:rPr>
              <w:t>156户</w:t>
            </w:r>
          </w:p>
        </w:tc>
        <w:tc>
          <w:tcPr>
            <w:tcW w:w="758" w:type="dxa"/>
            <w:tcBorders>
              <w:top w:val="single" w:color="000000" w:sz="4" w:space="0"/>
              <w:left w:val="single" w:color="000000" w:sz="4" w:space="0"/>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w:t>
            </w:r>
          </w:p>
        </w:tc>
        <w:tc>
          <w:tcPr>
            <w:tcW w:w="1247" w:type="dxa"/>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长约100m，宽10m</w:t>
            </w:r>
          </w:p>
        </w:tc>
        <w:tc>
          <w:tcPr>
            <w:tcW w:w="1719" w:type="dxa"/>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bottom w:val="single" w:color="000000" w:sz="4" w:space="0"/>
              <w:right w:val="nil"/>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39" w:hRule="atLeast"/>
          <w:jc w:val="center"/>
        </w:trPr>
        <w:tc>
          <w:tcPr>
            <w:tcW w:w="215" w:type="dxa"/>
            <w:vMerge w:val="restart"/>
            <w:tcBorders>
              <w:top w:val="single" w:color="000000" w:sz="4" w:space="0"/>
              <w:left w:val="nil"/>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3</w:t>
            </w:r>
          </w:p>
        </w:tc>
        <w:tc>
          <w:tcPr>
            <w:tcW w:w="1132"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福建行政学校</w:t>
            </w:r>
          </w:p>
          <w:p>
            <w:pPr>
              <w:pStyle w:val="54"/>
              <w:rPr>
                <w:rFonts w:ascii="Times New Roman"/>
                <w:color w:val="auto"/>
                <w:sz w:val="18"/>
                <w:highlight w:val="none"/>
              </w:rPr>
            </w:pPr>
            <w:r>
              <w:rPr>
                <w:rFonts w:hint="eastAsia" w:ascii="Times New Roman"/>
                <w:color w:val="auto"/>
                <w:sz w:val="18"/>
                <w:highlight w:val="none"/>
              </w:rPr>
              <w:t>（梅峰校区）</w:t>
            </w:r>
          </w:p>
        </w:tc>
        <w:tc>
          <w:tcPr>
            <w:tcW w:w="1291"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K0+720~K0+800</w:t>
            </w:r>
          </w:p>
        </w:tc>
        <w:tc>
          <w:tcPr>
            <w:tcW w:w="429"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29</w:t>
            </w:r>
          </w:p>
        </w:tc>
        <w:tc>
          <w:tcPr>
            <w:tcW w:w="1229"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二环匝道：-0.06~2.16</w:t>
            </w:r>
          </w:p>
          <w:p>
            <w:pPr>
              <w:pStyle w:val="54"/>
              <w:rPr>
                <w:rFonts w:hint="eastAsia" w:ascii="Times New Roman"/>
                <w:color w:val="auto"/>
                <w:sz w:val="18"/>
                <w:highlight w:val="none"/>
              </w:rPr>
            </w:pPr>
            <w:r>
              <w:rPr>
                <w:rFonts w:hint="eastAsia" w:ascii="Times New Roman"/>
                <w:color w:val="auto"/>
                <w:sz w:val="18"/>
                <w:highlight w:val="none"/>
              </w:rPr>
              <w:t>上层辅路：0.2~1.82</w:t>
            </w:r>
          </w:p>
          <w:p>
            <w:pPr>
              <w:pStyle w:val="54"/>
              <w:rPr>
                <w:rFonts w:ascii="Times New Roman"/>
                <w:color w:val="auto"/>
                <w:sz w:val="18"/>
                <w:highlight w:val="none"/>
              </w:rPr>
            </w:pPr>
            <w:r>
              <w:rPr>
                <w:rFonts w:hint="eastAsia" w:ascii="Times New Roman"/>
                <w:color w:val="auto"/>
                <w:sz w:val="18"/>
                <w:highlight w:val="none"/>
              </w:rPr>
              <w:t>下层主路：5.56~7.22</w:t>
            </w:r>
          </w:p>
        </w:tc>
        <w:tc>
          <w:tcPr>
            <w:tcW w:w="563"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rPr>
              <w:t>6</w:t>
            </w:r>
            <w:r>
              <w:rPr>
                <w:rFonts w:hint="eastAsia" w:ascii="Times New Roman"/>
                <w:color w:val="auto"/>
                <w:sz w:val="18"/>
                <w:highlight w:val="none"/>
                <w:lang w:val="en-US" w:eastAsia="zh-CN"/>
              </w:rPr>
              <w:t>3.7</w:t>
            </w:r>
          </w:p>
        </w:tc>
        <w:tc>
          <w:tcPr>
            <w:tcW w:w="618" w:type="dxa"/>
            <w:vMerge w:val="restart"/>
            <w:tcBorders>
              <w:top w:val="single" w:color="000000" w:sz="4" w:space="0"/>
              <w:left w:val="single" w:color="000000" w:sz="4" w:space="0"/>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rPr>
              <w:t>57.</w:t>
            </w:r>
            <w:r>
              <w:rPr>
                <w:rFonts w:hint="eastAsia" w:ascii="Times New Roman"/>
                <w:color w:val="auto"/>
                <w:sz w:val="18"/>
                <w:highlight w:val="none"/>
                <w:lang w:val="en-US" w:eastAsia="zh-CN"/>
              </w:rPr>
              <w:t>1</w:t>
            </w:r>
          </w:p>
        </w:tc>
        <w:tc>
          <w:tcPr>
            <w:tcW w:w="814"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w:t>
            </w:r>
          </w:p>
        </w:tc>
        <w:tc>
          <w:tcPr>
            <w:tcW w:w="852"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7.1</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w:t>
            </w:r>
          </w:p>
        </w:tc>
        <w:tc>
          <w:tcPr>
            <w:tcW w:w="758"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200人</w:t>
            </w: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加装隔声窗</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约540m</w:t>
            </w:r>
            <w:r>
              <w:rPr>
                <w:rFonts w:hint="eastAsia" w:ascii="Times New Roman"/>
                <w:color w:val="auto"/>
                <w:sz w:val="18"/>
                <w:highlight w:val="none"/>
                <w:vertAlign w:val="superscript"/>
                <w:lang w:val="en-US"/>
              </w:rPr>
              <w:t>2</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lang w:val="en-US"/>
              </w:rPr>
              <w:t>降噪7.</w:t>
            </w:r>
            <w:r>
              <w:rPr>
                <w:rFonts w:hint="eastAsia" w:ascii="Times New Roman"/>
                <w:color w:val="auto"/>
                <w:sz w:val="18"/>
                <w:highlight w:val="none"/>
                <w:lang w:val="en-US" w:eastAsia="zh-CN"/>
              </w:rPr>
              <w:t>1</w:t>
            </w:r>
            <w:r>
              <w:rPr>
                <w:rFonts w:hint="eastAsia" w:ascii="Times New Roman"/>
                <w:color w:val="auto"/>
                <w:sz w:val="18"/>
                <w:highlight w:val="none"/>
                <w:lang w:val="en-US"/>
              </w:rPr>
              <w:t>dB</w:t>
            </w:r>
          </w:p>
        </w:tc>
        <w:tc>
          <w:tcPr>
            <w:tcW w:w="669" w:type="dxa"/>
            <w:tcBorders>
              <w:top w:val="single" w:color="000000" w:sz="4" w:space="0"/>
              <w:left w:val="single" w:color="000000" w:sz="4" w:space="0"/>
              <w:bottom w:val="single" w:color="000000" w:sz="4" w:space="0"/>
              <w:right w:val="nil"/>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108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jc w:val="center"/>
        </w:trPr>
        <w:tc>
          <w:tcPr>
            <w:tcW w:w="215" w:type="dxa"/>
            <w:vMerge w:val="continue"/>
            <w:tcBorders>
              <w:left w:val="nil"/>
              <w:bottom w:val="single" w:color="000000" w:sz="4" w:space="0"/>
              <w:right w:val="single" w:color="000000" w:sz="4" w:space="0"/>
            </w:tcBorders>
            <w:vAlign w:val="center"/>
          </w:tcPr>
          <w:p>
            <w:pPr>
              <w:pStyle w:val="54"/>
              <w:rPr>
                <w:color w:val="auto"/>
                <w:highlight w:val="none"/>
              </w:rPr>
            </w:pPr>
          </w:p>
        </w:tc>
        <w:tc>
          <w:tcPr>
            <w:tcW w:w="1132"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91"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429"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29"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563"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618"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814" w:type="dxa"/>
            <w:vMerge w:val="continue"/>
            <w:tcBorders>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p>
        </w:tc>
        <w:tc>
          <w:tcPr>
            <w:tcW w:w="852" w:type="dxa"/>
            <w:vMerge w:val="continue"/>
            <w:tcBorders>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p>
        </w:tc>
        <w:tc>
          <w:tcPr>
            <w:tcW w:w="814"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758"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长约100m，宽10m</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bottom w:val="single" w:color="000000" w:sz="4" w:space="0"/>
              <w:right w:val="nil"/>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3" w:hRule="atLeast"/>
          <w:jc w:val="center"/>
        </w:trPr>
        <w:tc>
          <w:tcPr>
            <w:tcW w:w="215" w:type="dxa"/>
            <w:vMerge w:val="restart"/>
            <w:tcBorders>
              <w:top w:val="single" w:color="000000" w:sz="4" w:space="0"/>
              <w:left w:val="nil"/>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4</w:t>
            </w:r>
          </w:p>
        </w:tc>
        <w:tc>
          <w:tcPr>
            <w:tcW w:w="1132"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山海观花园新城</w:t>
            </w:r>
          </w:p>
        </w:tc>
        <w:tc>
          <w:tcPr>
            <w:tcW w:w="1291"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ascii="Times New Roman"/>
                <w:color w:val="auto"/>
                <w:sz w:val="18"/>
                <w:highlight w:val="none"/>
                <w:lang w:val="en-US"/>
              </w:rPr>
              <w:t>K0+600~K0+720</w:t>
            </w:r>
          </w:p>
        </w:tc>
        <w:tc>
          <w:tcPr>
            <w:tcW w:w="429"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lang w:val="en-US"/>
              </w:rPr>
              <w:t>26</w:t>
            </w:r>
          </w:p>
        </w:tc>
        <w:tc>
          <w:tcPr>
            <w:tcW w:w="1229"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二环匝道：0.22~2.56</w:t>
            </w:r>
          </w:p>
          <w:p>
            <w:pPr>
              <w:pStyle w:val="54"/>
              <w:rPr>
                <w:rFonts w:hint="eastAsia" w:ascii="Times New Roman"/>
                <w:color w:val="auto"/>
                <w:sz w:val="18"/>
                <w:highlight w:val="none"/>
              </w:rPr>
            </w:pPr>
            <w:r>
              <w:rPr>
                <w:rFonts w:hint="eastAsia" w:ascii="Times New Roman"/>
                <w:color w:val="auto"/>
                <w:sz w:val="18"/>
                <w:highlight w:val="none"/>
              </w:rPr>
              <w:t>上层辅路：0.2~1.82</w:t>
            </w:r>
          </w:p>
          <w:p>
            <w:pPr>
              <w:pStyle w:val="54"/>
              <w:rPr>
                <w:rFonts w:ascii="Times New Roman"/>
                <w:color w:val="auto"/>
                <w:sz w:val="18"/>
                <w:highlight w:val="none"/>
              </w:rPr>
            </w:pPr>
            <w:r>
              <w:rPr>
                <w:rFonts w:hint="eastAsia" w:ascii="Times New Roman"/>
                <w:color w:val="auto"/>
                <w:sz w:val="18"/>
                <w:highlight w:val="none"/>
              </w:rPr>
              <w:t>下层主路：1.3~5.56</w:t>
            </w:r>
          </w:p>
        </w:tc>
        <w:tc>
          <w:tcPr>
            <w:tcW w:w="563"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65.06</w:t>
            </w:r>
          </w:p>
        </w:tc>
        <w:tc>
          <w:tcPr>
            <w:tcW w:w="618"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rPr>
              <w:t>58.</w:t>
            </w:r>
            <w:r>
              <w:rPr>
                <w:rFonts w:hint="eastAsia" w:ascii="Times New Roman"/>
                <w:color w:val="auto"/>
                <w:sz w:val="18"/>
                <w:highlight w:val="none"/>
                <w:lang w:val="en-US" w:eastAsia="zh-CN"/>
              </w:rPr>
              <w:t>76</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ascii="Times New Roman"/>
                <w:color w:val="auto"/>
                <w:sz w:val="18"/>
                <w:highlight w:val="none"/>
                <w:lang w:val="en-US"/>
              </w:rPr>
              <w:t>3.</w:t>
            </w:r>
            <w:r>
              <w:rPr>
                <w:rFonts w:hint="eastAsia" w:ascii="Times New Roman"/>
                <w:color w:val="auto"/>
                <w:sz w:val="18"/>
                <w:highlight w:val="none"/>
                <w:lang w:val="en-US" w:eastAsia="zh-CN"/>
              </w:rPr>
              <w:t>76</w:t>
            </w:r>
          </w:p>
        </w:tc>
        <w:tc>
          <w:tcPr>
            <w:tcW w:w="852"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w:t>
            </w:r>
          </w:p>
        </w:tc>
        <w:tc>
          <w:tcPr>
            <w:tcW w:w="814"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60户</w:t>
            </w:r>
          </w:p>
        </w:tc>
        <w:tc>
          <w:tcPr>
            <w:tcW w:w="758"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w:t>
            </w: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加装隔声窗</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约600m</w:t>
            </w:r>
            <w:r>
              <w:rPr>
                <w:rFonts w:hint="eastAsia" w:ascii="Times New Roman"/>
                <w:color w:val="auto"/>
                <w:sz w:val="18"/>
                <w:highlight w:val="none"/>
                <w:vertAlign w:val="superscript"/>
                <w:lang w:val="en-US"/>
              </w:rPr>
              <w:t>2</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降噪3.</w:t>
            </w:r>
            <w:r>
              <w:rPr>
                <w:rFonts w:hint="eastAsia" w:ascii="Times New Roman"/>
                <w:color w:val="auto"/>
                <w:sz w:val="18"/>
                <w:highlight w:val="none"/>
                <w:lang w:val="en-US" w:eastAsia="zh-CN"/>
              </w:rPr>
              <w:t>76</w:t>
            </w:r>
            <w:r>
              <w:rPr>
                <w:rFonts w:hint="eastAsia" w:ascii="Times New Roman"/>
                <w:color w:val="auto"/>
                <w:sz w:val="18"/>
                <w:highlight w:val="none"/>
                <w:lang w:val="en-US"/>
              </w:rPr>
              <w:t>dB</w:t>
            </w:r>
          </w:p>
        </w:tc>
        <w:tc>
          <w:tcPr>
            <w:tcW w:w="669" w:type="dxa"/>
            <w:tcBorders>
              <w:top w:val="single" w:color="000000" w:sz="4" w:space="0"/>
              <w:left w:val="single" w:color="000000" w:sz="4" w:space="0"/>
              <w:bottom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120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32" w:hRule="atLeast"/>
          <w:jc w:val="center"/>
        </w:trPr>
        <w:tc>
          <w:tcPr>
            <w:tcW w:w="215" w:type="dxa"/>
            <w:vMerge w:val="continue"/>
            <w:tcBorders>
              <w:left w:val="nil"/>
              <w:bottom w:val="single" w:color="000000" w:sz="4" w:space="0"/>
              <w:right w:val="single" w:color="000000" w:sz="4" w:space="0"/>
            </w:tcBorders>
            <w:vAlign w:val="center"/>
          </w:tcPr>
          <w:p>
            <w:pPr>
              <w:pStyle w:val="54"/>
              <w:rPr>
                <w:color w:val="auto"/>
                <w:highlight w:val="none"/>
              </w:rPr>
            </w:pPr>
          </w:p>
        </w:tc>
        <w:tc>
          <w:tcPr>
            <w:tcW w:w="1132"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91"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429"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29"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563"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618"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814" w:type="dxa"/>
            <w:vMerge w:val="continue"/>
            <w:tcBorders>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p>
        </w:tc>
        <w:tc>
          <w:tcPr>
            <w:tcW w:w="852" w:type="dxa"/>
            <w:vMerge w:val="continue"/>
            <w:tcBorders>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p>
        </w:tc>
        <w:tc>
          <w:tcPr>
            <w:tcW w:w="814"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758"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长约100m，宽10m</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bottom w:val="single" w:color="000000" w:sz="4" w:space="0"/>
              <w:right w:val="nil"/>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1" w:hRule="atLeast"/>
          <w:jc w:val="center"/>
        </w:trPr>
        <w:tc>
          <w:tcPr>
            <w:tcW w:w="215" w:type="dxa"/>
            <w:vMerge w:val="restart"/>
            <w:tcBorders>
              <w:top w:val="single" w:color="000000" w:sz="4" w:space="0"/>
              <w:left w:val="nil"/>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5</w:t>
            </w:r>
          </w:p>
        </w:tc>
        <w:tc>
          <w:tcPr>
            <w:tcW w:w="1132"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东方苑</w:t>
            </w:r>
          </w:p>
        </w:tc>
        <w:tc>
          <w:tcPr>
            <w:tcW w:w="1291"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K0+160~K0+320</w:t>
            </w:r>
          </w:p>
        </w:tc>
        <w:tc>
          <w:tcPr>
            <w:tcW w:w="429"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31</w:t>
            </w:r>
          </w:p>
        </w:tc>
        <w:tc>
          <w:tcPr>
            <w:tcW w:w="1229"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上层辅路：-1.47~3.05</w:t>
            </w:r>
          </w:p>
          <w:p>
            <w:pPr>
              <w:pStyle w:val="54"/>
              <w:rPr>
                <w:rFonts w:hint="eastAsia" w:ascii="Times New Roman"/>
                <w:color w:val="auto"/>
                <w:sz w:val="18"/>
                <w:highlight w:val="none"/>
              </w:rPr>
            </w:pPr>
            <w:r>
              <w:rPr>
                <w:rFonts w:hint="eastAsia" w:ascii="Times New Roman"/>
                <w:color w:val="auto"/>
                <w:sz w:val="18"/>
                <w:highlight w:val="none"/>
              </w:rPr>
              <w:t>下层主路：1.42~8.35</w:t>
            </w:r>
          </w:p>
          <w:p>
            <w:pPr>
              <w:pStyle w:val="54"/>
              <w:rPr>
                <w:rFonts w:ascii="Times New Roman"/>
                <w:color w:val="auto"/>
                <w:sz w:val="18"/>
                <w:highlight w:val="none"/>
              </w:rPr>
            </w:pPr>
            <w:r>
              <w:rPr>
                <w:rFonts w:hint="eastAsia" w:ascii="Times New Roman"/>
                <w:color w:val="auto"/>
                <w:sz w:val="18"/>
                <w:highlight w:val="none"/>
              </w:rPr>
              <w:t>掉头匝道：-7.49~2.7</w:t>
            </w:r>
          </w:p>
        </w:tc>
        <w:tc>
          <w:tcPr>
            <w:tcW w:w="563"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62.83</w:t>
            </w:r>
          </w:p>
        </w:tc>
        <w:tc>
          <w:tcPr>
            <w:tcW w:w="618"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56.5</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1.5</w:t>
            </w:r>
          </w:p>
        </w:tc>
        <w:tc>
          <w:tcPr>
            <w:tcW w:w="852"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w:t>
            </w:r>
          </w:p>
        </w:tc>
        <w:tc>
          <w:tcPr>
            <w:tcW w:w="814"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53户</w:t>
            </w:r>
          </w:p>
        </w:tc>
        <w:tc>
          <w:tcPr>
            <w:tcW w:w="758" w:type="dxa"/>
            <w:vMerge w:val="restart"/>
            <w:tcBorders>
              <w:top w:val="single" w:color="000000" w:sz="4" w:space="0"/>
              <w:left w:val="single" w:color="000000" w:sz="4" w:space="0"/>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w:t>
            </w: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安装声屏障</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九00掉头匝道靠东方苑一侧安装143延米</w:t>
            </w:r>
            <w:r>
              <w:rPr>
                <w:rFonts w:hint="eastAsia" w:ascii="Times New Roman"/>
                <w:color w:val="auto"/>
                <w:sz w:val="18"/>
                <w:highlight w:val="none"/>
              </w:rPr>
              <w:t>声屏障</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lang w:val="en-US"/>
              </w:rPr>
              <w:t>降噪</w:t>
            </w:r>
            <w:r>
              <w:rPr>
                <w:rFonts w:hint="eastAsia" w:ascii="Times New Roman"/>
                <w:color w:val="auto"/>
                <w:sz w:val="18"/>
                <w:highlight w:val="none"/>
                <w:lang w:val="en-US" w:eastAsia="zh-CN"/>
              </w:rPr>
              <w:t>1.5</w:t>
            </w:r>
            <w:r>
              <w:rPr>
                <w:rFonts w:hint="eastAsia" w:ascii="Times New Roman"/>
                <w:color w:val="auto"/>
                <w:sz w:val="18"/>
                <w:highlight w:val="none"/>
                <w:lang w:val="en-US"/>
              </w:rPr>
              <w:t>dB</w:t>
            </w:r>
          </w:p>
        </w:tc>
        <w:tc>
          <w:tcPr>
            <w:tcW w:w="669" w:type="dxa"/>
            <w:tcBorders>
              <w:top w:val="single" w:color="000000" w:sz="4" w:space="0"/>
              <w:left w:val="single" w:color="000000" w:sz="4" w:space="0"/>
              <w:bottom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28.6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1" w:hRule="atLeast"/>
          <w:jc w:val="center"/>
        </w:trPr>
        <w:tc>
          <w:tcPr>
            <w:tcW w:w="215" w:type="dxa"/>
            <w:vMerge w:val="continue"/>
            <w:tcBorders>
              <w:left w:val="nil"/>
              <w:bottom w:val="single" w:color="000000" w:sz="4" w:space="0"/>
              <w:right w:val="single" w:color="000000" w:sz="4" w:space="0"/>
            </w:tcBorders>
            <w:vAlign w:val="center"/>
          </w:tcPr>
          <w:p>
            <w:pPr>
              <w:pStyle w:val="54"/>
              <w:rPr>
                <w:color w:val="auto"/>
                <w:highlight w:val="none"/>
              </w:rPr>
            </w:pPr>
          </w:p>
        </w:tc>
        <w:tc>
          <w:tcPr>
            <w:tcW w:w="1132"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91"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429"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29"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563"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618"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814" w:type="dxa"/>
            <w:vMerge w:val="continue"/>
            <w:tcBorders>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p>
        </w:tc>
        <w:tc>
          <w:tcPr>
            <w:tcW w:w="852" w:type="dxa"/>
            <w:vMerge w:val="continue"/>
            <w:tcBorders>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p>
        </w:tc>
        <w:tc>
          <w:tcPr>
            <w:tcW w:w="814"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758"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约145m，宽10m</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bottom w:val="single" w:color="000000" w:sz="4" w:space="0"/>
              <w:right w:val="nil"/>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11.6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4" w:hRule="atLeast"/>
          <w:jc w:val="center"/>
        </w:trPr>
        <w:tc>
          <w:tcPr>
            <w:tcW w:w="215" w:type="dxa"/>
            <w:tcBorders>
              <w:top w:val="single" w:color="000000" w:sz="4" w:space="0"/>
              <w:left w:val="nil"/>
              <w:bottom w:val="single" w:color="000000" w:sz="4" w:space="0"/>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6</w:t>
            </w:r>
          </w:p>
        </w:tc>
        <w:tc>
          <w:tcPr>
            <w:tcW w:w="1132"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福州九</w:t>
            </w:r>
            <w:r>
              <w:rPr>
                <w:rFonts w:hint="eastAsia" w:ascii="Times New Roman"/>
                <w:color w:val="auto"/>
                <w:sz w:val="18"/>
                <w:highlight w:val="none"/>
                <w:lang w:val="en-US"/>
              </w:rPr>
              <w:t>00医院总院</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红线范围外~K0+400</w:t>
            </w:r>
          </w:p>
        </w:tc>
        <w:tc>
          <w:tcPr>
            <w:tcW w:w="429"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26</w:t>
            </w:r>
          </w:p>
        </w:tc>
        <w:tc>
          <w:tcPr>
            <w:tcW w:w="122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上层辅路：-2.59~0.81</w:t>
            </w:r>
          </w:p>
          <w:p>
            <w:pPr>
              <w:pStyle w:val="54"/>
              <w:rPr>
                <w:rFonts w:ascii="Times New Roman"/>
                <w:color w:val="auto"/>
                <w:sz w:val="18"/>
                <w:highlight w:val="none"/>
              </w:rPr>
            </w:pPr>
            <w:r>
              <w:rPr>
                <w:rFonts w:hint="eastAsia" w:ascii="Times New Roman"/>
                <w:color w:val="auto"/>
                <w:sz w:val="18"/>
                <w:highlight w:val="none"/>
              </w:rPr>
              <w:t>下层主路：-2.36~2.21</w:t>
            </w:r>
          </w:p>
        </w:tc>
        <w:tc>
          <w:tcPr>
            <w:tcW w:w="563" w:type="dxa"/>
            <w:tcBorders>
              <w:top w:val="single" w:color="000000" w:sz="4" w:space="0"/>
              <w:left w:val="single" w:color="000000" w:sz="4" w:space="0"/>
              <w:bottom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64.09</w:t>
            </w:r>
          </w:p>
        </w:tc>
        <w:tc>
          <w:tcPr>
            <w:tcW w:w="618" w:type="dxa"/>
            <w:tcBorders>
              <w:top w:val="single" w:color="000000" w:sz="4" w:space="0"/>
              <w:left w:val="single" w:color="000000" w:sz="4" w:space="0"/>
              <w:bottom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57.67</w:t>
            </w:r>
          </w:p>
        </w:tc>
        <w:tc>
          <w:tcPr>
            <w:tcW w:w="814"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w:t>
            </w:r>
          </w:p>
        </w:tc>
        <w:tc>
          <w:tcPr>
            <w:tcW w:w="852" w:type="dxa"/>
            <w:tcBorders>
              <w:top w:val="single" w:color="000000" w:sz="4" w:space="0"/>
              <w:left w:val="single" w:color="000000" w:sz="4" w:space="0"/>
              <w:bottom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7.67</w:t>
            </w:r>
          </w:p>
        </w:tc>
        <w:tc>
          <w:tcPr>
            <w:tcW w:w="814"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w:t>
            </w:r>
          </w:p>
        </w:tc>
        <w:tc>
          <w:tcPr>
            <w:tcW w:w="758"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约1000人</w:t>
            </w: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加装隔声窗</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lang w:val="en-US"/>
              </w:rPr>
              <w:t>约720m</w:t>
            </w:r>
            <w:r>
              <w:rPr>
                <w:rFonts w:hint="eastAsia" w:ascii="Times New Roman"/>
                <w:color w:val="auto"/>
                <w:sz w:val="18"/>
                <w:highlight w:val="none"/>
                <w:vertAlign w:val="superscript"/>
                <w:lang w:val="en-US"/>
              </w:rPr>
              <w:t>2</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lang w:val="en-US"/>
              </w:rPr>
              <w:t>降噪</w:t>
            </w:r>
            <w:r>
              <w:rPr>
                <w:rFonts w:hint="eastAsia" w:ascii="Times New Roman"/>
                <w:color w:val="auto"/>
                <w:sz w:val="18"/>
                <w:highlight w:val="none"/>
                <w:lang w:val="en-US" w:eastAsia="zh-CN"/>
              </w:rPr>
              <w:t>7.67</w:t>
            </w:r>
            <w:r>
              <w:rPr>
                <w:rFonts w:hint="eastAsia" w:ascii="Times New Roman"/>
                <w:color w:val="auto"/>
                <w:sz w:val="18"/>
                <w:highlight w:val="none"/>
                <w:lang w:val="en-US"/>
              </w:rPr>
              <w:t>dB</w:t>
            </w:r>
          </w:p>
        </w:tc>
        <w:tc>
          <w:tcPr>
            <w:tcW w:w="669" w:type="dxa"/>
            <w:tcBorders>
              <w:top w:val="single" w:color="000000" w:sz="4" w:space="0"/>
              <w:left w:val="single" w:color="000000" w:sz="4" w:space="0"/>
              <w:bottom w:val="single" w:color="000000" w:sz="4" w:space="0"/>
              <w:right w:val="nil"/>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144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1" w:hRule="atLeast"/>
          <w:jc w:val="center"/>
        </w:trPr>
        <w:tc>
          <w:tcPr>
            <w:tcW w:w="215" w:type="dxa"/>
            <w:vMerge w:val="restart"/>
            <w:tcBorders>
              <w:top w:val="single" w:color="000000" w:sz="4" w:space="0"/>
              <w:left w:val="nil"/>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7</w:t>
            </w:r>
          </w:p>
        </w:tc>
        <w:tc>
          <w:tcPr>
            <w:tcW w:w="1132"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象山公寓</w:t>
            </w:r>
          </w:p>
        </w:tc>
        <w:tc>
          <w:tcPr>
            <w:tcW w:w="1291"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K0+60~K0+240</w:t>
            </w:r>
          </w:p>
        </w:tc>
        <w:tc>
          <w:tcPr>
            <w:tcW w:w="429"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27</w:t>
            </w:r>
          </w:p>
        </w:tc>
        <w:tc>
          <w:tcPr>
            <w:tcW w:w="1229"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上层辅路：-0.63~1.55</w:t>
            </w:r>
          </w:p>
          <w:p>
            <w:pPr>
              <w:pStyle w:val="54"/>
              <w:rPr>
                <w:rFonts w:hint="eastAsia" w:ascii="Times New Roman"/>
                <w:color w:val="auto"/>
                <w:sz w:val="18"/>
                <w:highlight w:val="none"/>
              </w:rPr>
            </w:pPr>
            <w:r>
              <w:rPr>
                <w:rFonts w:hint="eastAsia" w:ascii="Times New Roman"/>
                <w:color w:val="auto"/>
                <w:sz w:val="18"/>
                <w:highlight w:val="none"/>
              </w:rPr>
              <w:t>下层主路：-0.24~2.88</w:t>
            </w:r>
          </w:p>
          <w:p>
            <w:pPr>
              <w:pStyle w:val="54"/>
              <w:rPr>
                <w:rFonts w:ascii="Times New Roman"/>
                <w:color w:val="auto"/>
                <w:sz w:val="18"/>
                <w:highlight w:val="none"/>
              </w:rPr>
            </w:pPr>
            <w:r>
              <w:rPr>
                <w:rFonts w:hint="eastAsia" w:ascii="Times New Roman"/>
                <w:color w:val="auto"/>
                <w:sz w:val="18"/>
                <w:highlight w:val="none"/>
              </w:rPr>
              <w:t>掉头匝道：-3.67~1.4</w:t>
            </w:r>
          </w:p>
        </w:tc>
        <w:tc>
          <w:tcPr>
            <w:tcW w:w="563"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64.64</w:t>
            </w:r>
          </w:p>
        </w:tc>
        <w:tc>
          <w:tcPr>
            <w:tcW w:w="618"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58.15</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3.15</w:t>
            </w:r>
          </w:p>
        </w:tc>
        <w:tc>
          <w:tcPr>
            <w:tcW w:w="852"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w:t>
            </w:r>
          </w:p>
        </w:tc>
        <w:tc>
          <w:tcPr>
            <w:tcW w:w="814"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325户</w:t>
            </w:r>
          </w:p>
        </w:tc>
        <w:tc>
          <w:tcPr>
            <w:tcW w:w="758"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w:t>
            </w: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安装声屏障</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九00掉头匝道靠</w:t>
            </w:r>
            <w:r>
              <w:rPr>
                <w:rFonts w:hint="eastAsia" w:ascii="Times New Roman"/>
                <w:color w:val="auto"/>
                <w:sz w:val="18"/>
                <w:highlight w:val="none"/>
                <w:lang w:val="en-US" w:eastAsia="zh-CN"/>
              </w:rPr>
              <w:t>象山公寓</w:t>
            </w:r>
            <w:r>
              <w:rPr>
                <w:rFonts w:hint="eastAsia" w:ascii="Times New Roman"/>
                <w:color w:val="auto"/>
                <w:sz w:val="18"/>
                <w:highlight w:val="none"/>
                <w:lang w:val="en-US"/>
              </w:rPr>
              <w:t>一侧安装</w:t>
            </w:r>
            <w:r>
              <w:rPr>
                <w:rFonts w:hint="eastAsia" w:ascii="Times New Roman"/>
                <w:color w:val="auto"/>
                <w:sz w:val="18"/>
                <w:highlight w:val="none"/>
                <w:lang w:val="en-US" w:eastAsia="zh-CN"/>
              </w:rPr>
              <w:t>100</w:t>
            </w:r>
            <w:r>
              <w:rPr>
                <w:rFonts w:hint="eastAsia" w:ascii="Times New Roman"/>
                <w:color w:val="auto"/>
                <w:sz w:val="18"/>
                <w:highlight w:val="none"/>
                <w:lang w:val="en-US"/>
              </w:rPr>
              <w:t>延米</w:t>
            </w:r>
            <w:r>
              <w:rPr>
                <w:rFonts w:hint="eastAsia" w:ascii="Times New Roman"/>
                <w:color w:val="auto"/>
                <w:sz w:val="18"/>
                <w:highlight w:val="none"/>
              </w:rPr>
              <w:t>声屏障</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lang w:val="en-US"/>
              </w:rPr>
              <w:t>降噪</w:t>
            </w:r>
            <w:r>
              <w:rPr>
                <w:rFonts w:hint="eastAsia" w:ascii="Times New Roman"/>
                <w:color w:val="auto"/>
                <w:sz w:val="18"/>
                <w:highlight w:val="none"/>
                <w:lang w:val="en-US" w:eastAsia="zh-CN"/>
              </w:rPr>
              <w:t>3.15</w:t>
            </w:r>
            <w:r>
              <w:rPr>
                <w:rFonts w:hint="eastAsia" w:ascii="Times New Roman"/>
                <w:color w:val="auto"/>
                <w:sz w:val="18"/>
                <w:highlight w:val="none"/>
                <w:lang w:val="en-US"/>
              </w:rPr>
              <w:t>dB</w:t>
            </w:r>
          </w:p>
        </w:tc>
        <w:tc>
          <w:tcPr>
            <w:tcW w:w="669" w:type="dxa"/>
            <w:tcBorders>
              <w:top w:val="single" w:color="000000" w:sz="4" w:space="0"/>
              <w:left w:val="single" w:color="000000" w:sz="4" w:space="0"/>
              <w:bottom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1" w:hRule="atLeast"/>
          <w:jc w:val="center"/>
        </w:trPr>
        <w:tc>
          <w:tcPr>
            <w:tcW w:w="215" w:type="dxa"/>
            <w:vMerge w:val="continue"/>
            <w:tcBorders>
              <w:left w:val="nil"/>
              <w:bottom w:val="single" w:color="000000" w:sz="4" w:space="0"/>
              <w:right w:val="single" w:color="000000" w:sz="4" w:space="0"/>
            </w:tcBorders>
            <w:vAlign w:val="center"/>
          </w:tcPr>
          <w:p>
            <w:pPr>
              <w:pStyle w:val="54"/>
              <w:rPr>
                <w:color w:val="auto"/>
                <w:highlight w:val="none"/>
              </w:rPr>
            </w:pPr>
          </w:p>
        </w:tc>
        <w:tc>
          <w:tcPr>
            <w:tcW w:w="1132"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91"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429"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29"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563"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618"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814"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852"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814"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758"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约180m，宽10m</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bottom w:val="single" w:color="000000" w:sz="4" w:space="0"/>
              <w:right w:val="nil"/>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14.4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1" w:hRule="atLeast"/>
          <w:jc w:val="center"/>
        </w:trPr>
        <w:tc>
          <w:tcPr>
            <w:tcW w:w="215" w:type="dxa"/>
            <w:vMerge w:val="restart"/>
            <w:tcBorders>
              <w:top w:val="single" w:color="000000" w:sz="4" w:space="0"/>
              <w:left w:val="nil"/>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8</w:t>
            </w:r>
          </w:p>
        </w:tc>
        <w:tc>
          <w:tcPr>
            <w:tcW w:w="1132"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山水公寓小区</w:t>
            </w:r>
          </w:p>
        </w:tc>
        <w:tc>
          <w:tcPr>
            <w:tcW w:w="1291"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K0+240~K0+320</w:t>
            </w:r>
          </w:p>
        </w:tc>
        <w:tc>
          <w:tcPr>
            <w:tcW w:w="429"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27</w:t>
            </w:r>
          </w:p>
        </w:tc>
        <w:tc>
          <w:tcPr>
            <w:tcW w:w="1229"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上层辅路：-0.92~2.99</w:t>
            </w:r>
          </w:p>
          <w:p>
            <w:pPr>
              <w:pStyle w:val="54"/>
              <w:rPr>
                <w:rFonts w:hint="eastAsia" w:ascii="Times New Roman"/>
                <w:color w:val="auto"/>
                <w:sz w:val="18"/>
                <w:highlight w:val="none"/>
              </w:rPr>
            </w:pPr>
            <w:r>
              <w:rPr>
                <w:rFonts w:hint="eastAsia" w:ascii="Times New Roman"/>
                <w:color w:val="auto"/>
                <w:sz w:val="18"/>
                <w:highlight w:val="none"/>
              </w:rPr>
              <w:t>下层主路：5.02~6.99</w:t>
            </w:r>
          </w:p>
          <w:p>
            <w:pPr>
              <w:pStyle w:val="54"/>
              <w:rPr>
                <w:rFonts w:ascii="Times New Roman"/>
                <w:color w:val="auto"/>
                <w:sz w:val="18"/>
                <w:highlight w:val="none"/>
              </w:rPr>
            </w:pPr>
            <w:r>
              <w:rPr>
                <w:rFonts w:hint="eastAsia" w:ascii="Times New Roman"/>
                <w:color w:val="auto"/>
                <w:sz w:val="18"/>
                <w:highlight w:val="none"/>
              </w:rPr>
              <w:t>掉头匝道：-7.41~-3.1</w:t>
            </w:r>
          </w:p>
        </w:tc>
        <w:tc>
          <w:tcPr>
            <w:tcW w:w="563"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63.92</w:t>
            </w:r>
          </w:p>
        </w:tc>
        <w:tc>
          <w:tcPr>
            <w:tcW w:w="618"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57.48</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2.48</w:t>
            </w:r>
          </w:p>
        </w:tc>
        <w:tc>
          <w:tcPr>
            <w:tcW w:w="852"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w:t>
            </w:r>
          </w:p>
        </w:tc>
        <w:tc>
          <w:tcPr>
            <w:tcW w:w="814"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150户</w:t>
            </w:r>
          </w:p>
        </w:tc>
        <w:tc>
          <w:tcPr>
            <w:tcW w:w="758"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w:t>
            </w: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安装声屏障</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九00掉头匝道靠山水公寓一侧安装75延米</w:t>
            </w:r>
            <w:r>
              <w:rPr>
                <w:rFonts w:hint="eastAsia" w:ascii="Times New Roman"/>
                <w:color w:val="auto"/>
                <w:sz w:val="18"/>
                <w:highlight w:val="none"/>
              </w:rPr>
              <w:t>声屏障</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lang w:val="en-US"/>
              </w:rPr>
              <w:t>降噪</w:t>
            </w:r>
            <w:r>
              <w:rPr>
                <w:rFonts w:hint="eastAsia" w:ascii="Times New Roman"/>
                <w:color w:val="auto"/>
                <w:sz w:val="18"/>
                <w:highlight w:val="none"/>
                <w:lang w:val="en-US" w:eastAsia="zh-CN"/>
              </w:rPr>
              <w:t>2.48</w:t>
            </w:r>
            <w:r>
              <w:rPr>
                <w:rFonts w:hint="eastAsia" w:ascii="Times New Roman"/>
                <w:color w:val="auto"/>
                <w:sz w:val="18"/>
                <w:highlight w:val="none"/>
                <w:lang w:val="en-US"/>
              </w:rPr>
              <w:t>dB</w:t>
            </w:r>
          </w:p>
        </w:tc>
        <w:tc>
          <w:tcPr>
            <w:tcW w:w="669" w:type="dxa"/>
            <w:tcBorders>
              <w:top w:val="single" w:color="000000" w:sz="4" w:space="0"/>
              <w:left w:val="single" w:color="000000" w:sz="4" w:space="0"/>
              <w:bottom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1" w:hRule="atLeast"/>
          <w:jc w:val="center"/>
        </w:trPr>
        <w:tc>
          <w:tcPr>
            <w:tcW w:w="215" w:type="dxa"/>
            <w:vMerge w:val="continue"/>
            <w:tcBorders>
              <w:left w:val="nil"/>
              <w:bottom w:val="single" w:color="000000" w:sz="4" w:space="0"/>
              <w:right w:val="single" w:color="000000" w:sz="4" w:space="0"/>
            </w:tcBorders>
            <w:vAlign w:val="center"/>
          </w:tcPr>
          <w:p>
            <w:pPr>
              <w:pStyle w:val="54"/>
              <w:rPr>
                <w:color w:val="auto"/>
                <w:highlight w:val="none"/>
              </w:rPr>
            </w:pPr>
          </w:p>
        </w:tc>
        <w:tc>
          <w:tcPr>
            <w:tcW w:w="1132"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91"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429"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29"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563"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618"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814"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852"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814"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758" w:type="dxa"/>
            <w:vMerge w:val="continue"/>
            <w:tcBorders>
              <w:left w:val="single" w:color="000000" w:sz="4" w:space="0"/>
              <w:bottom w:val="single" w:color="000000" w:sz="4" w:space="0"/>
              <w:right w:val="single" w:color="000000" w:sz="4" w:space="0"/>
            </w:tcBorders>
            <w:vAlign w:val="center"/>
          </w:tcPr>
          <w:p>
            <w:pPr>
              <w:pStyle w:val="54"/>
              <w:rPr>
                <w:color w:val="auto"/>
                <w:highlight w:val="none"/>
              </w:rPr>
            </w:pP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约55m，宽10m</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bottom w:val="single" w:color="000000" w:sz="4" w:space="0"/>
              <w:right w:val="nil"/>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4.4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50" w:hRule="atLeast"/>
          <w:jc w:val="center"/>
        </w:trPr>
        <w:tc>
          <w:tcPr>
            <w:tcW w:w="215" w:type="dxa"/>
            <w:vMerge w:val="restart"/>
            <w:tcBorders>
              <w:top w:val="single" w:color="000000" w:sz="4" w:space="0"/>
              <w:left w:val="nil"/>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9</w:t>
            </w:r>
          </w:p>
        </w:tc>
        <w:tc>
          <w:tcPr>
            <w:tcW w:w="1132"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职业病防治院</w:t>
            </w:r>
          </w:p>
          <w:p>
            <w:pPr>
              <w:pStyle w:val="54"/>
              <w:rPr>
                <w:rFonts w:hint="eastAsia" w:ascii="Times New Roman"/>
                <w:color w:val="auto"/>
                <w:sz w:val="18"/>
                <w:highlight w:val="none"/>
              </w:rPr>
            </w:pPr>
            <w:r>
              <w:rPr>
                <w:rFonts w:hint="eastAsia" w:ascii="Times New Roman"/>
                <w:color w:val="auto"/>
                <w:sz w:val="18"/>
                <w:highlight w:val="none"/>
              </w:rPr>
              <w:t>（员工宿舍区）</w:t>
            </w:r>
          </w:p>
        </w:tc>
        <w:tc>
          <w:tcPr>
            <w:tcW w:w="1291"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K0+320~K0+</w:t>
            </w:r>
            <w:r>
              <w:rPr>
                <w:rFonts w:hint="eastAsia" w:ascii="Times New Roman"/>
                <w:color w:val="auto"/>
                <w:sz w:val="18"/>
                <w:highlight w:val="none"/>
                <w:lang w:val="en-US"/>
              </w:rPr>
              <w:t>36</w:t>
            </w:r>
            <w:r>
              <w:rPr>
                <w:rFonts w:hint="eastAsia" w:ascii="Times New Roman"/>
                <w:color w:val="auto"/>
                <w:sz w:val="18"/>
                <w:highlight w:val="none"/>
              </w:rPr>
              <w:t>0</w:t>
            </w:r>
          </w:p>
        </w:tc>
        <w:tc>
          <w:tcPr>
            <w:tcW w:w="429"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26</w:t>
            </w:r>
          </w:p>
        </w:tc>
        <w:tc>
          <w:tcPr>
            <w:tcW w:w="1229"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上层辅路：1.52~3.18</w:t>
            </w:r>
          </w:p>
          <w:p>
            <w:pPr>
              <w:pStyle w:val="54"/>
              <w:rPr>
                <w:rFonts w:ascii="Times New Roman"/>
                <w:color w:val="auto"/>
                <w:sz w:val="18"/>
                <w:highlight w:val="none"/>
              </w:rPr>
            </w:pPr>
            <w:r>
              <w:rPr>
                <w:rFonts w:hint="eastAsia" w:ascii="Times New Roman"/>
                <w:color w:val="auto"/>
                <w:sz w:val="18"/>
                <w:highlight w:val="none"/>
              </w:rPr>
              <w:t>下层主路：8.98~10.91</w:t>
            </w:r>
          </w:p>
        </w:tc>
        <w:tc>
          <w:tcPr>
            <w:tcW w:w="563"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59.78</w:t>
            </w:r>
          </w:p>
        </w:tc>
        <w:tc>
          <w:tcPr>
            <w:tcW w:w="618"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50.58</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w:t>
            </w:r>
          </w:p>
        </w:tc>
        <w:tc>
          <w:tcPr>
            <w:tcW w:w="852"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0.58</w:t>
            </w:r>
          </w:p>
        </w:tc>
        <w:tc>
          <w:tcPr>
            <w:tcW w:w="814"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w:t>
            </w:r>
          </w:p>
        </w:tc>
        <w:tc>
          <w:tcPr>
            <w:tcW w:w="758"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30户</w:t>
            </w:r>
          </w:p>
        </w:tc>
        <w:tc>
          <w:tcPr>
            <w:tcW w:w="1247" w:type="dxa"/>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约100m，宽10m</w:t>
            </w:r>
          </w:p>
        </w:tc>
        <w:tc>
          <w:tcPr>
            <w:tcW w:w="1719" w:type="dxa"/>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bottom w:val="single" w:color="000000" w:sz="4" w:space="0"/>
              <w:right w:val="nil"/>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jc w:val="center"/>
        </w:trPr>
        <w:tc>
          <w:tcPr>
            <w:tcW w:w="215" w:type="dxa"/>
            <w:vMerge w:val="restart"/>
            <w:tcBorders>
              <w:top w:val="single" w:color="000000" w:sz="4" w:space="0"/>
              <w:left w:val="nil"/>
              <w:right w:val="single" w:color="000000" w:sz="4" w:space="0"/>
            </w:tcBorders>
            <w:vAlign w:val="center"/>
          </w:tcPr>
          <w:p>
            <w:pPr>
              <w:pStyle w:val="54"/>
              <w:rPr>
                <w:rFonts w:hint="default" w:ascii="Times New Roman"/>
                <w:color w:val="auto"/>
                <w:sz w:val="18"/>
                <w:highlight w:val="none"/>
                <w:lang w:val="en-US" w:eastAsia="zh-CN"/>
              </w:rPr>
            </w:pPr>
            <w:r>
              <w:rPr>
                <w:rFonts w:hint="eastAsia" w:ascii="Times New Roman"/>
                <w:color w:val="auto"/>
                <w:sz w:val="18"/>
                <w:highlight w:val="none"/>
                <w:lang w:val="en-US" w:eastAsia="zh-CN"/>
              </w:rPr>
              <w:t>10</w:t>
            </w:r>
          </w:p>
        </w:tc>
        <w:tc>
          <w:tcPr>
            <w:tcW w:w="1132"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福建省司法大楼</w:t>
            </w:r>
          </w:p>
        </w:tc>
        <w:tc>
          <w:tcPr>
            <w:tcW w:w="1291"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K0+570~K0+620</w:t>
            </w:r>
          </w:p>
        </w:tc>
        <w:tc>
          <w:tcPr>
            <w:tcW w:w="429"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34</w:t>
            </w:r>
          </w:p>
        </w:tc>
        <w:tc>
          <w:tcPr>
            <w:tcW w:w="1229"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上层辅路：-1.58~2.99</w:t>
            </w:r>
          </w:p>
          <w:p>
            <w:pPr>
              <w:pStyle w:val="54"/>
              <w:rPr>
                <w:rFonts w:ascii="Times New Roman"/>
                <w:color w:val="auto"/>
                <w:sz w:val="18"/>
                <w:highlight w:val="none"/>
              </w:rPr>
            </w:pPr>
            <w:r>
              <w:rPr>
                <w:rFonts w:hint="eastAsia" w:ascii="Times New Roman"/>
                <w:color w:val="auto"/>
                <w:sz w:val="18"/>
                <w:highlight w:val="none"/>
              </w:rPr>
              <w:t>下层主路：5.96~8.81</w:t>
            </w:r>
          </w:p>
        </w:tc>
        <w:tc>
          <w:tcPr>
            <w:tcW w:w="563"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61.06</w:t>
            </w:r>
          </w:p>
        </w:tc>
        <w:tc>
          <w:tcPr>
            <w:tcW w:w="618"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54.86</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w:t>
            </w:r>
          </w:p>
        </w:tc>
        <w:tc>
          <w:tcPr>
            <w:tcW w:w="852"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4.86</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w:t>
            </w:r>
          </w:p>
        </w:tc>
        <w:tc>
          <w:tcPr>
            <w:tcW w:w="758"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100人</w:t>
            </w:r>
          </w:p>
        </w:tc>
        <w:tc>
          <w:tcPr>
            <w:tcW w:w="1247" w:type="dxa"/>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加装隔声窗</w:t>
            </w:r>
          </w:p>
        </w:tc>
        <w:tc>
          <w:tcPr>
            <w:tcW w:w="1533" w:type="dxa"/>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约</w:t>
            </w:r>
            <w:r>
              <w:rPr>
                <w:rFonts w:hint="eastAsia" w:ascii="Times New Roman"/>
                <w:color w:val="auto"/>
                <w:sz w:val="18"/>
                <w:highlight w:val="none"/>
                <w:lang w:val="en-US" w:eastAsia="zh-CN"/>
              </w:rPr>
              <w:t>175</w:t>
            </w:r>
            <w:r>
              <w:rPr>
                <w:rFonts w:hint="eastAsia" w:ascii="Times New Roman"/>
                <w:color w:val="auto"/>
                <w:sz w:val="18"/>
                <w:highlight w:val="none"/>
                <w:lang w:val="en-US"/>
              </w:rPr>
              <w:t>m</w:t>
            </w:r>
            <w:r>
              <w:rPr>
                <w:rFonts w:hint="eastAsia" w:ascii="Times New Roman"/>
                <w:color w:val="auto"/>
                <w:sz w:val="18"/>
                <w:highlight w:val="none"/>
                <w:vertAlign w:val="superscript"/>
                <w:lang w:val="en-US"/>
              </w:rPr>
              <w:t>2</w:t>
            </w:r>
          </w:p>
        </w:tc>
        <w:tc>
          <w:tcPr>
            <w:tcW w:w="1719" w:type="dxa"/>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降噪</w:t>
            </w:r>
            <w:r>
              <w:rPr>
                <w:rFonts w:hint="eastAsia" w:ascii="Times New Roman"/>
                <w:color w:val="auto"/>
                <w:sz w:val="18"/>
                <w:highlight w:val="none"/>
                <w:lang w:val="en-US" w:eastAsia="zh-CN"/>
              </w:rPr>
              <w:t>4.86</w:t>
            </w:r>
            <w:r>
              <w:rPr>
                <w:rFonts w:hint="eastAsia" w:ascii="Times New Roman"/>
                <w:color w:val="auto"/>
                <w:sz w:val="18"/>
                <w:highlight w:val="none"/>
                <w:lang w:val="en-US"/>
              </w:rPr>
              <w:t>dB</w:t>
            </w:r>
          </w:p>
        </w:tc>
        <w:tc>
          <w:tcPr>
            <w:tcW w:w="669" w:type="dxa"/>
            <w:tcBorders>
              <w:top w:val="single" w:color="000000" w:sz="4" w:space="0"/>
              <w:left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0" w:hRule="atLeast"/>
          <w:jc w:val="center"/>
        </w:trPr>
        <w:tc>
          <w:tcPr>
            <w:tcW w:w="215" w:type="dxa"/>
            <w:vMerge w:val="continue"/>
            <w:tcBorders>
              <w:left w:val="nil"/>
              <w:right w:val="single" w:color="000000" w:sz="4" w:space="0"/>
            </w:tcBorders>
            <w:vAlign w:val="center"/>
          </w:tcPr>
          <w:p>
            <w:pPr>
              <w:pStyle w:val="54"/>
              <w:rPr>
                <w:rFonts w:hint="eastAsia" w:ascii="Times New Roman"/>
                <w:color w:val="auto"/>
                <w:sz w:val="18"/>
                <w:highlight w:val="none"/>
                <w:lang w:val="en-US" w:eastAsia="zh-CN"/>
              </w:rPr>
            </w:pPr>
          </w:p>
        </w:tc>
        <w:tc>
          <w:tcPr>
            <w:tcW w:w="1132"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1291"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429"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rPr>
            </w:pPr>
          </w:p>
        </w:tc>
        <w:tc>
          <w:tcPr>
            <w:tcW w:w="1229" w:type="dxa"/>
            <w:vMerge w:val="continue"/>
            <w:tcBorders>
              <w:left w:val="single" w:color="000000" w:sz="4" w:space="0"/>
              <w:right w:val="single" w:color="000000" w:sz="4" w:space="0"/>
            </w:tcBorders>
            <w:vAlign w:val="center"/>
          </w:tcPr>
          <w:p>
            <w:pPr>
              <w:pStyle w:val="54"/>
              <w:rPr>
                <w:rFonts w:ascii="Times New Roman"/>
                <w:color w:val="auto"/>
                <w:sz w:val="18"/>
                <w:highlight w:val="none"/>
              </w:rPr>
            </w:pPr>
          </w:p>
        </w:tc>
        <w:tc>
          <w:tcPr>
            <w:tcW w:w="563"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rPr>
            </w:pPr>
          </w:p>
        </w:tc>
        <w:tc>
          <w:tcPr>
            <w:tcW w:w="618"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rPr>
            </w:pPr>
          </w:p>
        </w:tc>
        <w:tc>
          <w:tcPr>
            <w:tcW w:w="814"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rPr>
            </w:pPr>
          </w:p>
        </w:tc>
        <w:tc>
          <w:tcPr>
            <w:tcW w:w="852"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rPr>
            </w:pPr>
          </w:p>
        </w:tc>
        <w:tc>
          <w:tcPr>
            <w:tcW w:w="814"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rPr>
            </w:pPr>
          </w:p>
        </w:tc>
        <w:tc>
          <w:tcPr>
            <w:tcW w:w="758"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lang w:val="en-US"/>
              </w:rPr>
            </w:pPr>
          </w:p>
        </w:tc>
        <w:tc>
          <w:tcPr>
            <w:tcW w:w="1247" w:type="dxa"/>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约</w:t>
            </w:r>
            <w:r>
              <w:rPr>
                <w:rFonts w:hint="eastAsia" w:ascii="Times New Roman"/>
                <w:color w:val="auto"/>
                <w:sz w:val="18"/>
                <w:highlight w:val="none"/>
                <w:lang w:val="en-US" w:eastAsia="zh-CN"/>
              </w:rPr>
              <w:t>6</w:t>
            </w:r>
            <w:r>
              <w:rPr>
                <w:rFonts w:hint="eastAsia" w:ascii="Times New Roman"/>
                <w:color w:val="auto"/>
                <w:sz w:val="18"/>
                <w:highlight w:val="none"/>
                <w:lang w:val="en-US"/>
              </w:rPr>
              <w:t>0m，宽10m</w:t>
            </w:r>
          </w:p>
        </w:tc>
        <w:tc>
          <w:tcPr>
            <w:tcW w:w="1719" w:type="dxa"/>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4.8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0" w:hRule="atLeast"/>
          <w:jc w:val="center"/>
        </w:trPr>
        <w:tc>
          <w:tcPr>
            <w:tcW w:w="215" w:type="dxa"/>
            <w:vMerge w:val="restart"/>
            <w:tcBorders>
              <w:top w:val="single" w:color="000000" w:sz="4" w:space="0"/>
              <w:left w:val="nil"/>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11</w:t>
            </w:r>
          </w:p>
        </w:tc>
        <w:tc>
          <w:tcPr>
            <w:tcW w:w="1132"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井边新村</w:t>
            </w:r>
          </w:p>
        </w:tc>
        <w:tc>
          <w:tcPr>
            <w:tcW w:w="1291"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K0+620~K0+680</w:t>
            </w:r>
          </w:p>
        </w:tc>
        <w:tc>
          <w:tcPr>
            <w:tcW w:w="429"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34</w:t>
            </w:r>
          </w:p>
        </w:tc>
        <w:tc>
          <w:tcPr>
            <w:tcW w:w="1229"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上层辅路：-1.43~2.99</w:t>
            </w:r>
          </w:p>
          <w:p>
            <w:pPr>
              <w:pStyle w:val="54"/>
              <w:rPr>
                <w:rFonts w:ascii="Times New Roman"/>
                <w:color w:val="auto"/>
                <w:sz w:val="18"/>
                <w:highlight w:val="none"/>
              </w:rPr>
            </w:pPr>
            <w:r>
              <w:rPr>
                <w:rFonts w:hint="eastAsia" w:ascii="Times New Roman"/>
                <w:color w:val="auto"/>
                <w:sz w:val="18"/>
                <w:highlight w:val="none"/>
              </w:rPr>
              <w:t>下层主路：6.41~7.41</w:t>
            </w:r>
          </w:p>
        </w:tc>
        <w:tc>
          <w:tcPr>
            <w:tcW w:w="563"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62.68</w:t>
            </w:r>
          </w:p>
        </w:tc>
        <w:tc>
          <w:tcPr>
            <w:tcW w:w="618"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57.76</w:t>
            </w:r>
          </w:p>
        </w:tc>
        <w:tc>
          <w:tcPr>
            <w:tcW w:w="814" w:type="dxa"/>
            <w:vMerge w:val="restart"/>
            <w:tcBorders>
              <w:top w:val="single" w:color="000000" w:sz="4" w:space="0"/>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2.76</w:t>
            </w:r>
          </w:p>
        </w:tc>
        <w:tc>
          <w:tcPr>
            <w:tcW w:w="852"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w:t>
            </w:r>
          </w:p>
        </w:tc>
        <w:tc>
          <w:tcPr>
            <w:tcW w:w="814" w:type="dxa"/>
            <w:vMerge w:val="restart"/>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57户</w:t>
            </w:r>
          </w:p>
        </w:tc>
        <w:tc>
          <w:tcPr>
            <w:tcW w:w="758" w:type="dxa"/>
            <w:vMerge w:val="restart"/>
            <w:tcBorders>
              <w:top w:val="single" w:color="000000" w:sz="4" w:space="0"/>
              <w:left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w:t>
            </w:r>
          </w:p>
        </w:tc>
        <w:tc>
          <w:tcPr>
            <w:tcW w:w="1247" w:type="dxa"/>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rPr>
              <w:t>加装隔声窗</w:t>
            </w:r>
          </w:p>
        </w:tc>
        <w:tc>
          <w:tcPr>
            <w:tcW w:w="1533" w:type="dxa"/>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lang w:val="en-US"/>
              </w:rPr>
              <w:t>约180m</w:t>
            </w:r>
            <w:r>
              <w:rPr>
                <w:rFonts w:hint="eastAsia" w:ascii="Times New Roman"/>
                <w:color w:val="auto"/>
                <w:sz w:val="18"/>
                <w:highlight w:val="none"/>
                <w:vertAlign w:val="superscript"/>
                <w:lang w:val="en-US"/>
              </w:rPr>
              <w:t>2</w:t>
            </w:r>
          </w:p>
        </w:tc>
        <w:tc>
          <w:tcPr>
            <w:tcW w:w="1719" w:type="dxa"/>
            <w:tcBorders>
              <w:top w:val="single" w:color="000000" w:sz="4" w:space="0"/>
              <w:left w:val="single" w:color="000000" w:sz="4" w:space="0"/>
              <w:right w:val="single" w:color="000000" w:sz="4" w:space="0"/>
            </w:tcBorders>
            <w:vAlign w:val="center"/>
          </w:tcPr>
          <w:p>
            <w:pPr>
              <w:pStyle w:val="54"/>
              <w:rPr>
                <w:rFonts w:ascii="Times New Roman"/>
                <w:color w:val="auto"/>
                <w:sz w:val="18"/>
                <w:highlight w:val="none"/>
              </w:rPr>
            </w:pPr>
            <w:r>
              <w:rPr>
                <w:rFonts w:hint="eastAsia" w:ascii="Times New Roman"/>
                <w:color w:val="auto"/>
                <w:sz w:val="18"/>
                <w:highlight w:val="none"/>
                <w:lang w:val="en-US"/>
              </w:rPr>
              <w:t>降噪2.</w:t>
            </w:r>
            <w:r>
              <w:rPr>
                <w:rFonts w:hint="eastAsia" w:ascii="Times New Roman"/>
                <w:color w:val="auto"/>
                <w:sz w:val="18"/>
                <w:highlight w:val="none"/>
                <w:lang w:val="en-US" w:eastAsia="zh-CN"/>
              </w:rPr>
              <w:t>76</w:t>
            </w:r>
            <w:r>
              <w:rPr>
                <w:rFonts w:hint="eastAsia" w:ascii="Times New Roman"/>
                <w:color w:val="auto"/>
                <w:sz w:val="18"/>
                <w:highlight w:val="none"/>
                <w:lang w:val="en-US"/>
              </w:rPr>
              <w:t>dB</w:t>
            </w:r>
          </w:p>
        </w:tc>
        <w:tc>
          <w:tcPr>
            <w:tcW w:w="669" w:type="dxa"/>
            <w:tcBorders>
              <w:top w:val="single" w:color="000000" w:sz="4" w:space="0"/>
              <w:left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7" w:hRule="atLeast"/>
          <w:jc w:val="center"/>
        </w:trPr>
        <w:tc>
          <w:tcPr>
            <w:tcW w:w="215" w:type="dxa"/>
            <w:vMerge w:val="continue"/>
            <w:tcBorders>
              <w:left w:val="nil"/>
              <w:right w:val="single" w:color="000000" w:sz="4" w:space="0"/>
            </w:tcBorders>
            <w:vAlign w:val="center"/>
          </w:tcPr>
          <w:p>
            <w:pPr>
              <w:pStyle w:val="54"/>
              <w:rPr>
                <w:color w:val="auto"/>
                <w:highlight w:val="none"/>
              </w:rPr>
            </w:pPr>
          </w:p>
        </w:tc>
        <w:tc>
          <w:tcPr>
            <w:tcW w:w="1132" w:type="dxa"/>
            <w:vMerge w:val="continue"/>
            <w:tcBorders>
              <w:left w:val="single" w:color="000000" w:sz="4" w:space="0"/>
              <w:right w:val="single" w:color="000000" w:sz="4" w:space="0"/>
            </w:tcBorders>
            <w:vAlign w:val="center"/>
          </w:tcPr>
          <w:p>
            <w:pPr>
              <w:pStyle w:val="54"/>
              <w:rPr>
                <w:color w:val="auto"/>
                <w:highlight w:val="none"/>
              </w:rPr>
            </w:pPr>
          </w:p>
        </w:tc>
        <w:tc>
          <w:tcPr>
            <w:tcW w:w="1291" w:type="dxa"/>
            <w:vMerge w:val="continue"/>
            <w:tcBorders>
              <w:left w:val="single" w:color="000000" w:sz="4" w:space="0"/>
              <w:right w:val="single" w:color="000000" w:sz="4" w:space="0"/>
            </w:tcBorders>
            <w:vAlign w:val="center"/>
          </w:tcPr>
          <w:p>
            <w:pPr>
              <w:pStyle w:val="54"/>
              <w:rPr>
                <w:color w:val="auto"/>
                <w:highlight w:val="none"/>
              </w:rPr>
            </w:pPr>
          </w:p>
        </w:tc>
        <w:tc>
          <w:tcPr>
            <w:tcW w:w="429" w:type="dxa"/>
            <w:vMerge w:val="continue"/>
            <w:tcBorders>
              <w:left w:val="single" w:color="000000" w:sz="4" w:space="0"/>
              <w:right w:val="single" w:color="000000" w:sz="4" w:space="0"/>
            </w:tcBorders>
            <w:vAlign w:val="center"/>
          </w:tcPr>
          <w:p>
            <w:pPr>
              <w:pStyle w:val="54"/>
              <w:rPr>
                <w:color w:val="auto"/>
                <w:highlight w:val="none"/>
              </w:rPr>
            </w:pPr>
          </w:p>
        </w:tc>
        <w:tc>
          <w:tcPr>
            <w:tcW w:w="1229" w:type="dxa"/>
            <w:vMerge w:val="continue"/>
            <w:tcBorders>
              <w:left w:val="single" w:color="000000" w:sz="4" w:space="0"/>
              <w:right w:val="single" w:color="000000" w:sz="4" w:space="0"/>
            </w:tcBorders>
            <w:vAlign w:val="center"/>
          </w:tcPr>
          <w:p>
            <w:pPr>
              <w:pStyle w:val="54"/>
              <w:rPr>
                <w:color w:val="auto"/>
                <w:highlight w:val="none"/>
              </w:rPr>
            </w:pPr>
          </w:p>
        </w:tc>
        <w:tc>
          <w:tcPr>
            <w:tcW w:w="563" w:type="dxa"/>
            <w:vMerge w:val="continue"/>
            <w:tcBorders>
              <w:left w:val="single" w:color="000000" w:sz="4" w:space="0"/>
              <w:right w:val="single" w:color="000000" w:sz="4" w:space="0"/>
            </w:tcBorders>
            <w:vAlign w:val="center"/>
          </w:tcPr>
          <w:p>
            <w:pPr>
              <w:pStyle w:val="54"/>
              <w:rPr>
                <w:color w:val="auto"/>
                <w:highlight w:val="none"/>
              </w:rPr>
            </w:pPr>
          </w:p>
        </w:tc>
        <w:tc>
          <w:tcPr>
            <w:tcW w:w="618" w:type="dxa"/>
            <w:vMerge w:val="continue"/>
            <w:tcBorders>
              <w:left w:val="single" w:color="000000" w:sz="4" w:space="0"/>
              <w:right w:val="single" w:color="000000" w:sz="4" w:space="0"/>
            </w:tcBorders>
            <w:vAlign w:val="center"/>
          </w:tcPr>
          <w:p>
            <w:pPr>
              <w:pStyle w:val="54"/>
              <w:rPr>
                <w:color w:val="auto"/>
                <w:highlight w:val="none"/>
              </w:rPr>
            </w:pPr>
          </w:p>
        </w:tc>
        <w:tc>
          <w:tcPr>
            <w:tcW w:w="814" w:type="dxa"/>
            <w:vMerge w:val="continue"/>
            <w:tcBorders>
              <w:left w:val="single" w:color="000000" w:sz="4" w:space="0"/>
              <w:right w:val="single" w:color="000000" w:sz="4" w:space="0"/>
            </w:tcBorders>
            <w:vAlign w:val="center"/>
          </w:tcPr>
          <w:p>
            <w:pPr>
              <w:pStyle w:val="54"/>
              <w:rPr>
                <w:color w:val="auto"/>
                <w:highlight w:val="none"/>
              </w:rPr>
            </w:pPr>
          </w:p>
        </w:tc>
        <w:tc>
          <w:tcPr>
            <w:tcW w:w="852" w:type="dxa"/>
            <w:vMerge w:val="continue"/>
            <w:tcBorders>
              <w:left w:val="single" w:color="000000" w:sz="4" w:space="0"/>
              <w:right w:val="single" w:color="000000" w:sz="4" w:space="0"/>
            </w:tcBorders>
            <w:vAlign w:val="center"/>
          </w:tcPr>
          <w:p>
            <w:pPr>
              <w:pStyle w:val="54"/>
              <w:rPr>
                <w:color w:val="auto"/>
                <w:highlight w:val="none"/>
              </w:rPr>
            </w:pPr>
          </w:p>
        </w:tc>
        <w:tc>
          <w:tcPr>
            <w:tcW w:w="814" w:type="dxa"/>
            <w:vMerge w:val="continue"/>
            <w:tcBorders>
              <w:left w:val="single" w:color="000000" w:sz="4" w:space="0"/>
              <w:right w:val="single" w:color="000000" w:sz="4" w:space="0"/>
            </w:tcBorders>
            <w:vAlign w:val="center"/>
          </w:tcPr>
          <w:p>
            <w:pPr>
              <w:pStyle w:val="54"/>
              <w:rPr>
                <w:color w:val="auto"/>
                <w:highlight w:val="none"/>
              </w:rPr>
            </w:pPr>
          </w:p>
        </w:tc>
        <w:tc>
          <w:tcPr>
            <w:tcW w:w="758" w:type="dxa"/>
            <w:vMerge w:val="continue"/>
            <w:tcBorders>
              <w:left w:val="single" w:color="000000" w:sz="4" w:space="0"/>
              <w:right w:val="single" w:color="000000" w:sz="4" w:space="0"/>
            </w:tcBorders>
            <w:vAlign w:val="center"/>
          </w:tcPr>
          <w:p>
            <w:pPr>
              <w:pStyle w:val="54"/>
              <w:rPr>
                <w:color w:val="auto"/>
                <w:highlight w:val="none"/>
              </w:rPr>
            </w:pP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约120m，宽10m</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bottom w:val="single" w:color="000000" w:sz="4" w:space="0"/>
              <w:right w:val="nil"/>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9.6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7" w:hRule="atLeast"/>
          <w:jc w:val="center"/>
        </w:trPr>
        <w:tc>
          <w:tcPr>
            <w:tcW w:w="215" w:type="dxa"/>
            <w:vMerge w:val="restart"/>
            <w:tcBorders>
              <w:left w:val="nil"/>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12</w:t>
            </w:r>
          </w:p>
        </w:tc>
        <w:tc>
          <w:tcPr>
            <w:tcW w:w="1132" w:type="dxa"/>
            <w:vMerge w:val="restart"/>
            <w:tcBorders>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左海公园</w:t>
            </w:r>
          </w:p>
        </w:tc>
        <w:tc>
          <w:tcPr>
            <w:tcW w:w="1291" w:type="dxa"/>
            <w:vMerge w:val="restart"/>
            <w:tcBorders>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K0+300~红线范围外</w:t>
            </w:r>
          </w:p>
        </w:tc>
        <w:tc>
          <w:tcPr>
            <w:tcW w:w="429" w:type="dxa"/>
            <w:vMerge w:val="restart"/>
            <w:tcBorders>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25</w:t>
            </w:r>
          </w:p>
        </w:tc>
        <w:tc>
          <w:tcPr>
            <w:tcW w:w="1229" w:type="dxa"/>
            <w:vMerge w:val="restart"/>
            <w:tcBorders>
              <w:left w:val="single" w:color="000000" w:sz="4" w:space="0"/>
              <w:right w:val="single" w:color="000000" w:sz="4" w:space="0"/>
            </w:tcBorders>
            <w:vAlign w:val="center"/>
          </w:tcPr>
          <w:p>
            <w:pPr>
              <w:pStyle w:val="54"/>
              <w:rPr>
                <w:rFonts w:hint="eastAsia" w:ascii="Times New Roman"/>
                <w:color w:val="auto"/>
                <w:sz w:val="18"/>
                <w:highlight w:val="none"/>
              </w:rPr>
            </w:pPr>
            <w:r>
              <w:rPr>
                <w:rFonts w:hint="eastAsia" w:ascii="Times New Roman"/>
                <w:color w:val="auto"/>
                <w:sz w:val="18"/>
                <w:highlight w:val="none"/>
              </w:rPr>
              <w:t>二环匝道：-2.6~1.15</w:t>
            </w:r>
          </w:p>
          <w:p>
            <w:pPr>
              <w:pStyle w:val="54"/>
              <w:rPr>
                <w:rFonts w:hint="eastAsia" w:ascii="Times New Roman"/>
                <w:color w:val="auto"/>
                <w:sz w:val="18"/>
                <w:highlight w:val="none"/>
              </w:rPr>
            </w:pPr>
            <w:r>
              <w:rPr>
                <w:rFonts w:hint="eastAsia" w:ascii="Times New Roman"/>
                <w:color w:val="auto"/>
                <w:sz w:val="18"/>
                <w:highlight w:val="none"/>
              </w:rPr>
              <w:t>二环高架：-7.27~-0.22</w:t>
            </w:r>
          </w:p>
          <w:p>
            <w:pPr>
              <w:pStyle w:val="54"/>
              <w:rPr>
                <w:rFonts w:hint="eastAsia" w:ascii="Times New Roman"/>
                <w:color w:val="auto"/>
                <w:sz w:val="18"/>
                <w:highlight w:val="none"/>
              </w:rPr>
            </w:pPr>
            <w:r>
              <w:rPr>
                <w:rFonts w:hint="eastAsia" w:ascii="Times New Roman"/>
                <w:color w:val="auto"/>
                <w:sz w:val="18"/>
                <w:highlight w:val="none"/>
              </w:rPr>
              <w:t>上层辅路：-4.12~1.12</w:t>
            </w:r>
          </w:p>
          <w:p>
            <w:pPr>
              <w:pStyle w:val="54"/>
              <w:rPr>
                <w:rFonts w:hint="eastAsia" w:ascii="Times New Roman"/>
                <w:color w:val="auto"/>
                <w:sz w:val="18"/>
                <w:highlight w:val="none"/>
              </w:rPr>
            </w:pPr>
            <w:r>
              <w:rPr>
                <w:rFonts w:hint="eastAsia" w:ascii="Times New Roman"/>
                <w:color w:val="auto"/>
                <w:sz w:val="18"/>
                <w:highlight w:val="none"/>
              </w:rPr>
              <w:t>下层主路：-0.22~6.7</w:t>
            </w:r>
          </w:p>
        </w:tc>
        <w:tc>
          <w:tcPr>
            <w:tcW w:w="563" w:type="dxa"/>
            <w:vMerge w:val="restart"/>
            <w:tcBorders>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64.1</w:t>
            </w:r>
          </w:p>
        </w:tc>
        <w:tc>
          <w:tcPr>
            <w:tcW w:w="618" w:type="dxa"/>
            <w:vMerge w:val="restart"/>
            <w:tcBorders>
              <w:left w:val="single" w:color="000000" w:sz="4" w:space="0"/>
              <w:right w:val="single" w:color="000000" w:sz="4" w:space="0"/>
            </w:tcBorders>
            <w:vAlign w:val="center"/>
          </w:tcPr>
          <w:p>
            <w:pPr>
              <w:pStyle w:val="54"/>
              <w:rPr>
                <w:rFonts w:hint="default" w:ascii="Times New Roman"/>
                <w:color w:val="auto"/>
                <w:sz w:val="18"/>
                <w:highlight w:val="none"/>
                <w:lang w:val="en-US" w:eastAsia="zh-CN"/>
              </w:rPr>
            </w:pPr>
            <w:r>
              <w:rPr>
                <w:rFonts w:hint="eastAsia" w:ascii="Times New Roman"/>
                <w:color w:val="auto"/>
                <w:sz w:val="18"/>
                <w:highlight w:val="none"/>
                <w:lang w:val="en-US" w:eastAsia="zh-CN"/>
              </w:rPr>
              <w:t>57.76</w:t>
            </w:r>
          </w:p>
        </w:tc>
        <w:tc>
          <w:tcPr>
            <w:tcW w:w="814" w:type="dxa"/>
            <w:vMerge w:val="restart"/>
            <w:tcBorders>
              <w:left w:val="single" w:color="000000" w:sz="4" w:space="0"/>
              <w:right w:val="single" w:color="000000" w:sz="4" w:space="0"/>
            </w:tcBorders>
            <w:vAlign w:val="center"/>
          </w:tcPr>
          <w:p>
            <w:pPr>
              <w:pStyle w:val="54"/>
              <w:rPr>
                <w:rFonts w:hint="default" w:ascii="Times New Roman"/>
                <w:color w:val="auto"/>
                <w:sz w:val="18"/>
                <w:highlight w:val="none"/>
                <w:lang w:val="en-US" w:eastAsia="zh-CN"/>
              </w:rPr>
            </w:pPr>
            <w:r>
              <w:rPr>
                <w:rFonts w:hint="eastAsia" w:ascii="Times New Roman"/>
                <w:color w:val="auto"/>
                <w:sz w:val="18"/>
                <w:highlight w:val="none"/>
                <w:lang w:val="en-US" w:eastAsia="zh-CN"/>
              </w:rPr>
              <w:t>2.76</w:t>
            </w:r>
          </w:p>
        </w:tc>
        <w:tc>
          <w:tcPr>
            <w:tcW w:w="852" w:type="dxa"/>
            <w:vMerge w:val="restart"/>
            <w:tcBorders>
              <w:left w:val="single" w:color="000000" w:sz="4" w:space="0"/>
              <w:right w:val="single" w:color="000000" w:sz="4" w:space="0"/>
            </w:tcBorders>
            <w:vAlign w:val="center"/>
          </w:tcPr>
          <w:p>
            <w:pPr>
              <w:pStyle w:val="54"/>
              <w:rPr>
                <w:rFonts w:hint="default" w:ascii="Times New Roman"/>
                <w:color w:val="auto"/>
                <w:sz w:val="18"/>
                <w:highlight w:val="none"/>
                <w:lang w:val="en-US" w:eastAsia="zh-CN"/>
              </w:rPr>
            </w:pPr>
            <w:r>
              <w:rPr>
                <w:rFonts w:hint="eastAsia" w:ascii="Times New Roman"/>
                <w:color w:val="auto"/>
                <w:sz w:val="18"/>
                <w:highlight w:val="none"/>
                <w:lang w:val="en-US" w:eastAsia="zh-CN"/>
              </w:rPr>
              <w:t>2.38</w:t>
            </w:r>
          </w:p>
        </w:tc>
        <w:tc>
          <w:tcPr>
            <w:tcW w:w="814" w:type="dxa"/>
            <w:vMerge w:val="restart"/>
            <w:tcBorders>
              <w:left w:val="single" w:color="000000" w:sz="4" w:space="0"/>
              <w:right w:val="single" w:color="000000" w:sz="4" w:space="0"/>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w:t>
            </w:r>
          </w:p>
        </w:tc>
        <w:tc>
          <w:tcPr>
            <w:tcW w:w="758" w:type="dxa"/>
            <w:vMerge w:val="restart"/>
            <w:tcBorders>
              <w:left w:val="single" w:color="000000" w:sz="4" w:space="0"/>
              <w:right w:val="single" w:color="000000" w:sz="4" w:space="0"/>
            </w:tcBorders>
            <w:vAlign w:val="center"/>
          </w:tcPr>
          <w:p>
            <w:pPr>
              <w:pStyle w:val="54"/>
              <w:rPr>
                <w:rFonts w:hint="eastAsia" w:ascii="Times New Roman" w:eastAsia="宋体"/>
                <w:color w:val="auto"/>
                <w:sz w:val="18"/>
                <w:highlight w:val="none"/>
                <w:lang w:val="en-US" w:eastAsia="zh-CN"/>
              </w:rPr>
            </w:pPr>
            <w:r>
              <w:rPr>
                <w:rFonts w:hint="eastAsia" w:ascii="Times New Roman"/>
                <w:color w:val="auto"/>
                <w:sz w:val="18"/>
                <w:highlight w:val="none"/>
                <w:lang w:val="en-US" w:eastAsia="zh-CN"/>
              </w:rPr>
              <w:t>/</w:t>
            </w: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rPr>
              <w:t>安装声屏障</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eastAsia="zh-CN"/>
              </w:rPr>
              <w:t>二环高架</w:t>
            </w:r>
            <w:r>
              <w:rPr>
                <w:rFonts w:hint="eastAsia" w:ascii="Times New Roman"/>
                <w:color w:val="auto"/>
                <w:sz w:val="18"/>
                <w:highlight w:val="none"/>
                <w:lang w:val="en-US"/>
              </w:rPr>
              <w:t>靠</w:t>
            </w:r>
            <w:r>
              <w:rPr>
                <w:rFonts w:hint="eastAsia" w:ascii="Times New Roman"/>
                <w:color w:val="auto"/>
                <w:sz w:val="18"/>
                <w:highlight w:val="none"/>
                <w:lang w:val="en-US" w:eastAsia="zh-CN"/>
              </w:rPr>
              <w:t>左海公园</w:t>
            </w:r>
            <w:r>
              <w:rPr>
                <w:rFonts w:hint="eastAsia" w:ascii="Times New Roman"/>
                <w:color w:val="auto"/>
                <w:sz w:val="18"/>
                <w:highlight w:val="none"/>
                <w:lang w:val="en-US"/>
              </w:rPr>
              <w:t>一侧安装</w:t>
            </w:r>
            <w:r>
              <w:rPr>
                <w:rFonts w:hint="eastAsia" w:ascii="Times New Roman"/>
                <w:color w:val="auto"/>
                <w:sz w:val="18"/>
                <w:highlight w:val="none"/>
                <w:lang w:val="en-US" w:eastAsia="zh-CN"/>
              </w:rPr>
              <w:t>140</w:t>
            </w:r>
            <w:r>
              <w:rPr>
                <w:rFonts w:hint="eastAsia" w:ascii="Times New Roman"/>
                <w:color w:val="auto"/>
                <w:sz w:val="18"/>
                <w:highlight w:val="none"/>
                <w:lang w:val="en-US"/>
              </w:rPr>
              <w:t>延米</w:t>
            </w:r>
            <w:r>
              <w:rPr>
                <w:rFonts w:hint="eastAsia" w:ascii="Times New Roman"/>
                <w:color w:val="auto"/>
                <w:sz w:val="18"/>
                <w:highlight w:val="none"/>
              </w:rPr>
              <w:t>声屏障</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降噪</w:t>
            </w:r>
            <w:r>
              <w:rPr>
                <w:rFonts w:hint="eastAsia" w:ascii="Times New Roman"/>
                <w:color w:val="auto"/>
                <w:sz w:val="18"/>
                <w:highlight w:val="none"/>
                <w:lang w:val="en-US" w:eastAsia="zh-CN"/>
              </w:rPr>
              <w:t>3.15</w:t>
            </w:r>
            <w:r>
              <w:rPr>
                <w:rFonts w:hint="eastAsia" w:ascii="Times New Roman"/>
                <w:color w:val="auto"/>
                <w:sz w:val="18"/>
                <w:highlight w:val="none"/>
                <w:lang w:val="en-US"/>
              </w:rPr>
              <w:t>dB</w:t>
            </w:r>
          </w:p>
        </w:tc>
        <w:tc>
          <w:tcPr>
            <w:tcW w:w="669" w:type="dxa"/>
            <w:tcBorders>
              <w:top w:val="single" w:color="000000" w:sz="4" w:space="0"/>
              <w:left w:val="single" w:color="000000" w:sz="4" w:space="0"/>
              <w:bottom w:val="single" w:color="000000" w:sz="4" w:space="0"/>
              <w:right w:val="nil"/>
            </w:tcBorders>
            <w:vAlign w:val="center"/>
          </w:tcPr>
          <w:p>
            <w:pPr>
              <w:pStyle w:val="54"/>
              <w:rPr>
                <w:rFonts w:hint="default" w:ascii="Times New Roman"/>
                <w:color w:val="auto"/>
                <w:sz w:val="18"/>
                <w:highlight w:val="none"/>
                <w:lang w:val="en-US"/>
              </w:rPr>
            </w:pPr>
            <w:r>
              <w:rPr>
                <w:rFonts w:hint="eastAsia" w:ascii="Times New Roman"/>
                <w:color w:val="auto"/>
                <w:sz w:val="18"/>
                <w:highlight w:val="none"/>
                <w:lang w:val="en-US" w:eastAsia="zh-CN"/>
              </w:rPr>
              <w:t>28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7" w:hRule="atLeast"/>
          <w:jc w:val="center"/>
        </w:trPr>
        <w:tc>
          <w:tcPr>
            <w:tcW w:w="215" w:type="dxa"/>
            <w:vMerge w:val="continue"/>
            <w:tcBorders>
              <w:left w:val="nil"/>
              <w:right w:val="single" w:color="000000" w:sz="4" w:space="0"/>
            </w:tcBorders>
            <w:vAlign w:val="center"/>
          </w:tcPr>
          <w:p>
            <w:pPr>
              <w:pStyle w:val="54"/>
              <w:rPr>
                <w:rFonts w:hint="eastAsia" w:ascii="Times New Roman"/>
                <w:color w:val="auto"/>
                <w:sz w:val="18"/>
                <w:highlight w:val="none"/>
              </w:rPr>
            </w:pPr>
          </w:p>
        </w:tc>
        <w:tc>
          <w:tcPr>
            <w:tcW w:w="1132"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1291"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429"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1229"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563"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618"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814"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852"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814"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758" w:type="dxa"/>
            <w:vMerge w:val="continue"/>
            <w:tcBorders>
              <w:left w:val="single" w:color="000000" w:sz="4" w:space="0"/>
              <w:right w:val="single" w:color="000000" w:sz="4" w:space="0"/>
            </w:tcBorders>
            <w:vAlign w:val="center"/>
          </w:tcPr>
          <w:p>
            <w:pPr>
              <w:pStyle w:val="54"/>
              <w:rPr>
                <w:rFonts w:hint="eastAsia" w:ascii="Times New Roman"/>
                <w:color w:val="auto"/>
                <w:sz w:val="18"/>
                <w:highlight w:val="none"/>
              </w:rPr>
            </w:pPr>
          </w:p>
        </w:tc>
        <w:tc>
          <w:tcPr>
            <w:tcW w:w="1247"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沿线绿化</w:t>
            </w:r>
          </w:p>
        </w:tc>
        <w:tc>
          <w:tcPr>
            <w:tcW w:w="1533"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约1</w:t>
            </w:r>
            <w:r>
              <w:rPr>
                <w:rFonts w:hint="eastAsia" w:ascii="Times New Roman"/>
                <w:color w:val="auto"/>
                <w:sz w:val="18"/>
                <w:highlight w:val="none"/>
                <w:lang w:val="en-US" w:eastAsia="zh-CN"/>
              </w:rPr>
              <w:t>40</w:t>
            </w:r>
            <w:r>
              <w:rPr>
                <w:rFonts w:hint="eastAsia" w:ascii="Times New Roman"/>
                <w:color w:val="auto"/>
                <w:sz w:val="18"/>
                <w:highlight w:val="none"/>
                <w:lang w:val="en-US"/>
              </w:rPr>
              <w:t>m，宽10m</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54"/>
              <w:rPr>
                <w:rFonts w:hint="eastAsia" w:ascii="Times New Roman"/>
                <w:color w:val="auto"/>
                <w:sz w:val="18"/>
                <w:highlight w:val="none"/>
                <w:lang w:val="en-US"/>
              </w:rPr>
            </w:pPr>
            <w:r>
              <w:rPr>
                <w:rFonts w:hint="eastAsia" w:ascii="Times New Roman"/>
                <w:color w:val="auto"/>
                <w:sz w:val="18"/>
                <w:highlight w:val="none"/>
                <w:lang w:val="en-US"/>
              </w:rPr>
              <w:t>降噪约1dB</w:t>
            </w:r>
          </w:p>
        </w:tc>
        <w:tc>
          <w:tcPr>
            <w:tcW w:w="669" w:type="dxa"/>
            <w:tcBorders>
              <w:top w:val="single" w:color="000000" w:sz="4" w:space="0"/>
              <w:left w:val="single" w:color="000000" w:sz="4" w:space="0"/>
              <w:bottom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eastAsia="zh-CN"/>
              </w:rPr>
              <w:t>11.2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7" w:hRule="atLeast"/>
          <w:jc w:val="center"/>
        </w:trPr>
        <w:tc>
          <w:tcPr>
            <w:tcW w:w="13214" w:type="dxa"/>
            <w:gridSpan w:val="14"/>
            <w:tcBorders>
              <w:left w:val="nil"/>
              <w:right w:val="single" w:color="000000" w:sz="4" w:space="0"/>
            </w:tcBorders>
            <w:vAlign w:val="center"/>
          </w:tcPr>
          <w:p>
            <w:pPr>
              <w:pStyle w:val="54"/>
              <w:rPr>
                <w:rFonts w:ascii="Times New Roman"/>
                <w:color w:val="auto"/>
                <w:sz w:val="18"/>
                <w:highlight w:val="none"/>
                <w:lang w:val="en-US"/>
              </w:rPr>
            </w:pPr>
            <w:r>
              <w:rPr>
                <w:rFonts w:hint="eastAsia" w:ascii="Times New Roman"/>
                <w:color w:val="auto"/>
                <w:sz w:val="18"/>
                <w:highlight w:val="none"/>
                <w:lang w:val="en-US"/>
              </w:rPr>
              <w:t>合计</w:t>
            </w:r>
          </w:p>
        </w:tc>
        <w:tc>
          <w:tcPr>
            <w:tcW w:w="669" w:type="dxa"/>
            <w:tcBorders>
              <w:top w:val="single" w:color="000000" w:sz="4" w:space="0"/>
              <w:left w:val="single" w:color="000000" w:sz="4" w:space="0"/>
              <w:right w:val="nil"/>
            </w:tcBorders>
            <w:vAlign w:val="center"/>
          </w:tcPr>
          <w:p>
            <w:pPr>
              <w:pStyle w:val="54"/>
              <w:rPr>
                <w:rFonts w:hint="default" w:ascii="Times New Roman" w:eastAsia="宋体"/>
                <w:color w:val="auto"/>
                <w:sz w:val="18"/>
                <w:highlight w:val="none"/>
                <w:lang w:val="en-US" w:eastAsia="zh-CN"/>
              </w:rPr>
            </w:pPr>
            <w:r>
              <w:rPr>
                <w:rFonts w:hint="eastAsia" w:ascii="Times New Roman"/>
                <w:color w:val="auto"/>
                <w:sz w:val="18"/>
                <w:highlight w:val="none"/>
                <w:lang w:val="en-US"/>
              </w:rPr>
              <w:t>6</w:t>
            </w:r>
            <w:r>
              <w:rPr>
                <w:rFonts w:hint="eastAsia" w:ascii="Times New Roman"/>
                <w:color w:val="auto"/>
                <w:sz w:val="18"/>
                <w:highlight w:val="none"/>
                <w:lang w:val="en-US" w:eastAsia="zh-CN"/>
              </w:rPr>
              <w:t>42.2</w:t>
            </w:r>
          </w:p>
        </w:tc>
      </w:tr>
    </w:tbl>
    <w:p>
      <w:pPr>
        <w:pStyle w:val="13"/>
        <w:rPr>
          <w:rFonts w:hint="eastAsia"/>
          <w:color w:val="auto"/>
          <w:highlight w:val="none"/>
        </w:rPr>
        <w:sectPr>
          <w:pgSz w:w="16838" w:h="11906" w:orient="landscape"/>
          <w:pgMar w:top="1463" w:right="1440" w:bottom="1406" w:left="1440" w:header="851" w:footer="1077" w:gutter="0"/>
          <w:pgBorders>
            <w:top w:val="none" w:sz="0" w:space="0"/>
            <w:left w:val="none" w:sz="0" w:space="0"/>
            <w:bottom w:val="none" w:sz="0" w:space="0"/>
            <w:right w:val="none" w:sz="0" w:space="0"/>
          </w:pgBorders>
          <w:cols w:space="720" w:num="1"/>
          <w:docGrid w:linePitch="312" w:charSpace="0"/>
        </w:sectPr>
      </w:pPr>
    </w:p>
    <w:p>
      <w:pPr>
        <w:pageBreakBefore/>
        <w:adjustRightInd w:val="0"/>
        <w:snapToGrid w:val="0"/>
        <w:spacing w:before="240" w:beforeLines="100" w:after="240" w:afterLines="100" w:line="360" w:lineRule="auto"/>
        <w:outlineLvl w:val="0"/>
        <w:rPr>
          <w:rFonts w:hint="eastAsia" w:eastAsia="黑体"/>
          <w:snapToGrid w:val="0"/>
          <w:color w:val="auto"/>
          <w:kern w:val="0"/>
          <w:sz w:val="30"/>
          <w:szCs w:val="30"/>
          <w:highlight w:val="none"/>
        </w:rPr>
      </w:pPr>
      <w:bookmarkStart w:id="57" w:name="_Toc26032"/>
      <w:r>
        <w:rPr>
          <w:rFonts w:hint="eastAsia" w:eastAsia="黑体"/>
          <w:snapToGrid w:val="0"/>
          <w:color w:val="auto"/>
          <w:kern w:val="0"/>
          <w:sz w:val="30"/>
          <w:szCs w:val="30"/>
          <w:highlight w:val="none"/>
        </w:rPr>
        <w:t>6 声影响专项评价结论</w:t>
      </w:r>
      <w:bookmarkEnd w:id="57"/>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58" w:name="_Toc4274"/>
      <w:r>
        <w:rPr>
          <w:rFonts w:hint="eastAsia" w:eastAsia="黑体"/>
          <w:snapToGrid w:val="0"/>
          <w:color w:val="auto"/>
          <w:kern w:val="0"/>
          <w:sz w:val="28"/>
          <w:szCs w:val="28"/>
          <w:highlight w:val="none"/>
        </w:rPr>
        <w:t>6.1 声环境质量现状</w:t>
      </w:r>
      <w:bookmarkEnd w:id="58"/>
    </w:p>
    <w:p>
      <w:pPr>
        <w:adjustRightInd w:val="0"/>
        <w:snapToGrid w:val="0"/>
        <w:spacing w:before="120" w:beforeLines="50" w:line="360" w:lineRule="auto"/>
        <w:ind w:firstLine="480"/>
        <w:rPr>
          <w:rFonts w:hint="eastAsia" w:hAnsi="宋体"/>
          <w:color w:val="auto"/>
          <w:sz w:val="24"/>
          <w:highlight w:val="none"/>
        </w:rPr>
      </w:pPr>
      <w:r>
        <w:rPr>
          <w:rFonts w:hint="eastAsia" w:hAnsi="宋体"/>
          <w:color w:val="auto"/>
          <w:sz w:val="24"/>
          <w:highlight w:val="none"/>
        </w:rPr>
        <w:t>根据监测结果可知，</w:t>
      </w:r>
      <w:r>
        <w:rPr>
          <w:rFonts w:hint="eastAsia"/>
          <w:color w:val="auto"/>
          <w:sz w:val="24"/>
          <w:highlight w:val="none"/>
        </w:rPr>
        <w:t>本项目道路起点、终点夜间噪声以及福建行政</w:t>
      </w:r>
      <w:r>
        <w:rPr>
          <w:rFonts w:hint="eastAsia"/>
          <w:color w:val="auto"/>
          <w:sz w:val="24"/>
          <w:highlight w:val="none"/>
          <w:lang w:eastAsia="zh-CN"/>
        </w:rPr>
        <w:t>学院（</w:t>
      </w:r>
      <w:r>
        <w:rPr>
          <w:rFonts w:hint="eastAsia"/>
          <w:color w:val="auto"/>
          <w:sz w:val="24"/>
          <w:highlight w:val="none"/>
          <w:lang w:val="en-US" w:eastAsia="zh-CN"/>
        </w:rPr>
        <w:t>梅峰校区）</w:t>
      </w:r>
      <w:r>
        <w:rPr>
          <w:rFonts w:hint="eastAsia"/>
          <w:color w:val="auto"/>
          <w:sz w:val="24"/>
          <w:highlight w:val="none"/>
        </w:rPr>
        <w:t>、福州九00医院总院昼间、夜间噪声</w:t>
      </w:r>
      <w:r>
        <w:rPr>
          <w:rFonts w:hint="eastAsia"/>
          <w:color w:val="auto"/>
          <w:sz w:val="24"/>
          <w:highlight w:val="none"/>
          <w:lang w:eastAsia="zh-CN"/>
        </w:rPr>
        <w:t>、象山公寓夜间</w:t>
      </w:r>
      <w:r>
        <w:rPr>
          <w:rFonts w:hint="eastAsia"/>
          <w:color w:val="auto"/>
          <w:sz w:val="24"/>
          <w:highlight w:val="none"/>
        </w:rPr>
        <w:t>均有不同程度的超标。</w:t>
      </w:r>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59" w:name="_Toc23442"/>
      <w:r>
        <w:rPr>
          <w:rFonts w:hint="eastAsia" w:eastAsia="黑体"/>
          <w:snapToGrid w:val="0"/>
          <w:color w:val="auto"/>
          <w:kern w:val="0"/>
          <w:sz w:val="28"/>
          <w:szCs w:val="28"/>
          <w:highlight w:val="none"/>
        </w:rPr>
        <w:t>6.2 声环境影响分析</w:t>
      </w:r>
      <w:bookmarkEnd w:id="59"/>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1、施工期</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项目道路沿局部影响较为突出的路段施工，加强施工管理，减轻对周围声环境保护目标的影响。但由于施工期施工是一短期行为，声环境保护目标所受的噪声影响也主要是发生在附近路段的施工过程中，总体上存在无规则、强度大、暂时性等特点，因此总体影响不大。</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2、营运期</w:t>
      </w:r>
    </w:p>
    <w:p>
      <w:pPr>
        <w:adjustRightInd w:val="0"/>
        <w:snapToGrid w:val="0"/>
        <w:spacing w:line="360" w:lineRule="auto"/>
        <w:ind w:firstLine="480"/>
        <w:rPr>
          <w:rFonts w:hint="eastAsia"/>
          <w:color w:val="auto"/>
          <w:sz w:val="24"/>
          <w:highlight w:val="none"/>
        </w:rPr>
      </w:pPr>
      <w:r>
        <w:rPr>
          <w:rFonts w:hint="eastAsia"/>
          <w:color w:val="auto"/>
          <w:sz w:val="24"/>
          <w:highlight w:val="none"/>
        </w:rPr>
        <w:t>1）由横向噪声预测结果可知：</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（1）北梦山路天桥路段执行4a类标准区域运营近、中、远期昼间噪声在红线处均可达标，运营近、中、远期夜间达标距离</w:t>
      </w:r>
      <w:r>
        <w:rPr>
          <w:rFonts w:hint="eastAsia"/>
          <w:snapToGrid w:val="0"/>
          <w:color w:val="auto"/>
          <w:kern w:val="0"/>
          <w:sz w:val="24"/>
          <w:highlight w:val="none"/>
          <w:lang w:eastAsia="zh-CN"/>
        </w:rPr>
        <w:t>分别</w:t>
      </w:r>
      <w:r>
        <w:rPr>
          <w:rFonts w:hint="eastAsia"/>
          <w:snapToGrid w:val="0"/>
          <w:color w:val="auto"/>
          <w:kern w:val="0"/>
          <w:sz w:val="24"/>
          <w:highlight w:val="none"/>
        </w:rPr>
        <w:t>在距道路红线</w:t>
      </w:r>
      <w:r>
        <w:rPr>
          <w:rFonts w:hint="eastAsia"/>
          <w:snapToGrid w:val="0"/>
          <w:color w:val="auto"/>
          <w:kern w:val="0"/>
          <w:sz w:val="24"/>
          <w:highlight w:val="none"/>
          <w:lang w:val="en-US" w:eastAsia="zh-CN"/>
        </w:rPr>
        <w:t>9</w:t>
      </w:r>
      <w:r>
        <w:rPr>
          <w:rFonts w:hint="eastAsia"/>
          <w:snapToGrid w:val="0"/>
          <w:color w:val="auto"/>
          <w:kern w:val="0"/>
          <w:sz w:val="24"/>
          <w:highlight w:val="none"/>
        </w:rPr>
        <w:t>m</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10m、10m</w:t>
      </w:r>
      <w:r>
        <w:rPr>
          <w:rFonts w:hint="eastAsia"/>
          <w:snapToGrid w:val="0"/>
          <w:color w:val="auto"/>
          <w:kern w:val="0"/>
          <w:sz w:val="24"/>
          <w:highlight w:val="none"/>
        </w:rPr>
        <w:t>处；执行2类标准区域运营近、中、远期昼间达标距离</w:t>
      </w:r>
      <w:r>
        <w:rPr>
          <w:rFonts w:hint="eastAsia"/>
          <w:snapToGrid w:val="0"/>
          <w:color w:val="auto"/>
          <w:kern w:val="0"/>
          <w:sz w:val="24"/>
          <w:highlight w:val="none"/>
          <w:lang w:eastAsia="zh-CN"/>
        </w:rPr>
        <w:t>分别</w:t>
      </w:r>
      <w:r>
        <w:rPr>
          <w:rFonts w:hint="eastAsia"/>
          <w:snapToGrid w:val="0"/>
          <w:color w:val="auto"/>
          <w:kern w:val="0"/>
          <w:sz w:val="24"/>
          <w:highlight w:val="none"/>
        </w:rPr>
        <w:t>在距道路红线14m</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15m、15m</w:t>
      </w:r>
      <w:r>
        <w:rPr>
          <w:rFonts w:hint="eastAsia"/>
          <w:snapToGrid w:val="0"/>
          <w:color w:val="auto"/>
          <w:kern w:val="0"/>
          <w:sz w:val="24"/>
          <w:highlight w:val="none"/>
        </w:rPr>
        <w:t>处，运营近、中、远期夜间噪声达标距离分别为距道路红线</w:t>
      </w:r>
      <w:r>
        <w:rPr>
          <w:rFonts w:hint="eastAsia"/>
          <w:snapToGrid w:val="0"/>
          <w:color w:val="auto"/>
          <w:kern w:val="0"/>
          <w:sz w:val="24"/>
          <w:highlight w:val="none"/>
          <w:lang w:val="en-US" w:eastAsia="zh-CN"/>
        </w:rPr>
        <w:t>41</w:t>
      </w:r>
      <w:r>
        <w:rPr>
          <w:rFonts w:hint="eastAsia"/>
          <w:snapToGrid w:val="0"/>
          <w:color w:val="auto"/>
          <w:kern w:val="0"/>
          <w:sz w:val="24"/>
          <w:highlight w:val="none"/>
        </w:rPr>
        <w:t>m、</w:t>
      </w:r>
      <w:r>
        <w:rPr>
          <w:rFonts w:hint="eastAsia"/>
          <w:snapToGrid w:val="0"/>
          <w:color w:val="auto"/>
          <w:kern w:val="0"/>
          <w:sz w:val="24"/>
          <w:highlight w:val="none"/>
          <w:lang w:val="en-US" w:eastAsia="zh-CN"/>
        </w:rPr>
        <w:t>44</w:t>
      </w:r>
      <w:r>
        <w:rPr>
          <w:rFonts w:hint="eastAsia"/>
          <w:snapToGrid w:val="0"/>
          <w:color w:val="auto"/>
          <w:kern w:val="0"/>
          <w:sz w:val="24"/>
          <w:highlight w:val="none"/>
        </w:rPr>
        <w:t>m、4</w:t>
      </w:r>
      <w:r>
        <w:rPr>
          <w:rFonts w:hint="eastAsia"/>
          <w:snapToGrid w:val="0"/>
          <w:color w:val="auto"/>
          <w:kern w:val="0"/>
          <w:sz w:val="24"/>
          <w:highlight w:val="none"/>
          <w:lang w:val="en-US" w:eastAsia="zh-CN"/>
        </w:rPr>
        <w:t>5</w:t>
      </w:r>
      <w:r>
        <w:rPr>
          <w:rFonts w:hint="eastAsia"/>
          <w:snapToGrid w:val="0"/>
          <w:color w:val="auto"/>
          <w:kern w:val="0"/>
          <w:sz w:val="24"/>
          <w:highlight w:val="none"/>
        </w:rPr>
        <w:t>m处。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（2）隧道南侧U型槽路段执行4a类标准区域运营近、中、远期昼间噪声在红线处均可达标，运营近、中、远期夜间达标距离分别在距道路红线12m、1</w:t>
      </w:r>
      <w:r>
        <w:rPr>
          <w:rFonts w:hint="eastAsia"/>
          <w:snapToGrid w:val="0"/>
          <w:color w:val="auto"/>
          <w:kern w:val="0"/>
          <w:sz w:val="24"/>
          <w:highlight w:val="none"/>
          <w:lang w:val="en-US" w:eastAsia="zh-CN"/>
        </w:rPr>
        <w:t>2</w:t>
      </w:r>
      <w:r>
        <w:rPr>
          <w:rFonts w:hint="eastAsia"/>
          <w:snapToGrid w:val="0"/>
          <w:color w:val="auto"/>
          <w:kern w:val="0"/>
          <w:sz w:val="24"/>
          <w:highlight w:val="none"/>
        </w:rPr>
        <w:t>m、13m处；执行2类标准区域运营近、中、远期昼间达标距离</w:t>
      </w:r>
      <w:r>
        <w:rPr>
          <w:rFonts w:hint="eastAsia"/>
          <w:snapToGrid w:val="0"/>
          <w:color w:val="auto"/>
          <w:kern w:val="0"/>
          <w:sz w:val="24"/>
          <w:highlight w:val="none"/>
          <w:lang w:eastAsia="zh-CN"/>
        </w:rPr>
        <w:t>均</w:t>
      </w:r>
      <w:r>
        <w:rPr>
          <w:rFonts w:hint="eastAsia"/>
          <w:snapToGrid w:val="0"/>
          <w:color w:val="auto"/>
          <w:kern w:val="0"/>
          <w:sz w:val="24"/>
          <w:highlight w:val="none"/>
        </w:rPr>
        <w:t>在距道路红线17m处，运营近、中、远期夜间噪声达标距离分别为距道路红线4</w:t>
      </w:r>
      <w:r>
        <w:rPr>
          <w:rFonts w:hint="eastAsia"/>
          <w:snapToGrid w:val="0"/>
          <w:color w:val="auto"/>
          <w:kern w:val="0"/>
          <w:sz w:val="24"/>
          <w:highlight w:val="none"/>
          <w:lang w:val="en-US" w:eastAsia="zh-CN"/>
        </w:rPr>
        <w:t>6</w:t>
      </w:r>
      <w:r>
        <w:rPr>
          <w:rFonts w:hint="eastAsia"/>
          <w:snapToGrid w:val="0"/>
          <w:color w:val="auto"/>
          <w:kern w:val="0"/>
          <w:sz w:val="24"/>
          <w:highlight w:val="none"/>
        </w:rPr>
        <w:t>m、48m、49m处。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（3）隧道南侧箱型路段执行4a类标准区域运营近、中、远期昼间噪声在红线处均可达标，运营近、中、远期夜间达标距离分别在距道路红线</w:t>
      </w:r>
      <w:r>
        <w:rPr>
          <w:rFonts w:hint="eastAsia"/>
          <w:snapToGrid w:val="0"/>
          <w:color w:val="auto"/>
          <w:kern w:val="0"/>
          <w:sz w:val="24"/>
          <w:highlight w:val="none"/>
          <w:lang w:val="en-US" w:eastAsia="zh-CN"/>
        </w:rPr>
        <w:t>4</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m处；执行2类标准区域运营近、中、远期昼间达标距离</w:t>
      </w:r>
      <w:r>
        <w:rPr>
          <w:rFonts w:hint="eastAsia"/>
          <w:snapToGrid w:val="0"/>
          <w:color w:val="auto"/>
          <w:kern w:val="0"/>
          <w:sz w:val="24"/>
          <w:highlight w:val="none"/>
          <w:lang w:eastAsia="zh-CN"/>
        </w:rPr>
        <w:t>均在</w:t>
      </w:r>
      <w:r>
        <w:rPr>
          <w:rFonts w:hint="eastAsia"/>
          <w:snapToGrid w:val="0"/>
          <w:color w:val="auto"/>
          <w:kern w:val="0"/>
          <w:sz w:val="24"/>
          <w:highlight w:val="none"/>
        </w:rPr>
        <w:t>距道路红线</w:t>
      </w:r>
      <w:r>
        <w:rPr>
          <w:rFonts w:hint="eastAsia"/>
          <w:snapToGrid w:val="0"/>
          <w:color w:val="auto"/>
          <w:kern w:val="0"/>
          <w:sz w:val="24"/>
          <w:highlight w:val="none"/>
          <w:lang w:val="en-US" w:eastAsia="zh-CN"/>
        </w:rPr>
        <w:t>8</w:t>
      </w:r>
      <w:r>
        <w:rPr>
          <w:rFonts w:hint="eastAsia"/>
          <w:snapToGrid w:val="0"/>
          <w:color w:val="auto"/>
          <w:kern w:val="0"/>
          <w:sz w:val="24"/>
          <w:highlight w:val="none"/>
        </w:rPr>
        <w:t>m处，运营近、中、远期夜间噪声达标距离分别为距道路红线</w:t>
      </w:r>
      <w:r>
        <w:rPr>
          <w:rFonts w:hint="eastAsia"/>
          <w:snapToGrid w:val="0"/>
          <w:color w:val="auto"/>
          <w:kern w:val="0"/>
          <w:sz w:val="24"/>
          <w:highlight w:val="none"/>
          <w:lang w:val="en-US" w:eastAsia="zh-CN"/>
        </w:rPr>
        <w:t>22</w:t>
      </w:r>
      <w:r>
        <w:rPr>
          <w:rFonts w:hint="eastAsia"/>
          <w:snapToGrid w:val="0"/>
          <w:color w:val="auto"/>
          <w:kern w:val="0"/>
          <w:sz w:val="24"/>
          <w:highlight w:val="none"/>
        </w:rPr>
        <w:t>m、</w:t>
      </w:r>
      <w:r>
        <w:rPr>
          <w:rFonts w:hint="eastAsia"/>
          <w:snapToGrid w:val="0"/>
          <w:color w:val="auto"/>
          <w:kern w:val="0"/>
          <w:sz w:val="24"/>
          <w:highlight w:val="none"/>
          <w:lang w:val="en-US" w:eastAsia="zh-CN"/>
        </w:rPr>
        <w:t>22</w:t>
      </w:r>
      <w:r>
        <w:rPr>
          <w:rFonts w:hint="eastAsia"/>
          <w:snapToGrid w:val="0"/>
          <w:color w:val="auto"/>
          <w:kern w:val="0"/>
          <w:sz w:val="24"/>
          <w:highlight w:val="none"/>
        </w:rPr>
        <w:t>m、</w:t>
      </w:r>
      <w:r>
        <w:rPr>
          <w:rFonts w:hint="eastAsia"/>
          <w:snapToGrid w:val="0"/>
          <w:color w:val="auto"/>
          <w:kern w:val="0"/>
          <w:sz w:val="24"/>
          <w:highlight w:val="none"/>
          <w:lang w:val="en-US" w:eastAsia="zh-CN"/>
        </w:rPr>
        <w:t>23</w:t>
      </w:r>
      <w:r>
        <w:rPr>
          <w:rFonts w:hint="eastAsia"/>
          <w:snapToGrid w:val="0"/>
          <w:color w:val="auto"/>
          <w:kern w:val="0"/>
          <w:sz w:val="24"/>
          <w:highlight w:val="none"/>
        </w:rPr>
        <w:t>m处。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（4）双层隧道路段执行4a类、2类标准区域运营近、中、远期昼间和夜间噪声在红线处均可达标。</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（5）隧道北侧箱型路段执行4a类标准区域运营近、中、远期昼间噪声在红线处均可达标，运营近、中、远期夜间达标距离</w:t>
      </w:r>
      <w:r>
        <w:rPr>
          <w:rFonts w:hint="eastAsia"/>
          <w:snapToGrid w:val="0"/>
          <w:color w:val="auto"/>
          <w:kern w:val="0"/>
          <w:sz w:val="24"/>
          <w:highlight w:val="none"/>
          <w:lang w:eastAsia="zh-CN"/>
        </w:rPr>
        <w:t>均在</w:t>
      </w:r>
      <w:r>
        <w:rPr>
          <w:rFonts w:hint="eastAsia"/>
          <w:snapToGrid w:val="0"/>
          <w:color w:val="auto"/>
          <w:kern w:val="0"/>
          <w:sz w:val="24"/>
          <w:highlight w:val="none"/>
        </w:rPr>
        <w:t>距道路红线</w:t>
      </w:r>
      <w:r>
        <w:rPr>
          <w:rFonts w:hint="eastAsia"/>
          <w:snapToGrid w:val="0"/>
          <w:color w:val="auto"/>
          <w:kern w:val="0"/>
          <w:sz w:val="24"/>
          <w:highlight w:val="none"/>
          <w:lang w:val="en-US" w:eastAsia="zh-CN"/>
        </w:rPr>
        <w:t>3</w:t>
      </w:r>
      <w:r>
        <w:rPr>
          <w:rFonts w:hint="eastAsia"/>
          <w:snapToGrid w:val="0"/>
          <w:color w:val="auto"/>
          <w:kern w:val="0"/>
          <w:sz w:val="24"/>
          <w:highlight w:val="none"/>
        </w:rPr>
        <w:t>m处；执行2类标准区域运营近、中、远期昼间达标距离分别在距道路红线</w:t>
      </w:r>
      <w:r>
        <w:rPr>
          <w:rFonts w:hint="eastAsia"/>
          <w:snapToGrid w:val="0"/>
          <w:color w:val="auto"/>
          <w:kern w:val="0"/>
          <w:sz w:val="24"/>
          <w:highlight w:val="none"/>
          <w:lang w:val="en-US" w:eastAsia="zh-CN"/>
        </w:rPr>
        <w:t>3</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w:t>
      </w:r>
      <w:r>
        <w:rPr>
          <w:rFonts w:hint="eastAsia"/>
          <w:snapToGrid w:val="0"/>
          <w:color w:val="auto"/>
          <w:kern w:val="0"/>
          <w:sz w:val="24"/>
          <w:highlight w:val="none"/>
          <w:lang w:val="en-US" w:eastAsia="zh-CN"/>
        </w:rPr>
        <w:t>5</w:t>
      </w:r>
      <w:r>
        <w:rPr>
          <w:rFonts w:hint="eastAsia"/>
          <w:snapToGrid w:val="0"/>
          <w:color w:val="auto"/>
          <w:kern w:val="0"/>
          <w:sz w:val="24"/>
          <w:highlight w:val="none"/>
        </w:rPr>
        <w:t>m处，运营近、中、远期夜间噪声达标距离分别为距道路红线</w:t>
      </w:r>
      <w:r>
        <w:rPr>
          <w:rFonts w:hint="eastAsia"/>
          <w:snapToGrid w:val="0"/>
          <w:color w:val="auto"/>
          <w:kern w:val="0"/>
          <w:sz w:val="24"/>
          <w:highlight w:val="none"/>
          <w:lang w:val="en-US" w:eastAsia="zh-CN"/>
        </w:rPr>
        <w:t>13</w:t>
      </w:r>
      <w:r>
        <w:rPr>
          <w:rFonts w:hint="eastAsia"/>
          <w:snapToGrid w:val="0"/>
          <w:color w:val="auto"/>
          <w:kern w:val="0"/>
          <w:sz w:val="24"/>
          <w:highlight w:val="none"/>
        </w:rPr>
        <w:t>m、</w:t>
      </w:r>
      <w:r>
        <w:rPr>
          <w:rFonts w:hint="eastAsia"/>
          <w:snapToGrid w:val="0"/>
          <w:color w:val="auto"/>
          <w:kern w:val="0"/>
          <w:sz w:val="24"/>
          <w:highlight w:val="none"/>
          <w:lang w:val="en-US" w:eastAsia="zh-CN"/>
        </w:rPr>
        <w:t>19</w:t>
      </w:r>
      <w:r>
        <w:rPr>
          <w:rFonts w:hint="eastAsia"/>
          <w:snapToGrid w:val="0"/>
          <w:color w:val="auto"/>
          <w:kern w:val="0"/>
          <w:sz w:val="24"/>
          <w:highlight w:val="none"/>
        </w:rPr>
        <w:t>m、</w:t>
      </w:r>
      <w:r>
        <w:rPr>
          <w:rFonts w:hint="eastAsia"/>
          <w:snapToGrid w:val="0"/>
          <w:color w:val="auto"/>
          <w:kern w:val="0"/>
          <w:sz w:val="24"/>
          <w:highlight w:val="none"/>
          <w:lang w:val="en-US" w:eastAsia="zh-CN"/>
        </w:rPr>
        <w:t>19m</w:t>
      </w:r>
      <w:r>
        <w:rPr>
          <w:rFonts w:hint="eastAsia"/>
          <w:snapToGrid w:val="0"/>
          <w:color w:val="auto"/>
          <w:kern w:val="0"/>
          <w:sz w:val="24"/>
          <w:highlight w:val="none"/>
        </w:rPr>
        <w:t>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（6）隧道北侧U型槽路段执行4a类标准区域运营近、中、远期昼间噪声在红线处均可达标，运营近、中、远期夜间达标距离</w:t>
      </w:r>
      <w:r>
        <w:rPr>
          <w:rFonts w:hint="eastAsia"/>
          <w:snapToGrid w:val="0"/>
          <w:color w:val="auto"/>
          <w:kern w:val="0"/>
          <w:sz w:val="24"/>
          <w:highlight w:val="none"/>
          <w:lang w:eastAsia="zh-CN"/>
        </w:rPr>
        <w:t>分别在</w:t>
      </w:r>
      <w:r>
        <w:rPr>
          <w:rFonts w:hint="eastAsia"/>
          <w:snapToGrid w:val="0"/>
          <w:color w:val="auto"/>
          <w:kern w:val="0"/>
          <w:sz w:val="24"/>
          <w:highlight w:val="none"/>
        </w:rPr>
        <w:t>距道路红线</w:t>
      </w:r>
      <w:r>
        <w:rPr>
          <w:rFonts w:hint="eastAsia"/>
          <w:snapToGrid w:val="0"/>
          <w:color w:val="auto"/>
          <w:kern w:val="0"/>
          <w:sz w:val="24"/>
          <w:highlight w:val="none"/>
          <w:lang w:val="en-US" w:eastAsia="zh-CN"/>
        </w:rPr>
        <w:t>2</w:t>
      </w:r>
      <w:r>
        <w:rPr>
          <w:rFonts w:hint="eastAsia"/>
          <w:snapToGrid w:val="0"/>
          <w:color w:val="auto"/>
          <w:kern w:val="0"/>
          <w:sz w:val="24"/>
          <w:highlight w:val="none"/>
        </w:rPr>
        <w:t>m</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4m、5m</w:t>
      </w:r>
      <w:r>
        <w:rPr>
          <w:rFonts w:hint="eastAsia"/>
          <w:snapToGrid w:val="0"/>
          <w:color w:val="auto"/>
          <w:kern w:val="0"/>
          <w:sz w:val="24"/>
          <w:highlight w:val="none"/>
        </w:rPr>
        <w:t>处；执行2类标准区域运营近、中、远期昼间达标距离分别在距道路红线</w:t>
      </w:r>
      <w:r>
        <w:rPr>
          <w:rFonts w:hint="eastAsia"/>
          <w:snapToGrid w:val="0"/>
          <w:color w:val="auto"/>
          <w:kern w:val="0"/>
          <w:sz w:val="24"/>
          <w:highlight w:val="none"/>
          <w:lang w:val="en-US" w:eastAsia="zh-CN"/>
        </w:rPr>
        <w:t>5</w:t>
      </w:r>
      <w:r>
        <w:rPr>
          <w:rFonts w:hint="eastAsia"/>
          <w:snapToGrid w:val="0"/>
          <w:color w:val="auto"/>
          <w:kern w:val="0"/>
          <w:sz w:val="24"/>
          <w:highlight w:val="none"/>
        </w:rPr>
        <w:t>m、</w:t>
      </w:r>
      <w:r>
        <w:rPr>
          <w:rFonts w:hint="eastAsia"/>
          <w:snapToGrid w:val="0"/>
          <w:color w:val="auto"/>
          <w:kern w:val="0"/>
          <w:sz w:val="24"/>
          <w:highlight w:val="none"/>
          <w:lang w:val="en-US" w:eastAsia="zh-CN"/>
        </w:rPr>
        <w:t>7</w:t>
      </w:r>
      <w:r>
        <w:rPr>
          <w:rFonts w:hint="eastAsia"/>
          <w:snapToGrid w:val="0"/>
          <w:color w:val="auto"/>
          <w:kern w:val="0"/>
          <w:sz w:val="24"/>
          <w:highlight w:val="none"/>
        </w:rPr>
        <w:t>m、</w:t>
      </w:r>
      <w:r>
        <w:rPr>
          <w:rFonts w:hint="eastAsia"/>
          <w:snapToGrid w:val="0"/>
          <w:color w:val="auto"/>
          <w:kern w:val="0"/>
          <w:sz w:val="24"/>
          <w:highlight w:val="none"/>
          <w:lang w:val="en-US" w:eastAsia="zh-CN"/>
        </w:rPr>
        <w:t>8</w:t>
      </w:r>
      <w:r>
        <w:rPr>
          <w:rFonts w:hint="eastAsia"/>
          <w:snapToGrid w:val="0"/>
          <w:color w:val="auto"/>
          <w:kern w:val="0"/>
          <w:sz w:val="24"/>
          <w:highlight w:val="none"/>
        </w:rPr>
        <w:t>m处，运营近、中、远期夜间噪声达标距离分别为距道路红线</w:t>
      </w:r>
      <w:r>
        <w:rPr>
          <w:rFonts w:hint="eastAsia"/>
          <w:snapToGrid w:val="0"/>
          <w:color w:val="auto"/>
          <w:kern w:val="0"/>
          <w:sz w:val="24"/>
          <w:highlight w:val="none"/>
          <w:lang w:val="en-US" w:eastAsia="zh-CN"/>
        </w:rPr>
        <w:t>18</w:t>
      </w:r>
      <w:r>
        <w:rPr>
          <w:rFonts w:hint="eastAsia"/>
          <w:snapToGrid w:val="0"/>
          <w:color w:val="auto"/>
          <w:kern w:val="0"/>
          <w:sz w:val="24"/>
          <w:highlight w:val="none"/>
        </w:rPr>
        <w:t>m、</w:t>
      </w:r>
      <w:r>
        <w:rPr>
          <w:rFonts w:hint="eastAsia"/>
          <w:snapToGrid w:val="0"/>
          <w:color w:val="auto"/>
          <w:kern w:val="0"/>
          <w:sz w:val="24"/>
          <w:highlight w:val="none"/>
          <w:lang w:val="en-US" w:eastAsia="zh-CN"/>
        </w:rPr>
        <w:t>29</w:t>
      </w:r>
      <w:r>
        <w:rPr>
          <w:rFonts w:hint="eastAsia"/>
          <w:snapToGrid w:val="0"/>
          <w:color w:val="auto"/>
          <w:kern w:val="0"/>
          <w:sz w:val="24"/>
          <w:highlight w:val="none"/>
        </w:rPr>
        <w:t>m、</w:t>
      </w:r>
      <w:r>
        <w:rPr>
          <w:rFonts w:hint="eastAsia"/>
          <w:snapToGrid w:val="0"/>
          <w:color w:val="auto"/>
          <w:kern w:val="0"/>
          <w:sz w:val="24"/>
          <w:highlight w:val="none"/>
          <w:lang w:val="en-US" w:eastAsia="zh-CN"/>
        </w:rPr>
        <w:t>29m</w:t>
      </w:r>
      <w:r>
        <w:rPr>
          <w:rFonts w:hint="eastAsia"/>
          <w:snapToGrid w:val="0"/>
          <w:color w:val="auto"/>
          <w:kern w:val="0"/>
          <w:sz w:val="24"/>
          <w:highlight w:val="none"/>
        </w:rPr>
        <w:t>处。</w:t>
      </w:r>
    </w:p>
    <w:p>
      <w:pPr>
        <w:adjustRightInd w:val="0"/>
        <w:snapToGrid w:val="0"/>
        <w:spacing w:line="360" w:lineRule="auto"/>
        <w:ind w:firstLine="480"/>
        <w:rPr>
          <w:rFonts w:hint="eastAsia"/>
          <w:snapToGrid w:val="0"/>
          <w:color w:val="auto"/>
          <w:kern w:val="0"/>
          <w:sz w:val="24"/>
          <w:highlight w:val="none"/>
        </w:rPr>
      </w:pPr>
      <w:r>
        <w:rPr>
          <w:rFonts w:hint="eastAsia"/>
          <w:snapToGrid w:val="0"/>
          <w:color w:val="auto"/>
          <w:kern w:val="0"/>
          <w:sz w:val="24"/>
          <w:highlight w:val="none"/>
        </w:rPr>
        <w:t>（7）隧道北侧高架路段执行4a类标准区域运营近、中、远期昼间噪声在红线处均可达标，运营近、中、远期夜间达标距离分别在距道路红线</w:t>
      </w:r>
      <w:r>
        <w:rPr>
          <w:rFonts w:hint="eastAsia"/>
          <w:snapToGrid w:val="0"/>
          <w:color w:val="auto"/>
          <w:kern w:val="0"/>
          <w:sz w:val="24"/>
          <w:highlight w:val="none"/>
          <w:lang w:val="en-US" w:eastAsia="zh-CN"/>
        </w:rPr>
        <w:t>9</w:t>
      </w:r>
      <w:r>
        <w:rPr>
          <w:rFonts w:hint="eastAsia"/>
          <w:snapToGrid w:val="0"/>
          <w:color w:val="auto"/>
          <w:kern w:val="0"/>
          <w:sz w:val="24"/>
          <w:highlight w:val="none"/>
        </w:rPr>
        <w:t>m、</w:t>
      </w:r>
      <w:r>
        <w:rPr>
          <w:rFonts w:hint="eastAsia"/>
          <w:snapToGrid w:val="0"/>
          <w:color w:val="auto"/>
          <w:kern w:val="0"/>
          <w:sz w:val="24"/>
          <w:highlight w:val="none"/>
          <w:lang w:val="en-US" w:eastAsia="zh-CN"/>
        </w:rPr>
        <w:t>12</w:t>
      </w:r>
      <w:r>
        <w:rPr>
          <w:rFonts w:hint="eastAsia"/>
          <w:snapToGrid w:val="0"/>
          <w:color w:val="auto"/>
          <w:kern w:val="0"/>
          <w:sz w:val="24"/>
          <w:highlight w:val="none"/>
        </w:rPr>
        <w:t>m、</w:t>
      </w:r>
      <w:r>
        <w:rPr>
          <w:rFonts w:hint="eastAsia"/>
          <w:snapToGrid w:val="0"/>
          <w:color w:val="auto"/>
          <w:kern w:val="0"/>
          <w:sz w:val="24"/>
          <w:highlight w:val="none"/>
          <w:lang w:val="en-US" w:eastAsia="zh-CN"/>
        </w:rPr>
        <w:t>12</w:t>
      </w:r>
      <w:r>
        <w:rPr>
          <w:rFonts w:hint="eastAsia"/>
          <w:snapToGrid w:val="0"/>
          <w:color w:val="auto"/>
          <w:kern w:val="0"/>
          <w:sz w:val="24"/>
          <w:highlight w:val="none"/>
        </w:rPr>
        <w:t>m处；执行2类标准区域运营近、中、远期昼间达标距离分别在距道路红线1</w:t>
      </w:r>
      <w:r>
        <w:rPr>
          <w:rFonts w:hint="eastAsia"/>
          <w:snapToGrid w:val="0"/>
          <w:color w:val="auto"/>
          <w:kern w:val="0"/>
          <w:sz w:val="24"/>
          <w:highlight w:val="none"/>
          <w:lang w:val="en-US" w:eastAsia="zh-CN"/>
        </w:rPr>
        <w:t>4</w:t>
      </w:r>
      <w:r>
        <w:rPr>
          <w:rFonts w:hint="eastAsia"/>
          <w:snapToGrid w:val="0"/>
          <w:color w:val="auto"/>
          <w:kern w:val="0"/>
          <w:sz w:val="24"/>
          <w:highlight w:val="none"/>
        </w:rPr>
        <w:t>m、</w:t>
      </w:r>
      <w:r>
        <w:rPr>
          <w:rFonts w:hint="eastAsia"/>
          <w:snapToGrid w:val="0"/>
          <w:color w:val="auto"/>
          <w:kern w:val="0"/>
          <w:sz w:val="24"/>
          <w:highlight w:val="none"/>
          <w:lang w:val="en-US" w:eastAsia="zh-CN"/>
        </w:rPr>
        <w:t>17</w:t>
      </w:r>
      <w:r>
        <w:rPr>
          <w:rFonts w:hint="eastAsia"/>
          <w:snapToGrid w:val="0"/>
          <w:color w:val="auto"/>
          <w:kern w:val="0"/>
          <w:sz w:val="24"/>
          <w:highlight w:val="none"/>
        </w:rPr>
        <w:t>m、</w:t>
      </w:r>
      <w:r>
        <w:rPr>
          <w:rFonts w:hint="eastAsia"/>
          <w:snapToGrid w:val="0"/>
          <w:color w:val="auto"/>
          <w:kern w:val="0"/>
          <w:sz w:val="24"/>
          <w:highlight w:val="none"/>
          <w:lang w:val="en-US" w:eastAsia="zh-CN"/>
        </w:rPr>
        <w:t>17</w:t>
      </w:r>
      <w:r>
        <w:rPr>
          <w:rFonts w:hint="eastAsia"/>
          <w:snapToGrid w:val="0"/>
          <w:color w:val="auto"/>
          <w:kern w:val="0"/>
          <w:sz w:val="24"/>
          <w:highlight w:val="none"/>
        </w:rPr>
        <w:t>m处，运营近、中、远期夜间噪声达标距离分别为距道路红线4</w:t>
      </w:r>
      <w:r>
        <w:rPr>
          <w:rFonts w:hint="eastAsia"/>
          <w:snapToGrid w:val="0"/>
          <w:color w:val="auto"/>
          <w:kern w:val="0"/>
          <w:sz w:val="24"/>
          <w:highlight w:val="none"/>
          <w:lang w:val="en-US" w:eastAsia="zh-CN"/>
        </w:rPr>
        <w:t>1</w:t>
      </w:r>
      <w:r>
        <w:rPr>
          <w:rFonts w:hint="eastAsia"/>
          <w:snapToGrid w:val="0"/>
          <w:color w:val="auto"/>
          <w:kern w:val="0"/>
          <w:sz w:val="24"/>
          <w:highlight w:val="none"/>
        </w:rPr>
        <w:t>m、</w:t>
      </w:r>
      <w:r>
        <w:rPr>
          <w:rFonts w:hint="eastAsia"/>
          <w:snapToGrid w:val="0"/>
          <w:color w:val="auto"/>
          <w:kern w:val="0"/>
          <w:sz w:val="24"/>
          <w:highlight w:val="none"/>
          <w:lang w:val="en-US" w:eastAsia="zh-CN"/>
        </w:rPr>
        <w:t>51</w:t>
      </w:r>
      <w:r>
        <w:rPr>
          <w:rFonts w:hint="eastAsia"/>
          <w:snapToGrid w:val="0"/>
          <w:color w:val="auto"/>
          <w:kern w:val="0"/>
          <w:sz w:val="24"/>
          <w:highlight w:val="none"/>
        </w:rPr>
        <w:t>m、</w:t>
      </w:r>
      <w:r>
        <w:rPr>
          <w:rFonts w:hint="eastAsia"/>
          <w:snapToGrid w:val="0"/>
          <w:color w:val="auto"/>
          <w:kern w:val="0"/>
          <w:sz w:val="24"/>
          <w:highlight w:val="none"/>
          <w:lang w:val="en-US" w:eastAsia="zh-CN"/>
        </w:rPr>
        <w:t>52</w:t>
      </w:r>
      <w:r>
        <w:rPr>
          <w:rFonts w:hint="eastAsia"/>
          <w:snapToGrid w:val="0"/>
          <w:color w:val="auto"/>
          <w:kern w:val="0"/>
          <w:sz w:val="24"/>
          <w:highlight w:val="none"/>
        </w:rPr>
        <w:t>m处。</w:t>
      </w:r>
    </w:p>
    <w:p>
      <w:pPr>
        <w:adjustRightInd w:val="0"/>
        <w:snapToGrid w:val="0"/>
        <w:spacing w:line="360" w:lineRule="auto"/>
        <w:ind w:firstLine="480"/>
        <w:rPr>
          <w:rFonts w:hint="eastAsia"/>
          <w:color w:val="auto"/>
          <w:sz w:val="24"/>
          <w:highlight w:val="none"/>
        </w:rPr>
      </w:pPr>
      <w:r>
        <w:rPr>
          <w:rFonts w:hint="eastAsia"/>
          <w:color w:val="auto"/>
          <w:sz w:val="24"/>
          <w:highlight w:val="none"/>
        </w:rPr>
        <w:t>2）铅垂向及声环境保护目标预测：</w:t>
      </w:r>
    </w:p>
    <w:p>
      <w:pPr>
        <w:adjustRightInd w:val="0"/>
        <w:snapToGrid w:val="0"/>
        <w:spacing w:line="360" w:lineRule="auto"/>
        <w:ind w:firstLine="480"/>
        <w:rPr>
          <w:rFonts w:hint="eastAsia"/>
          <w:color w:val="auto"/>
          <w:sz w:val="24"/>
          <w:highlight w:val="none"/>
        </w:rPr>
      </w:pPr>
      <w:r>
        <w:rPr>
          <w:rFonts w:hint="eastAsia"/>
          <w:snapToGrid w:val="0"/>
          <w:color w:val="auto"/>
          <w:kern w:val="0"/>
          <w:sz w:val="24"/>
          <w:highlight w:val="none"/>
        </w:rPr>
        <w:t>随着垂向高度的增加，预测点与道路中心距离逐渐增大，而噪声随离地高度变化并非单调下降，噪声值先随高度增加而增大，根据结果分析，各层噪声出现不同程度的超标现象。项目营运近期、中期、远期声环境保护目标均出现了不同程度的超标。</w:t>
      </w:r>
      <w:r>
        <w:rPr>
          <w:rFonts w:hint="eastAsia"/>
          <w:color w:val="auto"/>
          <w:sz w:val="24"/>
          <w:highlight w:val="none"/>
        </w:rPr>
        <w:t>对这些超标声环境保护目标应根据超标范围及声环境保护目标特征采取临路建筑物种植高大植被，加装隔声窗、声屏障等噪声防治措施。</w:t>
      </w:r>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60" w:name="_Toc12779"/>
      <w:r>
        <w:rPr>
          <w:rFonts w:hint="eastAsia" w:eastAsia="黑体"/>
          <w:snapToGrid w:val="0"/>
          <w:color w:val="auto"/>
          <w:kern w:val="0"/>
          <w:sz w:val="28"/>
          <w:szCs w:val="28"/>
          <w:highlight w:val="none"/>
        </w:rPr>
        <w:t>6.3 声环境保护措施</w:t>
      </w:r>
      <w:bookmarkEnd w:id="60"/>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1、施工期</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①选用效率高、噪声低的机械，并注意对机械的维护保养和正确操作，保证在良好的条件下使用，减少运行噪声，此外，建材运输车辆途径居民区时应减速、慢行，禁鸣喇叭。施工运输车辆进出场地应安排在远离居民住宅区的一侧。</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②建设单位应责成施工单位在施工现场张布通告并标明投诉电话，建设单位在接到报案后应及时与当地环保部门取得联系，以便及时处理各种环境纠纷。</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2、运营期</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①加强交通管理，严格执行限速和禁止超载等交通管制，在通过人口密度较大的路段，以及学校等附近设置禁鸣标志，以减少交通噪声扰民问题。</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②加强改造道路沿线的声环境质量的环境监测工作，对可能受到较严重污染的声环境保护目标实行环境噪声定期监测制度，根据因交通量增大引起的声环境污染程度，及时采取相应的减缓措施。</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③加强路面养护，保证改造道路未来路面处于良好状态。</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④结合当地生态建设规划，加强拟建工程征地范围内可绿化地段的绿化工作。对路堤边坡、排水沟边等进行统一的绿化工程设计，使之形成生态屏障，强化对交通噪声的阻隔与吸收作用。</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fldChar w:fldCharType="begin"/>
      </w:r>
      <w:r>
        <w:rPr>
          <w:rFonts w:hint="eastAsia" w:hAnsi="宋体"/>
          <w:color w:val="auto"/>
          <w:sz w:val="24"/>
          <w:highlight w:val="none"/>
        </w:rPr>
        <w:instrText xml:space="preserve"> = 5 \* GB3 \* MERGEFORMAT </w:instrText>
      </w:r>
      <w:r>
        <w:rPr>
          <w:rFonts w:hint="eastAsia" w:hAnsi="宋体"/>
          <w:color w:val="auto"/>
          <w:sz w:val="24"/>
          <w:highlight w:val="none"/>
        </w:rPr>
        <w:fldChar w:fldCharType="separate"/>
      </w:r>
      <w:r>
        <w:rPr>
          <w:rFonts w:hint="eastAsia" w:hAnsi="宋体"/>
          <w:color w:val="auto"/>
          <w:sz w:val="24"/>
          <w:highlight w:val="none"/>
        </w:rPr>
        <w:t>⑤</w:t>
      </w:r>
      <w:r>
        <w:rPr>
          <w:rFonts w:hint="eastAsia" w:hAnsi="宋体"/>
          <w:color w:val="auto"/>
          <w:sz w:val="24"/>
          <w:highlight w:val="none"/>
        </w:rPr>
        <w:fldChar w:fldCharType="end"/>
      </w:r>
      <w:r>
        <w:rPr>
          <w:rFonts w:hint="eastAsia" w:hAnsi="宋体"/>
          <w:color w:val="auto"/>
          <w:sz w:val="24"/>
          <w:highlight w:val="none"/>
        </w:rPr>
        <w:t>对可能受项目影响的梅海园2期、福建行政学校（梅峰校区）、山海观花园新城、东方苑、福州九00医院总院、象山公寓、山水公寓小区、职业病防治院（员工宿舍区）、井边新村采取加装隔声窗、声屏障降噪措施。</w:t>
      </w:r>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通过采取上述措施，可使得营运期噪声达标排放，有效减轻营运期噪声对周围环境的影响。同时上述措施环境合理，经济可行，从环保、技术、经济角度是可行的。</w:t>
      </w:r>
    </w:p>
    <w:p>
      <w:pPr>
        <w:adjustRightInd w:val="0"/>
        <w:snapToGrid w:val="0"/>
        <w:spacing w:before="120" w:beforeLines="50" w:after="120" w:afterLines="50" w:line="360" w:lineRule="auto"/>
        <w:outlineLvl w:val="1"/>
        <w:rPr>
          <w:rFonts w:hint="eastAsia" w:eastAsia="黑体"/>
          <w:snapToGrid w:val="0"/>
          <w:color w:val="auto"/>
          <w:kern w:val="0"/>
          <w:sz w:val="28"/>
          <w:szCs w:val="28"/>
          <w:highlight w:val="none"/>
        </w:rPr>
      </w:pPr>
      <w:bookmarkStart w:id="61" w:name="_Toc31198"/>
      <w:r>
        <w:rPr>
          <w:rFonts w:hint="eastAsia" w:eastAsia="黑体"/>
          <w:snapToGrid w:val="0"/>
          <w:color w:val="auto"/>
          <w:kern w:val="0"/>
          <w:sz w:val="28"/>
          <w:szCs w:val="28"/>
          <w:highlight w:val="none"/>
        </w:rPr>
        <w:t>6.4 声环境影响结论</w:t>
      </w:r>
      <w:bookmarkEnd w:id="61"/>
    </w:p>
    <w:p>
      <w:pPr>
        <w:adjustRightInd w:val="0"/>
        <w:snapToGrid w:val="0"/>
        <w:spacing w:line="360" w:lineRule="auto"/>
        <w:ind w:firstLine="480"/>
        <w:rPr>
          <w:rFonts w:hint="eastAsia" w:hAnsi="宋体"/>
          <w:color w:val="auto"/>
          <w:sz w:val="24"/>
          <w:highlight w:val="none"/>
        </w:rPr>
      </w:pPr>
      <w:r>
        <w:rPr>
          <w:rFonts w:hint="eastAsia" w:hAnsi="宋体"/>
          <w:color w:val="auto"/>
          <w:sz w:val="24"/>
          <w:highlight w:val="none"/>
        </w:rPr>
        <w:t>本项目的在施工、营运过程中会产生噪声，影响道路两侧的居民、学校等声环境保护目标，在采取切实有效的隔声、降噪措施后，可将噪声影响降至可接受程度。且项目的建设，将完善区域道路网。从声环境影响角度分析，本项目建设对周边环境影响不大，在环境可接受的范围内。</w:t>
      </w:r>
    </w:p>
    <w:sectPr>
      <w:pgSz w:w="12240" w:h="15840"/>
      <w:pgMar w:top="1440" w:right="1800" w:bottom="1440" w:left="1800" w:header="720" w:footer="720" w:gutter="0"/>
      <w:pgBorders>
        <w:top w:val="none" w:sz="0" w:space="0"/>
        <w:left w:val="none" w:sz="0" w:space="0"/>
        <w:bottom w:val="none" w:sz="0" w:space="0"/>
        <w:right w:val="none" w:sz="0" w:space="0"/>
      </w:pgBorders>
      <w:lnNumType w:countBy="0" w:distance="36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GNDVIC+ËÎÌå">
    <w:altName w:val="Segoe Print"/>
    <w:panose1 w:val="00000000000000000000"/>
    <w:charset w:val="00"/>
    <w:family w:val="auto"/>
    <w:pitch w:val="default"/>
    <w:sig w:usb0="00000000" w:usb1="00000000" w:usb2="01010101" w:usb3="01010101" w:csb0="01010101" w:csb1="01010101"/>
  </w:font>
  <w:font w:name="MS Mincho">
    <w:panose1 w:val="02020609040205080304"/>
    <w:charset w:val="80"/>
    <w:family w:val="auto"/>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1"/>
      </w:rPr>
    </w:pPr>
    <w:r>
      <w:fldChar w:fldCharType="begin"/>
    </w:r>
    <w:r>
      <w:rPr>
        <w:rStyle w:val="21"/>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szCs w:val="20"/>
      </w:rPr>
      <w:t xml:space="preserve">  </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35</w:t>
    </w:r>
    <w:r>
      <w:rPr>
        <w:rFonts w:ascii="宋体" w:hAnsi="宋体"/>
        <w:sz w:val="26"/>
        <w:szCs w:val="26"/>
      </w:rPr>
      <w:fldChar w:fldCharType="end"/>
    </w:r>
    <w:r>
      <w:rPr>
        <w:rStyle w:val="21"/>
        <w:rFonts w:hint="eastAsia" w:ascii="宋体" w:hAnsi="宋体"/>
        <w:sz w:val="20"/>
        <w:szCs w:val="20"/>
      </w:rPr>
      <w:t xml:space="preserve">  </w:t>
    </w:r>
    <w:r>
      <w:rPr>
        <w:rStyle w:val="21"/>
        <w:rFonts w:hint="eastAsia" w:ascii="宋体" w:hAnsi="宋体"/>
        <w:sz w:val="28"/>
        <w:szCs w:val="28"/>
      </w:rPr>
      <w:t>—</w:t>
    </w:r>
  </w:p>
  <w:p>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Mo3EQWz&#10;AQAAUAMAAA4AAAAAAAAAAQAgAAAAHgEAAGRycy9lMm9Eb2MueG1sUEsFBgAAAAAGAAYAWQEAAEMF&#10;AAAAAA==&#10;">
              <v:fill on="f" focussize="0,0"/>
              <v:stroke on="f"/>
              <v:imagedata o:title=""/>
              <o:lock v:ext="edit" aspectratio="f"/>
              <v:textbox inset="0mm,0mm,0mm,0mm" style="mso-fit-shape-to-text:t;">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ADqKs7IB&#10;AABQAwAADgAAAAAAAAABACAAAAAeAQAAZHJzL2Uyb0RvYy54bWxQSwUGAAAAAAYABgBZAQAAQgUA&#10;AAAA&#10;">
              <v:fill on="f" focussize="0,0"/>
              <v:stroke on="f"/>
              <v:imagedata o:title=""/>
              <o:lock v:ext="edit" aspectratio="f"/>
              <v:textbox inset="0mm,0mm,0mm,0mm" style="mso-fit-shape-to-text:t;">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r8WJObIB&#10;AABQAwAADgAAAAAAAAABACAAAAAeAQAAZHJzL2Uyb0RvYy54bWxQSwUGAAAAAAYABgBZAQAAQgUA&#10;AAAA&#10;">
              <v:fill on="f" focussize="0,0"/>
              <v:stroke on="f"/>
              <v:imagedata o:title=""/>
              <o:lock v:ext="edit" aspectratio="f"/>
              <v:textbox inset="0mm,0mm,0mm,0mm" style="mso-fit-shape-to-text:t;">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noFill/>
                      </a:ln>
                    </wps:spPr>
                    <wps:txbx>
                      <w:txbxContent>
                        <w:p>
                          <w:pPr>
                            <w:pStyle w:val="14"/>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TmwfHSAAAABQEAAA8AAAAAAAAAAQAgAAAAIgAAAGRycy9kb3ducmV2LnhtbFBLAQIUABQAAAAI&#10;AIdO4kD8ce0pugEAAFoDAAAOAAAAAAAAAAEAIAAAACEBAABkcnMvZTJvRG9jLnhtbFBLBQYAAAAA&#10;BgAGAFkBAABNBQAAAAA=&#10;">
              <v:fill on="f" focussize="0,0"/>
              <v:stroke on="f" weight="3pt"/>
              <v:imagedata o:title=""/>
              <o:lock v:ext="edit" aspectratio="f"/>
              <v:textbox inset="0mm,0mm,0mm,0mm" style="mso-fit-shape-to-text:t;">
                <w:txbxContent>
                  <w:p>
                    <w:pPr>
                      <w:pStyle w:val="14"/>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v:textbox>
            </v:shape>
          </w:pict>
        </mc:Fallback>
      </mc:AlternateContent>
    </w:r>
  </w:p>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CE93B3"/>
    <w:multiLevelType w:val="singleLevel"/>
    <w:tmpl w:val="81CE93B3"/>
    <w:lvl w:ilvl="0" w:tentative="0">
      <w:start w:val="1"/>
      <w:numFmt w:val="chineseCounting"/>
      <w:suff w:val="nothing"/>
      <w:lvlText w:val="%1、"/>
      <w:lvlJc w:val="left"/>
      <w:pPr>
        <w:ind w:left="0" w:firstLine="420"/>
      </w:pPr>
      <w:rPr>
        <w:rFonts w:hint="eastAsia"/>
      </w:rPr>
    </w:lvl>
  </w:abstractNum>
  <w:abstractNum w:abstractNumId="1">
    <w:nsid w:val="90951E6C"/>
    <w:multiLevelType w:val="singleLevel"/>
    <w:tmpl w:val="90951E6C"/>
    <w:lvl w:ilvl="0" w:tentative="0">
      <w:start w:val="2"/>
      <w:numFmt w:val="decimal"/>
      <w:suff w:val="nothing"/>
      <w:lvlText w:val="（%1）"/>
      <w:lvlJc w:val="left"/>
    </w:lvl>
  </w:abstractNum>
  <w:abstractNum w:abstractNumId="2">
    <w:nsid w:val="9FFE9746"/>
    <w:multiLevelType w:val="singleLevel"/>
    <w:tmpl w:val="9FFE9746"/>
    <w:lvl w:ilvl="0" w:tentative="0">
      <w:start w:val="4"/>
      <w:numFmt w:val="decimal"/>
      <w:suff w:val="nothing"/>
      <w:lvlText w:val="%1、"/>
      <w:lvlJc w:val="left"/>
    </w:lvl>
  </w:abstractNum>
  <w:abstractNum w:abstractNumId="3">
    <w:nsid w:val="CC13812D"/>
    <w:multiLevelType w:val="singleLevel"/>
    <w:tmpl w:val="CC13812D"/>
    <w:lvl w:ilvl="0" w:tentative="0">
      <w:start w:val="1"/>
      <w:numFmt w:val="decimal"/>
      <w:suff w:val="nothing"/>
      <w:lvlText w:val="%1）"/>
      <w:lvlJc w:val="left"/>
    </w:lvl>
  </w:abstractNum>
  <w:abstractNum w:abstractNumId="4">
    <w:nsid w:val="EC088248"/>
    <w:multiLevelType w:val="singleLevel"/>
    <w:tmpl w:val="EC088248"/>
    <w:lvl w:ilvl="0" w:tentative="0">
      <w:start w:val="1"/>
      <w:numFmt w:val="decimal"/>
      <w:suff w:val="nothing"/>
      <w:lvlText w:val="（%1）"/>
      <w:lvlJc w:val="left"/>
    </w:lvl>
  </w:abstractNum>
  <w:abstractNum w:abstractNumId="5">
    <w:nsid w:val="00000009"/>
    <w:multiLevelType w:val="multilevel"/>
    <w:tmpl w:val="00000009"/>
    <w:lvl w:ilvl="0" w:tentative="0">
      <w:start w:val="1"/>
      <w:numFmt w:val="decimal"/>
      <w:isLgl/>
      <w:suff w:val="space"/>
      <w:lvlText w:val="%1"/>
      <w:lvlJc w:val="left"/>
      <w:pPr>
        <w:ind w:left="432" w:hanging="432"/>
      </w:pPr>
      <w:rPr>
        <w:rFonts w:hint="default" w:ascii="Times New Roman" w:hAnsi="Times New Roman" w:cs="Times New Roman"/>
      </w:rPr>
    </w:lvl>
    <w:lvl w:ilvl="1" w:tentative="0">
      <w:start w:val="1"/>
      <w:numFmt w:val="decimal"/>
      <w:isLgl/>
      <w:suff w:val="space"/>
      <w:lvlText w:val="%1.%2"/>
      <w:lvlJc w:val="left"/>
      <w:pPr>
        <w:ind w:left="576" w:hanging="576"/>
      </w:pPr>
      <w:rPr>
        <w:rFonts w:hint="default" w:cs="Times New Roman"/>
        <w:b w:val="0"/>
        <w:bCs w:val="0"/>
        <w:i w:val="0"/>
        <w:iCs w:val="0"/>
        <w:caps w:val="0"/>
        <w:smallCaps w:val="0"/>
        <w:strike w:val="0"/>
        <w:dstrike w:val="0"/>
        <w:outline w:val="0"/>
        <w:shadow w:val="0"/>
        <w:emboss w:val="0"/>
        <w:imprint w:val="0"/>
        <w:vanish w:val="0"/>
        <w:color w:val="000000"/>
        <w:spacing w:val="0"/>
        <w:position w:val="0"/>
        <w:u w:val="none"/>
        <w:vertAlign w:val="baseline"/>
      </w:rPr>
    </w:lvl>
    <w:lvl w:ilvl="2" w:tentative="0">
      <w:start w:val="1"/>
      <w:numFmt w:val="decimal"/>
      <w:pStyle w:val="4"/>
      <w:isLgl/>
      <w:suff w:val="space"/>
      <w:lvlText w:val="%1.%2.%3"/>
      <w:lvlJc w:val="left"/>
      <w:pPr>
        <w:ind w:left="960" w:hanging="720"/>
      </w:pPr>
      <w:rPr>
        <w:rFonts w:hint="eastAsia" w:ascii="Times New Roman" w:hAnsi="Times New Roman" w:cs="Times New Roman"/>
        <w:color w:val="auto"/>
      </w:rPr>
    </w:lvl>
    <w:lvl w:ilvl="3" w:tentative="0">
      <w:start w:val="1"/>
      <w:numFmt w:val="decimal"/>
      <w:isLgl/>
      <w:suff w:val="space"/>
      <w:lvlText w:val="%1.%2.%3.%4"/>
      <w:lvlJc w:val="left"/>
      <w:pPr>
        <w:ind w:left="864" w:hanging="864"/>
      </w:pPr>
      <w:rPr>
        <w:rFonts w:hint="eastAsia"/>
      </w:rPr>
    </w:lvl>
    <w:lvl w:ilvl="4" w:tentative="0">
      <w:start w:val="1"/>
      <w:numFmt w:val="decimal"/>
      <w:isLgl/>
      <w:suff w:val="space"/>
      <w:lvlText w:val="%1.%2.%3.%4.%5"/>
      <w:lvlJc w:val="left"/>
      <w:pPr>
        <w:ind w:left="1008" w:hanging="1008"/>
      </w:pPr>
      <w:rPr>
        <w:rFonts w:hint="eastAsia"/>
      </w:rPr>
    </w:lvl>
    <w:lvl w:ilvl="5" w:tentative="0">
      <w:start w:val="1"/>
      <w:numFmt w:val="decimal"/>
      <w:isLgl/>
      <w:suff w:val="space"/>
      <w:lvlText w:val="%1.%2.%3.%4.%5.%6"/>
      <w:lvlJc w:val="left"/>
      <w:pPr>
        <w:ind w:left="1152" w:hanging="1152"/>
      </w:pPr>
      <w:rPr>
        <w:rFonts w:hint="eastAsia"/>
      </w:rPr>
    </w:lvl>
    <w:lvl w:ilvl="6" w:tentative="0">
      <w:start w:val="1"/>
      <w:numFmt w:val="decimal"/>
      <w:isLgl/>
      <w:suff w:val="space"/>
      <w:lvlText w:val="%1.%2.%3.%4.%5.%6.%7"/>
      <w:lvlJc w:val="left"/>
      <w:pPr>
        <w:ind w:left="1296" w:hanging="1296"/>
      </w:pPr>
      <w:rPr>
        <w:rFonts w:hint="eastAsia"/>
      </w:rPr>
    </w:lvl>
    <w:lvl w:ilvl="7" w:tentative="0">
      <w:start w:val="1"/>
      <w:numFmt w:val="decimal"/>
      <w:isLgl/>
      <w:suff w:val="space"/>
      <w:lvlText w:val="%1.%2.%3.%4.%5.%6.%7.%8"/>
      <w:lvlJc w:val="left"/>
      <w:pPr>
        <w:ind w:left="1440" w:hanging="1440"/>
      </w:pPr>
      <w:rPr>
        <w:rFonts w:hint="eastAsia"/>
      </w:rPr>
    </w:lvl>
    <w:lvl w:ilvl="8" w:tentative="0">
      <w:start w:val="1"/>
      <w:numFmt w:val="decimal"/>
      <w:isLgl/>
      <w:suff w:val="space"/>
      <w:lvlText w:val="%1.%2.%3.%4.%5.%6.%7.%8.%9"/>
      <w:lvlJc w:val="left"/>
      <w:pPr>
        <w:ind w:left="1584" w:hanging="1584"/>
      </w:pPr>
      <w:rPr>
        <w:rFonts w:hint="eastAsia"/>
      </w:rPr>
    </w:lvl>
  </w:abstractNum>
  <w:abstractNum w:abstractNumId="6">
    <w:nsid w:val="305A89D7"/>
    <w:multiLevelType w:val="singleLevel"/>
    <w:tmpl w:val="305A89D7"/>
    <w:lvl w:ilvl="0" w:tentative="0">
      <w:start w:val="1"/>
      <w:numFmt w:val="lowerLetter"/>
      <w:suff w:val="nothing"/>
      <w:lvlText w:val="%1）"/>
      <w:lvlJc w:val="left"/>
    </w:lvl>
  </w:abstractNum>
  <w:abstractNum w:abstractNumId="7">
    <w:nsid w:val="4BA81E81"/>
    <w:multiLevelType w:val="singleLevel"/>
    <w:tmpl w:val="4BA81E81"/>
    <w:lvl w:ilvl="0" w:tentative="0">
      <w:start w:val="1"/>
      <w:numFmt w:val="decimal"/>
      <w:suff w:val="nothing"/>
      <w:lvlText w:val="（%1）"/>
      <w:lvlJc w:val="left"/>
    </w:lvl>
  </w:abstractNum>
  <w:abstractNum w:abstractNumId="8">
    <w:nsid w:val="56DCC60E"/>
    <w:multiLevelType w:val="singleLevel"/>
    <w:tmpl w:val="56DCC60E"/>
    <w:lvl w:ilvl="0" w:tentative="0">
      <w:start w:val="1"/>
      <w:numFmt w:val="decimal"/>
      <w:lvlText w:val="%1)"/>
      <w:lvlJc w:val="left"/>
      <w:pPr>
        <w:ind w:left="425" w:hanging="425"/>
      </w:pPr>
      <w:rPr>
        <w:rFonts w:hint="default"/>
      </w:rPr>
    </w:lvl>
  </w:abstractNum>
  <w:abstractNum w:abstractNumId="9">
    <w:nsid w:val="64B12508"/>
    <w:multiLevelType w:val="singleLevel"/>
    <w:tmpl w:val="64B12508"/>
    <w:lvl w:ilvl="0" w:tentative="0">
      <w:start w:val="3"/>
      <w:numFmt w:val="decimal"/>
      <w:suff w:val="nothing"/>
      <w:lvlText w:val="（%1）"/>
      <w:lvlJc w:val="left"/>
    </w:lvl>
  </w:abstractNum>
  <w:num w:numId="1">
    <w:abstractNumId w:val="5"/>
  </w:num>
  <w:num w:numId="2">
    <w:abstractNumId w:val="4"/>
  </w:num>
  <w:num w:numId="3">
    <w:abstractNumId w:val="2"/>
  </w:num>
  <w:num w:numId="4">
    <w:abstractNumId w:val="9"/>
  </w:num>
  <w:num w:numId="5">
    <w:abstractNumId w:val="7"/>
  </w:num>
  <w:num w:numId="6">
    <w:abstractNumId w:val="3"/>
  </w:num>
  <w:num w:numId="7">
    <w:abstractNumId w:val="0"/>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5ZmFmM2U0MGI4MWViMmVjYmI2ZGY3NGEyZGRmZGYifQ=="/>
  </w:docVars>
  <w:rsids>
    <w:rsidRoot w:val="00172A27"/>
    <w:rsid w:val="00001CED"/>
    <w:rsid w:val="00001E67"/>
    <w:rsid w:val="00003CD8"/>
    <w:rsid w:val="00014965"/>
    <w:rsid w:val="0001523A"/>
    <w:rsid w:val="00016ECB"/>
    <w:rsid w:val="000269F6"/>
    <w:rsid w:val="000273A7"/>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05E3"/>
    <w:rsid w:val="000A0645"/>
    <w:rsid w:val="000A178E"/>
    <w:rsid w:val="000A557E"/>
    <w:rsid w:val="000B058F"/>
    <w:rsid w:val="000B693F"/>
    <w:rsid w:val="000C023D"/>
    <w:rsid w:val="000C09AC"/>
    <w:rsid w:val="000C0A63"/>
    <w:rsid w:val="000C437E"/>
    <w:rsid w:val="000E5F16"/>
    <w:rsid w:val="000E7F5C"/>
    <w:rsid w:val="000F4452"/>
    <w:rsid w:val="000F6DA1"/>
    <w:rsid w:val="000F701B"/>
    <w:rsid w:val="001056A0"/>
    <w:rsid w:val="00115279"/>
    <w:rsid w:val="00117459"/>
    <w:rsid w:val="0011749A"/>
    <w:rsid w:val="00127A68"/>
    <w:rsid w:val="00140B13"/>
    <w:rsid w:val="00141B68"/>
    <w:rsid w:val="00144581"/>
    <w:rsid w:val="001466DA"/>
    <w:rsid w:val="00154DE1"/>
    <w:rsid w:val="00155B40"/>
    <w:rsid w:val="00157435"/>
    <w:rsid w:val="00163EEA"/>
    <w:rsid w:val="00167A07"/>
    <w:rsid w:val="0017046A"/>
    <w:rsid w:val="001704A3"/>
    <w:rsid w:val="00173470"/>
    <w:rsid w:val="0017504D"/>
    <w:rsid w:val="00177422"/>
    <w:rsid w:val="00184F10"/>
    <w:rsid w:val="00185546"/>
    <w:rsid w:val="0019146B"/>
    <w:rsid w:val="00194398"/>
    <w:rsid w:val="001A4ABE"/>
    <w:rsid w:val="001A7D2A"/>
    <w:rsid w:val="001B0A2D"/>
    <w:rsid w:val="001B574C"/>
    <w:rsid w:val="001C0AF9"/>
    <w:rsid w:val="001C155A"/>
    <w:rsid w:val="001C48C0"/>
    <w:rsid w:val="001D4363"/>
    <w:rsid w:val="001D6726"/>
    <w:rsid w:val="001F3347"/>
    <w:rsid w:val="001F4440"/>
    <w:rsid w:val="001F69E4"/>
    <w:rsid w:val="00203125"/>
    <w:rsid w:val="00206A65"/>
    <w:rsid w:val="002073DE"/>
    <w:rsid w:val="00212D31"/>
    <w:rsid w:val="002130C7"/>
    <w:rsid w:val="00213B24"/>
    <w:rsid w:val="002218A8"/>
    <w:rsid w:val="0022306D"/>
    <w:rsid w:val="00226574"/>
    <w:rsid w:val="002278EC"/>
    <w:rsid w:val="002357C7"/>
    <w:rsid w:val="002367C4"/>
    <w:rsid w:val="002422A0"/>
    <w:rsid w:val="00246499"/>
    <w:rsid w:val="00255AB0"/>
    <w:rsid w:val="0025679E"/>
    <w:rsid w:val="00260C68"/>
    <w:rsid w:val="002648B0"/>
    <w:rsid w:val="00275271"/>
    <w:rsid w:val="0027535E"/>
    <w:rsid w:val="00275AA6"/>
    <w:rsid w:val="002807D5"/>
    <w:rsid w:val="00282CCD"/>
    <w:rsid w:val="00287384"/>
    <w:rsid w:val="00290257"/>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46082"/>
    <w:rsid w:val="00350523"/>
    <w:rsid w:val="00352975"/>
    <w:rsid w:val="00356868"/>
    <w:rsid w:val="0036485B"/>
    <w:rsid w:val="00373B0D"/>
    <w:rsid w:val="00376988"/>
    <w:rsid w:val="00381A72"/>
    <w:rsid w:val="003A1948"/>
    <w:rsid w:val="003B152A"/>
    <w:rsid w:val="003B545B"/>
    <w:rsid w:val="003C35F1"/>
    <w:rsid w:val="003D3EE9"/>
    <w:rsid w:val="003E7681"/>
    <w:rsid w:val="003F0809"/>
    <w:rsid w:val="003F611C"/>
    <w:rsid w:val="003F755C"/>
    <w:rsid w:val="00406F01"/>
    <w:rsid w:val="00411B36"/>
    <w:rsid w:val="004121D7"/>
    <w:rsid w:val="00416D50"/>
    <w:rsid w:val="00417772"/>
    <w:rsid w:val="00420E6A"/>
    <w:rsid w:val="00425782"/>
    <w:rsid w:val="00433CA9"/>
    <w:rsid w:val="0043521D"/>
    <w:rsid w:val="00442024"/>
    <w:rsid w:val="0044254C"/>
    <w:rsid w:val="00443F6A"/>
    <w:rsid w:val="00450A17"/>
    <w:rsid w:val="00466321"/>
    <w:rsid w:val="004672AF"/>
    <w:rsid w:val="004702CC"/>
    <w:rsid w:val="004727B0"/>
    <w:rsid w:val="00480247"/>
    <w:rsid w:val="0048081D"/>
    <w:rsid w:val="0048117E"/>
    <w:rsid w:val="004855F6"/>
    <w:rsid w:val="00486F0C"/>
    <w:rsid w:val="00494670"/>
    <w:rsid w:val="004961D7"/>
    <w:rsid w:val="004A0EB4"/>
    <w:rsid w:val="004A3823"/>
    <w:rsid w:val="004A59BB"/>
    <w:rsid w:val="004B1A1A"/>
    <w:rsid w:val="004B43A3"/>
    <w:rsid w:val="004B4C49"/>
    <w:rsid w:val="004B58A5"/>
    <w:rsid w:val="004B63D9"/>
    <w:rsid w:val="004C0882"/>
    <w:rsid w:val="004C55BE"/>
    <w:rsid w:val="004E5B30"/>
    <w:rsid w:val="004F0779"/>
    <w:rsid w:val="004F1230"/>
    <w:rsid w:val="004F173F"/>
    <w:rsid w:val="004F177C"/>
    <w:rsid w:val="004F2DCE"/>
    <w:rsid w:val="004F6BDC"/>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57ED1"/>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5F77D4"/>
    <w:rsid w:val="00603E5B"/>
    <w:rsid w:val="00604BC8"/>
    <w:rsid w:val="00615B4C"/>
    <w:rsid w:val="00615B5D"/>
    <w:rsid w:val="0062146F"/>
    <w:rsid w:val="00625663"/>
    <w:rsid w:val="006343AF"/>
    <w:rsid w:val="0063634A"/>
    <w:rsid w:val="006374C2"/>
    <w:rsid w:val="0064250D"/>
    <w:rsid w:val="006508AF"/>
    <w:rsid w:val="006535EB"/>
    <w:rsid w:val="00663016"/>
    <w:rsid w:val="0067337D"/>
    <w:rsid w:val="00674605"/>
    <w:rsid w:val="006748B8"/>
    <w:rsid w:val="0068535B"/>
    <w:rsid w:val="0068736E"/>
    <w:rsid w:val="0069290A"/>
    <w:rsid w:val="00697032"/>
    <w:rsid w:val="006975AC"/>
    <w:rsid w:val="006A15FB"/>
    <w:rsid w:val="006A72BF"/>
    <w:rsid w:val="006B332A"/>
    <w:rsid w:val="006B33BD"/>
    <w:rsid w:val="006C3F75"/>
    <w:rsid w:val="006D170E"/>
    <w:rsid w:val="006D4E00"/>
    <w:rsid w:val="006D5D6A"/>
    <w:rsid w:val="006E06AF"/>
    <w:rsid w:val="006F1789"/>
    <w:rsid w:val="007040AC"/>
    <w:rsid w:val="00706C5D"/>
    <w:rsid w:val="007118E6"/>
    <w:rsid w:val="007225C9"/>
    <w:rsid w:val="00735CD7"/>
    <w:rsid w:val="00742D12"/>
    <w:rsid w:val="00744AE2"/>
    <w:rsid w:val="00754034"/>
    <w:rsid w:val="00754BF1"/>
    <w:rsid w:val="00755A30"/>
    <w:rsid w:val="00755E1C"/>
    <w:rsid w:val="00756556"/>
    <w:rsid w:val="00760BE6"/>
    <w:rsid w:val="0076132B"/>
    <w:rsid w:val="007623AE"/>
    <w:rsid w:val="00770B19"/>
    <w:rsid w:val="00774FA0"/>
    <w:rsid w:val="00776620"/>
    <w:rsid w:val="00777B6D"/>
    <w:rsid w:val="00784855"/>
    <w:rsid w:val="00784F39"/>
    <w:rsid w:val="0078545C"/>
    <w:rsid w:val="007906C4"/>
    <w:rsid w:val="00792761"/>
    <w:rsid w:val="007940EA"/>
    <w:rsid w:val="007967E8"/>
    <w:rsid w:val="007A5F4C"/>
    <w:rsid w:val="007A63F2"/>
    <w:rsid w:val="007B68DE"/>
    <w:rsid w:val="007C1589"/>
    <w:rsid w:val="007C1857"/>
    <w:rsid w:val="007C2242"/>
    <w:rsid w:val="007C514F"/>
    <w:rsid w:val="007C7E4F"/>
    <w:rsid w:val="007D0F95"/>
    <w:rsid w:val="007D7ECB"/>
    <w:rsid w:val="007E25A1"/>
    <w:rsid w:val="007E4BD2"/>
    <w:rsid w:val="007E7145"/>
    <w:rsid w:val="007F3916"/>
    <w:rsid w:val="00801179"/>
    <w:rsid w:val="00802479"/>
    <w:rsid w:val="00805372"/>
    <w:rsid w:val="00805B7B"/>
    <w:rsid w:val="0081293E"/>
    <w:rsid w:val="00814FFB"/>
    <w:rsid w:val="0082011B"/>
    <w:rsid w:val="00820568"/>
    <w:rsid w:val="00823ECA"/>
    <w:rsid w:val="00831A80"/>
    <w:rsid w:val="008332C8"/>
    <w:rsid w:val="00833743"/>
    <w:rsid w:val="008340A4"/>
    <w:rsid w:val="00836799"/>
    <w:rsid w:val="00837028"/>
    <w:rsid w:val="00837131"/>
    <w:rsid w:val="00845F57"/>
    <w:rsid w:val="008521E0"/>
    <w:rsid w:val="008525B0"/>
    <w:rsid w:val="00852D99"/>
    <w:rsid w:val="00867CBC"/>
    <w:rsid w:val="00876C30"/>
    <w:rsid w:val="00877017"/>
    <w:rsid w:val="008773C0"/>
    <w:rsid w:val="00880364"/>
    <w:rsid w:val="00886C4C"/>
    <w:rsid w:val="0088711C"/>
    <w:rsid w:val="00892ECF"/>
    <w:rsid w:val="00892F06"/>
    <w:rsid w:val="00894285"/>
    <w:rsid w:val="008A40AE"/>
    <w:rsid w:val="008A4E19"/>
    <w:rsid w:val="008A67C5"/>
    <w:rsid w:val="008A6EC1"/>
    <w:rsid w:val="008B22E1"/>
    <w:rsid w:val="008B3C78"/>
    <w:rsid w:val="008B47F5"/>
    <w:rsid w:val="008B4AE9"/>
    <w:rsid w:val="008C30AD"/>
    <w:rsid w:val="008D068E"/>
    <w:rsid w:val="008D0F7A"/>
    <w:rsid w:val="008D63BE"/>
    <w:rsid w:val="008E0CFF"/>
    <w:rsid w:val="008E5D6B"/>
    <w:rsid w:val="008E689B"/>
    <w:rsid w:val="008E7349"/>
    <w:rsid w:val="008E76F0"/>
    <w:rsid w:val="008F15FE"/>
    <w:rsid w:val="008F2A94"/>
    <w:rsid w:val="008F5187"/>
    <w:rsid w:val="008F542D"/>
    <w:rsid w:val="008F709C"/>
    <w:rsid w:val="00902C7D"/>
    <w:rsid w:val="0090312B"/>
    <w:rsid w:val="00904961"/>
    <w:rsid w:val="00912F35"/>
    <w:rsid w:val="0091736D"/>
    <w:rsid w:val="009273CB"/>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929"/>
    <w:rsid w:val="009A0F3B"/>
    <w:rsid w:val="009A3C05"/>
    <w:rsid w:val="009A5090"/>
    <w:rsid w:val="009A72C7"/>
    <w:rsid w:val="009B0897"/>
    <w:rsid w:val="009D0852"/>
    <w:rsid w:val="009D1FBF"/>
    <w:rsid w:val="009E399C"/>
    <w:rsid w:val="009E43C1"/>
    <w:rsid w:val="009E7E95"/>
    <w:rsid w:val="009F116F"/>
    <w:rsid w:val="009F329E"/>
    <w:rsid w:val="009F7ED3"/>
    <w:rsid w:val="00A0092D"/>
    <w:rsid w:val="00A03607"/>
    <w:rsid w:val="00A047FF"/>
    <w:rsid w:val="00A04FEF"/>
    <w:rsid w:val="00A122CD"/>
    <w:rsid w:val="00A12A32"/>
    <w:rsid w:val="00A14248"/>
    <w:rsid w:val="00A14947"/>
    <w:rsid w:val="00A207B3"/>
    <w:rsid w:val="00A23DC5"/>
    <w:rsid w:val="00A33424"/>
    <w:rsid w:val="00A34028"/>
    <w:rsid w:val="00A35568"/>
    <w:rsid w:val="00A35E5B"/>
    <w:rsid w:val="00A36816"/>
    <w:rsid w:val="00A37056"/>
    <w:rsid w:val="00A4358F"/>
    <w:rsid w:val="00A46F67"/>
    <w:rsid w:val="00A52B95"/>
    <w:rsid w:val="00A54AA1"/>
    <w:rsid w:val="00A568FF"/>
    <w:rsid w:val="00A61496"/>
    <w:rsid w:val="00A61833"/>
    <w:rsid w:val="00A624C6"/>
    <w:rsid w:val="00A63CEC"/>
    <w:rsid w:val="00A64EEA"/>
    <w:rsid w:val="00A7031E"/>
    <w:rsid w:val="00A705A7"/>
    <w:rsid w:val="00A728B1"/>
    <w:rsid w:val="00A763DE"/>
    <w:rsid w:val="00A772E8"/>
    <w:rsid w:val="00A803D6"/>
    <w:rsid w:val="00A81282"/>
    <w:rsid w:val="00A8713F"/>
    <w:rsid w:val="00A91167"/>
    <w:rsid w:val="00A9171C"/>
    <w:rsid w:val="00A92FFD"/>
    <w:rsid w:val="00A95975"/>
    <w:rsid w:val="00A9708D"/>
    <w:rsid w:val="00AA2C17"/>
    <w:rsid w:val="00AA4172"/>
    <w:rsid w:val="00AA57B6"/>
    <w:rsid w:val="00AA58F8"/>
    <w:rsid w:val="00AB1914"/>
    <w:rsid w:val="00AB319A"/>
    <w:rsid w:val="00AB5330"/>
    <w:rsid w:val="00AB7747"/>
    <w:rsid w:val="00AC0718"/>
    <w:rsid w:val="00AC2532"/>
    <w:rsid w:val="00AD1507"/>
    <w:rsid w:val="00AD5A70"/>
    <w:rsid w:val="00AD738B"/>
    <w:rsid w:val="00AE1BF4"/>
    <w:rsid w:val="00AE5D97"/>
    <w:rsid w:val="00AE6794"/>
    <w:rsid w:val="00AE6E7A"/>
    <w:rsid w:val="00B01110"/>
    <w:rsid w:val="00B02262"/>
    <w:rsid w:val="00B03CEC"/>
    <w:rsid w:val="00B1209F"/>
    <w:rsid w:val="00B12AD0"/>
    <w:rsid w:val="00B24F30"/>
    <w:rsid w:val="00B31ABF"/>
    <w:rsid w:val="00B335AE"/>
    <w:rsid w:val="00B34DF7"/>
    <w:rsid w:val="00B37CE1"/>
    <w:rsid w:val="00B40ACF"/>
    <w:rsid w:val="00B46BAA"/>
    <w:rsid w:val="00B50B5F"/>
    <w:rsid w:val="00B54128"/>
    <w:rsid w:val="00B55826"/>
    <w:rsid w:val="00B60426"/>
    <w:rsid w:val="00B622DD"/>
    <w:rsid w:val="00B6350C"/>
    <w:rsid w:val="00B63522"/>
    <w:rsid w:val="00B76F1D"/>
    <w:rsid w:val="00B92A19"/>
    <w:rsid w:val="00B9544C"/>
    <w:rsid w:val="00BA29E9"/>
    <w:rsid w:val="00BB3618"/>
    <w:rsid w:val="00BC0C9E"/>
    <w:rsid w:val="00BC32DC"/>
    <w:rsid w:val="00BD1B51"/>
    <w:rsid w:val="00BD47F6"/>
    <w:rsid w:val="00BE312D"/>
    <w:rsid w:val="00BE3FCA"/>
    <w:rsid w:val="00C051A8"/>
    <w:rsid w:val="00C05719"/>
    <w:rsid w:val="00C10578"/>
    <w:rsid w:val="00C10E4A"/>
    <w:rsid w:val="00C145C2"/>
    <w:rsid w:val="00C17D62"/>
    <w:rsid w:val="00C21FDC"/>
    <w:rsid w:val="00C24EE7"/>
    <w:rsid w:val="00C2596A"/>
    <w:rsid w:val="00C271BE"/>
    <w:rsid w:val="00C27425"/>
    <w:rsid w:val="00C328FE"/>
    <w:rsid w:val="00C33A05"/>
    <w:rsid w:val="00C42500"/>
    <w:rsid w:val="00C4409D"/>
    <w:rsid w:val="00C455BE"/>
    <w:rsid w:val="00C51E5F"/>
    <w:rsid w:val="00C61E4B"/>
    <w:rsid w:val="00C62E15"/>
    <w:rsid w:val="00C62E3A"/>
    <w:rsid w:val="00C64503"/>
    <w:rsid w:val="00C64A1F"/>
    <w:rsid w:val="00C64BFF"/>
    <w:rsid w:val="00C763C9"/>
    <w:rsid w:val="00C80057"/>
    <w:rsid w:val="00C82C79"/>
    <w:rsid w:val="00C84753"/>
    <w:rsid w:val="00C91611"/>
    <w:rsid w:val="00C963E9"/>
    <w:rsid w:val="00CA3585"/>
    <w:rsid w:val="00CA3D5A"/>
    <w:rsid w:val="00CA4C7C"/>
    <w:rsid w:val="00CB0183"/>
    <w:rsid w:val="00CB1EA3"/>
    <w:rsid w:val="00CB552C"/>
    <w:rsid w:val="00CB6A9E"/>
    <w:rsid w:val="00CC1782"/>
    <w:rsid w:val="00CC449D"/>
    <w:rsid w:val="00CC6181"/>
    <w:rsid w:val="00CD2BCD"/>
    <w:rsid w:val="00CD36AA"/>
    <w:rsid w:val="00CD3791"/>
    <w:rsid w:val="00CD65B0"/>
    <w:rsid w:val="00CE02CD"/>
    <w:rsid w:val="00CE10E9"/>
    <w:rsid w:val="00CE3FAD"/>
    <w:rsid w:val="00D0072E"/>
    <w:rsid w:val="00D15727"/>
    <w:rsid w:val="00D16332"/>
    <w:rsid w:val="00D24972"/>
    <w:rsid w:val="00D2515E"/>
    <w:rsid w:val="00D308ED"/>
    <w:rsid w:val="00D42018"/>
    <w:rsid w:val="00D56178"/>
    <w:rsid w:val="00D56CF0"/>
    <w:rsid w:val="00D56F5C"/>
    <w:rsid w:val="00D704B1"/>
    <w:rsid w:val="00D70B63"/>
    <w:rsid w:val="00D72B92"/>
    <w:rsid w:val="00D72ED4"/>
    <w:rsid w:val="00D73F61"/>
    <w:rsid w:val="00D754C0"/>
    <w:rsid w:val="00D776A2"/>
    <w:rsid w:val="00D801C4"/>
    <w:rsid w:val="00D838D5"/>
    <w:rsid w:val="00D90836"/>
    <w:rsid w:val="00D95896"/>
    <w:rsid w:val="00D95CC6"/>
    <w:rsid w:val="00DA2DA3"/>
    <w:rsid w:val="00DA53CD"/>
    <w:rsid w:val="00DA6615"/>
    <w:rsid w:val="00DA76AE"/>
    <w:rsid w:val="00DB181E"/>
    <w:rsid w:val="00DB1C7A"/>
    <w:rsid w:val="00DB2983"/>
    <w:rsid w:val="00DB2D1F"/>
    <w:rsid w:val="00DB343D"/>
    <w:rsid w:val="00DB5579"/>
    <w:rsid w:val="00DB5CFE"/>
    <w:rsid w:val="00DC72A6"/>
    <w:rsid w:val="00DD2113"/>
    <w:rsid w:val="00DD265E"/>
    <w:rsid w:val="00DD5B07"/>
    <w:rsid w:val="00DF1930"/>
    <w:rsid w:val="00DF514A"/>
    <w:rsid w:val="00E0358D"/>
    <w:rsid w:val="00E06327"/>
    <w:rsid w:val="00E068D2"/>
    <w:rsid w:val="00E121CA"/>
    <w:rsid w:val="00E2064B"/>
    <w:rsid w:val="00E25239"/>
    <w:rsid w:val="00E265B1"/>
    <w:rsid w:val="00E275B0"/>
    <w:rsid w:val="00E412D0"/>
    <w:rsid w:val="00E4348B"/>
    <w:rsid w:val="00E47CDB"/>
    <w:rsid w:val="00E566BC"/>
    <w:rsid w:val="00E60982"/>
    <w:rsid w:val="00E60C8D"/>
    <w:rsid w:val="00E6162F"/>
    <w:rsid w:val="00E6311B"/>
    <w:rsid w:val="00E65D97"/>
    <w:rsid w:val="00E67EFD"/>
    <w:rsid w:val="00E702DC"/>
    <w:rsid w:val="00E71349"/>
    <w:rsid w:val="00E71FFB"/>
    <w:rsid w:val="00E72AF8"/>
    <w:rsid w:val="00E76D1D"/>
    <w:rsid w:val="00E806F8"/>
    <w:rsid w:val="00E87752"/>
    <w:rsid w:val="00E8793B"/>
    <w:rsid w:val="00E90F81"/>
    <w:rsid w:val="00E91A6D"/>
    <w:rsid w:val="00E9242D"/>
    <w:rsid w:val="00EB041C"/>
    <w:rsid w:val="00EB0B67"/>
    <w:rsid w:val="00EC4120"/>
    <w:rsid w:val="00EC5874"/>
    <w:rsid w:val="00ED192D"/>
    <w:rsid w:val="00ED30B4"/>
    <w:rsid w:val="00ED31F5"/>
    <w:rsid w:val="00EE332D"/>
    <w:rsid w:val="00EF2759"/>
    <w:rsid w:val="00EF45EB"/>
    <w:rsid w:val="00EF5099"/>
    <w:rsid w:val="00EF5E33"/>
    <w:rsid w:val="00F00075"/>
    <w:rsid w:val="00F07822"/>
    <w:rsid w:val="00F15C95"/>
    <w:rsid w:val="00F22985"/>
    <w:rsid w:val="00F241AB"/>
    <w:rsid w:val="00F24A22"/>
    <w:rsid w:val="00F31382"/>
    <w:rsid w:val="00F35829"/>
    <w:rsid w:val="00F400D8"/>
    <w:rsid w:val="00F40F57"/>
    <w:rsid w:val="00F42868"/>
    <w:rsid w:val="00F465A7"/>
    <w:rsid w:val="00F50B7C"/>
    <w:rsid w:val="00F5202D"/>
    <w:rsid w:val="00F52CF6"/>
    <w:rsid w:val="00F54496"/>
    <w:rsid w:val="00F61097"/>
    <w:rsid w:val="00F74345"/>
    <w:rsid w:val="00F74441"/>
    <w:rsid w:val="00F77608"/>
    <w:rsid w:val="00F77F30"/>
    <w:rsid w:val="00F82589"/>
    <w:rsid w:val="00F82B19"/>
    <w:rsid w:val="00F87001"/>
    <w:rsid w:val="00F87009"/>
    <w:rsid w:val="00F90AA7"/>
    <w:rsid w:val="00F91E5F"/>
    <w:rsid w:val="00F9212D"/>
    <w:rsid w:val="00F94B56"/>
    <w:rsid w:val="00FA301A"/>
    <w:rsid w:val="00FA406A"/>
    <w:rsid w:val="00FA5CB6"/>
    <w:rsid w:val="00FC66AC"/>
    <w:rsid w:val="00FD18F4"/>
    <w:rsid w:val="00FD2BEC"/>
    <w:rsid w:val="00FD55F6"/>
    <w:rsid w:val="00FD74B4"/>
    <w:rsid w:val="00FF5763"/>
    <w:rsid w:val="00FF6FCE"/>
    <w:rsid w:val="00FF7518"/>
    <w:rsid w:val="00FF7FD8"/>
    <w:rsid w:val="01C62AA9"/>
    <w:rsid w:val="01D3464F"/>
    <w:rsid w:val="021E4A76"/>
    <w:rsid w:val="028F522B"/>
    <w:rsid w:val="03D978FC"/>
    <w:rsid w:val="041E220F"/>
    <w:rsid w:val="04613992"/>
    <w:rsid w:val="0477315A"/>
    <w:rsid w:val="05742AC8"/>
    <w:rsid w:val="061565F6"/>
    <w:rsid w:val="06352F05"/>
    <w:rsid w:val="063E7D85"/>
    <w:rsid w:val="06F7670A"/>
    <w:rsid w:val="070875E0"/>
    <w:rsid w:val="07293586"/>
    <w:rsid w:val="07295285"/>
    <w:rsid w:val="07770C56"/>
    <w:rsid w:val="07F17661"/>
    <w:rsid w:val="092217DD"/>
    <w:rsid w:val="093A7294"/>
    <w:rsid w:val="098970F5"/>
    <w:rsid w:val="0A702F07"/>
    <w:rsid w:val="0B091A21"/>
    <w:rsid w:val="0BA61E33"/>
    <w:rsid w:val="0BD27BF6"/>
    <w:rsid w:val="0E110D06"/>
    <w:rsid w:val="0ED96B22"/>
    <w:rsid w:val="0F13775A"/>
    <w:rsid w:val="0F9A112B"/>
    <w:rsid w:val="0FE213ED"/>
    <w:rsid w:val="106D2F64"/>
    <w:rsid w:val="10B63710"/>
    <w:rsid w:val="111331E7"/>
    <w:rsid w:val="111C2F7A"/>
    <w:rsid w:val="112350B2"/>
    <w:rsid w:val="112F2C51"/>
    <w:rsid w:val="113013DE"/>
    <w:rsid w:val="11F03AC5"/>
    <w:rsid w:val="12090131"/>
    <w:rsid w:val="122B06C2"/>
    <w:rsid w:val="122D73E6"/>
    <w:rsid w:val="127A4B8D"/>
    <w:rsid w:val="13951726"/>
    <w:rsid w:val="13D05BEB"/>
    <w:rsid w:val="13F179A1"/>
    <w:rsid w:val="142E6750"/>
    <w:rsid w:val="14396509"/>
    <w:rsid w:val="1447165C"/>
    <w:rsid w:val="147842D7"/>
    <w:rsid w:val="15DA5739"/>
    <w:rsid w:val="169F750E"/>
    <w:rsid w:val="17111860"/>
    <w:rsid w:val="17137A1E"/>
    <w:rsid w:val="17207642"/>
    <w:rsid w:val="17735226"/>
    <w:rsid w:val="17A87F58"/>
    <w:rsid w:val="17CB69C5"/>
    <w:rsid w:val="185F3690"/>
    <w:rsid w:val="19246B97"/>
    <w:rsid w:val="19381761"/>
    <w:rsid w:val="194C1917"/>
    <w:rsid w:val="19D533F9"/>
    <w:rsid w:val="1A1C66C0"/>
    <w:rsid w:val="1A1F68FC"/>
    <w:rsid w:val="1A42393B"/>
    <w:rsid w:val="1A4D795A"/>
    <w:rsid w:val="1A5E6E15"/>
    <w:rsid w:val="1AF742C3"/>
    <w:rsid w:val="1B046F80"/>
    <w:rsid w:val="1B3267B5"/>
    <w:rsid w:val="1BC25DC8"/>
    <w:rsid w:val="1BE54C34"/>
    <w:rsid w:val="1C2E0DBB"/>
    <w:rsid w:val="1C3F5486"/>
    <w:rsid w:val="1C5E7925"/>
    <w:rsid w:val="1C887FC8"/>
    <w:rsid w:val="1D3C1F1B"/>
    <w:rsid w:val="1D5F6196"/>
    <w:rsid w:val="1D6132A5"/>
    <w:rsid w:val="1D8E56D5"/>
    <w:rsid w:val="1E7A43DA"/>
    <w:rsid w:val="1E860737"/>
    <w:rsid w:val="1EB277FE"/>
    <w:rsid w:val="1F1724E7"/>
    <w:rsid w:val="1F6B22C6"/>
    <w:rsid w:val="1FE7539E"/>
    <w:rsid w:val="200E78F5"/>
    <w:rsid w:val="204D06FB"/>
    <w:rsid w:val="20963CB8"/>
    <w:rsid w:val="20B07FB6"/>
    <w:rsid w:val="20D02EE5"/>
    <w:rsid w:val="213B74B1"/>
    <w:rsid w:val="215A2310"/>
    <w:rsid w:val="216D0A70"/>
    <w:rsid w:val="219303CD"/>
    <w:rsid w:val="21DE318A"/>
    <w:rsid w:val="21E64CC8"/>
    <w:rsid w:val="21EF5B80"/>
    <w:rsid w:val="22312729"/>
    <w:rsid w:val="224C3383"/>
    <w:rsid w:val="22576990"/>
    <w:rsid w:val="22995ABF"/>
    <w:rsid w:val="229C4EAB"/>
    <w:rsid w:val="22BD5BE3"/>
    <w:rsid w:val="239E6D26"/>
    <w:rsid w:val="241914D1"/>
    <w:rsid w:val="24422DFE"/>
    <w:rsid w:val="24C83E91"/>
    <w:rsid w:val="24DA6644"/>
    <w:rsid w:val="252D53FE"/>
    <w:rsid w:val="254F67A7"/>
    <w:rsid w:val="25EC2D81"/>
    <w:rsid w:val="260359C9"/>
    <w:rsid w:val="261932F9"/>
    <w:rsid w:val="264528BD"/>
    <w:rsid w:val="266F3A13"/>
    <w:rsid w:val="26A9649D"/>
    <w:rsid w:val="27D15DD1"/>
    <w:rsid w:val="28A76295"/>
    <w:rsid w:val="28EE4C4A"/>
    <w:rsid w:val="29206EB8"/>
    <w:rsid w:val="292F2D10"/>
    <w:rsid w:val="294E51FB"/>
    <w:rsid w:val="297D1188"/>
    <w:rsid w:val="29E325E0"/>
    <w:rsid w:val="2A452503"/>
    <w:rsid w:val="2AC20351"/>
    <w:rsid w:val="2ADE3FB5"/>
    <w:rsid w:val="2AF86FFB"/>
    <w:rsid w:val="2B427B0C"/>
    <w:rsid w:val="2BA936A8"/>
    <w:rsid w:val="2BFA6567"/>
    <w:rsid w:val="2C315A5A"/>
    <w:rsid w:val="2C8D4C5E"/>
    <w:rsid w:val="2D120131"/>
    <w:rsid w:val="2D154D1D"/>
    <w:rsid w:val="2D7013D0"/>
    <w:rsid w:val="2D9E56F5"/>
    <w:rsid w:val="2E313BBA"/>
    <w:rsid w:val="2E667F96"/>
    <w:rsid w:val="2E8226AB"/>
    <w:rsid w:val="2EDC428C"/>
    <w:rsid w:val="2EEA59F3"/>
    <w:rsid w:val="2F832C79"/>
    <w:rsid w:val="2FEF2D58"/>
    <w:rsid w:val="30122431"/>
    <w:rsid w:val="3036748C"/>
    <w:rsid w:val="30580BC9"/>
    <w:rsid w:val="311E2ED7"/>
    <w:rsid w:val="31341545"/>
    <w:rsid w:val="31384185"/>
    <w:rsid w:val="315C449C"/>
    <w:rsid w:val="316D6F76"/>
    <w:rsid w:val="31B82709"/>
    <w:rsid w:val="32400B34"/>
    <w:rsid w:val="329E6876"/>
    <w:rsid w:val="32A46E0D"/>
    <w:rsid w:val="32AF38EC"/>
    <w:rsid w:val="32EE4CA6"/>
    <w:rsid w:val="3342662F"/>
    <w:rsid w:val="335168E8"/>
    <w:rsid w:val="336E057F"/>
    <w:rsid w:val="33AC6094"/>
    <w:rsid w:val="33B75F63"/>
    <w:rsid w:val="33D934D4"/>
    <w:rsid w:val="33FE2F6A"/>
    <w:rsid w:val="34084665"/>
    <w:rsid w:val="34C11D38"/>
    <w:rsid w:val="356C07CF"/>
    <w:rsid w:val="36074A7F"/>
    <w:rsid w:val="363336A0"/>
    <w:rsid w:val="36923549"/>
    <w:rsid w:val="36B75FBF"/>
    <w:rsid w:val="36FB4891"/>
    <w:rsid w:val="37506EB3"/>
    <w:rsid w:val="37AE6473"/>
    <w:rsid w:val="387E619B"/>
    <w:rsid w:val="38F12CD3"/>
    <w:rsid w:val="38F94775"/>
    <w:rsid w:val="38FD3136"/>
    <w:rsid w:val="392971ED"/>
    <w:rsid w:val="395A75FF"/>
    <w:rsid w:val="39651D11"/>
    <w:rsid w:val="39DD7801"/>
    <w:rsid w:val="3A1126F8"/>
    <w:rsid w:val="3A163FBB"/>
    <w:rsid w:val="3A811CA5"/>
    <w:rsid w:val="3AA347CF"/>
    <w:rsid w:val="3B225119"/>
    <w:rsid w:val="3B3763D1"/>
    <w:rsid w:val="3BF255AD"/>
    <w:rsid w:val="3CDA245A"/>
    <w:rsid w:val="3CDC683A"/>
    <w:rsid w:val="3CEE0A37"/>
    <w:rsid w:val="3D4955F1"/>
    <w:rsid w:val="3E1170EA"/>
    <w:rsid w:val="3E1D6A2E"/>
    <w:rsid w:val="3E386803"/>
    <w:rsid w:val="3E51594A"/>
    <w:rsid w:val="3EE83C14"/>
    <w:rsid w:val="3F660E74"/>
    <w:rsid w:val="3F927F29"/>
    <w:rsid w:val="3FA720D8"/>
    <w:rsid w:val="3FD5253B"/>
    <w:rsid w:val="3FDB521C"/>
    <w:rsid w:val="3FE82798"/>
    <w:rsid w:val="40727E73"/>
    <w:rsid w:val="407A6407"/>
    <w:rsid w:val="41054603"/>
    <w:rsid w:val="41187701"/>
    <w:rsid w:val="41652158"/>
    <w:rsid w:val="419432AD"/>
    <w:rsid w:val="423A3BCC"/>
    <w:rsid w:val="42B11B22"/>
    <w:rsid w:val="42CE20CF"/>
    <w:rsid w:val="43037B12"/>
    <w:rsid w:val="433A6FE6"/>
    <w:rsid w:val="4350713C"/>
    <w:rsid w:val="436106E3"/>
    <w:rsid w:val="436653E0"/>
    <w:rsid w:val="439B26E7"/>
    <w:rsid w:val="44026DE9"/>
    <w:rsid w:val="4480485A"/>
    <w:rsid w:val="44BE6711"/>
    <w:rsid w:val="44CD14E0"/>
    <w:rsid w:val="45604AA2"/>
    <w:rsid w:val="458946E9"/>
    <w:rsid w:val="45F0513C"/>
    <w:rsid w:val="468516FB"/>
    <w:rsid w:val="46C30D68"/>
    <w:rsid w:val="46D955A7"/>
    <w:rsid w:val="47133957"/>
    <w:rsid w:val="47632FC1"/>
    <w:rsid w:val="4779329E"/>
    <w:rsid w:val="47807CE6"/>
    <w:rsid w:val="47A07E0C"/>
    <w:rsid w:val="47E13ADA"/>
    <w:rsid w:val="4870272E"/>
    <w:rsid w:val="487B0AFE"/>
    <w:rsid w:val="494F6A5E"/>
    <w:rsid w:val="495F4ACA"/>
    <w:rsid w:val="497117D3"/>
    <w:rsid w:val="49DC7715"/>
    <w:rsid w:val="4A023139"/>
    <w:rsid w:val="4A7B576F"/>
    <w:rsid w:val="4AB17E2C"/>
    <w:rsid w:val="4AD60ABA"/>
    <w:rsid w:val="4ADD0800"/>
    <w:rsid w:val="4B22062E"/>
    <w:rsid w:val="4B887573"/>
    <w:rsid w:val="4C4A0649"/>
    <w:rsid w:val="4CE470D3"/>
    <w:rsid w:val="4DEC4FB0"/>
    <w:rsid w:val="4E075D8A"/>
    <w:rsid w:val="4E72683D"/>
    <w:rsid w:val="4EA3252F"/>
    <w:rsid w:val="4ED5499C"/>
    <w:rsid w:val="4FC62A8C"/>
    <w:rsid w:val="4FDA77DA"/>
    <w:rsid w:val="4FE20F0D"/>
    <w:rsid w:val="4FE53500"/>
    <w:rsid w:val="50504C4B"/>
    <w:rsid w:val="509C6E7C"/>
    <w:rsid w:val="50D81071"/>
    <w:rsid w:val="5162104E"/>
    <w:rsid w:val="51664915"/>
    <w:rsid w:val="532C15E9"/>
    <w:rsid w:val="533A4B08"/>
    <w:rsid w:val="53A039CC"/>
    <w:rsid w:val="53A1505A"/>
    <w:rsid w:val="54063E08"/>
    <w:rsid w:val="543437E8"/>
    <w:rsid w:val="544151DE"/>
    <w:rsid w:val="54B42E62"/>
    <w:rsid w:val="559B174B"/>
    <w:rsid w:val="55CE0CF4"/>
    <w:rsid w:val="55D65A36"/>
    <w:rsid w:val="56B22A9C"/>
    <w:rsid w:val="56DA3ADC"/>
    <w:rsid w:val="56E30743"/>
    <w:rsid w:val="56F55208"/>
    <w:rsid w:val="57897615"/>
    <w:rsid w:val="57B72A76"/>
    <w:rsid w:val="580737A0"/>
    <w:rsid w:val="591C3F37"/>
    <w:rsid w:val="5A3C747D"/>
    <w:rsid w:val="5A6A6BE4"/>
    <w:rsid w:val="5ABB1DFC"/>
    <w:rsid w:val="5ABE2233"/>
    <w:rsid w:val="5AE12D77"/>
    <w:rsid w:val="5B276D18"/>
    <w:rsid w:val="5B47478D"/>
    <w:rsid w:val="5BA607C1"/>
    <w:rsid w:val="5BDE7D0D"/>
    <w:rsid w:val="5BDF5D95"/>
    <w:rsid w:val="5C5D358F"/>
    <w:rsid w:val="5CF81D4A"/>
    <w:rsid w:val="5D537F41"/>
    <w:rsid w:val="5D6C07C2"/>
    <w:rsid w:val="5D8B37D6"/>
    <w:rsid w:val="5DDA6902"/>
    <w:rsid w:val="5DF87A0F"/>
    <w:rsid w:val="5EA44206"/>
    <w:rsid w:val="5F1A2B43"/>
    <w:rsid w:val="5F6E6ABD"/>
    <w:rsid w:val="5FB837BB"/>
    <w:rsid w:val="5FC36210"/>
    <w:rsid w:val="60016E83"/>
    <w:rsid w:val="604A6749"/>
    <w:rsid w:val="60841A57"/>
    <w:rsid w:val="60B05A3F"/>
    <w:rsid w:val="60F61844"/>
    <w:rsid w:val="61876ED6"/>
    <w:rsid w:val="61E559AC"/>
    <w:rsid w:val="61ED3444"/>
    <w:rsid w:val="62326553"/>
    <w:rsid w:val="62364782"/>
    <w:rsid w:val="628C5D3A"/>
    <w:rsid w:val="62C728F9"/>
    <w:rsid w:val="638F7068"/>
    <w:rsid w:val="63A8334B"/>
    <w:rsid w:val="63C175C5"/>
    <w:rsid w:val="63D40BE9"/>
    <w:rsid w:val="63D86165"/>
    <w:rsid w:val="63E0211F"/>
    <w:rsid w:val="641D322D"/>
    <w:rsid w:val="64856544"/>
    <w:rsid w:val="64C7430A"/>
    <w:rsid w:val="65373578"/>
    <w:rsid w:val="65540217"/>
    <w:rsid w:val="65595EB7"/>
    <w:rsid w:val="660A4CE8"/>
    <w:rsid w:val="66434293"/>
    <w:rsid w:val="665A0E5E"/>
    <w:rsid w:val="66A814C4"/>
    <w:rsid w:val="66E00409"/>
    <w:rsid w:val="671A3DD0"/>
    <w:rsid w:val="673F2C7A"/>
    <w:rsid w:val="681F6961"/>
    <w:rsid w:val="682F367F"/>
    <w:rsid w:val="68610A2F"/>
    <w:rsid w:val="68805514"/>
    <w:rsid w:val="68960594"/>
    <w:rsid w:val="68BC2AE1"/>
    <w:rsid w:val="68D20407"/>
    <w:rsid w:val="6943645A"/>
    <w:rsid w:val="694E2071"/>
    <w:rsid w:val="69756956"/>
    <w:rsid w:val="697A3B33"/>
    <w:rsid w:val="697C2A5E"/>
    <w:rsid w:val="699E2456"/>
    <w:rsid w:val="6A897D1D"/>
    <w:rsid w:val="6B322639"/>
    <w:rsid w:val="6B36268A"/>
    <w:rsid w:val="6C351FD2"/>
    <w:rsid w:val="6C456618"/>
    <w:rsid w:val="6C5B231B"/>
    <w:rsid w:val="6C636C38"/>
    <w:rsid w:val="6CC80EA7"/>
    <w:rsid w:val="6DB34098"/>
    <w:rsid w:val="6DB545B6"/>
    <w:rsid w:val="6E36501B"/>
    <w:rsid w:val="6E4375A0"/>
    <w:rsid w:val="6E514CED"/>
    <w:rsid w:val="6E79491A"/>
    <w:rsid w:val="6EA6036C"/>
    <w:rsid w:val="6EB563D5"/>
    <w:rsid w:val="6ED8734E"/>
    <w:rsid w:val="6F225983"/>
    <w:rsid w:val="6F2615C1"/>
    <w:rsid w:val="6F6C7092"/>
    <w:rsid w:val="6FFC5590"/>
    <w:rsid w:val="70301DA3"/>
    <w:rsid w:val="706D1DD0"/>
    <w:rsid w:val="70856B87"/>
    <w:rsid w:val="708F76EE"/>
    <w:rsid w:val="70D527EE"/>
    <w:rsid w:val="71542CD0"/>
    <w:rsid w:val="715B5300"/>
    <w:rsid w:val="715F4BD7"/>
    <w:rsid w:val="71AF6EA8"/>
    <w:rsid w:val="71BB21F2"/>
    <w:rsid w:val="71BD1C4F"/>
    <w:rsid w:val="71BF540E"/>
    <w:rsid w:val="71D27F8A"/>
    <w:rsid w:val="71F744C6"/>
    <w:rsid w:val="71F960CF"/>
    <w:rsid w:val="72E54C3F"/>
    <w:rsid w:val="731F5D5E"/>
    <w:rsid w:val="73BB0674"/>
    <w:rsid w:val="73D3324F"/>
    <w:rsid w:val="741E793C"/>
    <w:rsid w:val="745C44F9"/>
    <w:rsid w:val="747C26C7"/>
    <w:rsid w:val="7493614D"/>
    <w:rsid w:val="7561580A"/>
    <w:rsid w:val="758D75E2"/>
    <w:rsid w:val="760F1B39"/>
    <w:rsid w:val="76712CCC"/>
    <w:rsid w:val="76EE3066"/>
    <w:rsid w:val="77221C18"/>
    <w:rsid w:val="77762421"/>
    <w:rsid w:val="77E87551"/>
    <w:rsid w:val="780F09F4"/>
    <w:rsid w:val="789C4F47"/>
    <w:rsid w:val="78A90480"/>
    <w:rsid w:val="78DF7F6A"/>
    <w:rsid w:val="79811327"/>
    <w:rsid w:val="7A364017"/>
    <w:rsid w:val="7A8265E1"/>
    <w:rsid w:val="7ADD0382"/>
    <w:rsid w:val="7ADD1B7B"/>
    <w:rsid w:val="7B4C1254"/>
    <w:rsid w:val="7B686D42"/>
    <w:rsid w:val="7B841746"/>
    <w:rsid w:val="7BA52290"/>
    <w:rsid w:val="7BC41297"/>
    <w:rsid w:val="7BD33049"/>
    <w:rsid w:val="7C241195"/>
    <w:rsid w:val="7C4B5CAB"/>
    <w:rsid w:val="7C75601E"/>
    <w:rsid w:val="7CC72903"/>
    <w:rsid w:val="7D0239FF"/>
    <w:rsid w:val="7D025FBF"/>
    <w:rsid w:val="7D5E40CD"/>
    <w:rsid w:val="7D693BED"/>
    <w:rsid w:val="7DA87F51"/>
    <w:rsid w:val="7DD904D3"/>
    <w:rsid w:val="7DEA121C"/>
    <w:rsid w:val="7E78261B"/>
    <w:rsid w:val="7E820C19"/>
    <w:rsid w:val="7F322611"/>
    <w:rsid w:val="7F4D7F9C"/>
    <w:rsid w:val="7FD707FC"/>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qFormat/>
    <w:uiPriority w:val="0"/>
    <w:pPr>
      <w:keepNext/>
      <w:keepLines/>
      <w:numPr>
        <w:ilvl w:val="2"/>
        <w:numId w:val="1"/>
      </w:numPr>
      <w:spacing w:after="156" w:afterLines="50" w:line="240" w:lineRule="auto"/>
      <w:ind w:firstLineChars="0"/>
      <w:outlineLvl w:val="2"/>
    </w:pPr>
    <w:rPr>
      <w:rFonts w:ascii="Times New Roman" w:hAnsi="Times New Roman" w:eastAsia="黑体"/>
      <w:bCs/>
      <w:snapToGrid w:val="0"/>
      <w:color w:val="000000"/>
      <w:kern w:val="2"/>
      <w:sz w:val="28"/>
      <w:szCs w:val="28"/>
    </w:rPr>
  </w:style>
  <w:style w:type="character" w:default="1" w:styleId="20">
    <w:name w:val="Default Paragraph Font"/>
    <w:semiHidden/>
    <w:qFormat/>
    <w:uiPriority w:val="0"/>
  </w:style>
  <w:style w:type="table" w:default="1" w:styleId="23">
    <w:name w:val="Normal Table"/>
    <w:semiHidden/>
    <w:qFormat/>
    <w:uiPriority w:val="0"/>
    <w:tblPr>
      <w:tblLayout w:type="fixed"/>
      <w:tblCellMar>
        <w:top w:w="0" w:type="dxa"/>
        <w:left w:w="108" w:type="dxa"/>
        <w:bottom w:w="0" w:type="dxa"/>
        <w:right w:w="108" w:type="dxa"/>
      </w:tblCellMar>
    </w:tblPr>
  </w:style>
  <w:style w:type="paragraph" w:styleId="2">
    <w:name w:val="Normal Indent"/>
    <w:basedOn w:val="1"/>
    <w:next w:val="1"/>
    <w:qFormat/>
    <w:uiPriority w:val="0"/>
    <w:pPr>
      <w:ind w:firstLine="420"/>
    </w:pPr>
    <w:rPr>
      <w:rFonts w:eastAsia="宋体"/>
      <w:kern w:val="2"/>
      <w:sz w:val="21"/>
      <w:lang w:val="en-US" w:eastAsia="zh-CN" w:bidi="ar-SA"/>
    </w:rPr>
  </w:style>
  <w:style w:type="paragraph" w:styleId="5">
    <w:name w:val="annotation subject"/>
    <w:basedOn w:val="6"/>
    <w:next w:val="6"/>
    <w:link w:val="33"/>
    <w:semiHidden/>
    <w:qFormat/>
    <w:uiPriority w:val="0"/>
    <w:rPr>
      <w:b/>
      <w:bCs/>
    </w:rPr>
  </w:style>
  <w:style w:type="paragraph" w:styleId="6">
    <w:name w:val="annotation text"/>
    <w:basedOn w:val="1"/>
    <w:link w:val="26"/>
    <w:semiHidden/>
    <w:qFormat/>
    <w:uiPriority w:val="0"/>
    <w:pPr>
      <w:jc w:val="left"/>
    </w:pPr>
    <w:rPr>
      <w:kern w:val="0"/>
      <w:sz w:val="20"/>
    </w:rPr>
  </w:style>
  <w:style w:type="paragraph" w:styleId="7">
    <w:name w:val="Note Heading"/>
    <w:basedOn w:val="1"/>
    <w:next w:val="1"/>
    <w:qFormat/>
    <w:uiPriority w:val="0"/>
    <w:pPr>
      <w:jc w:val="left"/>
    </w:pPr>
  </w:style>
  <w:style w:type="paragraph" w:styleId="8">
    <w:name w:val="caption"/>
    <w:basedOn w:val="1"/>
    <w:next w:val="1"/>
    <w:qFormat/>
    <w:uiPriority w:val="0"/>
    <w:rPr>
      <w:rFonts w:ascii="Arial" w:hAnsi="Arial" w:eastAsia="黑体" w:cs="Arial"/>
      <w:sz w:val="20"/>
      <w:szCs w:val="20"/>
    </w:rPr>
  </w:style>
  <w:style w:type="paragraph" w:styleId="9">
    <w:name w:val="Body Text"/>
    <w:basedOn w:val="1"/>
    <w:next w:val="7"/>
    <w:link w:val="27"/>
    <w:qFormat/>
    <w:uiPriority w:val="0"/>
    <w:pPr>
      <w:widowControl/>
      <w:snapToGrid w:val="0"/>
      <w:spacing w:before="60" w:after="160" w:line="259" w:lineRule="auto"/>
      <w:ind w:right="113"/>
    </w:pPr>
    <w:rPr>
      <w:kern w:val="0"/>
      <w:sz w:val="18"/>
      <w:szCs w:val="18"/>
    </w:rPr>
  </w:style>
  <w:style w:type="paragraph" w:styleId="10">
    <w:name w:val="Body Text Indent"/>
    <w:basedOn w:val="1"/>
    <w:link w:val="28"/>
    <w:semiHidden/>
    <w:qFormat/>
    <w:uiPriority w:val="0"/>
    <w:pPr>
      <w:spacing w:after="120"/>
      <w:ind w:left="420" w:leftChars="200"/>
    </w:pPr>
  </w:style>
  <w:style w:type="paragraph" w:styleId="11">
    <w:name w:val="Plain Text"/>
    <w:basedOn w:val="1"/>
    <w:qFormat/>
    <w:uiPriority w:val="0"/>
    <w:rPr>
      <w:rFonts w:ascii="宋体" w:hAnsi="Courier New" w:cs="Courier New"/>
      <w:szCs w:val="21"/>
    </w:rPr>
  </w:style>
  <w:style w:type="paragraph" w:styleId="12">
    <w:name w:val="Date"/>
    <w:basedOn w:val="1"/>
    <w:next w:val="1"/>
    <w:link w:val="29"/>
    <w:qFormat/>
    <w:uiPriority w:val="0"/>
    <w:pPr>
      <w:ind w:left="100" w:leftChars="2500"/>
    </w:pPr>
    <w:rPr>
      <w:kern w:val="0"/>
      <w:sz w:val="20"/>
    </w:rPr>
  </w:style>
  <w:style w:type="paragraph" w:styleId="13">
    <w:name w:val="Balloon Text"/>
    <w:basedOn w:val="1"/>
    <w:next w:val="1"/>
    <w:link w:val="25"/>
    <w:semiHidden/>
    <w:qFormat/>
    <w:uiPriority w:val="0"/>
    <w:rPr>
      <w:sz w:val="18"/>
      <w:szCs w:val="18"/>
    </w:rPr>
  </w:style>
  <w:style w:type="paragraph" w:styleId="14">
    <w:name w:val="footer"/>
    <w:basedOn w:val="1"/>
    <w:link w:val="30"/>
    <w:qFormat/>
    <w:uiPriority w:val="0"/>
    <w:pPr>
      <w:tabs>
        <w:tab w:val="center" w:pos="4153"/>
        <w:tab w:val="right" w:pos="8306"/>
      </w:tabs>
      <w:snapToGrid w:val="0"/>
      <w:jc w:val="left"/>
    </w:pPr>
    <w:rPr>
      <w:sz w:val="18"/>
      <w:szCs w:val="18"/>
    </w:rPr>
  </w:style>
  <w:style w:type="paragraph" w:styleId="15">
    <w:name w:val="Body Text First Indent 2"/>
    <w:basedOn w:val="10"/>
    <w:next w:val="1"/>
    <w:qFormat/>
    <w:uiPriority w:val="0"/>
    <w:pPr>
      <w:ind w:firstLine="420" w:firstLineChars="200"/>
    </w:pPr>
  </w:style>
  <w:style w:type="paragraph" w:styleId="16">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99"/>
    <w:pPr>
      <w:spacing w:before="120" w:after="120"/>
    </w:pPr>
    <w:rPr>
      <w:rFonts w:ascii="Calibri" w:hAnsi="Calibri" w:cs="Calibri"/>
      <w:b/>
      <w:bCs/>
      <w:caps/>
      <w:sz w:val="20"/>
      <w:szCs w:val="20"/>
    </w:rPr>
  </w:style>
  <w:style w:type="paragraph" w:styleId="18">
    <w:name w:val="Normal (Web)"/>
    <w:basedOn w:val="1"/>
    <w:link w:val="32"/>
    <w:qFormat/>
    <w:uiPriority w:val="0"/>
    <w:pPr>
      <w:widowControl/>
      <w:spacing w:before="100" w:beforeAutospacing="1" w:after="100" w:afterAutospacing="1"/>
      <w:jc w:val="left"/>
    </w:pPr>
    <w:rPr>
      <w:rFonts w:ascii="宋体" w:hAnsi="宋体"/>
      <w:kern w:val="0"/>
      <w:sz w:val="24"/>
    </w:rPr>
  </w:style>
  <w:style w:type="paragraph" w:styleId="19">
    <w:name w:val="Title"/>
    <w:basedOn w:val="1"/>
    <w:next w:val="1"/>
    <w:qFormat/>
    <w:uiPriority w:val="0"/>
    <w:pPr>
      <w:spacing w:before="240" w:after="60"/>
      <w:jc w:val="center"/>
      <w:outlineLvl w:val="0"/>
    </w:pPr>
    <w:rPr>
      <w:rFonts w:ascii="Cambria" w:hAnsi="Cambria" w:eastAsia="方正小标宋简体"/>
      <w:bCs/>
      <w:spacing w:val="0"/>
      <w:kern w:val="0"/>
      <w:sz w:val="36"/>
      <w:szCs w:val="32"/>
    </w:rPr>
  </w:style>
  <w:style w:type="character" w:styleId="21">
    <w:name w:val="page number"/>
    <w:qFormat/>
    <w:uiPriority w:val="0"/>
  </w:style>
  <w:style w:type="character" w:styleId="22">
    <w:name w:val="annotation reference"/>
    <w:semiHidden/>
    <w:qFormat/>
    <w:uiPriority w:val="0"/>
    <w:rPr>
      <w:sz w:val="21"/>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5">
    <w:name w:val="批注框文本 字符"/>
    <w:link w:val="13"/>
    <w:semiHidden/>
    <w:qFormat/>
    <w:uiPriority w:val="0"/>
    <w:rPr>
      <w:rFonts w:ascii="Times New Roman" w:hAnsi="Times New Roman" w:eastAsia="宋体" w:cs="Times New Roman"/>
      <w:sz w:val="18"/>
      <w:szCs w:val="18"/>
    </w:rPr>
  </w:style>
  <w:style w:type="character" w:customStyle="1" w:styleId="26">
    <w:name w:val="批注文字 字符"/>
    <w:link w:val="6"/>
    <w:qFormat/>
    <w:uiPriority w:val="0"/>
    <w:rPr>
      <w:rFonts w:ascii="Times New Roman" w:hAnsi="Times New Roman" w:eastAsia="宋体"/>
      <w:sz w:val="24"/>
    </w:rPr>
  </w:style>
  <w:style w:type="character" w:customStyle="1" w:styleId="27">
    <w:name w:val="正文文本 字符"/>
    <w:link w:val="9"/>
    <w:qFormat/>
    <w:uiPriority w:val="0"/>
    <w:rPr>
      <w:sz w:val="18"/>
    </w:rPr>
  </w:style>
  <w:style w:type="character" w:customStyle="1" w:styleId="28">
    <w:name w:val="正文文本缩进 字符"/>
    <w:link w:val="10"/>
    <w:semiHidden/>
    <w:qFormat/>
    <w:uiPriority w:val="0"/>
    <w:rPr>
      <w:rFonts w:ascii="Times New Roman" w:hAnsi="Times New Roman" w:eastAsia="宋体" w:cs="Times New Roman"/>
      <w:sz w:val="24"/>
      <w:szCs w:val="24"/>
    </w:rPr>
  </w:style>
  <w:style w:type="character" w:customStyle="1" w:styleId="29">
    <w:name w:val="日期 字符1"/>
    <w:link w:val="12"/>
    <w:qFormat/>
    <w:uiPriority w:val="0"/>
    <w:rPr>
      <w:rFonts w:ascii="Times New Roman" w:hAnsi="Times New Roman" w:eastAsia="宋体"/>
      <w:sz w:val="24"/>
    </w:rPr>
  </w:style>
  <w:style w:type="character" w:customStyle="1" w:styleId="30">
    <w:name w:val="页脚 字符"/>
    <w:link w:val="14"/>
    <w:qFormat/>
    <w:uiPriority w:val="0"/>
    <w:rPr>
      <w:rFonts w:cs="Times New Roman"/>
      <w:sz w:val="18"/>
      <w:szCs w:val="18"/>
    </w:rPr>
  </w:style>
  <w:style w:type="character" w:customStyle="1" w:styleId="31">
    <w:name w:val="页眉 字符"/>
    <w:link w:val="16"/>
    <w:qFormat/>
    <w:uiPriority w:val="0"/>
    <w:rPr>
      <w:rFonts w:cs="Times New Roman"/>
      <w:sz w:val="18"/>
      <w:szCs w:val="18"/>
    </w:rPr>
  </w:style>
  <w:style w:type="character" w:customStyle="1" w:styleId="32">
    <w:name w:val="普通(网站) 字符"/>
    <w:link w:val="18"/>
    <w:qFormat/>
    <w:uiPriority w:val="0"/>
    <w:rPr>
      <w:rFonts w:ascii="宋体" w:hAnsi="宋体" w:eastAsia="宋体"/>
      <w:sz w:val="24"/>
    </w:rPr>
  </w:style>
  <w:style w:type="character" w:customStyle="1" w:styleId="33">
    <w:name w:val="批注主题 字符"/>
    <w:link w:val="5"/>
    <w:semiHidden/>
    <w:qFormat/>
    <w:uiPriority w:val="0"/>
    <w:rPr>
      <w:rFonts w:ascii="Times New Roman" w:hAnsi="Times New Roman" w:eastAsia="宋体" w:cs="Times New Roman"/>
      <w:b/>
      <w:bCs/>
      <w:kern w:val="2"/>
      <w:sz w:val="24"/>
      <w:szCs w:val="24"/>
    </w:rPr>
  </w:style>
  <w:style w:type="character" w:customStyle="1" w:styleId="34">
    <w:name w:val="font41"/>
    <w:qFormat/>
    <w:uiPriority w:val="0"/>
    <w:rPr>
      <w:rFonts w:hint="default" w:ascii="Times New Roman" w:hAnsi="Times New Roman" w:cs="Times New Roman"/>
      <w:color w:val="000000"/>
      <w:sz w:val="21"/>
      <w:szCs w:val="21"/>
      <w:u w:val="none"/>
    </w:rPr>
  </w:style>
  <w:style w:type="character" w:customStyle="1" w:styleId="35">
    <w:name w:val="批注文字 字符1"/>
    <w:semiHidden/>
    <w:qFormat/>
    <w:uiPriority w:val="0"/>
    <w:rPr>
      <w:rFonts w:ascii="Times New Roman" w:hAnsi="Times New Roman" w:eastAsia="宋体" w:cs="Times New Roman"/>
      <w:sz w:val="24"/>
      <w:szCs w:val="24"/>
    </w:rPr>
  </w:style>
  <w:style w:type="character" w:customStyle="1" w:styleId="36">
    <w:name w:val="表格 Char"/>
    <w:link w:val="37"/>
    <w:qFormat/>
    <w:uiPriority w:val="0"/>
    <w:rPr>
      <w:rFonts w:ascii="宋体"/>
      <w:sz w:val="21"/>
    </w:rPr>
  </w:style>
  <w:style w:type="paragraph" w:customStyle="1" w:styleId="37">
    <w:name w:val="表格"/>
    <w:basedOn w:val="8"/>
    <w:next w:val="1"/>
    <w:link w:val="36"/>
    <w:qFormat/>
    <w:uiPriority w:val="0"/>
    <w:pPr>
      <w:adjustRightInd w:val="0"/>
      <w:snapToGrid w:val="0"/>
      <w:spacing w:beforeLines="10" w:afterLines="10" w:line="259" w:lineRule="auto"/>
      <w:jc w:val="center"/>
    </w:pPr>
    <w:rPr>
      <w:rFonts w:ascii="宋体"/>
      <w:kern w:val="0"/>
      <w:sz w:val="20"/>
      <w:szCs w:val="21"/>
    </w:rPr>
  </w:style>
  <w:style w:type="character" w:customStyle="1" w:styleId="38">
    <w:name w:val="日期 字符"/>
    <w:semiHidden/>
    <w:qFormat/>
    <w:uiPriority w:val="0"/>
    <w:rPr>
      <w:rFonts w:ascii="Times New Roman" w:hAnsi="Times New Roman" w:eastAsia="宋体" w:cs="Times New Roman"/>
      <w:sz w:val="24"/>
      <w:szCs w:val="24"/>
    </w:rPr>
  </w:style>
  <w:style w:type="character" w:customStyle="1" w:styleId="39">
    <w:name w:val="普通(网站) Char"/>
    <w:qFormat/>
    <w:uiPriority w:val="0"/>
    <w:rPr>
      <w:rFonts w:ascii="宋体" w:hAnsi="宋体" w:eastAsia="宋体"/>
      <w:sz w:val="24"/>
    </w:rPr>
  </w:style>
  <w:style w:type="character" w:customStyle="1" w:styleId="40">
    <w:name w:val="Char Char Char1"/>
    <w:qFormat/>
    <w:uiPriority w:val="0"/>
    <w:rPr>
      <w:rFonts w:eastAsia="宋体"/>
      <w:b/>
      <w:bCs/>
      <w:kern w:val="2"/>
      <w:sz w:val="24"/>
      <w:szCs w:val="32"/>
      <w:lang w:val="en-US" w:eastAsia="zh-CN" w:bidi="ar-SA"/>
    </w:rPr>
  </w:style>
  <w:style w:type="character" w:customStyle="1" w:styleId="41">
    <w:name w:val="font11"/>
    <w:qFormat/>
    <w:uiPriority w:val="0"/>
    <w:rPr>
      <w:rFonts w:hint="eastAsia" w:ascii="宋体" w:hAnsi="宋体" w:eastAsia="宋体" w:cs="宋体"/>
      <w:b/>
      <w:color w:val="000000"/>
      <w:sz w:val="22"/>
      <w:szCs w:val="22"/>
      <w:u w:val="none"/>
    </w:rPr>
  </w:style>
  <w:style w:type="character" w:customStyle="1" w:styleId="42">
    <w:name w:val="font01"/>
    <w:qFormat/>
    <w:uiPriority w:val="0"/>
    <w:rPr>
      <w:rFonts w:hint="eastAsia" w:ascii="宋体" w:hAnsi="宋体" w:eastAsia="宋体"/>
      <w:color w:val="000000"/>
      <w:sz w:val="24"/>
      <w:szCs w:val="24"/>
      <w:u w:val="none"/>
    </w:rPr>
  </w:style>
  <w:style w:type="character" w:customStyle="1" w:styleId="43">
    <w:name w:val="正文文本 字符1"/>
    <w:semiHidden/>
    <w:qFormat/>
    <w:uiPriority w:val="0"/>
    <w:rPr>
      <w:rFonts w:ascii="Times New Roman" w:hAnsi="Times New Roman" w:eastAsia="宋体" w:cs="Times New Roman"/>
      <w:sz w:val="24"/>
      <w:szCs w:val="24"/>
    </w:rPr>
  </w:style>
  <w:style w:type="paragraph" w:customStyle="1" w:styleId="44">
    <w:name w:val="A表格标题"/>
    <w:basedOn w:val="45"/>
    <w:qFormat/>
    <w:uiPriority w:val="0"/>
    <w:pPr>
      <w:spacing w:before="50" w:beforeLines="0" w:line="240" w:lineRule="auto"/>
    </w:pPr>
    <w:rPr>
      <w:rFonts w:ascii="Times New Roman" w:hAnsi="Times New Roman"/>
      <w:sz w:val="24"/>
    </w:rPr>
  </w:style>
  <w:style w:type="paragraph" w:customStyle="1" w:styleId="45">
    <w:name w:val="表格标题"/>
    <w:basedOn w:val="1"/>
    <w:qFormat/>
    <w:uiPriority w:val="0"/>
    <w:pPr>
      <w:spacing w:before="156" w:beforeLines="50" w:line="360" w:lineRule="auto"/>
      <w:jc w:val="center"/>
    </w:pPr>
    <w:rPr>
      <w:rFonts w:eastAsia="黑体"/>
      <w:kern w:val="0"/>
      <w:sz w:val="20"/>
      <w:szCs w:val="20"/>
    </w:rPr>
  </w:style>
  <w:style w:type="paragraph" w:customStyle="1" w:styleId="46">
    <w:name w:val="No Spacing"/>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customStyle="1" w:styleId="48">
    <w:name w:val="表格的格式"/>
    <w:basedOn w:val="49"/>
    <w:qFormat/>
    <w:uiPriority w:val="0"/>
    <w:pPr>
      <w:tabs>
        <w:tab w:val="center" w:pos="4153"/>
        <w:tab w:val="right" w:pos="8306"/>
      </w:tabs>
    </w:pPr>
    <w:rPr>
      <w:rFonts w:ascii="Times New Roman" w:hAnsi="Times New Roman"/>
      <w:color w:val="auto"/>
      <w:sz w:val="21"/>
    </w:rPr>
  </w:style>
  <w:style w:type="paragraph" w:customStyle="1" w:styleId="49">
    <w:name w:val="表格格式2"/>
    <w:basedOn w:val="1"/>
    <w:qFormat/>
    <w:uiPriority w:val="0"/>
    <w:pPr>
      <w:tabs>
        <w:tab w:val="center" w:pos="4153"/>
        <w:tab w:val="right" w:pos="8306"/>
      </w:tabs>
      <w:snapToGrid/>
      <w:spacing w:line="24" w:lineRule="auto"/>
      <w:ind w:firstLine="0" w:firstLineChars="0"/>
      <w:jc w:val="center"/>
    </w:pPr>
    <w:rPr>
      <w:rFonts w:ascii="Calibri" w:hAnsi="Calibri"/>
      <w:color w:val="000000"/>
      <w:kern w:val="0"/>
      <w:sz w:val="20"/>
      <w:szCs w:val="21"/>
    </w:rPr>
  </w:style>
  <w:style w:type="paragraph" w:customStyle="1" w:styleId="50">
    <w:name w:val="xry四级"/>
    <w:basedOn w:val="51"/>
    <w:qFormat/>
    <w:uiPriority w:val="0"/>
  </w:style>
  <w:style w:type="paragraph" w:customStyle="1" w:styleId="51">
    <w:name w:val="标题4"/>
    <w:basedOn w:val="52"/>
    <w:qFormat/>
    <w:uiPriority w:val="0"/>
    <w:pPr>
      <w:ind w:firstLine="0" w:firstLineChars="0"/>
      <w:outlineLvl w:val="3"/>
    </w:pPr>
    <w:rPr>
      <w:b/>
    </w:rPr>
  </w:style>
  <w:style w:type="paragraph" w:customStyle="1" w:styleId="52">
    <w:name w:val="正文格式"/>
    <w:basedOn w:val="1"/>
    <w:qFormat/>
    <w:uiPriority w:val="0"/>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4">
    <w:name w:val="Table Paragraph"/>
    <w:basedOn w:val="1"/>
    <w:qFormat/>
    <w:uiPriority w:val="1"/>
    <w:pPr>
      <w:jc w:val="center"/>
    </w:pPr>
    <w:rPr>
      <w:rFonts w:ascii="宋体" w:hAnsi="宋体" w:eastAsia="宋体" w:cs="宋体"/>
      <w:lang w:val="zh-CN" w:eastAsia="zh-CN" w:bidi="zh-CN"/>
    </w:rPr>
  </w:style>
  <w:style w:type="paragraph" w:customStyle="1" w:styleId="55">
    <w:name w:val="1表格"/>
    <w:basedOn w:val="1"/>
    <w:qFormat/>
    <w:uiPriority w:val="0"/>
    <w:pPr>
      <w:snapToGrid w:val="0"/>
      <w:jc w:val="center"/>
      <w:outlineLvl w:val="4"/>
    </w:pPr>
    <w:rPr>
      <w:spacing w:val="4"/>
    </w:rPr>
  </w:style>
  <w:style w:type="paragraph" w:customStyle="1" w:styleId="56">
    <w:name w:val="xry正文"/>
    <w:basedOn w:val="1"/>
    <w:qFormat/>
    <w:uiPriority w:val="0"/>
  </w:style>
  <w:style w:type="paragraph" w:customStyle="1" w:styleId="57">
    <w:name w:val="WPSOffice手动目录 2"/>
    <w:qFormat/>
    <w:uiPriority w:val="0"/>
    <w:pPr>
      <w:ind w:leftChars="200"/>
    </w:pPr>
    <w:rPr>
      <w:rFonts w:ascii="Times New Roman" w:hAnsi="Times New Roman" w:eastAsia="宋体" w:cs="Times New Roman"/>
      <w:lang w:val="en-US" w:eastAsia="zh-CN" w:bidi="ar-SA"/>
    </w:rPr>
  </w:style>
  <w:style w:type="paragraph" w:customStyle="1" w:styleId="58">
    <w:name w:val="样式 小四 行距: 1.5 倍行距1"/>
    <w:basedOn w:val="1"/>
    <w:qFormat/>
    <w:uiPriority w:val="0"/>
    <w:pPr>
      <w:spacing w:line="360" w:lineRule="auto"/>
      <w:ind w:firstLine="200" w:firstLineChars="200"/>
    </w:pPr>
    <w:rPr>
      <w:rFonts w:cs="宋体"/>
      <w:sz w:val="24"/>
      <w:szCs w:val="20"/>
      <w:lang w:bidi="ar-SA"/>
    </w:rPr>
  </w:style>
  <w:style w:type="paragraph" w:customStyle="1" w:styleId="59">
    <w:name w:val="xry表格文字"/>
    <w:basedOn w:val="46"/>
    <w:qFormat/>
    <w:uiPriority w:val="99"/>
    <w:pPr>
      <w:ind w:firstLine="0" w:firstLineChars="0"/>
      <w:jc w:val="center"/>
    </w:pPr>
    <w:rPr>
      <w:sz w:val="21"/>
    </w:rPr>
  </w:style>
  <w:style w:type="paragraph" w:customStyle="1" w:styleId="60">
    <w:name w:val="5表头"/>
    <w:basedOn w:val="1"/>
    <w:qFormat/>
    <w:uiPriority w:val="0"/>
    <w:pPr>
      <w:spacing w:before="156" w:beforeLines="50" w:line="360" w:lineRule="auto"/>
      <w:jc w:val="center"/>
    </w:pPr>
    <w:rPr>
      <w:rFonts w:eastAsia="黑体" w:cs="宋体"/>
      <w:sz w:val="24"/>
      <w:szCs w:val="20"/>
    </w:rPr>
  </w:style>
  <w:style w:type="paragraph" w:customStyle="1" w:styleId="61">
    <w:name w:val="图 居中"/>
    <w:basedOn w:val="1"/>
    <w:qFormat/>
    <w:uiPriority w:val="0"/>
    <w:pPr>
      <w:spacing w:line="360" w:lineRule="auto"/>
      <w:jc w:val="center"/>
    </w:pPr>
    <w:rPr>
      <w:sz w:val="24"/>
    </w:rPr>
  </w:style>
  <w:style w:type="paragraph" w:customStyle="1" w:styleId="62">
    <w:name w:val="xry三级"/>
    <w:basedOn w:val="63"/>
    <w:qFormat/>
    <w:uiPriority w:val="0"/>
  </w:style>
  <w:style w:type="paragraph" w:customStyle="1" w:styleId="63">
    <w:name w:val="标题3"/>
    <w:basedOn w:val="1"/>
    <w:qFormat/>
    <w:uiPriority w:val="0"/>
    <w:pPr>
      <w:ind w:firstLine="0" w:firstLineChars="0"/>
      <w:outlineLvl w:val="2"/>
    </w:pPr>
    <w:rPr>
      <w:b/>
      <w:sz w:val="28"/>
    </w:rPr>
  </w:style>
  <w:style w:type="paragraph" w:customStyle="1" w:styleId="64">
    <w:name w:val="表格11"/>
    <w:basedOn w:val="1"/>
    <w:qFormat/>
    <w:uiPriority w:val="0"/>
    <w:pPr>
      <w:spacing w:line="200" w:lineRule="atLeast"/>
    </w:pPr>
    <w:rPr>
      <w:rFonts w:ascii="Calibri" w:hAnsi="Calibri"/>
    </w:rPr>
  </w:style>
  <w:style w:type="paragraph" w:customStyle="1" w:styleId="65">
    <w:name w:val="表格内文字"/>
    <w:basedOn w:val="1"/>
    <w:qFormat/>
    <w:uiPriority w:val="0"/>
    <w:pPr>
      <w:tabs>
        <w:tab w:val="left" w:pos="0"/>
      </w:tabs>
      <w:adjustRightInd w:val="0"/>
      <w:snapToGrid w:val="0"/>
      <w:jc w:val="center"/>
    </w:pPr>
    <w:rPr>
      <w:rFonts w:hAnsi="宋体"/>
      <w:snapToGrid w:val="0"/>
      <w:kern w:val="0"/>
      <w:szCs w:val="21"/>
      <w:lang w:val="de-DE"/>
    </w:rPr>
  </w:style>
  <w:style w:type="paragraph" w:customStyle="1" w:styleId="66">
    <w:name w:val="【正文】"/>
    <w:basedOn w:val="1"/>
    <w:qFormat/>
    <w:uiPriority w:val="0"/>
    <w:pPr>
      <w:spacing w:line="440" w:lineRule="exact"/>
      <w:ind w:firstLine="544" w:firstLineChars="200"/>
    </w:pPr>
    <w:rPr>
      <w:rFonts w:cs="宋体"/>
      <w:sz w:val="24"/>
      <w:szCs w:val="20"/>
    </w:rPr>
  </w:style>
  <w:style w:type="paragraph" w:customStyle="1" w:styleId="67">
    <w:name w:val="4正文"/>
    <w:basedOn w:val="1"/>
    <w:qFormat/>
    <w:uiPriority w:val="0"/>
    <w:pPr>
      <w:spacing w:line="360" w:lineRule="auto"/>
      <w:ind w:firstLine="480" w:firstLineChars="200"/>
    </w:pPr>
    <w:rPr>
      <w:rFonts w:cs="宋体"/>
      <w:sz w:val="24"/>
      <w:szCs w:val="20"/>
    </w:rPr>
  </w:style>
  <w:style w:type="paragraph" w:customStyle="1" w:styleId="68">
    <w:name w:val="A表格内容"/>
    <w:basedOn w:val="69"/>
    <w:qFormat/>
    <w:uiPriority w:val="0"/>
    <w:rPr>
      <w:rFonts w:ascii="Times New Roman" w:hAnsi="Times New Roman" w:eastAsia="宋体" w:cs="宋体"/>
    </w:rPr>
  </w:style>
  <w:style w:type="paragraph" w:customStyle="1" w:styleId="69">
    <w:name w:val="表格内容"/>
    <w:basedOn w:val="1"/>
    <w:next w:val="9"/>
    <w:qFormat/>
    <w:uiPriority w:val="0"/>
    <w:pPr>
      <w:pBdr>
        <w:top w:val="none" w:color="auto" w:sz="0" w:space="1"/>
        <w:left w:val="none" w:color="auto" w:sz="0" w:space="4"/>
        <w:bottom w:val="none" w:color="auto" w:sz="0" w:space="1"/>
        <w:right w:val="none" w:color="auto" w:sz="0" w:space="4"/>
      </w:pBdr>
      <w:spacing w:line="340" w:lineRule="exact"/>
      <w:jc w:val="center"/>
    </w:pPr>
    <w:rPr>
      <w:szCs w:val="20"/>
    </w:rPr>
  </w:style>
  <w:style w:type="paragraph" w:customStyle="1" w:styleId="70">
    <w:name w:val="表格文字"/>
    <w:basedOn w:val="1"/>
    <w:qFormat/>
    <w:uiPriority w:val="0"/>
    <w:pPr>
      <w:snapToGrid w:val="0"/>
      <w:spacing w:line="240" w:lineRule="auto"/>
      <w:ind w:firstLine="0" w:firstLineChars="0"/>
      <w:jc w:val="center"/>
    </w:pPr>
    <w:rPr>
      <w:sz w:val="21"/>
    </w:rPr>
  </w:style>
  <w:style w:type="paragraph" w:customStyle="1" w:styleId="71">
    <w:name w:val="表格内容 ylp"/>
    <w:qFormat/>
    <w:uiPriority w:val="0"/>
    <w:pPr>
      <w:widowControl w:val="0"/>
      <w:tabs>
        <w:tab w:val="center" w:pos="4153"/>
        <w:tab w:val="right" w:pos="8306"/>
      </w:tabs>
      <w:spacing w:line="24" w:lineRule="auto"/>
      <w:jc w:val="center"/>
    </w:pPr>
    <w:rPr>
      <w:rFonts w:ascii="Times New Roman" w:hAnsi="Times New Roman" w:eastAsia="宋体" w:cs="Times New Roman"/>
      <w:kern w:val="2"/>
      <w:sz w:val="21"/>
      <w:szCs w:val="21"/>
      <w:lang w:val="en-US" w:eastAsia="zh-CN" w:bidi="ar-SA"/>
    </w:rPr>
  </w:style>
  <w:style w:type="paragraph" w:customStyle="1" w:styleId="72">
    <w:name w:val="表格格式"/>
    <w:basedOn w:val="73"/>
    <w:qFormat/>
    <w:uiPriority w:val="0"/>
    <w:rPr>
      <w:rFonts w:eastAsia="宋体"/>
      <w:color w:val="000000"/>
      <w:szCs w:val="21"/>
    </w:rPr>
  </w:style>
  <w:style w:type="paragraph" w:customStyle="1" w:styleId="73">
    <w:name w:val="7表格(治)"/>
    <w:qFormat/>
    <w:uiPriority w:val="0"/>
    <w:pPr>
      <w:jc w:val="center"/>
    </w:pPr>
    <w:rPr>
      <w:rFonts w:ascii="Times New Roman" w:hAnsi="Times New Roman" w:eastAsia="楷体_GB2312" w:cs="Times New Roman"/>
      <w:sz w:val="21"/>
      <w:szCs w:val="22"/>
      <w:lang w:val="en-US" w:eastAsia="zh-CN" w:bidi="ar-SA"/>
    </w:rPr>
  </w:style>
  <w:style w:type="paragraph" w:customStyle="1" w:styleId="74">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75">
    <w:name w:val="表格名称"/>
    <w:basedOn w:val="1"/>
    <w:next w:val="1"/>
    <w:qFormat/>
    <w:uiPriority w:val="0"/>
    <w:pPr>
      <w:spacing w:line="360" w:lineRule="auto"/>
      <w:jc w:val="center"/>
    </w:pPr>
    <w:rPr>
      <w:b/>
      <w:kern w:val="0"/>
      <w:szCs w:val="21"/>
    </w:rPr>
  </w:style>
  <w:style w:type="paragraph" w:customStyle="1" w:styleId="76">
    <w:name w:val="正文(首行缩进)"/>
    <w:basedOn w:val="1"/>
    <w:qFormat/>
    <w:uiPriority w:val="0"/>
    <w:pPr>
      <w:spacing w:line="360" w:lineRule="auto"/>
      <w:ind w:firstLine="480" w:firstLineChars="200"/>
    </w:pPr>
    <w:rPr>
      <w:rFonts w:ascii="宋体" w:hAnsi="宋体"/>
      <w:color w:val="000000"/>
      <w:kern w:val="24"/>
      <w:szCs w:val="20"/>
    </w:rPr>
  </w:style>
  <w:style w:type="paragraph" w:customStyle="1" w:styleId="77">
    <w:name w:val="报告正文"/>
    <w:basedOn w:val="1"/>
    <w:qFormat/>
    <w:uiPriority w:val="0"/>
    <w:pPr>
      <w:autoSpaceDE w:val="0"/>
      <w:autoSpaceDN w:val="0"/>
      <w:spacing w:line="360" w:lineRule="auto"/>
      <w:ind w:firstLine="200" w:firstLineChars="200"/>
    </w:pPr>
    <w:rPr>
      <w:rFonts w:cs="宋体"/>
      <w:kern w:val="0"/>
      <w:sz w:val="24"/>
      <w:szCs w:val="21"/>
    </w:rPr>
  </w:style>
  <w:style w:type="paragraph" w:customStyle="1" w:styleId="78">
    <w:name w:val="表头"/>
    <w:basedOn w:val="1"/>
    <w:next w:val="37"/>
    <w:qFormat/>
    <w:uiPriority w:val="0"/>
    <w:pPr>
      <w:spacing w:line="360" w:lineRule="auto"/>
      <w:ind w:firstLine="0" w:firstLineChars="0"/>
      <w:jc w:val="center"/>
    </w:pPr>
    <w:rPr>
      <w:rFonts w:hint="eastAsia"/>
      <w:b/>
      <w:bCs/>
      <w:kern w:val="0"/>
      <w:szCs w:val="20"/>
    </w:rPr>
  </w:style>
  <w:style w:type="character" w:customStyle="1" w:styleId="79">
    <w:name w:val="font21"/>
    <w:qFormat/>
    <w:uiPriority w:val="0"/>
    <w:rPr>
      <w:rFonts w:hint="eastAsia" w:ascii="宋体" w:hAnsi="宋体" w:eastAsia="宋体" w:cs="宋体"/>
      <w:color w:val="000000"/>
      <w:sz w:val="21"/>
      <w:szCs w:val="21"/>
      <w:u w:val="none"/>
    </w:rPr>
  </w:style>
  <w:style w:type="paragraph" w:customStyle="1" w:styleId="80">
    <w:name w:val="a表格"/>
    <w:basedOn w:val="1"/>
    <w:qFormat/>
    <w:uiPriority w:val="0"/>
    <w:pPr>
      <w:snapToGrid w:val="0"/>
      <w:jc w:val="center"/>
      <w:outlineLvl w:val="2"/>
    </w:pPr>
  </w:style>
  <w:style w:type="character" w:customStyle="1" w:styleId="81">
    <w:name w:val="font3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45.wmf"/><Relationship Id="rId96" Type="http://schemas.openxmlformats.org/officeDocument/2006/relationships/oleObject" Target="embeddings/oleObject40.bin"/><Relationship Id="rId95" Type="http://schemas.openxmlformats.org/officeDocument/2006/relationships/image" Target="media/image44.png"/><Relationship Id="rId94" Type="http://schemas.openxmlformats.org/officeDocument/2006/relationships/image" Target="media/image43.wmf"/><Relationship Id="rId93" Type="http://schemas.openxmlformats.org/officeDocument/2006/relationships/oleObject" Target="embeddings/oleObject39.bin"/><Relationship Id="rId92" Type="http://schemas.openxmlformats.org/officeDocument/2006/relationships/image" Target="media/image42.wmf"/><Relationship Id="rId91" Type="http://schemas.openxmlformats.org/officeDocument/2006/relationships/oleObject" Target="embeddings/oleObject38.bin"/><Relationship Id="rId90" Type="http://schemas.openxmlformats.org/officeDocument/2006/relationships/image" Target="media/image41.wmf"/><Relationship Id="rId9" Type="http://schemas.openxmlformats.org/officeDocument/2006/relationships/footer" Target="footer6.xml"/><Relationship Id="rId89" Type="http://schemas.openxmlformats.org/officeDocument/2006/relationships/oleObject" Target="embeddings/oleObject37.bin"/><Relationship Id="rId88" Type="http://schemas.openxmlformats.org/officeDocument/2006/relationships/image" Target="media/image40.png"/><Relationship Id="rId87" Type="http://schemas.openxmlformats.org/officeDocument/2006/relationships/image" Target="media/image39.png"/><Relationship Id="rId86" Type="http://schemas.openxmlformats.org/officeDocument/2006/relationships/image" Target="media/image38.jpeg"/><Relationship Id="rId85" Type="http://schemas.openxmlformats.org/officeDocument/2006/relationships/image" Target="media/image37.png"/><Relationship Id="rId84" Type="http://schemas.openxmlformats.org/officeDocument/2006/relationships/image" Target="media/image36.wmf"/><Relationship Id="rId83" Type="http://schemas.openxmlformats.org/officeDocument/2006/relationships/oleObject" Target="embeddings/oleObject36.bin"/><Relationship Id="rId82" Type="http://schemas.openxmlformats.org/officeDocument/2006/relationships/image" Target="media/image35.wmf"/><Relationship Id="rId81" Type="http://schemas.openxmlformats.org/officeDocument/2006/relationships/oleObject" Target="embeddings/oleObject35.bin"/><Relationship Id="rId80" Type="http://schemas.openxmlformats.org/officeDocument/2006/relationships/image" Target="media/image34.png"/><Relationship Id="rId8" Type="http://schemas.openxmlformats.org/officeDocument/2006/relationships/footer" Target="footer5.xml"/><Relationship Id="rId79" Type="http://schemas.openxmlformats.org/officeDocument/2006/relationships/image" Target="media/image33.wmf"/><Relationship Id="rId78" Type="http://schemas.openxmlformats.org/officeDocument/2006/relationships/oleObject" Target="embeddings/oleObject34.bin"/><Relationship Id="rId77" Type="http://schemas.openxmlformats.org/officeDocument/2006/relationships/image" Target="media/image32.png"/><Relationship Id="rId76" Type="http://schemas.openxmlformats.org/officeDocument/2006/relationships/image" Target="media/image31.wmf"/><Relationship Id="rId75" Type="http://schemas.openxmlformats.org/officeDocument/2006/relationships/oleObject" Target="embeddings/oleObject33.bin"/><Relationship Id="rId74" Type="http://schemas.openxmlformats.org/officeDocument/2006/relationships/image" Target="media/image30.wmf"/><Relationship Id="rId73" Type="http://schemas.openxmlformats.org/officeDocument/2006/relationships/oleObject" Target="embeddings/oleObject32.bin"/><Relationship Id="rId72" Type="http://schemas.openxmlformats.org/officeDocument/2006/relationships/image" Target="media/image29.png"/><Relationship Id="rId71" Type="http://schemas.openxmlformats.org/officeDocument/2006/relationships/image" Target="media/image28.png"/><Relationship Id="rId70" Type="http://schemas.openxmlformats.org/officeDocument/2006/relationships/image" Target="media/image27.wmf"/><Relationship Id="rId7" Type="http://schemas.openxmlformats.org/officeDocument/2006/relationships/footer" Target="footer4.xml"/><Relationship Id="rId69" Type="http://schemas.openxmlformats.org/officeDocument/2006/relationships/oleObject" Target="embeddings/oleObject31.bin"/><Relationship Id="rId68" Type="http://schemas.openxmlformats.org/officeDocument/2006/relationships/image" Target="media/image26.wmf"/><Relationship Id="rId67" Type="http://schemas.openxmlformats.org/officeDocument/2006/relationships/oleObject" Target="embeddings/oleObject30.bin"/><Relationship Id="rId66" Type="http://schemas.openxmlformats.org/officeDocument/2006/relationships/image" Target="media/image25.wmf"/><Relationship Id="rId65" Type="http://schemas.openxmlformats.org/officeDocument/2006/relationships/oleObject" Target="embeddings/oleObject29.bin"/><Relationship Id="rId64" Type="http://schemas.openxmlformats.org/officeDocument/2006/relationships/image" Target="media/image24.wmf"/><Relationship Id="rId63" Type="http://schemas.openxmlformats.org/officeDocument/2006/relationships/oleObject" Target="embeddings/oleObject28.bin"/><Relationship Id="rId62" Type="http://schemas.openxmlformats.org/officeDocument/2006/relationships/oleObject" Target="embeddings/oleObject27.bin"/><Relationship Id="rId61" Type="http://schemas.openxmlformats.org/officeDocument/2006/relationships/oleObject" Target="embeddings/oleObject26.bin"/><Relationship Id="rId60" Type="http://schemas.openxmlformats.org/officeDocument/2006/relationships/oleObject" Target="embeddings/oleObject25.bin"/><Relationship Id="rId6" Type="http://schemas.openxmlformats.org/officeDocument/2006/relationships/footer" Target="footer3.xml"/><Relationship Id="rId59" Type="http://schemas.openxmlformats.org/officeDocument/2006/relationships/oleObject" Target="embeddings/oleObject24.bin"/><Relationship Id="rId58" Type="http://schemas.openxmlformats.org/officeDocument/2006/relationships/oleObject" Target="embeddings/oleObject23.bin"/><Relationship Id="rId57" Type="http://schemas.openxmlformats.org/officeDocument/2006/relationships/image" Target="media/image23.wmf"/><Relationship Id="rId56" Type="http://schemas.openxmlformats.org/officeDocument/2006/relationships/oleObject" Target="embeddings/oleObject22.bin"/><Relationship Id="rId55" Type="http://schemas.openxmlformats.org/officeDocument/2006/relationships/image" Target="media/image22.wmf"/><Relationship Id="rId54" Type="http://schemas.openxmlformats.org/officeDocument/2006/relationships/oleObject" Target="embeddings/oleObject21.bin"/><Relationship Id="rId53" Type="http://schemas.openxmlformats.org/officeDocument/2006/relationships/image" Target="media/image21.wmf"/><Relationship Id="rId52" Type="http://schemas.openxmlformats.org/officeDocument/2006/relationships/oleObject" Target="embeddings/oleObject20.bin"/><Relationship Id="rId51" Type="http://schemas.openxmlformats.org/officeDocument/2006/relationships/oleObject" Target="embeddings/oleObject19.bin"/><Relationship Id="rId50" Type="http://schemas.openxmlformats.org/officeDocument/2006/relationships/image" Target="media/image20.wmf"/><Relationship Id="rId5" Type="http://schemas.openxmlformats.org/officeDocument/2006/relationships/footer" Target="footer2.xml"/><Relationship Id="rId49" Type="http://schemas.openxmlformats.org/officeDocument/2006/relationships/oleObject" Target="embeddings/oleObject18.bin"/><Relationship Id="rId48" Type="http://schemas.openxmlformats.org/officeDocument/2006/relationships/image" Target="media/image19.wmf"/><Relationship Id="rId47" Type="http://schemas.openxmlformats.org/officeDocument/2006/relationships/oleObject" Target="embeddings/oleObject17.bin"/><Relationship Id="rId46" Type="http://schemas.openxmlformats.org/officeDocument/2006/relationships/image" Target="media/image18.wmf"/><Relationship Id="rId45" Type="http://schemas.openxmlformats.org/officeDocument/2006/relationships/oleObject" Target="embeddings/oleObject16.bin"/><Relationship Id="rId44" Type="http://schemas.openxmlformats.org/officeDocument/2006/relationships/image" Target="media/image17.wmf"/><Relationship Id="rId43" Type="http://schemas.openxmlformats.org/officeDocument/2006/relationships/oleObject" Target="embeddings/oleObject15.bin"/><Relationship Id="rId42" Type="http://schemas.openxmlformats.org/officeDocument/2006/relationships/image" Target="media/image16.wmf"/><Relationship Id="rId41" Type="http://schemas.openxmlformats.org/officeDocument/2006/relationships/oleObject" Target="embeddings/oleObject14.bin"/><Relationship Id="rId40" Type="http://schemas.openxmlformats.org/officeDocument/2006/relationships/image" Target="media/image15.png"/><Relationship Id="rId4" Type="http://schemas.openxmlformats.org/officeDocument/2006/relationships/footer" Target="footer1.xml"/><Relationship Id="rId39" Type="http://schemas.openxmlformats.org/officeDocument/2006/relationships/image" Target="media/image14.wmf"/><Relationship Id="rId38" Type="http://schemas.openxmlformats.org/officeDocument/2006/relationships/oleObject" Target="embeddings/oleObject13.bin"/><Relationship Id="rId37" Type="http://schemas.openxmlformats.org/officeDocument/2006/relationships/image" Target="media/image13.wmf"/><Relationship Id="rId36" Type="http://schemas.openxmlformats.org/officeDocument/2006/relationships/oleObject" Target="embeddings/oleObject12.bin"/><Relationship Id="rId35" Type="http://schemas.openxmlformats.org/officeDocument/2006/relationships/image" Target="media/image12.wmf"/><Relationship Id="rId34" Type="http://schemas.openxmlformats.org/officeDocument/2006/relationships/oleObject" Target="embeddings/oleObject11.bin"/><Relationship Id="rId33" Type="http://schemas.openxmlformats.org/officeDocument/2006/relationships/image" Target="media/image11.wmf"/><Relationship Id="rId32" Type="http://schemas.openxmlformats.org/officeDocument/2006/relationships/oleObject" Target="embeddings/oleObject10.bin"/><Relationship Id="rId31" Type="http://schemas.openxmlformats.org/officeDocument/2006/relationships/image" Target="media/image10.w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9.wmf"/><Relationship Id="rId28" Type="http://schemas.openxmlformats.org/officeDocument/2006/relationships/oleObject" Target="embeddings/oleObject8.bin"/><Relationship Id="rId27" Type="http://schemas.openxmlformats.org/officeDocument/2006/relationships/image" Target="media/image8.wmf"/><Relationship Id="rId26" Type="http://schemas.openxmlformats.org/officeDocument/2006/relationships/oleObject" Target="embeddings/oleObject7.bin"/><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0" Type="http://schemas.openxmlformats.org/officeDocument/2006/relationships/fontTable" Target="fontTable.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136</Pages>
  <Words>70205</Words>
  <Characters>100141</Characters>
  <Lines>724</Lines>
  <Paragraphs>203</Paragraphs>
  <TotalTime>363</TotalTime>
  <ScaleCrop>false</ScaleCrop>
  <LinksUpToDate>false</LinksUpToDate>
  <CharactersWithSpaces>101916</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2021-04-17T06:14:00Z</dcterms:created>
  <dc:creator>lhj</dc:creator>
  <cp:lastModifiedBy>Administrator</cp:lastModifiedBy>
  <cp:lastPrinted>2020-12-24T01:50:00Z</cp:lastPrinted>
  <dcterms:modified xsi:type="dcterms:W3CDTF">2022-09-02T02:39:37Z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FE342FC7775047CDB8132AAC5E7A4A19</vt:lpwstr>
  </property>
</Properties>
</file>