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2E0BE">
      <w:pPr>
        <w:jc w:val="center"/>
        <w:rPr>
          <w:rFonts w:hint="eastAsia" w:ascii="宋体" w:hAnsi="宋体" w:eastAsia="宋体" w:cs="宋体"/>
          <w:b/>
          <w:bCs/>
          <w:sz w:val="72"/>
          <w:szCs w:val="72"/>
          <w:highlight w:val="none"/>
          <w:lang w:eastAsia="zh-CN"/>
        </w:rPr>
      </w:pPr>
    </w:p>
    <w:p w14:paraId="5C7DC919">
      <w:pPr>
        <w:pStyle w:val="10"/>
        <w:spacing w:before="59" w:after="59"/>
        <w:jc w:val="center"/>
        <w:rPr>
          <w:rStyle w:val="34"/>
          <w:rFonts w:hint="eastAsia" w:ascii="宋体" w:hAnsi="宋体" w:cs="宋体"/>
          <w:sz w:val="84"/>
          <w:szCs w:val="84"/>
          <w:highlight w:val="none"/>
        </w:rPr>
      </w:pPr>
      <w:r>
        <w:rPr>
          <w:rStyle w:val="34"/>
          <w:rFonts w:hint="eastAsia" w:ascii="宋体" w:hAnsi="宋体" w:cs="宋体"/>
          <w:sz w:val="84"/>
          <w:szCs w:val="84"/>
          <w:highlight w:val="none"/>
        </w:rPr>
        <w:t>货物和服务项目</w:t>
      </w:r>
    </w:p>
    <w:p w14:paraId="6FB7FB9D">
      <w:pPr>
        <w:pStyle w:val="10"/>
        <w:spacing w:before="59" w:beforeAutospacing="0" w:after="59" w:afterAutospacing="0"/>
        <w:jc w:val="center"/>
        <w:rPr>
          <w:rStyle w:val="34"/>
          <w:rFonts w:hint="eastAsia" w:ascii="宋体" w:hAnsi="宋体" w:cs="宋体"/>
          <w:sz w:val="84"/>
          <w:szCs w:val="84"/>
          <w:highlight w:val="none"/>
        </w:rPr>
      </w:pPr>
      <w:r>
        <w:rPr>
          <w:rStyle w:val="34"/>
          <w:rFonts w:hint="eastAsia" w:ascii="宋体" w:hAnsi="宋体" w:cs="宋体"/>
          <w:sz w:val="84"/>
          <w:szCs w:val="84"/>
          <w:highlight w:val="none"/>
        </w:rPr>
        <w:t>公开招标文件</w:t>
      </w:r>
    </w:p>
    <w:p w14:paraId="4F033C52">
      <w:pPr>
        <w:pStyle w:val="10"/>
        <w:spacing w:before="59" w:beforeAutospacing="0" w:after="59" w:afterAutospacing="0"/>
        <w:jc w:val="center"/>
        <w:rPr>
          <w:rFonts w:hint="eastAsia" w:ascii="宋体" w:hAnsi="宋体" w:eastAsia="宋体" w:cs="宋体"/>
          <w:b/>
          <w:bCs/>
          <w:sz w:val="30"/>
          <w:szCs w:val="30"/>
          <w:highlight w:val="none"/>
          <w:lang w:eastAsia="zh-CN"/>
        </w:rPr>
      </w:pPr>
      <w:r>
        <w:rPr>
          <w:rFonts w:hint="eastAsia" w:ascii="宋体" w:hAnsi="宋体" w:cs="宋体"/>
          <w:b/>
          <w:bCs/>
          <w:sz w:val="30"/>
          <w:szCs w:val="30"/>
          <w:highlight w:val="none"/>
          <w:lang w:eastAsia="zh-CN"/>
        </w:rPr>
        <w:t>（</w:t>
      </w:r>
      <w:r>
        <w:rPr>
          <w:rFonts w:hint="eastAsia" w:ascii="宋体" w:hAnsi="宋体" w:cs="宋体"/>
          <w:b/>
          <w:bCs/>
          <w:sz w:val="30"/>
          <w:szCs w:val="30"/>
          <w:highlight w:val="none"/>
          <w:lang w:val="en-US" w:eastAsia="zh-CN"/>
        </w:rPr>
        <w:t>预公告版</w:t>
      </w:r>
      <w:r>
        <w:rPr>
          <w:rFonts w:hint="eastAsia" w:ascii="宋体" w:hAnsi="宋体" w:cs="宋体"/>
          <w:b/>
          <w:bCs/>
          <w:sz w:val="30"/>
          <w:szCs w:val="30"/>
          <w:highlight w:val="none"/>
          <w:lang w:eastAsia="zh-CN"/>
        </w:rPr>
        <w:t>）</w:t>
      </w:r>
    </w:p>
    <w:p w14:paraId="0558F488">
      <w:pPr>
        <w:pStyle w:val="10"/>
        <w:spacing w:before="59" w:beforeAutospacing="0" w:after="59" w:afterAutospacing="0"/>
        <w:jc w:val="center"/>
        <w:rPr>
          <w:rFonts w:hint="eastAsia" w:ascii="宋体" w:hAnsi="宋体" w:cs="宋体"/>
          <w:sz w:val="19"/>
          <w:szCs w:val="19"/>
          <w:highlight w:val="none"/>
        </w:rPr>
      </w:pPr>
    </w:p>
    <w:p w14:paraId="284E82F7">
      <w:pPr>
        <w:pStyle w:val="10"/>
        <w:spacing w:before="59" w:beforeAutospacing="0" w:after="59" w:afterAutospacing="0"/>
        <w:jc w:val="both"/>
        <w:rPr>
          <w:rFonts w:hint="eastAsia" w:ascii="宋体" w:hAnsi="宋体" w:cs="宋体"/>
          <w:highlight w:val="none"/>
        </w:rPr>
      </w:pPr>
    </w:p>
    <w:p w14:paraId="5475E20B">
      <w:pPr>
        <w:pStyle w:val="10"/>
        <w:spacing w:before="59" w:beforeAutospacing="0" w:after="59" w:afterAutospacing="0"/>
        <w:rPr>
          <w:rFonts w:hint="eastAsia" w:ascii="宋体" w:hAnsi="宋体" w:cs="宋体"/>
          <w:highlight w:val="none"/>
        </w:rPr>
      </w:pPr>
    </w:p>
    <w:p w14:paraId="46997E44">
      <w:pPr>
        <w:pStyle w:val="10"/>
        <w:spacing w:before="59" w:beforeAutospacing="0" w:after="59" w:afterAutospacing="0"/>
        <w:ind w:right="-441" w:rightChars="-210"/>
        <w:jc w:val="center"/>
        <w:rPr>
          <w:rStyle w:val="34"/>
          <w:rFonts w:hint="eastAsia" w:ascii="宋体" w:hAnsi="宋体" w:cs="宋体"/>
          <w:sz w:val="32"/>
          <w:szCs w:val="32"/>
          <w:highlight w:val="none"/>
          <w:u w:val="single"/>
        </w:rPr>
      </w:pPr>
      <w:r>
        <w:rPr>
          <w:rStyle w:val="34"/>
          <w:rFonts w:hint="eastAsia" w:ascii="宋体" w:hAnsi="宋体" w:cs="宋体"/>
          <w:sz w:val="32"/>
          <w:szCs w:val="32"/>
          <w:highlight w:val="none"/>
        </w:rPr>
        <w:t>项目名称：</w:t>
      </w:r>
      <w:r>
        <w:rPr>
          <w:rStyle w:val="34"/>
          <w:rFonts w:hint="eastAsia" w:ascii="宋体" w:hAnsi="宋体" w:cs="宋体"/>
          <w:sz w:val="32"/>
          <w:szCs w:val="32"/>
          <w:highlight w:val="none"/>
          <w:u w:val="single"/>
        </w:rPr>
        <w:t>鼓楼通用人工智能应用转型促进中心项目</w:t>
      </w:r>
    </w:p>
    <w:p w14:paraId="0BF1AD87">
      <w:pPr>
        <w:pStyle w:val="10"/>
        <w:spacing w:before="59" w:beforeAutospacing="0" w:after="59" w:afterAutospacing="0"/>
        <w:jc w:val="center"/>
        <w:rPr>
          <w:rStyle w:val="34"/>
          <w:rFonts w:hint="eastAsia" w:ascii="宋体" w:hAnsi="宋体" w:cs="宋体"/>
          <w:b w:val="0"/>
          <w:bCs/>
          <w:sz w:val="32"/>
          <w:szCs w:val="32"/>
          <w:highlight w:val="none"/>
        </w:rPr>
      </w:pPr>
      <w:r>
        <w:rPr>
          <w:rStyle w:val="34"/>
          <w:rFonts w:hint="eastAsia" w:ascii="宋体" w:hAnsi="宋体" w:cs="宋体"/>
          <w:sz w:val="32"/>
          <w:szCs w:val="32"/>
          <w:highlight w:val="none"/>
        </w:rPr>
        <w:t>项目编号：</w:t>
      </w:r>
      <w:r>
        <w:rPr>
          <w:rStyle w:val="34"/>
          <w:rFonts w:hint="eastAsia" w:ascii="宋体" w:hAnsi="宋体" w:cs="宋体"/>
          <w:sz w:val="32"/>
          <w:szCs w:val="32"/>
          <w:highlight w:val="none"/>
          <w:u w:val="single"/>
        </w:rPr>
        <w:t>ZXWT-2026-173</w:t>
      </w:r>
    </w:p>
    <w:p w14:paraId="00F1D672">
      <w:pPr>
        <w:pStyle w:val="10"/>
        <w:spacing w:before="59" w:beforeAutospacing="0" w:after="59" w:afterAutospacing="0"/>
        <w:rPr>
          <w:rStyle w:val="34"/>
          <w:rFonts w:hint="eastAsia" w:ascii="宋体" w:hAnsi="宋体" w:cs="宋体"/>
          <w:sz w:val="32"/>
          <w:szCs w:val="32"/>
          <w:highlight w:val="none"/>
        </w:rPr>
      </w:pPr>
    </w:p>
    <w:p w14:paraId="32D0AE82">
      <w:pPr>
        <w:pStyle w:val="11"/>
        <w:numPr>
          <w:ilvl w:val="1"/>
          <w:numId w:val="0"/>
        </w:numPr>
        <w:ind w:left="567"/>
        <w:jc w:val="center"/>
        <w:outlineLvl w:val="9"/>
        <w:rPr>
          <w:rFonts w:ascii="宋体" w:hAnsi="宋体" w:eastAsia="宋体"/>
          <w:highlight w:val="none"/>
        </w:rPr>
      </w:pPr>
      <w:r>
        <w:rPr>
          <w:rStyle w:val="34"/>
          <w:rFonts w:ascii="宋体" w:hAnsi="宋体" w:eastAsia="宋体" w:cs="宋体"/>
          <w:b/>
          <w:kern w:val="0"/>
          <w:sz w:val="32"/>
          <w:szCs w:val="32"/>
          <w:highlight w:val="none"/>
          <w:u w:val="none"/>
        </w:rPr>
        <w:t>业主单位</w:t>
      </w:r>
      <w:r>
        <w:rPr>
          <w:rStyle w:val="34"/>
          <w:rFonts w:hint="eastAsia" w:ascii="宋体" w:hAnsi="宋体" w:eastAsia="宋体" w:cs="宋体"/>
          <w:b/>
          <w:kern w:val="0"/>
          <w:sz w:val="32"/>
          <w:szCs w:val="32"/>
          <w:highlight w:val="none"/>
          <w:u w:val="none"/>
        </w:rPr>
        <w:t>：</w:t>
      </w:r>
      <w:r>
        <w:rPr>
          <w:rStyle w:val="34"/>
          <w:rFonts w:ascii="宋体" w:hAnsi="宋体" w:eastAsia="宋体" w:cs="宋体"/>
          <w:b/>
          <w:kern w:val="0"/>
          <w:sz w:val="32"/>
          <w:szCs w:val="32"/>
          <w:highlight w:val="none"/>
          <w:u w:val="single"/>
        </w:rPr>
        <w:t>数字福建鼓楼示范区建设领导小组办公室</w:t>
      </w:r>
    </w:p>
    <w:p w14:paraId="0EC21BB1">
      <w:pPr>
        <w:pStyle w:val="10"/>
        <w:spacing w:before="59" w:beforeAutospacing="0" w:after="59" w:afterAutospacing="0"/>
        <w:jc w:val="center"/>
        <w:rPr>
          <w:rFonts w:hint="eastAsia"/>
          <w:color w:val="auto"/>
          <w:shd w:val="clear" w:color="auto" w:fill="FFFFFF"/>
        </w:rPr>
      </w:pPr>
      <w:r>
        <w:rPr>
          <w:rStyle w:val="34"/>
          <w:rFonts w:hint="eastAsia" w:ascii="宋体" w:hAnsi="宋体" w:cs="宋体"/>
          <w:sz w:val="32"/>
          <w:szCs w:val="32"/>
          <w:highlight w:val="none"/>
          <w:u w:val="none"/>
        </w:rPr>
        <w:t>采购人</w:t>
      </w:r>
      <w:r>
        <w:rPr>
          <w:rStyle w:val="34"/>
          <w:rFonts w:hint="eastAsia" w:ascii="宋体" w:hAnsi="宋体" w:cs="宋体"/>
          <w:sz w:val="32"/>
          <w:szCs w:val="32"/>
          <w:highlight w:val="none"/>
          <w:u w:val="none"/>
          <w:lang w:eastAsia="zh-CN"/>
        </w:rPr>
        <w:t>（</w:t>
      </w:r>
      <w:r>
        <w:rPr>
          <w:rStyle w:val="34"/>
          <w:rFonts w:ascii="宋体" w:hAnsi="宋体" w:cs="宋体"/>
          <w:sz w:val="32"/>
          <w:szCs w:val="32"/>
          <w:highlight w:val="none"/>
          <w:u w:val="none"/>
        </w:rPr>
        <w:t>代</w:t>
      </w:r>
      <w:r>
        <w:rPr>
          <w:rStyle w:val="34"/>
          <w:rFonts w:hint="eastAsia" w:ascii="宋体" w:hAnsi="宋体" w:cs="宋体"/>
          <w:sz w:val="32"/>
          <w:szCs w:val="32"/>
          <w:highlight w:val="none"/>
          <w:u w:val="none"/>
          <w:lang w:val="en-US" w:eastAsia="zh-CN"/>
        </w:rPr>
        <w:t>业主</w:t>
      </w:r>
      <w:r>
        <w:rPr>
          <w:rStyle w:val="34"/>
          <w:rFonts w:ascii="宋体" w:hAnsi="宋体" w:cs="宋体"/>
          <w:sz w:val="32"/>
          <w:szCs w:val="32"/>
          <w:highlight w:val="none"/>
          <w:u w:val="none"/>
        </w:rPr>
        <w:t>单位</w:t>
      </w:r>
      <w:r>
        <w:rPr>
          <w:rStyle w:val="34"/>
          <w:rFonts w:hint="eastAsia" w:ascii="宋体" w:hAnsi="宋体" w:cs="宋体"/>
          <w:sz w:val="32"/>
          <w:szCs w:val="32"/>
          <w:highlight w:val="none"/>
          <w:u w:val="none"/>
          <w:lang w:eastAsia="zh-CN"/>
        </w:rPr>
        <w:t>）</w:t>
      </w:r>
      <w:r>
        <w:rPr>
          <w:rStyle w:val="34"/>
          <w:rFonts w:hint="eastAsia" w:ascii="宋体" w:hAnsi="宋体" w:cs="宋体"/>
          <w:sz w:val="32"/>
          <w:szCs w:val="32"/>
          <w:highlight w:val="none"/>
          <w:u w:val="none"/>
        </w:rPr>
        <w:t>：</w:t>
      </w:r>
      <w:r>
        <w:rPr>
          <w:rStyle w:val="34"/>
          <w:rFonts w:hint="eastAsia" w:ascii="宋体" w:hAnsi="宋体" w:cs="宋体"/>
          <w:sz w:val="32"/>
          <w:szCs w:val="32"/>
          <w:highlight w:val="none"/>
          <w:u w:val="single"/>
        </w:rPr>
        <w:t>福州市鼓楼区城建投资发展集团有限公司</w:t>
      </w:r>
    </w:p>
    <w:p w14:paraId="1200582F">
      <w:pPr>
        <w:pStyle w:val="10"/>
        <w:spacing w:before="59" w:beforeAutospacing="0" w:after="59" w:afterAutospacing="0"/>
        <w:jc w:val="center"/>
        <w:rPr>
          <w:rStyle w:val="34"/>
          <w:rFonts w:hint="eastAsia" w:ascii="宋体" w:hAnsi="宋体" w:cs="宋体"/>
          <w:highlight w:val="none"/>
          <w:u w:val="single"/>
        </w:rPr>
      </w:pPr>
      <w:r>
        <w:rPr>
          <w:rStyle w:val="34"/>
          <w:rFonts w:hint="eastAsia" w:ascii="宋体" w:hAnsi="宋体" w:cs="宋体"/>
          <w:sz w:val="32"/>
          <w:szCs w:val="32"/>
          <w:highlight w:val="none"/>
        </w:rPr>
        <w:t>代理机构：</w:t>
      </w:r>
      <w:r>
        <w:rPr>
          <w:rStyle w:val="34"/>
          <w:rFonts w:hint="eastAsia" w:ascii="宋体" w:hAnsi="宋体" w:cs="宋体"/>
          <w:sz w:val="32"/>
          <w:szCs w:val="32"/>
          <w:highlight w:val="none"/>
          <w:u w:val="single"/>
        </w:rPr>
        <w:t>福建省智信招标有限公司</w:t>
      </w:r>
    </w:p>
    <w:p w14:paraId="45693C7D">
      <w:pPr>
        <w:pStyle w:val="10"/>
        <w:spacing w:before="59" w:beforeAutospacing="0" w:after="59" w:afterAutospacing="0" w:line="283" w:lineRule="atLeast"/>
        <w:ind w:right="567"/>
        <w:jc w:val="center"/>
        <w:rPr>
          <w:rFonts w:hint="eastAsia" w:ascii="宋体" w:hAnsi="宋体" w:cs="宋体"/>
          <w:highlight w:val="none"/>
        </w:rPr>
      </w:pPr>
    </w:p>
    <w:p w14:paraId="33CDA25D">
      <w:pPr>
        <w:pStyle w:val="11"/>
        <w:numPr>
          <w:ilvl w:val="1"/>
          <w:numId w:val="0"/>
        </w:numPr>
        <w:ind w:left="567"/>
        <w:outlineLvl w:val="9"/>
        <w:rPr>
          <w:rFonts w:ascii="宋体" w:hAnsi="宋体" w:eastAsia="宋体"/>
          <w:highlight w:val="none"/>
        </w:rPr>
      </w:pPr>
    </w:p>
    <w:p w14:paraId="18359E38">
      <w:pPr>
        <w:pStyle w:val="9"/>
        <w:spacing w:line="700" w:lineRule="exact"/>
        <w:ind w:firstLine="0" w:firstLineChars="0"/>
        <w:jc w:val="center"/>
        <w:rPr>
          <w:rFonts w:hint="eastAsia" w:ascii="宋体" w:hAnsi="宋体" w:cs="宋体"/>
          <w:b/>
          <w:sz w:val="36"/>
          <w:szCs w:val="36"/>
          <w:highlight w:val="none"/>
        </w:rPr>
      </w:pPr>
      <w:r>
        <w:rPr>
          <w:rFonts w:hint="eastAsia" w:ascii="宋体" w:hAnsi="宋体" w:cs="宋体"/>
          <w:b/>
          <w:sz w:val="36"/>
          <w:szCs w:val="36"/>
          <w:highlight w:val="none"/>
        </w:rPr>
        <w:t>二〇二六年</w:t>
      </w:r>
      <w:r>
        <w:rPr>
          <w:rFonts w:hint="eastAsia" w:ascii="宋体" w:hAnsi="宋体" w:cs="宋体"/>
          <w:b/>
          <w:sz w:val="36"/>
          <w:szCs w:val="36"/>
          <w:highlight w:val="none"/>
          <w:lang w:val="en-US" w:eastAsia="zh-CN"/>
        </w:rPr>
        <w:t>八</w:t>
      </w:r>
      <w:r>
        <w:rPr>
          <w:rFonts w:hint="eastAsia" w:ascii="宋体" w:hAnsi="宋体" w:cs="宋体"/>
          <w:b/>
          <w:sz w:val="36"/>
          <w:szCs w:val="36"/>
          <w:highlight w:val="none"/>
        </w:rPr>
        <w:t>月</w:t>
      </w:r>
    </w:p>
    <w:p w14:paraId="7C702822">
      <w:pPr>
        <w:spacing w:line="500" w:lineRule="exact"/>
        <w:rPr>
          <w:rFonts w:hint="eastAsia" w:ascii="宋体" w:hAnsi="宋体" w:cs="宋体"/>
          <w:b/>
          <w:sz w:val="48"/>
          <w:highlight w:val="none"/>
          <w:u w:val="single"/>
        </w:rPr>
      </w:pPr>
      <w:r>
        <w:rPr>
          <w:rFonts w:hint="eastAsia" w:ascii="宋体" w:hAnsi="宋体" w:cs="宋体"/>
          <w:b/>
          <w:sz w:val="48"/>
          <w:highlight w:val="none"/>
          <w:u w:val="single"/>
        </w:rPr>
        <w:t xml:space="preserve">                                      </w:t>
      </w:r>
    </w:p>
    <w:p w14:paraId="6E7C0794">
      <w:pPr>
        <w:spacing w:line="360" w:lineRule="exact"/>
        <w:rPr>
          <w:rFonts w:hint="eastAsia" w:ascii="宋体" w:hAnsi="宋体" w:cs="宋体"/>
          <w:szCs w:val="21"/>
          <w:highlight w:val="none"/>
        </w:rPr>
      </w:pPr>
      <w:r>
        <w:rPr>
          <w:rFonts w:hint="eastAsia" w:ascii="宋体" w:hAnsi="宋体" w:cs="宋体"/>
          <w:szCs w:val="21"/>
          <w:highlight w:val="none"/>
        </w:rPr>
        <w:t>地址：福州市鼓楼区五四路159号世界金龙大厦第14层A、C1单元              邮  编：350003</w:t>
      </w:r>
    </w:p>
    <w:p w14:paraId="4D0DB239">
      <w:pPr>
        <w:spacing w:line="360" w:lineRule="exact"/>
        <w:rPr>
          <w:rFonts w:hint="eastAsia" w:ascii="宋体" w:hAnsi="宋体" w:cs="宋体"/>
          <w:szCs w:val="21"/>
          <w:highlight w:val="none"/>
        </w:rPr>
      </w:pPr>
      <w:r>
        <w:rPr>
          <w:rFonts w:hint="eastAsia" w:ascii="宋体" w:hAnsi="宋体" w:cs="宋体"/>
          <w:szCs w:val="21"/>
          <w:highlight w:val="none"/>
        </w:rPr>
        <w:t>电话：0591-87616211、87530730转814                               传  真：0591-87568219</w:t>
      </w:r>
    </w:p>
    <w:p w14:paraId="7421B0DA">
      <w:pPr>
        <w:spacing w:line="360" w:lineRule="exact"/>
        <w:rPr>
          <w:rFonts w:hint="eastAsia" w:ascii="宋体" w:hAnsi="宋体" w:cs="宋体"/>
          <w:szCs w:val="21"/>
          <w:highlight w:val="none"/>
        </w:rPr>
      </w:pPr>
      <w:r>
        <w:rPr>
          <w:rFonts w:hint="eastAsia" w:ascii="宋体" w:hAnsi="宋体" w:cs="宋体"/>
          <w:szCs w:val="21"/>
          <w:highlight w:val="none"/>
        </w:rPr>
        <w:t>公司网址：http://www.fjzxzb.com                               E-mail: zhixin099@126.com</w:t>
      </w:r>
    </w:p>
    <w:p w14:paraId="55440E43">
      <w:pPr>
        <w:spacing w:line="360" w:lineRule="exact"/>
        <w:jc w:val="left"/>
        <w:rPr>
          <w:rFonts w:hint="eastAsia" w:ascii="宋体" w:hAnsi="宋体" w:cs="宋体"/>
          <w:szCs w:val="21"/>
          <w:highlight w:val="none"/>
        </w:rPr>
      </w:pPr>
    </w:p>
    <w:p w14:paraId="1AC4240F">
      <w:pPr>
        <w:spacing w:line="440" w:lineRule="exact"/>
        <w:jc w:val="center"/>
        <w:rPr>
          <w:rFonts w:hint="eastAsia" w:ascii="宋体" w:hAnsi="宋体" w:cs="宋体"/>
          <w:b/>
          <w:bCs/>
          <w:sz w:val="44"/>
          <w:highlight w:val="none"/>
        </w:rPr>
        <w:sectPr>
          <w:footerReference r:id="rId6" w:type="first"/>
          <w:headerReference r:id="rId3" w:type="default"/>
          <w:footerReference r:id="rId4" w:type="default"/>
          <w:footerReference r:id="rId5" w:type="even"/>
          <w:pgSz w:w="11906" w:h="16838"/>
          <w:pgMar w:top="1134" w:right="1134" w:bottom="1134" w:left="1134" w:header="851" w:footer="992" w:gutter="0"/>
          <w:pgNumType w:start="0"/>
          <w:cols w:space="720" w:num="1"/>
          <w:titlePg/>
          <w:docGrid w:type="lines" w:linePitch="312" w:charSpace="0"/>
        </w:sectPr>
      </w:pPr>
    </w:p>
    <w:sdt>
      <w:sdtPr>
        <w:rPr>
          <w:rFonts w:hint="eastAsia" w:ascii="宋体" w:hAnsi="宋体" w:cs="宋体"/>
          <w:sz w:val="44"/>
          <w:szCs w:val="44"/>
          <w:highlight w:val="none"/>
        </w:rPr>
        <w:id w:val="147452110"/>
        <w15:color w:val="DBDBDB"/>
        <w:docPartObj>
          <w:docPartGallery w:val="Table of Contents"/>
          <w:docPartUnique/>
        </w:docPartObj>
      </w:sdtPr>
      <w:sdtEndPr>
        <w:rPr>
          <w:rFonts w:hint="eastAsia" w:ascii="宋体" w:hAnsi="宋体" w:cs="宋体"/>
          <w:b/>
          <w:bCs/>
          <w:sz w:val="21"/>
          <w:szCs w:val="24"/>
          <w:highlight w:val="none"/>
        </w:rPr>
      </w:sdtEndPr>
      <w:sdtContent>
        <w:p w14:paraId="31A7C05E">
          <w:pPr>
            <w:jc w:val="center"/>
            <w:rPr>
              <w:rFonts w:hint="eastAsia" w:ascii="宋体" w:hAnsi="宋体" w:cs="宋体"/>
              <w:sz w:val="44"/>
              <w:szCs w:val="44"/>
              <w:highlight w:val="none"/>
            </w:rPr>
          </w:pPr>
          <w:r>
            <w:rPr>
              <w:rFonts w:hint="eastAsia" w:ascii="宋体" w:hAnsi="宋体" w:cs="宋体"/>
              <w:b/>
              <w:bCs/>
              <w:sz w:val="44"/>
              <w:szCs w:val="44"/>
              <w:highlight w:val="none"/>
            </w:rPr>
            <w:t>目录</w:t>
          </w:r>
        </w:p>
        <w:p w14:paraId="1F77CE49">
          <w:pPr>
            <w:pStyle w:val="83"/>
            <w:tabs>
              <w:tab w:val="right" w:leader="dot" w:pos="9638"/>
            </w:tabs>
            <w:spacing w:line="360" w:lineRule="auto"/>
            <w:rPr>
              <w:rFonts w:hint="eastAsia" w:ascii="宋体" w:hAnsi="宋体" w:cs="宋体"/>
              <w:b/>
              <w:sz w:val="24"/>
              <w:szCs w:val="24"/>
              <w:highlight w:val="none"/>
            </w:rPr>
          </w:pPr>
          <w:r>
            <w:rPr>
              <w:rFonts w:hint="eastAsia" w:ascii="宋体" w:hAnsi="宋体" w:cs="宋体"/>
              <w:b/>
              <w:bCs/>
              <w:sz w:val="44"/>
              <w:highlight w:val="none"/>
            </w:rPr>
            <w:fldChar w:fldCharType="begin"/>
          </w:r>
          <w:r>
            <w:rPr>
              <w:rFonts w:hint="eastAsia" w:ascii="宋体" w:hAnsi="宋体" w:cs="宋体"/>
              <w:b/>
              <w:bCs/>
              <w:sz w:val="44"/>
              <w:highlight w:val="none"/>
            </w:rPr>
            <w:instrText xml:space="preserve">TOC \o "1-2" \h \u </w:instrText>
          </w:r>
          <w:r>
            <w:rPr>
              <w:rFonts w:hint="eastAsia" w:ascii="宋体" w:hAnsi="宋体" w:cs="宋体"/>
              <w:b/>
              <w:bCs/>
              <w:sz w:val="44"/>
              <w:highlight w:val="none"/>
            </w:rPr>
            <w:fldChar w:fldCharType="separate"/>
          </w:r>
          <w:r>
            <w:rPr>
              <w:highlight w:val="none"/>
            </w:rPr>
            <w:fldChar w:fldCharType="begin"/>
          </w:r>
          <w:r>
            <w:rPr>
              <w:highlight w:val="none"/>
            </w:rPr>
            <w:instrText xml:space="preserve"> HYPERLINK \l "_Toc1173" </w:instrText>
          </w:r>
          <w:r>
            <w:rPr>
              <w:highlight w:val="none"/>
            </w:rPr>
            <w:fldChar w:fldCharType="separate"/>
          </w:r>
          <w:r>
            <w:rPr>
              <w:rFonts w:hint="eastAsia" w:ascii="宋体" w:hAnsi="宋体" w:cs="宋体"/>
              <w:b/>
              <w:sz w:val="24"/>
              <w:szCs w:val="24"/>
              <w:highlight w:val="none"/>
            </w:rPr>
            <w:t>第一章 投标邀请</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_Toc1173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2</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5BD59676">
          <w:pPr>
            <w:pStyle w:val="83"/>
            <w:tabs>
              <w:tab w:val="right" w:leader="dot" w:pos="9638"/>
            </w:tabs>
            <w:spacing w:line="360" w:lineRule="auto"/>
            <w:rPr>
              <w:rFonts w:hint="eastAsia" w:ascii="宋体" w:hAnsi="宋体" w:cs="宋体"/>
              <w:b/>
              <w:sz w:val="24"/>
              <w:szCs w:val="24"/>
              <w:highlight w:val="none"/>
            </w:rPr>
          </w:pPr>
          <w:r>
            <w:rPr>
              <w:highlight w:val="none"/>
            </w:rPr>
            <w:fldChar w:fldCharType="begin"/>
          </w:r>
          <w:r>
            <w:rPr>
              <w:highlight w:val="none"/>
            </w:rPr>
            <w:instrText xml:space="preserve"> HYPERLINK \l "_Toc15972" </w:instrText>
          </w:r>
          <w:r>
            <w:rPr>
              <w:highlight w:val="none"/>
            </w:rPr>
            <w:fldChar w:fldCharType="separate"/>
          </w:r>
          <w:r>
            <w:rPr>
              <w:rFonts w:hint="eastAsia" w:ascii="宋体" w:hAnsi="宋体" w:cs="宋体"/>
              <w:b/>
              <w:sz w:val="24"/>
              <w:szCs w:val="24"/>
              <w:highlight w:val="none"/>
            </w:rPr>
            <w:t>第二章 投标人须知前附表</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_Toc15972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7</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066E3CFC">
          <w:pPr>
            <w:pStyle w:val="83"/>
            <w:tabs>
              <w:tab w:val="right" w:leader="dot" w:pos="9638"/>
            </w:tabs>
            <w:spacing w:line="360" w:lineRule="auto"/>
            <w:rPr>
              <w:rFonts w:hint="eastAsia" w:ascii="宋体" w:hAnsi="宋体" w:cs="宋体"/>
              <w:b/>
              <w:sz w:val="24"/>
              <w:szCs w:val="24"/>
              <w:highlight w:val="none"/>
            </w:rPr>
          </w:pPr>
          <w:r>
            <w:rPr>
              <w:highlight w:val="none"/>
            </w:rPr>
            <w:fldChar w:fldCharType="begin"/>
          </w:r>
          <w:r>
            <w:rPr>
              <w:highlight w:val="none"/>
            </w:rPr>
            <w:instrText xml:space="preserve"> HYPERLINK \l "_Toc9160" </w:instrText>
          </w:r>
          <w:r>
            <w:rPr>
              <w:highlight w:val="none"/>
            </w:rPr>
            <w:fldChar w:fldCharType="separate"/>
          </w:r>
          <w:r>
            <w:rPr>
              <w:rFonts w:hint="eastAsia" w:ascii="宋体" w:hAnsi="宋体" w:cs="宋体"/>
              <w:b/>
              <w:sz w:val="24"/>
              <w:szCs w:val="24"/>
              <w:highlight w:val="none"/>
            </w:rPr>
            <w:t>第三章 投标人须知</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_Toc9160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10</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4658BAB7">
          <w:pPr>
            <w:pStyle w:val="84"/>
            <w:tabs>
              <w:tab w:val="right" w:leader="dot" w:pos="9638"/>
            </w:tabs>
            <w:spacing w:line="360" w:lineRule="auto"/>
            <w:ind w:left="420"/>
            <w:rPr>
              <w:rFonts w:hint="eastAsia" w:ascii="宋体" w:hAnsi="宋体" w:cs="宋体"/>
              <w:sz w:val="24"/>
              <w:szCs w:val="24"/>
              <w:highlight w:val="none"/>
            </w:rPr>
          </w:pPr>
          <w:r>
            <w:rPr>
              <w:highlight w:val="none"/>
            </w:rPr>
            <w:fldChar w:fldCharType="begin"/>
          </w:r>
          <w:r>
            <w:rPr>
              <w:highlight w:val="none"/>
            </w:rPr>
            <w:instrText xml:space="preserve"> HYPERLINK \l "_Toc21527" </w:instrText>
          </w:r>
          <w:r>
            <w:rPr>
              <w:highlight w:val="none"/>
            </w:rPr>
            <w:fldChar w:fldCharType="separate"/>
          </w:r>
          <w:r>
            <w:rPr>
              <w:rFonts w:hint="eastAsia" w:ascii="宋体" w:hAnsi="宋体" w:cs="宋体"/>
              <w:sz w:val="24"/>
              <w:szCs w:val="24"/>
              <w:highlight w:val="none"/>
            </w:rPr>
            <w:t>一、总则</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_Toc21527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10</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34DAAFD3">
          <w:pPr>
            <w:pStyle w:val="84"/>
            <w:tabs>
              <w:tab w:val="right" w:leader="dot" w:pos="9638"/>
            </w:tabs>
            <w:spacing w:line="360" w:lineRule="auto"/>
            <w:ind w:left="420"/>
            <w:rPr>
              <w:rFonts w:hint="eastAsia" w:ascii="宋体" w:hAnsi="宋体" w:cs="宋体"/>
              <w:sz w:val="24"/>
              <w:szCs w:val="24"/>
              <w:highlight w:val="none"/>
            </w:rPr>
          </w:pPr>
          <w:r>
            <w:rPr>
              <w:highlight w:val="none"/>
            </w:rPr>
            <w:fldChar w:fldCharType="begin"/>
          </w:r>
          <w:r>
            <w:rPr>
              <w:highlight w:val="none"/>
            </w:rPr>
            <w:instrText xml:space="preserve"> HYPERLINK \l "_Toc5862" </w:instrText>
          </w:r>
          <w:r>
            <w:rPr>
              <w:highlight w:val="none"/>
            </w:rPr>
            <w:fldChar w:fldCharType="separate"/>
          </w:r>
          <w:r>
            <w:rPr>
              <w:rFonts w:hint="eastAsia" w:ascii="宋体" w:hAnsi="宋体" w:cs="宋体"/>
              <w:sz w:val="24"/>
              <w:szCs w:val="24"/>
              <w:highlight w:val="none"/>
            </w:rPr>
            <w:t>二、投标人</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_Toc5862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10</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029753AF">
          <w:pPr>
            <w:pStyle w:val="84"/>
            <w:tabs>
              <w:tab w:val="right" w:leader="dot" w:pos="9638"/>
            </w:tabs>
            <w:spacing w:line="360" w:lineRule="auto"/>
            <w:ind w:left="420"/>
            <w:rPr>
              <w:rFonts w:hint="eastAsia" w:ascii="宋体" w:hAnsi="宋体" w:cs="宋体"/>
              <w:sz w:val="24"/>
              <w:szCs w:val="24"/>
              <w:highlight w:val="none"/>
            </w:rPr>
          </w:pPr>
          <w:r>
            <w:rPr>
              <w:highlight w:val="none"/>
            </w:rPr>
            <w:fldChar w:fldCharType="begin"/>
          </w:r>
          <w:r>
            <w:rPr>
              <w:highlight w:val="none"/>
            </w:rPr>
            <w:instrText xml:space="preserve"> HYPERLINK \l "_Toc13235" </w:instrText>
          </w:r>
          <w:r>
            <w:rPr>
              <w:highlight w:val="none"/>
            </w:rPr>
            <w:fldChar w:fldCharType="separate"/>
          </w:r>
          <w:r>
            <w:rPr>
              <w:rFonts w:hint="eastAsia" w:ascii="宋体" w:hAnsi="宋体" w:cs="宋体"/>
              <w:sz w:val="24"/>
              <w:szCs w:val="24"/>
              <w:highlight w:val="none"/>
            </w:rPr>
            <w:t>三、招标</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_Toc13235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10</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40AE68FE">
          <w:pPr>
            <w:pStyle w:val="84"/>
            <w:tabs>
              <w:tab w:val="right" w:leader="dot" w:pos="9638"/>
            </w:tabs>
            <w:spacing w:line="360" w:lineRule="auto"/>
            <w:ind w:left="420"/>
            <w:rPr>
              <w:rFonts w:hint="eastAsia" w:ascii="宋体" w:hAnsi="宋体" w:cs="宋体"/>
              <w:sz w:val="24"/>
              <w:szCs w:val="24"/>
              <w:highlight w:val="none"/>
            </w:rPr>
          </w:pPr>
          <w:r>
            <w:rPr>
              <w:highlight w:val="none"/>
            </w:rPr>
            <w:fldChar w:fldCharType="begin"/>
          </w:r>
          <w:r>
            <w:rPr>
              <w:highlight w:val="none"/>
            </w:rPr>
            <w:instrText xml:space="preserve"> HYPERLINK \l "_Toc19539" </w:instrText>
          </w:r>
          <w:r>
            <w:rPr>
              <w:highlight w:val="none"/>
            </w:rPr>
            <w:fldChar w:fldCharType="separate"/>
          </w:r>
          <w:r>
            <w:rPr>
              <w:rFonts w:hint="eastAsia" w:ascii="宋体" w:hAnsi="宋体" w:cs="宋体"/>
              <w:sz w:val="24"/>
              <w:szCs w:val="24"/>
              <w:highlight w:val="none"/>
            </w:rPr>
            <w:t>四、投标</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_Toc19539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13FF8498">
          <w:pPr>
            <w:pStyle w:val="84"/>
            <w:tabs>
              <w:tab w:val="right" w:leader="dot" w:pos="9638"/>
            </w:tabs>
            <w:spacing w:line="360" w:lineRule="auto"/>
            <w:ind w:left="420"/>
            <w:rPr>
              <w:rFonts w:hint="eastAsia" w:ascii="宋体" w:hAnsi="宋体" w:cs="宋体"/>
              <w:sz w:val="24"/>
              <w:szCs w:val="24"/>
              <w:highlight w:val="none"/>
            </w:rPr>
          </w:pPr>
          <w:r>
            <w:rPr>
              <w:highlight w:val="none"/>
            </w:rPr>
            <w:fldChar w:fldCharType="begin"/>
          </w:r>
          <w:r>
            <w:rPr>
              <w:highlight w:val="none"/>
            </w:rPr>
            <w:instrText xml:space="preserve"> HYPERLINK \l "_Toc6474" </w:instrText>
          </w:r>
          <w:r>
            <w:rPr>
              <w:highlight w:val="none"/>
            </w:rPr>
            <w:fldChar w:fldCharType="separate"/>
          </w:r>
          <w:r>
            <w:rPr>
              <w:rFonts w:hint="eastAsia" w:ascii="宋体" w:hAnsi="宋体" w:cs="宋体"/>
              <w:sz w:val="24"/>
              <w:szCs w:val="24"/>
              <w:highlight w:val="none"/>
            </w:rPr>
            <w:t>五、开标</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_Toc6474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16</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55E4B9CB">
          <w:pPr>
            <w:pStyle w:val="84"/>
            <w:tabs>
              <w:tab w:val="right" w:leader="dot" w:pos="9638"/>
            </w:tabs>
            <w:spacing w:line="360" w:lineRule="auto"/>
            <w:ind w:left="420"/>
            <w:rPr>
              <w:rFonts w:hint="eastAsia" w:ascii="宋体" w:hAnsi="宋体" w:cs="宋体"/>
              <w:sz w:val="24"/>
              <w:szCs w:val="24"/>
              <w:highlight w:val="none"/>
            </w:rPr>
          </w:pPr>
          <w:r>
            <w:rPr>
              <w:highlight w:val="none"/>
            </w:rPr>
            <w:fldChar w:fldCharType="begin"/>
          </w:r>
          <w:r>
            <w:rPr>
              <w:highlight w:val="none"/>
            </w:rPr>
            <w:instrText xml:space="preserve"> HYPERLINK \l "_Toc529" </w:instrText>
          </w:r>
          <w:r>
            <w:rPr>
              <w:highlight w:val="none"/>
            </w:rPr>
            <w:fldChar w:fldCharType="separate"/>
          </w:r>
          <w:r>
            <w:rPr>
              <w:rFonts w:hint="eastAsia" w:ascii="宋体" w:hAnsi="宋体" w:cs="宋体"/>
              <w:sz w:val="24"/>
              <w:szCs w:val="24"/>
              <w:highlight w:val="none"/>
            </w:rPr>
            <w:t>六、中标与采购合同</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_Toc529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16</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0117B06D">
          <w:pPr>
            <w:pStyle w:val="84"/>
            <w:tabs>
              <w:tab w:val="right" w:leader="dot" w:pos="9638"/>
            </w:tabs>
            <w:spacing w:line="360" w:lineRule="auto"/>
            <w:ind w:left="420"/>
            <w:rPr>
              <w:rFonts w:hint="eastAsia" w:ascii="宋体" w:hAnsi="宋体" w:cs="宋体"/>
              <w:sz w:val="24"/>
              <w:szCs w:val="24"/>
              <w:highlight w:val="none"/>
            </w:rPr>
          </w:pPr>
          <w:r>
            <w:rPr>
              <w:highlight w:val="none"/>
            </w:rPr>
            <w:fldChar w:fldCharType="begin"/>
          </w:r>
          <w:r>
            <w:rPr>
              <w:highlight w:val="none"/>
            </w:rPr>
            <w:instrText xml:space="preserve"> HYPERLINK \l "_Toc23597" </w:instrText>
          </w:r>
          <w:r>
            <w:rPr>
              <w:highlight w:val="none"/>
            </w:rPr>
            <w:fldChar w:fldCharType="separate"/>
          </w:r>
          <w:r>
            <w:rPr>
              <w:rFonts w:hint="eastAsia" w:ascii="宋体" w:hAnsi="宋体" w:cs="宋体"/>
              <w:sz w:val="24"/>
              <w:szCs w:val="24"/>
              <w:highlight w:val="none"/>
            </w:rPr>
            <w:t>七、询问、质疑与投诉</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_Toc23597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17</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5FFD01F9">
          <w:pPr>
            <w:pStyle w:val="84"/>
            <w:tabs>
              <w:tab w:val="right" w:leader="dot" w:pos="9638"/>
            </w:tabs>
            <w:spacing w:line="360" w:lineRule="auto"/>
            <w:ind w:left="420"/>
            <w:rPr>
              <w:rFonts w:hint="eastAsia" w:ascii="宋体" w:hAnsi="宋体" w:cs="宋体"/>
              <w:sz w:val="24"/>
              <w:szCs w:val="24"/>
              <w:highlight w:val="none"/>
            </w:rPr>
          </w:pPr>
          <w:r>
            <w:rPr>
              <w:highlight w:val="none"/>
            </w:rPr>
            <w:fldChar w:fldCharType="begin"/>
          </w:r>
          <w:r>
            <w:rPr>
              <w:highlight w:val="none"/>
            </w:rPr>
            <w:instrText xml:space="preserve"> HYPERLINK \l "_Toc17972" </w:instrText>
          </w:r>
          <w:r>
            <w:rPr>
              <w:highlight w:val="none"/>
            </w:rPr>
            <w:fldChar w:fldCharType="separate"/>
          </w:r>
          <w:r>
            <w:rPr>
              <w:rFonts w:hint="eastAsia" w:ascii="宋体" w:hAnsi="宋体" w:cs="宋体"/>
              <w:sz w:val="24"/>
              <w:szCs w:val="24"/>
              <w:highlight w:val="none"/>
            </w:rPr>
            <w:t>八、政府采购政策</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_Toc17972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19</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15C54B1B">
          <w:pPr>
            <w:pStyle w:val="84"/>
            <w:tabs>
              <w:tab w:val="right" w:leader="dot" w:pos="9638"/>
            </w:tabs>
            <w:spacing w:line="360" w:lineRule="auto"/>
            <w:ind w:left="420"/>
            <w:rPr>
              <w:rFonts w:hint="eastAsia" w:ascii="宋体" w:hAnsi="宋体" w:cs="宋体"/>
              <w:sz w:val="24"/>
              <w:szCs w:val="24"/>
              <w:highlight w:val="none"/>
            </w:rPr>
          </w:pPr>
          <w:r>
            <w:rPr>
              <w:highlight w:val="none"/>
            </w:rPr>
            <w:fldChar w:fldCharType="begin"/>
          </w:r>
          <w:r>
            <w:rPr>
              <w:highlight w:val="none"/>
            </w:rPr>
            <w:instrText xml:space="preserve"> HYPERLINK \l "_Toc15870" </w:instrText>
          </w:r>
          <w:r>
            <w:rPr>
              <w:highlight w:val="none"/>
            </w:rPr>
            <w:fldChar w:fldCharType="separate"/>
          </w:r>
          <w:r>
            <w:rPr>
              <w:rFonts w:hint="eastAsia" w:ascii="宋体" w:hAnsi="宋体" w:cs="宋体"/>
              <w:sz w:val="24"/>
              <w:szCs w:val="24"/>
              <w:highlight w:val="none"/>
            </w:rPr>
            <w:t>九、本项目的有关信息</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_Toc15870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21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18C21BC4">
          <w:pPr>
            <w:pStyle w:val="84"/>
            <w:tabs>
              <w:tab w:val="right" w:leader="dot" w:pos="9638"/>
            </w:tabs>
            <w:spacing w:line="360" w:lineRule="auto"/>
            <w:ind w:left="420"/>
            <w:rPr>
              <w:rFonts w:hint="eastAsia" w:ascii="宋体" w:hAnsi="宋体" w:cs="宋体"/>
              <w:sz w:val="24"/>
              <w:szCs w:val="24"/>
              <w:highlight w:val="none"/>
            </w:rPr>
          </w:pPr>
          <w:r>
            <w:rPr>
              <w:highlight w:val="none"/>
            </w:rPr>
            <w:fldChar w:fldCharType="begin"/>
          </w:r>
          <w:r>
            <w:rPr>
              <w:highlight w:val="none"/>
            </w:rPr>
            <w:instrText xml:space="preserve"> HYPERLINK \l "_Toc6194" </w:instrText>
          </w:r>
          <w:r>
            <w:rPr>
              <w:highlight w:val="none"/>
            </w:rPr>
            <w:fldChar w:fldCharType="separate"/>
          </w:r>
          <w:r>
            <w:rPr>
              <w:rFonts w:hint="eastAsia" w:ascii="宋体" w:hAnsi="宋体" w:cs="宋体"/>
              <w:sz w:val="24"/>
              <w:szCs w:val="24"/>
              <w:highlight w:val="none"/>
            </w:rPr>
            <w:t>十、其他事项</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_Toc6194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21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509F1A36">
          <w:pPr>
            <w:pStyle w:val="83"/>
            <w:tabs>
              <w:tab w:val="right" w:leader="dot" w:pos="9638"/>
            </w:tabs>
            <w:spacing w:line="360" w:lineRule="auto"/>
            <w:rPr>
              <w:rFonts w:hint="eastAsia" w:ascii="宋体" w:hAnsi="宋体" w:cs="宋体"/>
              <w:b/>
              <w:sz w:val="24"/>
              <w:szCs w:val="24"/>
              <w:highlight w:val="none"/>
            </w:rPr>
          </w:pPr>
          <w:r>
            <w:rPr>
              <w:highlight w:val="none"/>
            </w:rPr>
            <w:fldChar w:fldCharType="begin"/>
          </w:r>
          <w:r>
            <w:rPr>
              <w:highlight w:val="none"/>
            </w:rPr>
            <w:instrText xml:space="preserve"> HYPERLINK \l "_Toc23373" </w:instrText>
          </w:r>
          <w:r>
            <w:rPr>
              <w:highlight w:val="none"/>
            </w:rPr>
            <w:fldChar w:fldCharType="separate"/>
          </w:r>
          <w:r>
            <w:rPr>
              <w:rFonts w:hint="eastAsia" w:ascii="宋体" w:hAnsi="宋体" w:cs="宋体"/>
              <w:b/>
              <w:sz w:val="24"/>
              <w:szCs w:val="24"/>
              <w:highlight w:val="none"/>
            </w:rPr>
            <w:t>第四章 资格审查与评标</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_Toc23373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22</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0F4DCD73">
          <w:pPr>
            <w:pStyle w:val="84"/>
            <w:tabs>
              <w:tab w:val="right" w:leader="dot" w:pos="9638"/>
            </w:tabs>
            <w:spacing w:line="360" w:lineRule="auto"/>
            <w:ind w:left="420"/>
            <w:rPr>
              <w:rFonts w:hint="eastAsia" w:ascii="宋体" w:hAnsi="宋体" w:cs="宋体"/>
              <w:sz w:val="24"/>
              <w:szCs w:val="24"/>
              <w:highlight w:val="none"/>
            </w:rPr>
          </w:pPr>
          <w:r>
            <w:rPr>
              <w:highlight w:val="none"/>
            </w:rPr>
            <w:fldChar w:fldCharType="begin"/>
          </w:r>
          <w:r>
            <w:rPr>
              <w:highlight w:val="none"/>
            </w:rPr>
            <w:instrText xml:space="preserve"> HYPERLINK \l "_Toc6535" </w:instrText>
          </w:r>
          <w:r>
            <w:rPr>
              <w:highlight w:val="none"/>
            </w:rPr>
            <w:fldChar w:fldCharType="separate"/>
          </w:r>
          <w:r>
            <w:rPr>
              <w:rFonts w:hint="eastAsia" w:ascii="宋体" w:hAnsi="宋体" w:cs="宋体"/>
              <w:sz w:val="24"/>
              <w:szCs w:val="24"/>
              <w:highlight w:val="none"/>
            </w:rPr>
            <w:t>一、资格审查</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_Toc6535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22</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0552F47F">
          <w:pPr>
            <w:pStyle w:val="84"/>
            <w:tabs>
              <w:tab w:val="right" w:leader="dot" w:pos="9638"/>
            </w:tabs>
            <w:spacing w:line="360" w:lineRule="auto"/>
            <w:ind w:left="420"/>
            <w:rPr>
              <w:rFonts w:hint="eastAsia" w:ascii="宋体" w:hAnsi="宋体" w:cs="宋体"/>
              <w:sz w:val="24"/>
              <w:szCs w:val="24"/>
              <w:highlight w:val="none"/>
            </w:rPr>
          </w:pPr>
          <w:r>
            <w:rPr>
              <w:highlight w:val="none"/>
            </w:rPr>
            <w:fldChar w:fldCharType="begin"/>
          </w:r>
          <w:r>
            <w:rPr>
              <w:highlight w:val="none"/>
            </w:rPr>
            <w:instrText xml:space="preserve"> HYPERLINK \l "_Toc4651" </w:instrText>
          </w:r>
          <w:r>
            <w:rPr>
              <w:highlight w:val="none"/>
            </w:rPr>
            <w:fldChar w:fldCharType="separate"/>
          </w:r>
          <w:r>
            <w:rPr>
              <w:rFonts w:hint="eastAsia" w:ascii="宋体" w:hAnsi="宋体" w:cs="宋体"/>
              <w:sz w:val="24"/>
              <w:szCs w:val="24"/>
              <w:highlight w:val="none"/>
            </w:rPr>
            <w:t>二、评标</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_Toc4651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25</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23CF8254">
          <w:pPr>
            <w:pStyle w:val="83"/>
            <w:tabs>
              <w:tab w:val="right" w:leader="dot" w:pos="9638"/>
            </w:tabs>
            <w:spacing w:line="360" w:lineRule="auto"/>
            <w:rPr>
              <w:rFonts w:hint="eastAsia" w:ascii="宋体" w:hAnsi="宋体" w:cs="宋体"/>
              <w:sz w:val="24"/>
              <w:szCs w:val="24"/>
              <w:highlight w:val="none"/>
            </w:rPr>
          </w:pPr>
          <w:r>
            <w:rPr>
              <w:highlight w:val="none"/>
            </w:rPr>
            <w:fldChar w:fldCharType="begin"/>
          </w:r>
          <w:r>
            <w:rPr>
              <w:highlight w:val="none"/>
            </w:rPr>
            <w:instrText xml:space="preserve"> HYPERLINK \l "_Toc28790" </w:instrText>
          </w:r>
          <w:r>
            <w:rPr>
              <w:highlight w:val="none"/>
            </w:rPr>
            <w:fldChar w:fldCharType="separate"/>
          </w:r>
          <w:r>
            <w:rPr>
              <w:rFonts w:hint="eastAsia" w:ascii="宋体" w:hAnsi="宋体" w:cs="宋体"/>
              <w:b/>
              <w:sz w:val="24"/>
              <w:szCs w:val="24"/>
              <w:highlight w:val="none"/>
            </w:rPr>
            <w:t>第五章 招标内容及要求</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_Toc28790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35</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72B6CE87">
          <w:pPr>
            <w:pStyle w:val="83"/>
            <w:tabs>
              <w:tab w:val="right" w:leader="dot" w:pos="9638"/>
            </w:tabs>
            <w:spacing w:line="360" w:lineRule="auto"/>
            <w:rPr>
              <w:rFonts w:hint="eastAsia" w:ascii="宋体" w:hAnsi="宋体" w:cs="宋体"/>
              <w:sz w:val="24"/>
              <w:szCs w:val="24"/>
              <w:highlight w:val="none"/>
            </w:rPr>
          </w:pPr>
          <w:r>
            <w:rPr>
              <w:highlight w:val="none"/>
            </w:rPr>
            <w:fldChar w:fldCharType="begin"/>
          </w:r>
          <w:r>
            <w:rPr>
              <w:highlight w:val="none"/>
            </w:rPr>
            <w:instrText xml:space="preserve"> HYPERLINK \l "_Toc18749" </w:instrText>
          </w:r>
          <w:r>
            <w:rPr>
              <w:highlight w:val="none"/>
            </w:rPr>
            <w:fldChar w:fldCharType="separate"/>
          </w:r>
          <w:r>
            <w:rPr>
              <w:rFonts w:hint="eastAsia" w:ascii="宋体" w:hAnsi="宋体" w:cs="宋体"/>
              <w:b/>
              <w:sz w:val="24"/>
              <w:szCs w:val="24"/>
              <w:highlight w:val="none"/>
            </w:rPr>
            <w:t>第六章 采购合同（参考文本）</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_Toc18749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59</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76B32CD9">
          <w:pPr>
            <w:pStyle w:val="83"/>
            <w:tabs>
              <w:tab w:val="right" w:leader="dot" w:pos="9638"/>
            </w:tabs>
            <w:spacing w:line="360" w:lineRule="auto"/>
            <w:rPr>
              <w:rFonts w:hint="eastAsia" w:ascii="宋体" w:hAnsi="宋体" w:cs="宋体"/>
              <w:b/>
              <w:sz w:val="24"/>
              <w:szCs w:val="24"/>
              <w:highlight w:val="none"/>
            </w:rPr>
          </w:pPr>
          <w:r>
            <w:rPr>
              <w:highlight w:val="none"/>
            </w:rPr>
            <w:fldChar w:fldCharType="begin"/>
          </w:r>
          <w:r>
            <w:rPr>
              <w:highlight w:val="none"/>
            </w:rPr>
            <w:instrText xml:space="preserve"> HYPERLINK \l "_Toc16198" </w:instrText>
          </w:r>
          <w:r>
            <w:rPr>
              <w:highlight w:val="none"/>
            </w:rPr>
            <w:fldChar w:fldCharType="separate"/>
          </w:r>
          <w:r>
            <w:rPr>
              <w:rFonts w:hint="eastAsia" w:ascii="宋体" w:hAnsi="宋体" w:cs="宋体"/>
              <w:b/>
              <w:sz w:val="24"/>
              <w:szCs w:val="24"/>
              <w:highlight w:val="none"/>
            </w:rPr>
            <w:t>第七章 投标文件格式</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_Toc16198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64</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2C48EB61">
          <w:pPr>
            <w:spacing w:line="440" w:lineRule="exact"/>
            <w:rPr>
              <w:rFonts w:hint="eastAsia" w:ascii="宋体" w:hAnsi="宋体" w:cs="宋体"/>
              <w:sz w:val="24"/>
              <w:highlight w:val="none"/>
            </w:rPr>
          </w:pPr>
          <w:r>
            <w:rPr>
              <w:rFonts w:hint="eastAsia" w:ascii="宋体" w:hAnsi="宋体" w:cs="宋体"/>
              <w:b/>
              <w:bCs/>
              <w:highlight w:val="none"/>
            </w:rPr>
            <w:fldChar w:fldCharType="end"/>
          </w:r>
        </w:p>
      </w:sdtContent>
    </w:sdt>
    <w:p w14:paraId="290404C5">
      <w:pPr>
        <w:spacing w:line="500" w:lineRule="exact"/>
        <w:ind w:firstLine="354" w:firstLineChars="147"/>
        <w:rPr>
          <w:rFonts w:hint="eastAsia" w:ascii="宋体" w:hAnsi="宋体" w:cs="宋体"/>
          <w:b/>
          <w:sz w:val="24"/>
          <w:highlight w:val="none"/>
          <w:u w:val="single"/>
        </w:rPr>
      </w:pPr>
      <w:r>
        <w:rPr>
          <w:rFonts w:hint="eastAsia" w:ascii="宋体" w:hAnsi="宋体" w:cs="宋体"/>
          <w:b/>
          <w:sz w:val="24"/>
          <w:highlight w:val="none"/>
        </w:rPr>
        <w:t>注：本招标文件共</w:t>
      </w:r>
      <w:r>
        <w:rPr>
          <w:rFonts w:hint="eastAsia" w:ascii="宋体" w:hAnsi="宋体" w:cs="宋体"/>
          <w:b/>
          <w:sz w:val="24"/>
          <w:highlight w:val="none"/>
          <w:u w:val="single"/>
        </w:rPr>
        <w:t>10</w:t>
      </w:r>
      <w:r>
        <w:rPr>
          <w:rFonts w:hint="eastAsia" w:ascii="宋体" w:hAnsi="宋体" w:cs="宋体"/>
          <w:b/>
          <w:sz w:val="24"/>
          <w:highlight w:val="none"/>
          <w:u w:val="single"/>
          <w:lang w:val="en-US" w:eastAsia="zh-CN"/>
        </w:rPr>
        <w:t>9</w:t>
      </w:r>
      <w:r>
        <w:rPr>
          <w:rFonts w:hint="eastAsia" w:ascii="宋体" w:hAnsi="宋体" w:cs="宋体"/>
          <w:b/>
          <w:sz w:val="24"/>
          <w:highlight w:val="none"/>
        </w:rPr>
        <w:t>页（含封面），请投标人领取招标文件时自行核对，如发现缺、损等情况，自领取招标文件之日起两日内向福建省智信招标有限公司提出，否则，由此造成的一切后果由投标人自负。</w:t>
      </w:r>
    </w:p>
    <w:p w14:paraId="6A626A40">
      <w:pPr>
        <w:pStyle w:val="10"/>
        <w:spacing w:before="59" w:beforeAutospacing="0" w:after="59" w:afterAutospacing="0"/>
        <w:rPr>
          <w:rFonts w:hint="eastAsia" w:ascii="宋体" w:hAnsi="宋体" w:cs="宋体"/>
          <w:highlight w:val="none"/>
        </w:rPr>
      </w:pPr>
    </w:p>
    <w:p w14:paraId="5CBF1780">
      <w:pPr>
        <w:pStyle w:val="69"/>
        <w:spacing w:line="240" w:lineRule="atLeast"/>
        <w:ind w:left="181"/>
        <w:jc w:val="center"/>
        <w:outlineLvl w:val="0"/>
        <w:rPr>
          <w:rFonts w:hint="eastAsia" w:hAnsi="宋体" w:cs="宋体"/>
          <w:b/>
          <w:color w:val="auto"/>
          <w:sz w:val="32"/>
          <w:szCs w:val="32"/>
          <w:highlight w:val="none"/>
        </w:rPr>
      </w:pPr>
      <w:r>
        <w:rPr>
          <w:rStyle w:val="34"/>
          <w:rFonts w:hint="eastAsia" w:hAnsi="宋体" w:cs="宋体"/>
          <w:color w:val="auto"/>
          <w:sz w:val="25"/>
          <w:szCs w:val="25"/>
          <w:highlight w:val="none"/>
        </w:rPr>
        <w:br w:type="page"/>
      </w:r>
      <w:bookmarkStart w:id="0" w:name="_Toc1173"/>
      <w:bookmarkStart w:id="1" w:name="_Toc28866"/>
      <w:bookmarkStart w:id="2" w:name="_Toc38959616"/>
      <w:r>
        <w:rPr>
          <w:rFonts w:hint="eastAsia" w:hAnsi="宋体" w:cs="宋体"/>
          <w:b/>
          <w:color w:val="auto"/>
          <w:sz w:val="36"/>
          <w:highlight w:val="none"/>
        </w:rPr>
        <w:t>第一章 投标邀请</w:t>
      </w:r>
      <w:bookmarkEnd w:id="0"/>
      <w:bookmarkEnd w:id="1"/>
      <w:bookmarkEnd w:id="2"/>
    </w:p>
    <w:p w14:paraId="376C764D">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u w:val="single"/>
        </w:rPr>
        <w:t>福建省智信招标有限公司</w:t>
      </w:r>
      <w:r>
        <w:rPr>
          <w:rFonts w:hint="eastAsia" w:ascii="宋体" w:hAnsi="宋体" w:cs="宋体"/>
          <w:highlight w:val="none"/>
        </w:rPr>
        <w:t>采用</w:t>
      </w:r>
      <w:r>
        <w:rPr>
          <w:rFonts w:hint="eastAsia" w:ascii="宋体" w:hAnsi="宋体" w:cs="宋体"/>
          <w:highlight w:val="none"/>
          <w:u w:val="single"/>
        </w:rPr>
        <w:t>公开招标</w:t>
      </w:r>
      <w:r>
        <w:rPr>
          <w:rFonts w:hint="eastAsia" w:ascii="宋体" w:hAnsi="宋体" w:cs="宋体"/>
          <w:highlight w:val="none"/>
        </w:rPr>
        <w:t>方式组织</w:t>
      </w:r>
      <w:r>
        <w:rPr>
          <w:rFonts w:hint="eastAsia" w:ascii="宋体" w:hAnsi="宋体" w:cs="宋体"/>
          <w:highlight w:val="none"/>
          <w:u w:val="single"/>
        </w:rPr>
        <w:t>鼓楼通用人工智能应用转型促进中心项目</w:t>
      </w:r>
      <w:r>
        <w:rPr>
          <w:rFonts w:hint="eastAsia" w:ascii="宋体" w:hAnsi="宋体" w:cs="宋体"/>
          <w:highlight w:val="none"/>
        </w:rPr>
        <w:t>（以下简称：“本项目”）的采购活动，现邀请供应商参加投标。</w:t>
      </w:r>
    </w:p>
    <w:p w14:paraId="744E66DE">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项目编号：ZXWT-2026-173。</w:t>
      </w:r>
    </w:p>
    <w:p w14:paraId="036793F2">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预算金额、最高限价：详见《采购标的一览表》。</w:t>
      </w:r>
    </w:p>
    <w:p w14:paraId="44387B02">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lang w:eastAsia="zh-CN"/>
        </w:rPr>
        <w:t>3.</w:t>
      </w:r>
      <w:r>
        <w:rPr>
          <w:rFonts w:hint="eastAsia" w:ascii="宋体" w:hAnsi="宋体" w:cs="宋体"/>
          <w:highlight w:val="none"/>
        </w:rPr>
        <w:t>招标内容及要求：详见《采购标的一览表》及招标文件第五章。</w:t>
      </w:r>
    </w:p>
    <w:p w14:paraId="73359857">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lang w:eastAsia="zh-CN"/>
        </w:rPr>
        <w:t>4.</w:t>
      </w:r>
      <w:r>
        <w:rPr>
          <w:rFonts w:hint="eastAsia" w:ascii="宋体" w:hAnsi="宋体" w:cs="宋体"/>
          <w:highlight w:val="none"/>
        </w:rPr>
        <w:t>需要落实的采购政策：信用记录，适用于（所有采购包），按照下列规定执行：查询结果的审查：①由资格审查小组通过“信用中国”网站（www.creditchina.gov.cn）、中国政府采购网（www.ccgp.gov.cn）查询并打印投标人信用记录（以下简称：“资格审查小组的查询结果”）。若查询结果存在投标人应被拒绝参与政府采购活动相关信息的，其资格审查不合格。②因上述网站原因导致资格审查小组无法查询投标人信用记录的（资格审查小组应将通过上述网站查询投标人信用记录时的原始页面打印后随采购文件一并存档），视为查询结果未存在投标人应被拒绝参与政府采购活动相关的信息。③若文件有矛盾，以此为准。其他政策：详见招标文件。</w:t>
      </w:r>
    </w:p>
    <w:p w14:paraId="60C27A2C">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lang w:eastAsia="zh-CN"/>
        </w:rPr>
        <w:t>5.</w:t>
      </w:r>
      <w:r>
        <w:rPr>
          <w:rFonts w:hint="eastAsia" w:ascii="宋体" w:hAnsi="宋体" w:cs="宋体"/>
          <w:highlight w:val="none"/>
        </w:rPr>
        <w:t>投标人的资格要求</w:t>
      </w:r>
    </w:p>
    <w:p w14:paraId="211CB43A">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rPr>
        <w:t>5.1法定条件：</w:t>
      </w:r>
    </w:p>
    <w:tbl>
      <w:tblPr>
        <w:tblStyle w:val="31"/>
        <w:tblW w:w="4998" w:type="pct"/>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10"/>
        <w:gridCol w:w="7644"/>
      </w:tblGrid>
      <w:tr w14:paraId="308C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308CED8B">
            <w:pPr>
              <w:spacing w:line="360" w:lineRule="exact"/>
              <w:jc w:val="center"/>
              <w:rPr>
                <w:rFonts w:hint="eastAsia" w:ascii="宋体" w:hAnsi="宋体" w:cs="宋体"/>
                <w:b/>
                <w:bCs/>
                <w:sz w:val="24"/>
                <w:highlight w:val="none"/>
              </w:rPr>
            </w:pPr>
            <w:r>
              <w:rPr>
                <w:rFonts w:hint="eastAsia" w:ascii="宋体" w:hAnsi="宋体" w:cs="宋体"/>
                <w:b/>
                <w:bCs/>
                <w:sz w:val="24"/>
                <w:highlight w:val="none"/>
              </w:rPr>
              <w:t>明细</w:t>
            </w:r>
          </w:p>
        </w:tc>
        <w:tc>
          <w:tcPr>
            <w:tcW w:w="3958" w:type="pct"/>
            <w:vAlign w:val="center"/>
          </w:tcPr>
          <w:p w14:paraId="7CD527D5">
            <w:pPr>
              <w:spacing w:line="360" w:lineRule="exact"/>
              <w:jc w:val="center"/>
              <w:rPr>
                <w:rFonts w:hint="eastAsia" w:ascii="宋体" w:hAnsi="宋体" w:cs="宋体"/>
                <w:b/>
                <w:bCs/>
                <w:sz w:val="24"/>
                <w:highlight w:val="none"/>
              </w:rPr>
            </w:pPr>
            <w:r>
              <w:rPr>
                <w:rFonts w:hint="eastAsia" w:ascii="宋体" w:hAnsi="宋体" w:cs="宋体"/>
                <w:b/>
                <w:bCs/>
                <w:sz w:val="24"/>
                <w:highlight w:val="none"/>
              </w:rPr>
              <w:t>描述</w:t>
            </w:r>
          </w:p>
        </w:tc>
      </w:tr>
      <w:tr w14:paraId="011C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087DACB7">
            <w:pPr>
              <w:spacing w:line="360" w:lineRule="exact"/>
              <w:rPr>
                <w:rFonts w:hint="eastAsia" w:ascii="宋体" w:hAnsi="宋体" w:cs="宋体"/>
                <w:sz w:val="24"/>
                <w:highlight w:val="none"/>
              </w:rPr>
            </w:pPr>
            <w:r>
              <w:rPr>
                <w:rFonts w:hint="eastAsia" w:ascii="宋体" w:hAnsi="宋体" w:cs="宋体"/>
                <w:sz w:val="24"/>
                <w:highlight w:val="none"/>
              </w:rPr>
              <w:t>单位负责人授权书（若有）</w:t>
            </w:r>
          </w:p>
        </w:tc>
        <w:tc>
          <w:tcPr>
            <w:tcW w:w="3958" w:type="pct"/>
            <w:vAlign w:val="center"/>
          </w:tcPr>
          <w:p w14:paraId="36A5ECA8">
            <w:pPr>
              <w:spacing w:line="360" w:lineRule="exact"/>
              <w:rPr>
                <w:rFonts w:hint="eastAsia"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rPr>
              <w:t>企业（银行、保险、石油石化、电力、电信等行业除外）、事业单位和社会团体法人的“单位负责人”指法定代表人，即与实际提交的“营业执照等证明文件”载明的一致。</w:t>
            </w:r>
          </w:p>
          <w:p w14:paraId="0882A4C7">
            <w:pPr>
              <w:spacing w:line="360" w:lineRule="exact"/>
              <w:rPr>
                <w:rFonts w:hint="eastAsia" w:ascii="宋体" w:hAnsi="宋体" w:cs="宋体"/>
                <w:sz w:val="24"/>
                <w:highlight w:val="none"/>
              </w:rPr>
            </w:pPr>
            <w:r>
              <w:rPr>
                <w:rFonts w:hint="eastAsia" w:ascii="宋体" w:hAnsi="宋体" w:cs="宋体"/>
                <w:sz w:val="24"/>
                <w:highlight w:val="none"/>
                <w:lang w:eastAsia="zh-CN"/>
              </w:rPr>
              <w:t>2.</w:t>
            </w:r>
            <w:r>
              <w:rPr>
                <w:rFonts w:hint="eastAsia" w:ascii="宋体" w:hAnsi="宋体" w:cs="宋体"/>
                <w:sz w:val="24"/>
                <w:highlight w:val="none"/>
              </w:rPr>
              <w:t>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3C63ED00">
            <w:pPr>
              <w:spacing w:line="360" w:lineRule="exact"/>
              <w:rPr>
                <w:rFonts w:hint="eastAsia" w:ascii="宋体" w:hAnsi="宋体" w:cs="宋体"/>
                <w:sz w:val="24"/>
                <w:highlight w:val="none"/>
              </w:rPr>
            </w:pPr>
            <w:r>
              <w:rPr>
                <w:rFonts w:hint="eastAsia" w:ascii="宋体" w:hAnsi="宋体" w:cs="宋体"/>
                <w:sz w:val="24"/>
                <w:highlight w:val="none"/>
                <w:lang w:eastAsia="zh-CN"/>
              </w:rPr>
              <w:t>3.</w:t>
            </w:r>
            <w:r>
              <w:rPr>
                <w:rFonts w:hint="eastAsia" w:ascii="宋体" w:hAnsi="宋体" w:cs="宋体"/>
                <w:sz w:val="24"/>
                <w:highlight w:val="none"/>
              </w:rPr>
              <w:t>投标人（自然人除外）：若投标人代表为单位负责人授权的委托代理人，应提供本授权书；若投标人代表为单位负责人，应在此项下提交其身份证正反面复印件，可不提供本授权书。</w:t>
            </w:r>
          </w:p>
          <w:p w14:paraId="2DDC7A3F">
            <w:pPr>
              <w:spacing w:line="360" w:lineRule="exact"/>
              <w:rPr>
                <w:rFonts w:hint="eastAsia" w:ascii="宋体" w:hAnsi="宋体" w:cs="宋体"/>
                <w:sz w:val="24"/>
                <w:highlight w:val="none"/>
              </w:rPr>
            </w:pPr>
            <w:r>
              <w:rPr>
                <w:rFonts w:hint="eastAsia" w:ascii="宋体" w:hAnsi="宋体" w:cs="宋体"/>
                <w:sz w:val="24"/>
                <w:highlight w:val="none"/>
                <w:lang w:eastAsia="zh-CN"/>
              </w:rPr>
              <w:t>4.</w:t>
            </w:r>
            <w:r>
              <w:rPr>
                <w:rFonts w:hint="eastAsia" w:ascii="宋体" w:hAnsi="宋体" w:cs="宋体"/>
                <w:sz w:val="24"/>
                <w:highlight w:val="none"/>
              </w:rPr>
              <w:t>投标人为自然人的，可不填写本授权书。</w:t>
            </w:r>
          </w:p>
          <w:p w14:paraId="47C883D5">
            <w:pPr>
              <w:spacing w:line="360" w:lineRule="exact"/>
              <w:rPr>
                <w:rFonts w:hint="eastAsia" w:ascii="宋体" w:hAnsi="宋体" w:cs="宋体"/>
                <w:sz w:val="24"/>
                <w:highlight w:val="none"/>
              </w:rPr>
            </w:pPr>
            <w:r>
              <w:rPr>
                <w:rFonts w:hint="eastAsia" w:ascii="宋体" w:hAnsi="宋体" w:cs="宋体"/>
                <w:sz w:val="24"/>
                <w:highlight w:val="none"/>
                <w:lang w:eastAsia="zh-CN"/>
              </w:rPr>
              <w:t>5.</w:t>
            </w:r>
            <w:r>
              <w:rPr>
                <w:rFonts w:hint="eastAsia" w:ascii="宋体" w:hAnsi="宋体" w:cs="宋体"/>
                <w:sz w:val="24"/>
                <w:highlight w:val="none"/>
              </w:rPr>
              <w:t>纸质投标文件正本中的本授权书（若有）应为原件。</w:t>
            </w:r>
          </w:p>
          <w:p w14:paraId="280EFF02">
            <w:pPr>
              <w:spacing w:line="360" w:lineRule="exact"/>
              <w:rPr>
                <w:rFonts w:hint="eastAsia" w:ascii="宋体" w:hAnsi="宋体" w:cs="宋体"/>
                <w:sz w:val="24"/>
                <w:highlight w:val="none"/>
              </w:rPr>
            </w:pPr>
            <w:r>
              <w:rPr>
                <w:rFonts w:hint="eastAsia" w:ascii="宋体" w:hAnsi="宋体" w:cs="宋体"/>
                <w:sz w:val="24"/>
                <w:highlight w:val="none"/>
              </w:rPr>
              <w:t>※投标人应按照招标文件第七章规定提供。</w:t>
            </w:r>
          </w:p>
        </w:tc>
      </w:tr>
      <w:tr w14:paraId="0E95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3F267448">
            <w:pPr>
              <w:spacing w:line="360" w:lineRule="exact"/>
              <w:rPr>
                <w:rFonts w:hint="eastAsia" w:ascii="宋体" w:hAnsi="宋体" w:cs="宋体"/>
                <w:sz w:val="24"/>
                <w:highlight w:val="none"/>
              </w:rPr>
            </w:pPr>
            <w:r>
              <w:rPr>
                <w:rFonts w:hint="eastAsia" w:ascii="宋体" w:hAnsi="宋体" w:cs="宋体"/>
                <w:sz w:val="24"/>
                <w:highlight w:val="none"/>
              </w:rPr>
              <w:t>营业执照等证明文件</w:t>
            </w:r>
          </w:p>
        </w:tc>
        <w:tc>
          <w:tcPr>
            <w:tcW w:w="3958" w:type="pct"/>
            <w:vAlign w:val="center"/>
          </w:tcPr>
          <w:p w14:paraId="2BDECA44">
            <w:pPr>
              <w:spacing w:line="360" w:lineRule="exact"/>
              <w:rPr>
                <w:rFonts w:hint="eastAsia"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rPr>
              <w:t>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w:t>
            </w:r>
            <w:r>
              <w:rPr>
                <w:rFonts w:hint="eastAsia" w:ascii="宋体" w:hAnsi="宋体" w:cs="宋体"/>
                <w:sz w:val="24"/>
                <w:highlight w:val="none"/>
                <w:lang w:eastAsia="zh-CN"/>
              </w:rPr>
              <w:t>法律法规</w:t>
            </w:r>
            <w:r>
              <w:rPr>
                <w:rFonts w:hint="eastAsia" w:ascii="宋体" w:hAnsi="宋体" w:cs="宋体"/>
                <w:sz w:val="24"/>
                <w:highlight w:val="none"/>
              </w:rPr>
              <w:t>和规章规定，提供有效的相应具体证照复印件。</w:t>
            </w:r>
          </w:p>
          <w:p w14:paraId="2F45757C">
            <w:pPr>
              <w:spacing w:line="360" w:lineRule="exact"/>
              <w:rPr>
                <w:rFonts w:hint="eastAsia" w:ascii="宋体" w:hAnsi="宋体" w:cs="宋体"/>
                <w:sz w:val="24"/>
                <w:highlight w:val="none"/>
              </w:rPr>
            </w:pPr>
            <w:r>
              <w:rPr>
                <w:rFonts w:hint="eastAsia" w:ascii="宋体" w:hAnsi="宋体" w:cs="宋体"/>
                <w:sz w:val="24"/>
                <w:highlight w:val="none"/>
                <w:lang w:eastAsia="zh-CN"/>
              </w:rPr>
              <w:t>2.</w:t>
            </w:r>
            <w:r>
              <w:rPr>
                <w:rFonts w:hint="eastAsia" w:ascii="宋体" w:hAnsi="宋体" w:cs="宋体"/>
                <w:sz w:val="24"/>
                <w:highlight w:val="none"/>
              </w:rPr>
              <w:t>投标人提供的相应证明材料复印件均应符合：内容完整、清晰、整洁，并由投标人加盖其单位公章。</w:t>
            </w:r>
          </w:p>
          <w:p w14:paraId="221B7F5E">
            <w:pPr>
              <w:spacing w:line="360" w:lineRule="exact"/>
              <w:rPr>
                <w:rFonts w:hint="eastAsia" w:ascii="宋体" w:hAnsi="宋体" w:cs="宋体"/>
                <w:sz w:val="24"/>
                <w:highlight w:val="none"/>
              </w:rPr>
            </w:pPr>
            <w:r>
              <w:rPr>
                <w:rFonts w:hint="eastAsia" w:ascii="宋体" w:hAnsi="宋体" w:cs="宋体"/>
                <w:sz w:val="24"/>
                <w:highlight w:val="none"/>
              </w:rPr>
              <w:t>※投标人应按照招标文件第七章规定提供。</w:t>
            </w:r>
          </w:p>
          <w:p w14:paraId="42A3DC5D">
            <w:pPr>
              <w:spacing w:line="360" w:lineRule="exact"/>
              <w:rPr>
                <w:rFonts w:hint="eastAsia" w:ascii="宋体" w:hAnsi="宋体" w:cs="宋体"/>
                <w:sz w:val="24"/>
                <w:highlight w:val="none"/>
              </w:rPr>
            </w:pPr>
            <w:r>
              <w:rPr>
                <w:rFonts w:hint="eastAsia" w:ascii="宋体" w:hAnsi="宋体" w:cs="宋体"/>
                <w:b/>
                <w:bCs/>
                <w:sz w:val="24"/>
                <w:highlight w:val="none"/>
              </w:rPr>
              <w:t>注：本项允许投标人采用资格承诺，采用资格承诺制的投标人，须根据投标文件格式要求提供《资格承诺函》，否则，视为未按照招标文件规定提交投标人的资格及资信文件，按资格审查不合格处理。</w:t>
            </w:r>
          </w:p>
        </w:tc>
      </w:tr>
      <w:tr w14:paraId="1A4F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6353B30B">
            <w:pPr>
              <w:spacing w:line="360" w:lineRule="exact"/>
              <w:rPr>
                <w:rFonts w:hint="eastAsia" w:ascii="宋体" w:hAnsi="宋体" w:cs="宋体"/>
                <w:sz w:val="24"/>
                <w:highlight w:val="none"/>
              </w:rPr>
            </w:pPr>
            <w:r>
              <w:rPr>
                <w:rFonts w:hint="eastAsia" w:ascii="宋体" w:hAnsi="宋体" w:cs="宋体"/>
                <w:sz w:val="24"/>
                <w:highlight w:val="none"/>
              </w:rPr>
              <w:t>财务状况报告（财务报告或资信证明）</w:t>
            </w:r>
          </w:p>
        </w:tc>
        <w:tc>
          <w:tcPr>
            <w:tcW w:w="3958" w:type="pct"/>
            <w:vAlign w:val="center"/>
          </w:tcPr>
          <w:p w14:paraId="252D44CF">
            <w:pPr>
              <w:spacing w:line="360" w:lineRule="exact"/>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sz w:val="24"/>
                <w:highlight w:val="none"/>
              </w:rPr>
              <w:t>投标人提供的财务报告复印件（成立年限按照投标截止时间推算）应符合下列规定：1.1成立年限满1年及以上的投标人，提供经审计的</w:t>
            </w:r>
            <w:r>
              <w:rPr>
                <w:rFonts w:hint="eastAsia" w:ascii="宋体" w:hAnsi="宋体" w:cs="宋体"/>
                <w:b/>
                <w:bCs/>
                <w:sz w:val="24"/>
                <w:highlight w:val="none"/>
              </w:rPr>
              <w:t>2025年度</w:t>
            </w:r>
            <w:r>
              <w:rPr>
                <w:rFonts w:hint="eastAsia" w:ascii="宋体" w:hAnsi="宋体" w:cs="宋体"/>
                <w:sz w:val="24"/>
                <w:highlight w:val="none"/>
              </w:rPr>
              <w:t>财务报告。1.2成立年限满半年但不足1年的投标人，提供该半年度中任一季度的季度财务报告或该半年度的半年度财务报告。※无法按照第1.1、1.2条规定提供财务报告复印件的投标人（包括但不限于：成立年限满1年及以上的投标人、成立年限满半年但不足1年的投标人、成立年限不足半年的投标人），应选择提供资信证明复印件。</w:t>
            </w:r>
          </w:p>
          <w:p w14:paraId="223F0A46">
            <w:pPr>
              <w:spacing w:line="360" w:lineRule="exact"/>
              <w:rPr>
                <w:rFonts w:hint="eastAsia" w:ascii="宋体" w:hAnsi="宋体" w:cs="宋体"/>
                <w:sz w:val="24"/>
                <w:highlight w:val="none"/>
              </w:rPr>
            </w:pPr>
            <w:r>
              <w:rPr>
                <w:rFonts w:hint="eastAsia" w:ascii="宋体" w:hAnsi="宋体" w:cs="宋体"/>
                <w:sz w:val="24"/>
                <w:highlight w:val="none"/>
                <w:lang w:eastAsia="zh-CN"/>
              </w:rPr>
              <w:t>2.</w:t>
            </w:r>
            <w:r>
              <w:rPr>
                <w:rFonts w:hint="eastAsia" w:ascii="宋体" w:hAnsi="宋体" w:cs="宋体"/>
                <w:sz w:val="24"/>
                <w:highlight w:val="none"/>
              </w:rPr>
              <w:t>投标人提供的相应证明材料均应符合：内容完整、清晰、整洁，并由投标人加盖其单位公章。</w:t>
            </w:r>
          </w:p>
          <w:p w14:paraId="74219D00">
            <w:pPr>
              <w:spacing w:line="360" w:lineRule="exact"/>
              <w:rPr>
                <w:rFonts w:hint="eastAsia" w:ascii="宋体" w:hAnsi="宋体" w:cs="宋体"/>
                <w:sz w:val="24"/>
                <w:highlight w:val="none"/>
              </w:rPr>
            </w:pPr>
            <w:r>
              <w:rPr>
                <w:rFonts w:hint="eastAsia" w:ascii="宋体" w:hAnsi="宋体" w:cs="宋体"/>
                <w:sz w:val="24"/>
                <w:highlight w:val="none"/>
              </w:rPr>
              <w:t>※投标人应按照招标文件第七章规定提供。</w:t>
            </w:r>
          </w:p>
          <w:p w14:paraId="6E0E2B42">
            <w:pPr>
              <w:spacing w:line="360" w:lineRule="exact"/>
              <w:rPr>
                <w:rFonts w:hint="eastAsia" w:ascii="宋体" w:hAnsi="宋体" w:cs="宋体"/>
                <w:sz w:val="24"/>
                <w:highlight w:val="none"/>
              </w:rPr>
            </w:pPr>
            <w:r>
              <w:rPr>
                <w:rFonts w:hint="eastAsia" w:ascii="宋体" w:hAnsi="宋体" w:cs="宋体"/>
                <w:b/>
                <w:bCs/>
                <w:sz w:val="24"/>
                <w:highlight w:val="none"/>
              </w:rPr>
              <w:t>注：本项允许投标人采用资格承诺，采用资格承诺制的投标人，须根据投标文件格式要求提供《资格承诺函》，否则，视为未按照招标文件规定提交投标人的资格及资信文件，按资格审查不合格处理。</w:t>
            </w:r>
          </w:p>
        </w:tc>
      </w:tr>
      <w:tr w14:paraId="479B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4F0ADE79">
            <w:pPr>
              <w:spacing w:line="360" w:lineRule="exact"/>
              <w:rPr>
                <w:rFonts w:hint="eastAsia" w:ascii="宋体" w:hAnsi="宋体" w:cs="宋体"/>
                <w:sz w:val="24"/>
                <w:highlight w:val="none"/>
              </w:rPr>
            </w:pPr>
            <w:r>
              <w:rPr>
                <w:rFonts w:hint="eastAsia" w:ascii="宋体" w:hAnsi="宋体" w:cs="宋体"/>
                <w:sz w:val="24"/>
                <w:highlight w:val="none"/>
              </w:rPr>
              <w:t>依法缴纳税收证明材料</w:t>
            </w:r>
          </w:p>
        </w:tc>
        <w:tc>
          <w:tcPr>
            <w:tcW w:w="3958" w:type="pct"/>
            <w:vAlign w:val="center"/>
          </w:tcPr>
          <w:p w14:paraId="4182AEB6">
            <w:pPr>
              <w:spacing w:line="360" w:lineRule="exact"/>
              <w:rPr>
                <w:rFonts w:hint="eastAsia"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rPr>
              <w:t>投标人提供的税收凭据复印件应符合下列规定：1.1投标截止时间前（不含投标截止时间的当月）已依法缴纳税收的投标人，提供投标截止时间前六个月（不含投标截止时间的当月）中任一月份的税收凭据复印件。1.2投标截止时间的当月成立的投标人，视同满足本项资格条件要求。1.3若为依法免税范围的投标人，提供依法免税证明材料的，视同满足本项资格条件要求。</w:t>
            </w:r>
          </w:p>
          <w:p w14:paraId="1481EB17">
            <w:pPr>
              <w:spacing w:line="360" w:lineRule="exact"/>
              <w:rPr>
                <w:rFonts w:hint="eastAsia" w:ascii="宋体" w:hAnsi="宋体" w:cs="宋体"/>
                <w:sz w:val="24"/>
                <w:highlight w:val="none"/>
              </w:rPr>
            </w:pPr>
            <w:r>
              <w:rPr>
                <w:rFonts w:hint="eastAsia" w:ascii="宋体" w:hAnsi="宋体" w:cs="宋体"/>
                <w:sz w:val="24"/>
                <w:highlight w:val="none"/>
                <w:lang w:eastAsia="zh-CN"/>
              </w:rPr>
              <w:t>2.</w:t>
            </w:r>
            <w:r>
              <w:rPr>
                <w:rFonts w:hint="eastAsia" w:ascii="宋体" w:hAnsi="宋体" w:cs="宋体"/>
                <w:sz w:val="24"/>
                <w:highlight w:val="none"/>
              </w:rPr>
              <w:t>“依法缴纳税收证明材料”有欠缴记录的，视为未依法缴纳税收。</w:t>
            </w:r>
          </w:p>
          <w:p w14:paraId="267FAD05">
            <w:pPr>
              <w:spacing w:line="360" w:lineRule="exact"/>
              <w:rPr>
                <w:rFonts w:hint="eastAsia" w:ascii="宋体" w:hAnsi="宋体" w:cs="宋体"/>
                <w:sz w:val="24"/>
                <w:highlight w:val="none"/>
              </w:rPr>
            </w:pPr>
            <w:r>
              <w:rPr>
                <w:rFonts w:hint="eastAsia" w:ascii="宋体" w:hAnsi="宋体" w:cs="宋体"/>
                <w:sz w:val="24"/>
                <w:highlight w:val="none"/>
                <w:lang w:eastAsia="zh-CN"/>
              </w:rPr>
              <w:t>3.</w:t>
            </w:r>
            <w:r>
              <w:rPr>
                <w:rFonts w:hint="eastAsia" w:ascii="宋体" w:hAnsi="宋体" w:cs="宋体"/>
                <w:sz w:val="24"/>
                <w:highlight w:val="none"/>
              </w:rPr>
              <w:t>投标人提供的相应证明材料复印件均应符合：内容完整、清晰、整洁，并由投标人加盖其单位公章。</w:t>
            </w:r>
          </w:p>
          <w:p w14:paraId="5F464E51">
            <w:pPr>
              <w:spacing w:line="360" w:lineRule="exact"/>
              <w:rPr>
                <w:rFonts w:hint="eastAsia" w:ascii="宋体" w:hAnsi="宋体" w:cs="宋体"/>
                <w:sz w:val="24"/>
                <w:highlight w:val="none"/>
              </w:rPr>
            </w:pPr>
            <w:r>
              <w:rPr>
                <w:rFonts w:hint="eastAsia" w:ascii="宋体" w:hAnsi="宋体" w:cs="宋体"/>
                <w:sz w:val="24"/>
                <w:highlight w:val="none"/>
              </w:rPr>
              <w:t>※投标人应按照招标文件第七章规定提供。</w:t>
            </w:r>
          </w:p>
          <w:p w14:paraId="714AAF73">
            <w:pPr>
              <w:spacing w:line="360" w:lineRule="exact"/>
              <w:rPr>
                <w:rFonts w:hint="eastAsia" w:ascii="宋体" w:hAnsi="宋体" w:cs="宋体"/>
                <w:highlight w:val="none"/>
              </w:rPr>
            </w:pPr>
            <w:r>
              <w:rPr>
                <w:rFonts w:hint="eastAsia" w:ascii="宋体" w:hAnsi="宋体" w:cs="宋体"/>
                <w:b/>
                <w:bCs/>
                <w:sz w:val="24"/>
                <w:highlight w:val="none"/>
              </w:rPr>
              <w:t>注：本项允许投标人采用资格承诺，采用资格承诺制的投标人，须根据投标文件格式要求提供《资格承诺函》，否则，视为未按照招标文件规定提交投标人的资格及资信文件，按资格审查不合格处理。</w:t>
            </w:r>
          </w:p>
        </w:tc>
      </w:tr>
      <w:tr w14:paraId="596E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57282991">
            <w:pPr>
              <w:spacing w:line="360" w:lineRule="exact"/>
              <w:rPr>
                <w:rFonts w:hint="eastAsia" w:ascii="宋体" w:hAnsi="宋体" w:cs="宋体"/>
                <w:sz w:val="24"/>
                <w:highlight w:val="none"/>
              </w:rPr>
            </w:pPr>
            <w:r>
              <w:rPr>
                <w:rFonts w:hint="eastAsia" w:ascii="宋体" w:hAnsi="宋体" w:cs="宋体"/>
                <w:sz w:val="24"/>
                <w:highlight w:val="none"/>
              </w:rPr>
              <w:t>依法缴纳社会保障资金证明材料</w:t>
            </w:r>
          </w:p>
        </w:tc>
        <w:tc>
          <w:tcPr>
            <w:tcW w:w="3958" w:type="pct"/>
            <w:vAlign w:val="center"/>
          </w:tcPr>
          <w:p w14:paraId="70A6D8BF">
            <w:pPr>
              <w:spacing w:line="360" w:lineRule="exact"/>
              <w:rPr>
                <w:rFonts w:hint="eastAsia"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rPr>
              <w:t>投标人提供的社会保险凭据复印件应符合下列规定：1.1投标截止时间前（不含投标截止时间的当月）已依法缴纳社会保障资金的投标人，提供投标截止时间前六个月（不含投标截止时间的当月）中任一月份的社会保险凭据复印件。1.2投标截止时间的当月成立的投标人，视同满足本项资格条件要求。1.3若为依法不需要缴纳或暂缓缴纳社会保障资金的投标人，提供依法不需要缴纳或暂缓缴纳社会保障资金证明材料的，视同满足本项资格条件要求。</w:t>
            </w:r>
          </w:p>
          <w:p w14:paraId="721FDC76">
            <w:pPr>
              <w:spacing w:line="360" w:lineRule="exact"/>
              <w:rPr>
                <w:rFonts w:hint="eastAsia" w:ascii="宋体" w:hAnsi="宋体" w:cs="宋体"/>
                <w:sz w:val="24"/>
                <w:highlight w:val="none"/>
              </w:rPr>
            </w:pPr>
            <w:r>
              <w:rPr>
                <w:rFonts w:hint="eastAsia" w:ascii="宋体" w:hAnsi="宋体" w:cs="宋体"/>
                <w:sz w:val="24"/>
                <w:highlight w:val="none"/>
                <w:lang w:eastAsia="zh-CN"/>
              </w:rPr>
              <w:t>2.</w:t>
            </w:r>
            <w:r>
              <w:rPr>
                <w:rFonts w:hint="eastAsia" w:ascii="宋体" w:hAnsi="宋体" w:cs="宋体"/>
                <w:sz w:val="24"/>
                <w:highlight w:val="none"/>
              </w:rPr>
              <w:t>“依法缴纳社会保障资金证明材料”有欠缴记录的，视为未依法缴纳社会保障资金。</w:t>
            </w:r>
          </w:p>
          <w:p w14:paraId="55EE967F">
            <w:pPr>
              <w:spacing w:line="360" w:lineRule="exact"/>
              <w:rPr>
                <w:rFonts w:hint="eastAsia" w:ascii="宋体" w:hAnsi="宋体" w:cs="宋体"/>
                <w:sz w:val="24"/>
                <w:highlight w:val="none"/>
              </w:rPr>
            </w:pPr>
            <w:r>
              <w:rPr>
                <w:rFonts w:hint="eastAsia" w:ascii="宋体" w:hAnsi="宋体" w:cs="宋体"/>
                <w:sz w:val="24"/>
                <w:highlight w:val="none"/>
                <w:lang w:eastAsia="zh-CN"/>
              </w:rPr>
              <w:t>3.</w:t>
            </w:r>
            <w:r>
              <w:rPr>
                <w:rFonts w:hint="eastAsia" w:ascii="宋体" w:hAnsi="宋体" w:cs="宋体"/>
                <w:sz w:val="24"/>
                <w:highlight w:val="none"/>
              </w:rPr>
              <w:t>投标人提供的相应证明材料复印件均应符合：内容完整、清晰、整洁，并由投标人加盖其单位公章。</w:t>
            </w:r>
          </w:p>
          <w:p w14:paraId="48765A04">
            <w:pPr>
              <w:spacing w:line="360" w:lineRule="exact"/>
              <w:rPr>
                <w:rFonts w:hint="eastAsia" w:ascii="宋体" w:hAnsi="宋体" w:cs="宋体"/>
                <w:sz w:val="24"/>
                <w:highlight w:val="none"/>
              </w:rPr>
            </w:pPr>
            <w:r>
              <w:rPr>
                <w:rFonts w:hint="eastAsia" w:ascii="宋体" w:hAnsi="宋体" w:cs="宋体"/>
                <w:sz w:val="24"/>
                <w:highlight w:val="none"/>
              </w:rPr>
              <w:t>※投标人应按照招标文件第七章规定提供。</w:t>
            </w:r>
          </w:p>
          <w:p w14:paraId="7AC241D7">
            <w:pPr>
              <w:spacing w:line="360" w:lineRule="exact"/>
              <w:rPr>
                <w:rFonts w:hint="eastAsia" w:ascii="宋体" w:hAnsi="宋体" w:cs="宋体"/>
                <w:sz w:val="24"/>
                <w:highlight w:val="none"/>
              </w:rPr>
            </w:pPr>
            <w:r>
              <w:rPr>
                <w:rFonts w:hint="eastAsia" w:ascii="宋体" w:hAnsi="宋体" w:cs="宋体"/>
                <w:b/>
                <w:bCs/>
                <w:sz w:val="24"/>
                <w:highlight w:val="none"/>
              </w:rPr>
              <w:t>注：本项允许投标人采用资格承诺，采用资格承诺制的投标人，须根据投标文件格式要求提供《资格承诺函》，否则，视为未按照招标文件规定提交投标人的资格及资信文件，按资格审查不合格处理。</w:t>
            </w:r>
          </w:p>
        </w:tc>
      </w:tr>
      <w:tr w14:paraId="45FE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23910F53">
            <w:pPr>
              <w:spacing w:line="360" w:lineRule="exact"/>
              <w:rPr>
                <w:rFonts w:hint="eastAsia" w:ascii="宋体" w:hAnsi="宋体" w:cs="宋体"/>
                <w:sz w:val="24"/>
                <w:highlight w:val="none"/>
              </w:rPr>
            </w:pPr>
            <w:r>
              <w:rPr>
                <w:rFonts w:hint="eastAsia" w:ascii="宋体" w:hAnsi="宋体" w:cs="宋体"/>
                <w:sz w:val="24"/>
                <w:highlight w:val="none"/>
              </w:rPr>
              <w:t>具备履行合同所必需设备和专业技术能力的声明函</w:t>
            </w:r>
          </w:p>
        </w:tc>
        <w:tc>
          <w:tcPr>
            <w:tcW w:w="3958" w:type="pct"/>
            <w:vAlign w:val="center"/>
          </w:tcPr>
          <w:p w14:paraId="4B4C4FAF">
            <w:pPr>
              <w:spacing w:line="360" w:lineRule="exact"/>
              <w:rPr>
                <w:rFonts w:hint="eastAsia"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rPr>
              <w:t>招标文件未要求投标人提供“具备履行合同所必需的设备和专业技术能力专项证明材料”的，投标人应提供本声明函。2、招标文件要求投标人提供“具备履行合同所必需的设备和专业技术能力专项证明材料”的，投标人可不提供本声明函。3、纸质投标文件正本中的本声明函（若有）应为原件。※投标人应按照招标文件第七章规定提供。</w:t>
            </w:r>
          </w:p>
          <w:p w14:paraId="6E79EDDC">
            <w:pPr>
              <w:spacing w:line="360" w:lineRule="exact"/>
              <w:rPr>
                <w:rFonts w:hint="eastAsia" w:ascii="宋体" w:hAnsi="宋体" w:cs="宋体"/>
                <w:sz w:val="24"/>
                <w:highlight w:val="none"/>
              </w:rPr>
            </w:pPr>
            <w:r>
              <w:rPr>
                <w:rFonts w:hint="eastAsia" w:ascii="宋体" w:hAnsi="宋体" w:cs="宋体"/>
                <w:b/>
                <w:bCs/>
                <w:sz w:val="24"/>
                <w:highlight w:val="none"/>
              </w:rPr>
              <w:t>注：本项允许投标人采用资格承诺，采用资格承诺制的投标人，须根据投标文件格式要求提供《资格承诺函》，否则，视为未按照招标文件规定提交投标人的资格及资信文件，按资格审查不合格处理。</w:t>
            </w:r>
          </w:p>
        </w:tc>
      </w:tr>
      <w:tr w14:paraId="1095F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769735D4">
            <w:pPr>
              <w:spacing w:line="360" w:lineRule="exact"/>
              <w:rPr>
                <w:rFonts w:hint="eastAsia" w:ascii="宋体" w:hAnsi="宋体" w:cs="宋体"/>
                <w:sz w:val="24"/>
                <w:highlight w:val="none"/>
              </w:rPr>
            </w:pPr>
            <w:r>
              <w:rPr>
                <w:rFonts w:hint="eastAsia" w:ascii="宋体" w:hAnsi="宋体" w:cs="宋体"/>
                <w:sz w:val="24"/>
                <w:highlight w:val="none"/>
              </w:rPr>
              <w:t>参加采购活动前三年内在经营活动中没有重大违法记录书面声明</w:t>
            </w:r>
          </w:p>
        </w:tc>
        <w:tc>
          <w:tcPr>
            <w:tcW w:w="3958" w:type="pct"/>
            <w:vAlign w:val="center"/>
          </w:tcPr>
          <w:p w14:paraId="50803A58">
            <w:pPr>
              <w:spacing w:line="360" w:lineRule="exact"/>
              <w:rPr>
                <w:rFonts w:hint="eastAsia" w:ascii="宋体" w:hAnsi="宋体" w:cs="宋体"/>
                <w:sz w:val="24"/>
                <w:highlight w:val="none"/>
              </w:rPr>
            </w:pPr>
            <w:r>
              <w:rPr>
                <w:rFonts w:hint="eastAsia" w:ascii="宋体" w:hAnsi="宋体" w:cs="宋体"/>
                <w:sz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5923BCC">
            <w:pPr>
              <w:spacing w:line="360" w:lineRule="exact"/>
              <w:rPr>
                <w:rFonts w:hint="eastAsia" w:ascii="宋体" w:hAnsi="宋体" w:cs="宋体"/>
                <w:sz w:val="24"/>
                <w:highlight w:val="none"/>
              </w:rPr>
            </w:pPr>
            <w:r>
              <w:rPr>
                <w:rFonts w:hint="eastAsia" w:ascii="宋体" w:hAnsi="宋体" w:cs="宋体"/>
                <w:b/>
                <w:bCs/>
                <w:sz w:val="24"/>
                <w:highlight w:val="none"/>
              </w:rPr>
              <w:t>注：本项允许投标人采用资格承诺，采用资格承诺制的投标人，须根据投标文件格式要求提供《资格承诺函》，否则，视为未按照招标文件规定提交投标人的资格及资信文件，按资格审查不合格处理。</w:t>
            </w:r>
          </w:p>
        </w:tc>
      </w:tr>
      <w:tr w14:paraId="2805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0D64A5F0">
            <w:pPr>
              <w:spacing w:line="360" w:lineRule="exact"/>
              <w:rPr>
                <w:rFonts w:hint="eastAsia" w:ascii="宋体" w:hAnsi="宋体" w:cs="宋体"/>
                <w:sz w:val="24"/>
                <w:highlight w:val="none"/>
              </w:rPr>
            </w:pPr>
            <w:r>
              <w:rPr>
                <w:rFonts w:hint="eastAsia" w:ascii="宋体" w:hAnsi="宋体" w:cs="宋体"/>
                <w:sz w:val="24"/>
                <w:highlight w:val="none"/>
              </w:rPr>
              <w:t>信用记录查询结果</w:t>
            </w:r>
          </w:p>
        </w:tc>
        <w:tc>
          <w:tcPr>
            <w:tcW w:w="3958" w:type="pct"/>
            <w:vAlign w:val="center"/>
          </w:tcPr>
          <w:p w14:paraId="41AE8CB2">
            <w:pPr>
              <w:spacing w:line="360" w:lineRule="exact"/>
              <w:rPr>
                <w:rFonts w:hint="eastAsia" w:ascii="宋体" w:hAnsi="宋体" w:cs="宋体"/>
                <w:sz w:val="24"/>
                <w:highlight w:val="none"/>
              </w:rPr>
            </w:pPr>
            <w:r>
              <w:rPr>
                <w:rFonts w:hint="eastAsia" w:ascii="宋体" w:hAnsi="宋体" w:cs="宋体"/>
                <w:kern w:val="0"/>
                <w:sz w:val="24"/>
                <w:highlight w:val="none"/>
              </w:rPr>
              <w:t>资格审查小组分别通过“信用中国”网站（www.creditchina.gov.cn）、中国政府采购网（www.ccgp.gov.cn）查询并打印相应的信用记录。对列入失信被执行人、重大税收违法案件当事人名单、政府采购严重违法失信行为记录名单及其他不符合《中华人民共和国政府采购法》第二十二条规定条件的供应商，拒绝其参与政府采购活动。查询结果存在投标人应被拒绝参与政府采购活动相关信息的，其资格审查不合格。</w:t>
            </w:r>
          </w:p>
        </w:tc>
      </w:tr>
    </w:tbl>
    <w:p w14:paraId="0017A8AA">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rPr>
        <w:t>5.2特定条件：无。</w:t>
      </w:r>
    </w:p>
    <w:p w14:paraId="297AD910">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rPr>
        <w:t>5.3是否接受联合体投标：不接受。</w:t>
      </w:r>
    </w:p>
    <w:p w14:paraId="12646B1A">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rPr>
        <w:t>※根据上述资格要求，投标文件中应提交的“投标人的资格及资信证明文件”详见招标文件第四章。</w:t>
      </w:r>
    </w:p>
    <w:p w14:paraId="5CF1EBE6">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lang w:eastAsia="zh-CN"/>
        </w:rPr>
        <w:t>6.</w:t>
      </w:r>
      <w:r>
        <w:rPr>
          <w:rFonts w:hint="eastAsia" w:ascii="宋体" w:hAnsi="宋体" w:cs="宋体"/>
          <w:highlight w:val="none"/>
        </w:rPr>
        <w:t>获取招标文件</w:t>
      </w:r>
    </w:p>
    <w:p w14:paraId="3F085D51">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rPr>
        <w:t>6.1获取招标文件时间：</w:t>
      </w:r>
      <w:r>
        <w:rPr>
          <w:rFonts w:hint="eastAsia" w:ascii="宋体" w:hAnsi="宋体" w:cs="宋体"/>
          <w:b/>
          <w:bCs/>
          <w:color w:val="0000FF"/>
          <w:highlight w:val="none"/>
        </w:rPr>
        <w:t xml:space="preserve">2026年  月  </w:t>
      </w:r>
      <w:r>
        <w:rPr>
          <w:rFonts w:hint="eastAsia" w:ascii="宋体" w:hAnsi="宋体" w:cs="宋体"/>
          <w:b/>
          <w:bCs/>
          <w:color w:val="0000FF"/>
          <w:highlight w:val="none"/>
          <w:lang w:eastAsia="zh-CN"/>
        </w:rPr>
        <w:t>日起至2026年</w:t>
      </w:r>
      <w:r>
        <w:rPr>
          <w:rFonts w:hint="eastAsia" w:ascii="宋体" w:hAnsi="宋体" w:cs="宋体"/>
          <w:b/>
          <w:bCs/>
          <w:color w:val="0000FF"/>
          <w:highlight w:val="none"/>
        </w:rPr>
        <w:t xml:space="preserve">  月  日</w:t>
      </w:r>
      <w:r>
        <w:rPr>
          <w:rFonts w:hint="eastAsia" w:ascii="宋体" w:hAnsi="宋体" w:cs="宋体"/>
          <w:highlight w:val="none"/>
        </w:rPr>
        <w:t>，每天上午8:00至12:00，下午3:00至6:00（北京时间，法定节假日除外）。</w:t>
      </w:r>
    </w:p>
    <w:p w14:paraId="1BE68DAA">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rPr>
        <w:t>6.2获取招标文件地点及方式：</w:t>
      </w:r>
    </w:p>
    <w:p w14:paraId="6375C0F6">
      <w:pPr>
        <w:pStyle w:val="10"/>
        <w:spacing w:before="0" w:beforeAutospacing="0" w:after="0" w:afterAutospacing="0" w:line="380" w:lineRule="exact"/>
        <w:ind w:firstLine="378"/>
        <w:rPr>
          <w:rFonts w:hint="eastAsia" w:ascii="宋体" w:hAnsi="宋体" w:cs="宋体"/>
          <w:highlight w:val="none"/>
          <w:shd w:val="pct10" w:color="auto" w:fill="FFFFFF"/>
        </w:rPr>
      </w:pPr>
      <w:r>
        <w:rPr>
          <w:rFonts w:hint="eastAsia" w:ascii="宋体" w:hAnsi="宋体" w:cs="宋体"/>
          <w:highlight w:val="none"/>
        </w:rPr>
        <w:t>（1）地点：</w:t>
      </w:r>
      <w:r>
        <w:rPr>
          <w:rFonts w:hint="eastAsia" w:ascii="宋体" w:hAnsi="宋体" w:cs="宋体"/>
          <w:b/>
          <w:highlight w:val="none"/>
          <w:shd w:val="pct10" w:color="auto" w:fill="FFFFFF"/>
        </w:rPr>
        <w:t>福建省智信招标有限公司财务室（福州市鼓楼区五四路159号世界金龙大厦第14层A单元）。</w:t>
      </w:r>
    </w:p>
    <w:p w14:paraId="27000251">
      <w:pPr>
        <w:pStyle w:val="10"/>
        <w:spacing w:before="0" w:beforeAutospacing="0" w:after="0" w:afterAutospacing="0" w:line="400" w:lineRule="exact"/>
        <w:ind w:firstLine="378"/>
        <w:rPr>
          <w:rFonts w:hint="eastAsia" w:ascii="宋体" w:hAnsi="宋体" w:cs="宋体"/>
          <w:highlight w:val="none"/>
        </w:rPr>
      </w:pPr>
      <w:r>
        <w:rPr>
          <w:rFonts w:hint="eastAsia" w:ascii="宋体" w:hAnsi="宋体" w:cs="宋体"/>
          <w:highlight w:val="none"/>
        </w:rPr>
        <w:t>（2）方式：参加本项目投标的供应商应在获取招标文件截止时间前，按照以下方式进行办理获取招标文件手续：A、直接至我司现场报名的，须至我司填写《获取招标（采购）文件登记表》且缴纳相应金额后受理；B、通过电子邮件报名的：须按公告提供的开户名、开户行、账号及公告的要求，电汇或转账相应的金额到本公司账户，同时将电汇或转账底单复印件及按照本公司《获取招标（采购）文件登记表》格式（下载网址：http://www.fjzxzb.com/info/302.html）填写清楚并加盖公章发送至本公司邮箱（zhixin04@126.com）。</w:t>
      </w:r>
      <w:r>
        <w:rPr>
          <w:rFonts w:hint="eastAsia" w:ascii="宋体" w:hAnsi="宋体" w:cs="宋体"/>
          <w:b/>
          <w:bCs/>
          <w:highlight w:val="none"/>
        </w:rPr>
        <w:t>未办理获取招标文件手续的不予以书面变更通知及不受理投标文件。递交投标文件时投标人的名称要与获取招标文件的名称相一致，除能提供市场监督部门出具的单位名称变更证明外，否则代理机构将拒绝接收投标文件。</w:t>
      </w:r>
    </w:p>
    <w:p w14:paraId="113B1E77">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rPr>
        <w:t>6.3招标文件售价：</w:t>
      </w:r>
      <w:r>
        <w:rPr>
          <w:rFonts w:hint="eastAsia" w:ascii="宋体" w:hAnsi="宋体" w:cs="宋体"/>
          <w:highlight w:val="none"/>
          <w:u w:val="single"/>
        </w:rPr>
        <w:t>50.00</w:t>
      </w:r>
      <w:r>
        <w:rPr>
          <w:rFonts w:hint="eastAsia" w:ascii="宋体" w:hAnsi="宋体" w:cs="宋体"/>
          <w:highlight w:val="none"/>
        </w:rPr>
        <w:t>元人民币，售后不退。</w:t>
      </w:r>
    </w:p>
    <w:p w14:paraId="78CFF4F2">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lang w:eastAsia="zh-CN"/>
        </w:rPr>
        <w:t>7.</w:t>
      </w:r>
      <w:r>
        <w:rPr>
          <w:rFonts w:hint="eastAsia" w:ascii="宋体" w:hAnsi="宋体" w:cs="宋体"/>
          <w:highlight w:val="none"/>
        </w:rPr>
        <w:t>投标截止时间、开标时间和地点</w:t>
      </w:r>
    </w:p>
    <w:p w14:paraId="1DB604F4">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rPr>
        <w:t>7.1投标截止时间、开标时间：</w:t>
      </w:r>
      <w:r>
        <w:rPr>
          <w:rFonts w:hint="eastAsia" w:ascii="宋体" w:hAnsi="宋体" w:cs="宋体"/>
          <w:b/>
          <w:bCs/>
          <w:color w:val="0000FF"/>
          <w:highlight w:val="none"/>
        </w:rPr>
        <w:t>2026年  月  日  点  分</w:t>
      </w:r>
      <w:r>
        <w:rPr>
          <w:rFonts w:hint="eastAsia" w:ascii="宋体" w:hAnsi="宋体" w:cs="宋体"/>
          <w:highlight w:val="none"/>
        </w:rPr>
        <w:t>（北京时间）</w:t>
      </w:r>
    </w:p>
    <w:p w14:paraId="6381CAE9">
      <w:pPr>
        <w:pStyle w:val="10"/>
        <w:spacing w:before="0" w:beforeAutospacing="0" w:after="0" w:afterAutospacing="0" w:line="380" w:lineRule="exact"/>
        <w:ind w:firstLine="378"/>
        <w:rPr>
          <w:rFonts w:hint="eastAsia" w:ascii="宋体" w:hAnsi="宋体" w:cs="宋体"/>
          <w:b/>
          <w:highlight w:val="none"/>
          <w:shd w:val="pct10" w:color="auto" w:fill="FFFFFF"/>
        </w:rPr>
      </w:pPr>
      <w:r>
        <w:rPr>
          <w:rFonts w:hint="eastAsia" w:ascii="宋体" w:hAnsi="宋体" w:cs="宋体"/>
          <w:highlight w:val="none"/>
        </w:rPr>
        <w:t>7.2地点：</w:t>
      </w:r>
      <w:r>
        <w:rPr>
          <w:rFonts w:hint="eastAsia" w:ascii="宋体" w:hAnsi="宋体" w:cs="宋体"/>
          <w:b/>
          <w:highlight w:val="none"/>
          <w:shd w:val="pct10" w:color="auto" w:fill="FFFFFF"/>
        </w:rPr>
        <w:t>福建省智信招标有限公司开标大厅（福州市鼓楼区五四路159号世界金龙大厦第14层A、C1单元）。</w:t>
      </w:r>
    </w:p>
    <w:p w14:paraId="665C5C8A">
      <w:pPr>
        <w:pStyle w:val="10"/>
        <w:spacing w:before="0" w:beforeAutospacing="0" w:after="0" w:afterAutospacing="0" w:line="380" w:lineRule="exact"/>
        <w:ind w:firstLine="378"/>
        <w:rPr>
          <w:rFonts w:hint="eastAsia" w:ascii="宋体" w:hAnsi="宋体" w:cs="宋体"/>
          <w:bCs/>
          <w:highlight w:val="none"/>
        </w:rPr>
      </w:pPr>
      <w:r>
        <w:rPr>
          <w:rFonts w:hint="eastAsia" w:ascii="宋体" w:hAnsi="宋体" w:cs="宋体"/>
          <w:highlight w:val="none"/>
        </w:rPr>
        <w:t>7.3投标人应在投标截止时间前将</w:t>
      </w:r>
      <w:r>
        <w:rPr>
          <w:rFonts w:hint="eastAsia" w:ascii="宋体" w:hAnsi="宋体" w:cs="宋体"/>
          <w:bCs/>
          <w:highlight w:val="none"/>
        </w:rPr>
        <w:t>密封的纸质投标文件</w:t>
      </w:r>
      <w:r>
        <w:rPr>
          <w:rFonts w:hint="eastAsia" w:ascii="宋体" w:hAnsi="宋体" w:cs="宋体"/>
          <w:highlight w:val="none"/>
        </w:rPr>
        <w:t>送达招标文件第一章第7.2条载明的地点，否则</w:t>
      </w:r>
      <w:r>
        <w:rPr>
          <w:rFonts w:hint="eastAsia" w:ascii="宋体" w:hAnsi="宋体" w:cs="宋体"/>
          <w:bCs/>
          <w:highlight w:val="none"/>
        </w:rPr>
        <w:t>投标将被拒绝。</w:t>
      </w:r>
    </w:p>
    <w:p w14:paraId="0E0C220E">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lang w:eastAsia="zh-CN"/>
        </w:rPr>
        <w:t>8.</w:t>
      </w:r>
      <w:r>
        <w:rPr>
          <w:rFonts w:hint="eastAsia" w:ascii="宋体" w:hAnsi="宋体" w:cs="宋体"/>
          <w:highlight w:val="none"/>
        </w:rPr>
        <w:t>公告期限</w:t>
      </w:r>
    </w:p>
    <w:p w14:paraId="788884EF">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rPr>
        <w:t>8.1招标公告的公告期限：5个工作日。</w:t>
      </w:r>
    </w:p>
    <w:p w14:paraId="77A5DB6A">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lang w:eastAsia="zh-CN"/>
        </w:rPr>
        <w:t>9.</w:t>
      </w:r>
      <w:r>
        <w:rPr>
          <w:rFonts w:hint="eastAsia" w:ascii="宋体" w:hAnsi="宋体" w:cs="宋体"/>
          <w:highlight w:val="none"/>
        </w:rPr>
        <w:t>采购人：</w:t>
      </w:r>
      <w:bookmarkStart w:id="3" w:name="OLE_LINK6"/>
      <w:r>
        <w:rPr>
          <w:rFonts w:hint="eastAsia" w:ascii="宋体" w:hAnsi="宋体" w:cs="宋体"/>
          <w:highlight w:val="none"/>
        </w:rPr>
        <w:t>福州市鼓楼区城建投资发展集团有限公司</w:t>
      </w:r>
      <w:bookmarkEnd w:id="3"/>
    </w:p>
    <w:p w14:paraId="690D43A5">
      <w:pPr>
        <w:pStyle w:val="10"/>
        <w:spacing w:before="0" w:beforeAutospacing="0" w:after="0" w:afterAutospacing="0" w:line="380" w:lineRule="exact"/>
        <w:ind w:firstLine="856" w:firstLineChars="357"/>
        <w:rPr>
          <w:rFonts w:hint="eastAsia" w:ascii="宋体" w:hAnsi="宋体" w:cs="宋体"/>
          <w:highlight w:val="none"/>
        </w:rPr>
      </w:pPr>
      <w:r>
        <w:rPr>
          <w:rFonts w:hint="eastAsia" w:ascii="宋体" w:hAnsi="宋体" w:cs="宋体"/>
          <w:highlight w:val="none"/>
        </w:rPr>
        <w:t>地址：福州市鼓楼区东水路62号</w:t>
      </w:r>
    </w:p>
    <w:p w14:paraId="51D3A5AD">
      <w:pPr>
        <w:pStyle w:val="10"/>
        <w:spacing w:before="0" w:beforeAutospacing="0" w:after="0" w:afterAutospacing="0" w:line="380" w:lineRule="exact"/>
        <w:ind w:firstLine="856" w:firstLineChars="357"/>
        <w:rPr>
          <w:rFonts w:hint="eastAsia" w:ascii="宋体" w:hAnsi="宋体" w:cs="宋体"/>
          <w:highlight w:val="none"/>
        </w:rPr>
      </w:pPr>
      <w:r>
        <w:rPr>
          <w:rFonts w:hint="eastAsia" w:ascii="宋体" w:hAnsi="宋体" w:cs="宋体"/>
          <w:highlight w:val="none"/>
        </w:rPr>
        <w:t>联系人：许工、董工</w:t>
      </w:r>
    </w:p>
    <w:p w14:paraId="78DAFF72">
      <w:pPr>
        <w:pStyle w:val="10"/>
        <w:spacing w:before="0" w:beforeAutospacing="0" w:after="0" w:afterAutospacing="0" w:line="380" w:lineRule="exact"/>
        <w:ind w:firstLine="856" w:firstLineChars="357"/>
        <w:rPr>
          <w:rFonts w:hint="eastAsia" w:ascii="宋体" w:hAnsi="宋体" w:cs="宋体"/>
          <w:highlight w:val="none"/>
        </w:rPr>
      </w:pPr>
      <w:r>
        <w:rPr>
          <w:rFonts w:hint="eastAsia" w:ascii="宋体" w:hAnsi="宋体" w:cs="宋体"/>
          <w:highlight w:val="none"/>
        </w:rPr>
        <w:t xml:space="preserve">联系方式：0591-83517007、0591-87271227 </w:t>
      </w:r>
    </w:p>
    <w:p w14:paraId="4092E1A0">
      <w:pPr>
        <w:pStyle w:val="10"/>
        <w:spacing w:before="0" w:beforeAutospacing="0" w:after="0" w:afterAutospacing="0" w:line="380" w:lineRule="exact"/>
        <w:ind w:firstLine="378"/>
        <w:rPr>
          <w:rFonts w:hint="eastAsia" w:ascii="宋体" w:hAnsi="宋体" w:cs="宋体"/>
          <w:highlight w:val="none"/>
        </w:rPr>
      </w:pPr>
      <w:r>
        <w:rPr>
          <w:rFonts w:hint="eastAsia" w:ascii="宋体" w:hAnsi="宋体" w:cs="宋体"/>
          <w:highlight w:val="none"/>
          <w:lang w:eastAsia="zh-CN"/>
        </w:rPr>
        <w:t>10.</w:t>
      </w:r>
      <w:r>
        <w:rPr>
          <w:rFonts w:hint="eastAsia" w:ascii="宋体" w:hAnsi="宋体" w:cs="宋体"/>
          <w:highlight w:val="none"/>
        </w:rPr>
        <w:t>代理机构：福建省智信招标有限公司</w:t>
      </w:r>
    </w:p>
    <w:p w14:paraId="0E70E663">
      <w:pPr>
        <w:pStyle w:val="10"/>
        <w:spacing w:before="0" w:beforeAutospacing="0" w:after="0" w:afterAutospacing="0" w:line="380" w:lineRule="exact"/>
        <w:ind w:firstLine="856" w:firstLineChars="357"/>
        <w:rPr>
          <w:rFonts w:hint="eastAsia" w:ascii="宋体" w:hAnsi="宋体" w:cs="宋体"/>
          <w:highlight w:val="none"/>
        </w:rPr>
      </w:pPr>
      <w:r>
        <w:rPr>
          <w:rFonts w:hint="eastAsia" w:ascii="宋体" w:hAnsi="宋体" w:cs="宋体"/>
          <w:highlight w:val="none"/>
        </w:rPr>
        <w:t>地址：福州市鼓楼区五四路159号世界金龙大厦</w:t>
      </w:r>
      <w:r>
        <w:rPr>
          <w:rFonts w:hint="eastAsia" w:ascii="宋体" w:hAnsi="宋体" w:cs="宋体"/>
          <w:szCs w:val="21"/>
          <w:highlight w:val="none"/>
        </w:rPr>
        <w:t>第14层A、C1单</w:t>
      </w:r>
      <w:r>
        <w:rPr>
          <w:rFonts w:hint="eastAsia" w:ascii="宋体" w:hAnsi="宋体" w:cs="宋体"/>
          <w:highlight w:val="none"/>
        </w:rPr>
        <w:t>元</w:t>
      </w:r>
    </w:p>
    <w:p w14:paraId="5C2F4E1A">
      <w:pPr>
        <w:pStyle w:val="10"/>
        <w:spacing w:before="0" w:beforeAutospacing="0" w:after="0" w:afterAutospacing="0" w:line="380" w:lineRule="exact"/>
        <w:ind w:firstLine="856" w:firstLineChars="357"/>
        <w:rPr>
          <w:rFonts w:hint="eastAsia" w:ascii="宋体" w:hAnsi="宋体" w:cs="宋体"/>
          <w:highlight w:val="none"/>
        </w:rPr>
      </w:pPr>
      <w:r>
        <w:rPr>
          <w:rFonts w:hint="eastAsia" w:ascii="宋体" w:hAnsi="宋体" w:cs="宋体"/>
          <w:highlight w:val="none"/>
        </w:rPr>
        <w:t>网址：http://www.fjzxzb.com/</w:t>
      </w:r>
    </w:p>
    <w:p w14:paraId="186A5731">
      <w:pPr>
        <w:pStyle w:val="10"/>
        <w:spacing w:before="0" w:beforeAutospacing="0" w:after="0" w:afterAutospacing="0" w:line="380" w:lineRule="exact"/>
        <w:ind w:firstLine="856" w:firstLineChars="357"/>
        <w:rPr>
          <w:rFonts w:hint="eastAsia" w:ascii="宋体" w:hAnsi="宋体" w:cs="宋体"/>
          <w:highlight w:val="none"/>
        </w:rPr>
      </w:pPr>
      <w:r>
        <w:rPr>
          <w:rFonts w:hint="eastAsia" w:ascii="宋体" w:hAnsi="宋体" w:cs="宋体"/>
          <w:highlight w:val="none"/>
        </w:rPr>
        <w:t>联系人：杨敏敏、张小青、张博艺、郑美、廖丽松</w:t>
      </w:r>
    </w:p>
    <w:p w14:paraId="2624A1B4">
      <w:pPr>
        <w:pStyle w:val="10"/>
        <w:spacing w:before="0" w:beforeAutospacing="0" w:after="0" w:afterAutospacing="0" w:line="380" w:lineRule="exact"/>
        <w:ind w:firstLine="856" w:firstLineChars="357"/>
        <w:rPr>
          <w:rFonts w:hint="eastAsia" w:ascii="宋体" w:hAnsi="宋体" w:cs="宋体"/>
          <w:highlight w:val="none"/>
        </w:rPr>
      </w:pPr>
      <w:r>
        <w:rPr>
          <w:rFonts w:hint="eastAsia" w:ascii="宋体" w:hAnsi="宋体" w:cs="宋体"/>
          <w:highlight w:val="none"/>
        </w:rPr>
        <w:t>联系方式：</w:t>
      </w:r>
      <w:r>
        <w:rPr>
          <w:rStyle w:val="57"/>
          <w:rFonts w:hint="eastAsia" w:ascii="宋体" w:hAnsi="宋体" w:cs="宋体"/>
          <w:highlight w:val="none"/>
        </w:rPr>
        <w:t>0591-87616211、87530730转814</w:t>
      </w:r>
    </w:p>
    <w:p w14:paraId="2C12558F">
      <w:pPr>
        <w:pStyle w:val="10"/>
        <w:spacing w:before="0" w:beforeAutospacing="0" w:after="0" w:afterAutospacing="0" w:line="380" w:lineRule="exact"/>
        <w:ind w:firstLine="856" w:firstLineChars="357"/>
        <w:rPr>
          <w:rFonts w:hint="eastAsia" w:ascii="宋体" w:hAnsi="宋体" w:cs="宋体"/>
          <w:highlight w:val="none"/>
        </w:rPr>
      </w:pPr>
      <w:r>
        <w:rPr>
          <w:rFonts w:hint="eastAsia" w:ascii="宋体" w:hAnsi="宋体" w:cs="宋体"/>
          <w:highlight w:val="none"/>
        </w:rPr>
        <w:t>邮箱：zhixin099@126.com</w:t>
      </w:r>
    </w:p>
    <w:p w14:paraId="4407A643">
      <w:pPr>
        <w:widowControl/>
        <w:spacing w:line="380" w:lineRule="exact"/>
        <w:jc w:val="left"/>
        <w:rPr>
          <w:rFonts w:hint="eastAsia" w:ascii="宋体" w:hAnsi="宋体" w:cs="宋体"/>
          <w:kern w:val="0"/>
          <w:sz w:val="24"/>
          <w:highlight w:val="none"/>
        </w:rPr>
      </w:pPr>
    </w:p>
    <w:p w14:paraId="231A045D">
      <w:pPr>
        <w:widowControl/>
        <w:spacing w:line="380" w:lineRule="exact"/>
        <w:jc w:val="left"/>
        <w:rPr>
          <w:rFonts w:hint="eastAsia" w:ascii="宋体" w:hAnsi="宋体" w:cs="宋体"/>
          <w:kern w:val="0"/>
          <w:sz w:val="24"/>
          <w:highlight w:val="none"/>
        </w:rPr>
      </w:pPr>
    </w:p>
    <w:p w14:paraId="6B4E158A">
      <w:pPr>
        <w:widowControl/>
        <w:spacing w:line="380" w:lineRule="exact"/>
        <w:jc w:val="left"/>
        <w:rPr>
          <w:rFonts w:hint="eastAsia" w:ascii="宋体" w:hAnsi="宋体" w:cs="宋体"/>
          <w:kern w:val="0"/>
          <w:sz w:val="24"/>
          <w:highlight w:val="none"/>
        </w:rPr>
      </w:pPr>
      <w:r>
        <w:rPr>
          <w:rFonts w:hint="eastAsia" w:ascii="宋体" w:hAnsi="宋体" w:cs="宋体"/>
          <w:kern w:val="0"/>
          <w:sz w:val="24"/>
          <w:highlight w:val="none"/>
        </w:rPr>
        <w:t>附1：投标保证金账户信息</w:t>
      </w:r>
    </w:p>
    <w:tbl>
      <w:tblPr>
        <w:tblStyle w:val="31"/>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509"/>
      </w:tblGrid>
      <w:tr w14:paraId="33E735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7" w:hRule="atLeast"/>
          <w:tblHeader/>
        </w:trPr>
        <w:tc>
          <w:tcPr>
            <w:tcW w:w="9509" w:type="dxa"/>
            <w:tcBorders>
              <w:top w:val="outset" w:color="auto" w:sz="6" w:space="0"/>
              <w:left w:val="outset" w:color="auto" w:sz="6" w:space="0"/>
              <w:bottom w:val="outset" w:color="auto" w:sz="6" w:space="0"/>
              <w:right w:val="outset" w:color="auto" w:sz="6" w:space="0"/>
            </w:tcBorders>
            <w:vAlign w:val="center"/>
          </w:tcPr>
          <w:p w14:paraId="73AD572A">
            <w:pPr>
              <w:widowControl/>
              <w:spacing w:line="380" w:lineRule="exact"/>
              <w:jc w:val="center"/>
              <w:rPr>
                <w:rFonts w:hint="eastAsia" w:ascii="宋体" w:hAnsi="宋体" w:cs="宋体"/>
                <w:kern w:val="0"/>
                <w:sz w:val="24"/>
                <w:highlight w:val="none"/>
              </w:rPr>
            </w:pPr>
            <w:bookmarkStart w:id="4" w:name="OLE_LINK11"/>
            <w:r>
              <w:rPr>
                <w:rFonts w:hint="eastAsia" w:ascii="宋体" w:hAnsi="宋体" w:cs="宋体"/>
                <w:b/>
                <w:bCs/>
                <w:color w:val="0000FF"/>
                <w:kern w:val="0"/>
                <w:sz w:val="24"/>
                <w:highlight w:val="none"/>
                <w:lang w:val="en-US" w:eastAsia="zh-CN"/>
              </w:rPr>
              <w:t>投标保证金</w:t>
            </w:r>
            <w:bookmarkEnd w:id="4"/>
            <w:r>
              <w:rPr>
                <w:rFonts w:hint="eastAsia" w:ascii="宋体" w:hAnsi="宋体" w:cs="宋体"/>
                <w:b/>
                <w:bCs/>
                <w:color w:val="0000FF"/>
                <w:kern w:val="0"/>
                <w:sz w:val="24"/>
                <w:highlight w:val="none"/>
              </w:rPr>
              <w:t>账户信息</w:t>
            </w:r>
          </w:p>
        </w:tc>
      </w:tr>
      <w:tr w14:paraId="2DA0B4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9509" w:type="dxa"/>
            <w:tcBorders>
              <w:top w:val="outset" w:color="auto" w:sz="6" w:space="0"/>
              <w:left w:val="outset" w:color="auto" w:sz="6" w:space="0"/>
              <w:bottom w:val="outset" w:color="auto" w:sz="6" w:space="0"/>
              <w:right w:val="outset" w:color="auto" w:sz="6" w:space="0"/>
            </w:tcBorders>
            <w:vAlign w:val="center"/>
          </w:tcPr>
          <w:p w14:paraId="084F27DA">
            <w:pPr>
              <w:tabs>
                <w:tab w:val="left" w:pos="1155"/>
              </w:tabs>
              <w:spacing w:line="380" w:lineRule="exact"/>
              <w:rPr>
                <w:rFonts w:hint="eastAsia" w:ascii="宋体" w:hAnsi="宋体" w:cs="宋体"/>
                <w:sz w:val="24"/>
                <w:highlight w:val="none"/>
              </w:rPr>
            </w:pPr>
            <w:r>
              <w:rPr>
                <w:rFonts w:hint="eastAsia" w:ascii="宋体" w:hAnsi="宋体" w:cs="宋体"/>
                <w:sz w:val="24"/>
                <w:highlight w:val="none"/>
              </w:rPr>
              <w:t>开   户   名：福州市鼓楼区城建投资发展集团有限公司</w:t>
            </w:r>
          </w:p>
        </w:tc>
      </w:tr>
      <w:tr w14:paraId="077439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9509" w:type="dxa"/>
            <w:tcBorders>
              <w:top w:val="outset" w:color="auto" w:sz="6" w:space="0"/>
              <w:left w:val="outset" w:color="auto" w:sz="6" w:space="0"/>
              <w:bottom w:val="outset" w:color="auto" w:sz="6" w:space="0"/>
              <w:right w:val="outset" w:color="auto" w:sz="6" w:space="0"/>
            </w:tcBorders>
            <w:vAlign w:val="center"/>
          </w:tcPr>
          <w:p w14:paraId="7B389C34">
            <w:pPr>
              <w:tabs>
                <w:tab w:val="left" w:pos="1155"/>
              </w:tabs>
              <w:spacing w:line="380" w:lineRule="exact"/>
              <w:rPr>
                <w:rFonts w:hint="eastAsia" w:ascii="宋体" w:hAnsi="宋体" w:cs="宋体"/>
                <w:sz w:val="24"/>
                <w:highlight w:val="none"/>
              </w:rPr>
            </w:pPr>
            <w:r>
              <w:rPr>
                <w:rFonts w:hint="eastAsia" w:ascii="宋体" w:hAnsi="宋体" w:cs="宋体"/>
                <w:sz w:val="24"/>
                <w:highlight w:val="none"/>
              </w:rPr>
              <w:t>开   户   行：福建海峡银行福州庆城支行</w:t>
            </w:r>
          </w:p>
        </w:tc>
      </w:tr>
      <w:tr w14:paraId="02FE86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9509" w:type="dxa"/>
            <w:tcBorders>
              <w:top w:val="outset" w:color="auto" w:sz="6" w:space="0"/>
              <w:left w:val="outset" w:color="auto" w:sz="6" w:space="0"/>
              <w:bottom w:val="outset" w:color="auto" w:sz="6" w:space="0"/>
              <w:right w:val="outset" w:color="auto" w:sz="6" w:space="0"/>
            </w:tcBorders>
            <w:vAlign w:val="center"/>
          </w:tcPr>
          <w:p w14:paraId="718E35E5">
            <w:pPr>
              <w:pStyle w:val="69"/>
              <w:spacing w:line="380" w:lineRule="exact"/>
              <w:jc w:val="both"/>
              <w:rPr>
                <w:rFonts w:hint="eastAsia" w:hAnsi="宋体" w:cs="宋体"/>
                <w:color w:val="auto"/>
                <w:highlight w:val="none"/>
              </w:rPr>
            </w:pPr>
            <w:r>
              <w:rPr>
                <w:rFonts w:hint="eastAsia" w:hAnsi="宋体" w:cs="宋体"/>
                <w:color w:val="auto"/>
                <w:highlight w:val="none"/>
              </w:rPr>
              <w:t>账        号：100055922060010001</w:t>
            </w:r>
          </w:p>
        </w:tc>
      </w:tr>
    </w:tbl>
    <w:p w14:paraId="7FA544E8">
      <w:pPr>
        <w:widowControl/>
        <w:spacing w:line="380" w:lineRule="exact"/>
        <w:ind w:firstLine="482" w:firstLineChars="200"/>
        <w:jc w:val="left"/>
        <w:rPr>
          <w:rFonts w:hint="eastAsia" w:ascii="宋体" w:hAnsi="宋体" w:cs="宋体"/>
          <w:b/>
          <w:bCs/>
          <w:sz w:val="24"/>
          <w:highlight w:val="none"/>
        </w:rPr>
      </w:pPr>
      <w:r>
        <w:rPr>
          <w:rFonts w:hint="eastAsia" w:ascii="宋体" w:hAnsi="宋体" w:cs="宋体"/>
          <w:b/>
          <w:bCs/>
          <w:sz w:val="24"/>
          <w:highlight w:val="none"/>
        </w:rPr>
        <w:t>注：投标保证金缴纳形式为汇款或保函等非现金形式，具体详见招标文件第三章第10.9条规定。</w:t>
      </w:r>
    </w:p>
    <w:p w14:paraId="1CAE3D36">
      <w:pPr>
        <w:widowControl/>
        <w:spacing w:line="380" w:lineRule="exact"/>
        <w:jc w:val="left"/>
        <w:rPr>
          <w:rFonts w:hint="eastAsia" w:ascii="宋体" w:hAnsi="宋体" w:cs="宋体"/>
          <w:sz w:val="24"/>
          <w:highlight w:val="none"/>
        </w:rPr>
      </w:pPr>
    </w:p>
    <w:p w14:paraId="21D0F321">
      <w:pPr>
        <w:widowControl/>
        <w:spacing w:line="380" w:lineRule="exact"/>
        <w:jc w:val="left"/>
        <w:rPr>
          <w:rFonts w:hint="eastAsia" w:ascii="宋体" w:hAnsi="宋体" w:cs="宋体"/>
          <w:kern w:val="0"/>
          <w:sz w:val="24"/>
          <w:highlight w:val="none"/>
        </w:rPr>
      </w:pPr>
      <w:r>
        <w:rPr>
          <w:rFonts w:hint="eastAsia" w:ascii="宋体" w:hAnsi="宋体" w:cs="宋体"/>
          <w:kern w:val="0"/>
          <w:sz w:val="24"/>
          <w:highlight w:val="none"/>
        </w:rPr>
        <w:t xml:space="preserve">附2：采购标的一览表                                    </w:t>
      </w:r>
    </w:p>
    <w:tbl>
      <w:tblPr>
        <w:tblStyle w:val="31"/>
        <w:tblW w:w="492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27"/>
        <w:gridCol w:w="3167"/>
        <w:gridCol w:w="1108"/>
        <w:gridCol w:w="2608"/>
        <w:gridCol w:w="1490"/>
      </w:tblGrid>
      <w:tr w14:paraId="48BDC4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97" w:hRule="atLeast"/>
          <w:tblHeader/>
        </w:trPr>
        <w:tc>
          <w:tcPr>
            <w:tcW w:w="593" w:type="pct"/>
            <w:tcBorders>
              <w:top w:val="outset" w:color="auto" w:sz="6" w:space="0"/>
              <w:left w:val="outset" w:color="auto" w:sz="6" w:space="0"/>
              <w:bottom w:val="outset" w:color="auto" w:sz="6" w:space="0"/>
              <w:right w:val="outset" w:color="auto" w:sz="6" w:space="0"/>
            </w:tcBorders>
            <w:vAlign w:val="center"/>
          </w:tcPr>
          <w:p w14:paraId="071A005B">
            <w:pPr>
              <w:spacing w:line="380" w:lineRule="exact"/>
              <w:jc w:val="center"/>
              <w:rPr>
                <w:rFonts w:hint="eastAsia" w:ascii="宋体" w:hAnsi="宋体" w:cs="宋体"/>
                <w:sz w:val="24"/>
                <w:highlight w:val="none"/>
              </w:rPr>
            </w:pPr>
            <w:r>
              <w:rPr>
                <w:rFonts w:hint="eastAsia" w:ascii="宋体" w:hAnsi="宋体" w:cs="宋体"/>
                <w:sz w:val="24"/>
                <w:highlight w:val="none"/>
              </w:rPr>
              <w:t>采购包</w:t>
            </w:r>
          </w:p>
        </w:tc>
        <w:tc>
          <w:tcPr>
            <w:tcW w:w="1666" w:type="pct"/>
            <w:tcBorders>
              <w:top w:val="outset" w:color="auto" w:sz="6" w:space="0"/>
              <w:left w:val="outset" w:color="auto" w:sz="6" w:space="0"/>
              <w:bottom w:val="outset" w:color="auto" w:sz="6" w:space="0"/>
              <w:right w:val="outset" w:color="auto" w:sz="6" w:space="0"/>
            </w:tcBorders>
            <w:vAlign w:val="center"/>
          </w:tcPr>
          <w:p w14:paraId="639C900E">
            <w:pPr>
              <w:spacing w:line="380" w:lineRule="exact"/>
              <w:jc w:val="center"/>
              <w:rPr>
                <w:rFonts w:hint="eastAsia" w:ascii="宋体" w:hAnsi="宋体" w:cs="宋体"/>
                <w:sz w:val="24"/>
                <w:highlight w:val="none"/>
              </w:rPr>
            </w:pPr>
            <w:r>
              <w:rPr>
                <w:rFonts w:hint="eastAsia" w:ascii="宋体" w:hAnsi="宋体" w:cs="宋体"/>
                <w:sz w:val="24"/>
                <w:highlight w:val="none"/>
              </w:rPr>
              <w:t>采购标的</w:t>
            </w:r>
          </w:p>
        </w:tc>
        <w:tc>
          <w:tcPr>
            <w:tcW w:w="583" w:type="pct"/>
            <w:tcBorders>
              <w:top w:val="outset" w:color="auto" w:sz="6" w:space="0"/>
              <w:left w:val="outset" w:color="auto" w:sz="6" w:space="0"/>
              <w:bottom w:val="outset" w:color="auto" w:sz="6" w:space="0"/>
              <w:right w:val="outset" w:color="auto" w:sz="6" w:space="0"/>
            </w:tcBorders>
            <w:vAlign w:val="center"/>
          </w:tcPr>
          <w:p w14:paraId="1DFA1F97">
            <w:pPr>
              <w:spacing w:line="380" w:lineRule="exact"/>
              <w:jc w:val="center"/>
              <w:rPr>
                <w:rFonts w:hint="eastAsia" w:ascii="宋体" w:hAnsi="宋体" w:cs="宋体"/>
                <w:sz w:val="24"/>
                <w:highlight w:val="none"/>
              </w:rPr>
            </w:pPr>
            <w:r>
              <w:rPr>
                <w:rFonts w:hint="eastAsia" w:ascii="宋体" w:hAnsi="宋体" w:cs="宋体"/>
                <w:sz w:val="24"/>
                <w:highlight w:val="none"/>
              </w:rPr>
              <w:t>数量</w:t>
            </w:r>
          </w:p>
        </w:tc>
        <w:tc>
          <w:tcPr>
            <w:tcW w:w="1372" w:type="pct"/>
            <w:tcBorders>
              <w:top w:val="outset" w:color="auto" w:sz="6" w:space="0"/>
              <w:left w:val="outset" w:color="auto" w:sz="6" w:space="0"/>
              <w:bottom w:val="outset" w:color="auto" w:sz="6" w:space="0"/>
              <w:right w:val="outset" w:color="auto" w:sz="6" w:space="0"/>
            </w:tcBorders>
            <w:vAlign w:val="center"/>
          </w:tcPr>
          <w:p w14:paraId="3BA2F765">
            <w:pPr>
              <w:spacing w:line="380" w:lineRule="exact"/>
              <w:jc w:val="center"/>
              <w:rPr>
                <w:rFonts w:hint="eastAsia" w:ascii="宋体" w:hAnsi="宋体" w:cs="宋体"/>
                <w:sz w:val="24"/>
                <w:highlight w:val="none"/>
              </w:rPr>
            </w:pPr>
            <w:r>
              <w:rPr>
                <w:rFonts w:hint="eastAsia" w:ascii="宋体" w:hAnsi="宋体" w:cs="宋体"/>
                <w:sz w:val="24"/>
                <w:highlight w:val="none"/>
              </w:rPr>
              <w:t>预算金额/</w:t>
            </w:r>
          </w:p>
          <w:p w14:paraId="4520061C">
            <w:pPr>
              <w:spacing w:line="380" w:lineRule="exact"/>
              <w:jc w:val="center"/>
              <w:rPr>
                <w:rFonts w:hint="eastAsia" w:ascii="宋体" w:hAnsi="宋体" w:cs="宋体"/>
                <w:sz w:val="24"/>
                <w:highlight w:val="none"/>
              </w:rPr>
            </w:pPr>
            <w:r>
              <w:rPr>
                <w:rFonts w:hint="eastAsia" w:ascii="宋体" w:hAnsi="宋体" w:cs="宋体"/>
                <w:sz w:val="24"/>
                <w:highlight w:val="none"/>
              </w:rPr>
              <w:t>最高限价</w:t>
            </w:r>
            <w:r>
              <w:rPr>
                <w:rFonts w:hint="eastAsia" w:ascii="宋体" w:hAnsi="宋体" w:cs="宋体"/>
                <w:sz w:val="24"/>
                <w:highlight w:val="none"/>
                <w:lang w:eastAsia="zh-CN"/>
              </w:rPr>
              <w:t>（</w:t>
            </w:r>
            <w:r>
              <w:rPr>
                <w:rFonts w:hint="eastAsia" w:ascii="宋体" w:hAnsi="宋体" w:cs="宋体"/>
                <w:sz w:val="24"/>
                <w:highlight w:val="none"/>
              </w:rPr>
              <w:t>万元</w:t>
            </w:r>
            <w:r>
              <w:rPr>
                <w:rFonts w:hint="eastAsia" w:ascii="宋体" w:hAnsi="宋体" w:cs="宋体"/>
                <w:sz w:val="24"/>
                <w:highlight w:val="none"/>
                <w:lang w:eastAsia="zh-CN"/>
              </w:rPr>
              <w:t>）</w:t>
            </w:r>
          </w:p>
        </w:tc>
        <w:tc>
          <w:tcPr>
            <w:tcW w:w="784" w:type="pct"/>
            <w:tcBorders>
              <w:top w:val="outset" w:color="auto" w:sz="6" w:space="0"/>
              <w:left w:val="outset" w:color="auto" w:sz="6" w:space="0"/>
              <w:bottom w:val="outset" w:color="auto" w:sz="6" w:space="0"/>
              <w:right w:val="outset" w:color="auto" w:sz="6" w:space="0"/>
            </w:tcBorders>
            <w:vAlign w:val="center"/>
          </w:tcPr>
          <w:p w14:paraId="7ACC6E62">
            <w:pPr>
              <w:spacing w:line="380" w:lineRule="exact"/>
              <w:jc w:val="center"/>
              <w:rPr>
                <w:rFonts w:hint="eastAsia" w:ascii="宋体" w:hAnsi="宋体" w:cs="宋体"/>
                <w:sz w:val="24"/>
                <w:highlight w:val="none"/>
              </w:rPr>
            </w:pPr>
            <w:r>
              <w:rPr>
                <w:rFonts w:hint="eastAsia" w:ascii="宋体" w:hAnsi="宋体" w:cs="宋体"/>
                <w:sz w:val="24"/>
                <w:highlight w:val="none"/>
              </w:rPr>
              <w:t>投标保证金</w:t>
            </w:r>
            <w:r>
              <w:rPr>
                <w:rFonts w:hint="eastAsia" w:ascii="宋体" w:hAnsi="宋体" w:cs="宋体"/>
                <w:sz w:val="24"/>
                <w:highlight w:val="none"/>
                <w:lang w:eastAsia="zh-CN"/>
              </w:rPr>
              <w:t>（</w:t>
            </w:r>
            <w:r>
              <w:rPr>
                <w:rFonts w:hint="eastAsia" w:ascii="宋体" w:hAnsi="宋体" w:cs="宋体"/>
                <w:sz w:val="24"/>
                <w:highlight w:val="none"/>
              </w:rPr>
              <w:t>万元</w:t>
            </w:r>
            <w:r>
              <w:rPr>
                <w:rFonts w:hint="eastAsia" w:ascii="宋体" w:hAnsi="宋体" w:cs="宋体"/>
                <w:sz w:val="24"/>
                <w:highlight w:val="none"/>
                <w:lang w:eastAsia="zh-CN"/>
              </w:rPr>
              <w:t>）</w:t>
            </w:r>
          </w:p>
        </w:tc>
      </w:tr>
      <w:tr w14:paraId="020290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75" w:hRule="atLeast"/>
          <w:tblHeader/>
        </w:trPr>
        <w:tc>
          <w:tcPr>
            <w:tcW w:w="593" w:type="pct"/>
            <w:tcBorders>
              <w:top w:val="outset" w:color="auto" w:sz="6" w:space="0"/>
              <w:left w:val="outset" w:color="auto" w:sz="6" w:space="0"/>
              <w:bottom w:val="outset" w:color="auto" w:sz="6" w:space="0"/>
              <w:right w:val="outset" w:color="auto" w:sz="6" w:space="0"/>
            </w:tcBorders>
            <w:vAlign w:val="center"/>
          </w:tcPr>
          <w:p w14:paraId="08F947BD">
            <w:pPr>
              <w:spacing w:line="380" w:lineRule="exact"/>
              <w:jc w:val="center"/>
              <w:rPr>
                <w:rFonts w:hint="eastAsia" w:ascii="宋体" w:hAnsi="宋体" w:cs="宋体"/>
                <w:sz w:val="24"/>
                <w:highlight w:val="none"/>
              </w:rPr>
            </w:pPr>
            <w:r>
              <w:rPr>
                <w:rFonts w:hint="eastAsia" w:ascii="宋体" w:hAnsi="宋体" w:cs="宋体"/>
                <w:sz w:val="24"/>
                <w:highlight w:val="none"/>
              </w:rPr>
              <w:t>1</w:t>
            </w:r>
          </w:p>
        </w:tc>
        <w:tc>
          <w:tcPr>
            <w:tcW w:w="1666" w:type="pct"/>
            <w:tcBorders>
              <w:top w:val="outset" w:color="auto" w:sz="6" w:space="0"/>
              <w:left w:val="outset" w:color="auto" w:sz="6" w:space="0"/>
              <w:bottom w:val="outset" w:color="auto" w:sz="6" w:space="0"/>
              <w:right w:val="outset" w:color="auto" w:sz="6" w:space="0"/>
            </w:tcBorders>
            <w:vAlign w:val="center"/>
          </w:tcPr>
          <w:p w14:paraId="62CEE510">
            <w:pPr>
              <w:spacing w:line="380" w:lineRule="exact"/>
              <w:jc w:val="center"/>
              <w:rPr>
                <w:rFonts w:hint="eastAsia" w:ascii="宋体" w:hAnsi="宋体" w:cs="宋体"/>
                <w:sz w:val="24"/>
                <w:highlight w:val="none"/>
              </w:rPr>
            </w:pPr>
            <w:r>
              <w:rPr>
                <w:rFonts w:hint="eastAsia" w:ascii="宋体" w:hAnsi="宋体" w:cs="宋体"/>
                <w:sz w:val="24"/>
                <w:highlight w:val="none"/>
              </w:rPr>
              <w:t>鼓楼通用人工智能应用转型促进中心项目</w:t>
            </w:r>
          </w:p>
        </w:tc>
        <w:tc>
          <w:tcPr>
            <w:tcW w:w="583" w:type="pct"/>
            <w:tcBorders>
              <w:top w:val="outset" w:color="auto" w:sz="6" w:space="0"/>
              <w:left w:val="outset" w:color="auto" w:sz="6" w:space="0"/>
              <w:bottom w:val="outset" w:color="auto" w:sz="6" w:space="0"/>
              <w:right w:val="outset" w:color="auto" w:sz="6" w:space="0"/>
            </w:tcBorders>
            <w:vAlign w:val="center"/>
          </w:tcPr>
          <w:p w14:paraId="60ABEC69">
            <w:pPr>
              <w:spacing w:line="380" w:lineRule="exact"/>
              <w:jc w:val="center"/>
              <w:rPr>
                <w:rFonts w:hint="eastAsia" w:ascii="宋体" w:hAnsi="宋体" w:cs="宋体"/>
                <w:sz w:val="24"/>
                <w:highlight w:val="none"/>
              </w:rPr>
            </w:pPr>
            <w:r>
              <w:rPr>
                <w:rFonts w:hint="eastAsia" w:ascii="宋体" w:hAnsi="宋体" w:cs="宋体"/>
                <w:sz w:val="24"/>
                <w:highlight w:val="none"/>
              </w:rPr>
              <w:t>1项</w:t>
            </w:r>
          </w:p>
        </w:tc>
        <w:tc>
          <w:tcPr>
            <w:tcW w:w="1372" w:type="pct"/>
            <w:tcBorders>
              <w:top w:val="outset" w:color="auto" w:sz="6" w:space="0"/>
              <w:left w:val="outset" w:color="auto" w:sz="6" w:space="0"/>
              <w:bottom w:val="outset" w:color="auto" w:sz="6" w:space="0"/>
              <w:right w:val="outset" w:color="auto" w:sz="6" w:space="0"/>
            </w:tcBorders>
            <w:vAlign w:val="center"/>
          </w:tcPr>
          <w:p w14:paraId="207992B8">
            <w:pPr>
              <w:spacing w:line="380" w:lineRule="exact"/>
              <w:jc w:val="center"/>
              <w:rPr>
                <w:rFonts w:hint="eastAsia" w:ascii="宋体" w:hAnsi="宋体" w:cs="宋体"/>
                <w:sz w:val="24"/>
                <w:highlight w:val="none"/>
              </w:rPr>
            </w:pPr>
            <w:r>
              <w:rPr>
                <w:rFonts w:hint="eastAsia" w:ascii="宋体" w:hAnsi="宋体" w:cs="宋体"/>
                <w:sz w:val="24"/>
                <w:highlight w:val="none"/>
              </w:rPr>
              <w:t>2975</w:t>
            </w:r>
          </w:p>
        </w:tc>
        <w:tc>
          <w:tcPr>
            <w:tcW w:w="784" w:type="pct"/>
            <w:tcBorders>
              <w:top w:val="outset" w:color="auto" w:sz="6" w:space="0"/>
              <w:left w:val="outset" w:color="auto" w:sz="6" w:space="0"/>
              <w:bottom w:val="outset" w:color="auto" w:sz="6" w:space="0"/>
              <w:right w:val="outset" w:color="auto" w:sz="6" w:space="0"/>
            </w:tcBorders>
            <w:vAlign w:val="center"/>
          </w:tcPr>
          <w:p w14:paraId="7E0FABEE">
            <w:pPr>
              <w:spacing w:line="380" w:lineRule="exact"/>
              <w:jc w:val="center"/>
              <w:rPr>
                <w:rFonts w:hint="eastAsia" w:ascii="宋体" w:hAnsi="宋体" w:cs="宋体"/>
                <w:sz w:val="24"/>
                <w:highlight w:val="none"/>
              </w:rPr>
            </w:pPr>
            <w:r>
              <w:rPr>
                <w:rFonts w:hint="eastAsia" w:ascii="宋体" w:hAnsi="宋体" w:cs="宋体"/>
                <w:sz w:val="24"/>
                <w:highlight w:val="none"/>
              </w:rPr>
              <w:t>29.75</w:t>
            </w:r>
          </w:p>
        </w:tc>
      </w:tr>
    </w:tbl>
    <w:p w14:paraId="52BDB509">
      <w:pPr>
        <w:rPr>
          <w:rFonts w:hint="eastAsia" w:ascii="宋体" w:hAnsi="宋体" w:cs="宋体"/>
          <w:b/>
          <w:sz w:val="36"/>
          <w:highlight w:val="none"/>
        </w:rPr>
      </w:pPr>
      <w:bookmarkStart w:id="5" w:name="_Toc24969"/>
      <w:bookmarkStart w:id="6" w:name="_Toc38959617"/>
      <w:r>
        <w:rPr>
          <w:rFonts w:hint="eastAsia" w:ascii="宋体" w:hAnsi="宋体" w:cs="宋体"/>
          <w:b/>
          <w:sz w:val="36"/>
          <w:highlight w:val="none"/>
        </w:rPr>
        <w:br w:type="page"/>
      </w:r>
    </w:p>
    <w:p w14:paraId="22AD7DE0">
      <w:pPr>
        <w:pStyle w:val="69"/>
        <w:spacing w:line="240" w:lineRule="atLeast"/>
        <w:jc w:val="center"/>
        <w:outlineLvl w:val="0"/>
        <w:rPr>
          <w:rFonts w:hint="eastAsia" w:hAnsi="宋体" w:cs="宋体"/>
          <w:b/>
          <w:color w:val="auto"/>
          <w:sz w:val="32"/>
          <w:szCs w:val="32"/>
          <w:highlight w:val="none"/>
        </w:rPr>
      </w:pPr>
      <w:bookmarkStart w:id="7" w:name="_Toc15972"/>
      <w:r>
        <w:rPr>
          <w:rFonts w:hint="eastAsia" w:hAnsi="宋体" w:cs="宋体"/>
          <w:b/>
          <w:color w:val="auto"/>
          <w:sz w:val="36"/>
          <w:highlight w:val="none"/>
        </w:rPr>
        <w:t>第二章 投标人须知前附表</w:t>
      </w:r>
      <w:bookmarkEnd w:id="5"/>
      <w:bookmarkEnd w:id="6"/>
      <w:bookmarkEnd w:id="7"/>
    </w:p>
    <w:tbl>
      <w:tblPr>
        <w:tblStyle w:val="31"/>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81"/>
        <w:gridCol w:w="1302"/>
        <w:gridCol w:w="7760"/>
      </w:tblGrid>
      <w:tr w14:paraId="0980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9" w:hRule="atLeast"/>
          <w:tblCellSpacing w:w="15" w:type="dxa"/>
        </w:trPr>
        <w:tc>
          <w:tcPr>
            <w:tcW w:w="9783" w:type="dxa"/>
            <w:gridSpan w:val="3"/>
            <w:tcMar>
              <w:top w:w="0" w:type="dxa"/>
              <w:left w:w="83" w:type="dxa"/>
              <w:bottom w:w="0" w:type="dxa"/>
              <w:right w:w="83" w:type="dxa"/>
            </w:tcMar>
            <w:vAlign w:val="center"/>
          </w:tcPr>
          <w:p w14:paraId="096D4E30">
            <w:pPr>
              <w:pStyle w:val="10"/>
              <w:spacing w:before="0" w:beforeAutospacing="0" w:after="0" w:afterAutospacing="0"/>
              <w:jc w:val="center"/>
              <w:rPr>
                <w:rFonts w:hint="eastAsia" w:ascii="宋体" w:hAnsi="宋体" w:cs="宋体"/>
                <w:highlight w:val="none"/>
              </w:rPr>
            </w:pPr>
            <w:r>
              <w:rPr>
                <w:rStyle w:val="34"/>
                <w:rFonts w:hint="eastAsia" w:ascii="宋体" w:hAnsi="宋体" w:cs="宋体"/>
                <w:highlight w:val="none"/>
              </w:rPr>
              <w:t>特别提示：本表与招标文件对应章节的内容若不一致，以本表为准。</w:t>
            </w:r>
          </w:p>
        </w:tc>
      </w:tr>
      <w:tr w14:paraId="35B4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05AC6892">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项号</w:t>
            </w:r>
          </w:p>
        </w:tc>
        <w:tc>
          <w:tcPr>
            <w:tcW w:w="1272" w:type="dxa"/>
            <w:tcMar>
              <w:top w:w="0" w:type="dxa"/>
              <w:left w:w="83" w:type="dxa"/>
              <w:bottom w:w="0" w:type="dxa"/>
              <w:right w:w="83" w:type="dxa"/>
            </w:tcMar>
            <w:vAlign w:val="center"/>
          </w:tcPr>
          <w:p w14:paraId="519AE752">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招标文件</w:t>
            </w:r>
          </w:p>
          <w:p w14:paraId="27A5FB80">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（第三章）</w:t>
            </w:r>
          </w:p>
        </w:tc>
        <w:tc>
          <w:tcPr>
            <w:tcW w:w="7715" w:type="dxa"/>
            <w:tcMar>
              <w:top w:w="0" w:type="dxa"/>
              <w:left w:w="83" w:type="dxa"/>
              <w:bottom w:w="0" w:type="dxa"/>
              <w:right w:w="83" w:type="dxa"/>
            </w:tcMar>
            <w:vAlign w:val="center"/>
          </w:tcPr>
          <w:p w14:paraId="1BAA925D">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编列内容</w:t>
            </w:r>
          </w:p>
        </w:tc>
      </w:tr>
      <w:tr w14:paraId="50EB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476A1917">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1</w:t>
            </w:r>
          </w:p>
        </w:tc>
        <w:tc>
          <w:tcPr>
            <w:tcW w:w="1272" w:type="dxa"/>
            <w:tcMar>
              <w:top w:w="0" w:type="dxa"/>
              <w:left w:w="83" w:type="dxa"/>
              <w:bottom w:w="0" w:type="dxa"/>
              <w:right w:w="83" w:type="dxa"/>
            </w:tcMar>
            <w:vAlign w:val="center"/>
          </w:tcPr>
          <w:p w14:paraId="46ED10C1">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6.1</w:t>
            </w:r>
          </w:p>
        </w:tc>
        <w:tc>
          <w:tcPr>
            <w:tcW w:w="7715" w:type="dxa"/>
            <w:tcMar>
              <w:top w:w="0" w:type="dxa"/>
              <w:left w:w="83" w:type="dxa"/>
              <w:bottom w:w="0" w:type="dxa"/>
              <w:right w:w="83" w:type="dxa"/>
            </w:tcMar>
            <w:vAlign w:val="center"/>
          </w:tcPr>
          <w:p w14:paraId="2DF11B16">
            <w:pPr>
              <w:pStyle w:val="10"/>
              <w:spacing w:before="0" w:beforeAutospacing="0" w:after="0" w:afterAutospacing="0"/>
              <w:rPr>
                <w:rFonts w:hint="eastAsia" w:ascii="宋体" w:hAnsi="宋体" w:cs="宋体"/>
                <w:highlight w:val="none"/>
              </w:rPr>
            </w:pPr>
            <w:r>
              <w:rPr>
                <w:rStyle w:val="34"/>
                <w:rFonts w:hint="eastAsia" w:ascii="宋体" w:hAnsi="宋体" w:cs="宋体"/>
                <w:highlight w:val="none"/>
              </w:rPr>
              <w:t>是否组织现场考察或召开开标前答疑会：</w:t>
            </w:r>
            <w:r>
              <w:rPr>
                <w:rFonts w:hint="eastAsia" w:ascii="宋体" w:hAnsi="宋体" w:cs="宋体"/>
                <w:highlight w:val="none"/>
              </w:rPr>
              <w:t>否。</w:t>
            </w:r>
          </w:p>
        </w:tc>
      </w:tr>
      <w:tr w14:paraId="61B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17554147">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2</w:t>
            </w:r>
          </w:p>
        </w:tc>
        <w:tc>
          <w:tcPr>
            <w:tcW w:w="1272" w:type="dxa"/>
            <w:tcMar>
              <w:top w:w="0" w:type="dxa"/>
              <w:left w:w="83" w:type="dxa"/>
              <w:bottom w:w="0" w:type="dxa"/>
              <w:right w:w="83" w:type="dxa"/>
            </w:tcMar>
            <w:vAlign w:val="center"/>
          </w:tcPr>
          <w:p w14:paraId="25B4C34F">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10.4</w:t>
            </w:r>
          </w:p>
        </w:tc>
        <w:tc>
          <w:tcPr>
            <w:tcW w:w="7715" w:type="dxa"/>
            <w:tcMar>
              <w:top w:w="0" w:type="dxa"/>
              <w:left w:w="83" w:type="dxa"/>
              <w:bottom w:w="0" w:type="dxa"/>
              <w:right w:w="83" w:type="dxa"/>
            </w:tcMar>
            <w:vAlign w:val="center"/>
          </w:tcPr>
          <w:p w14:paraId="1A41B877">
            <w:pPr>
              <w:pStyle w:val="10"/>
              <w:spacing w:before="0" w:beforeAutospacing="0" w:after="0" w:afterAutospacing="0"/>
              <w:rPr>
                <w:rFonts w:hint="eastAsia" w:ascii="宋体" w:hAnsi="宋体" w:cs="宋体"/>
                <w:highlight w:val="none"/>
              </w:rPr>
            </w:pPr>
            <w:r>
              <w:rPr>
                <w:rStyle w:val="34"/>
                <w:rFonts w:hint="eastAsia" w:ascii="宋体" w:hAnsi="宋体" w:cs="宋体"/>
                <w:highlight w:val="none"/>
              </w:rPr>
              <w:t>投标文件的份数：</w:t>
            </w:r>
          </w:p>
          <w:p w14:paraId="4A4C892F">
            <w:pPr>
              <w:pStyle w:val="10"/>
              <w:spacing w:before="0" w:beforeAutospacing="0" w:after="0" w:afterAutospacing="0"/>
              <w:rPr>
                <w:rFonts w:hint="eastAsia" w:ascii="宋体" w:hAnsi="宋体" w:cs="宋体"/>
                <w:highlight w:val="none"/>
              </w:rPr>
            </w:pPr>
            <w:r>
              <w:rPr>
                <w:rFonts w:hint="eastAsia" w:ascii="宋体" w:hAnsi="宋体" w:cs="宋体"/>
                <w:highlight w:val="none"/>
              </w:rPr>
              <w:t>（1）纸质投标文件：</w:t>
            </w:r>
          </w:p>
          <w:p w14:paraId="19275764">
            <w:pPr>
              <w:pStyle w:val="10"/>
              <w:spacing w:before="0" w:beforeAutospacing="0" w:after="0" w:afterAutospacing="0"/>
              <w:rPr>
                <w:rFonts w:hint="eastAsia" w:ascii="宋体" w:hAnsi="宋体" w:cs="宋体"/>
                <w:highlight w:val="none"/>
              </w:rPr>
            </w:pPr>
            <w:r>
              <w:rPr>
                <w:rFonts w:hint="eastAsia" w:ascii="宋体" w:hAnsi="宋体" w:cs="宋体"/>
                <w:highlight w:val="none"/>
              </w:rPr>
              <w:t>①资格及资信证明部分的正本</w:t>
            </w:r>
            <w:r>
              <w:rPr>
                <w:rFonts w:hint="eastAsia" w:ascii="宋体" w:hAnsi="宋体" w:cs="宋体"/>
                <w:highlight w:val="none"/>
                <w:u w:val="single"/>
              </w:rPr>
              <w:t xml:space="preserve"> 1 </w:t>
            </w:r>
            <w:r>
              <w:rPr>
                <w:rFonts w:hint="eastAsia" w:ascii="宋体" w:hAnsi="宋体" w:cs="宋体"/>
                <w:highlight w:val="none"/>
              </w:rPr>
              <w:t>份、副本</w:t>
            </w:r>
            <w:r>
              <w:rPr>
                <w:rStyle w:val="56"/>
                <w:rFonts w:hint="eastAsia" w:ascii="宋体" w:hAnsi="宋体" w:cs="宋体"/>
                <w:highlight w:val="none"/>
                <w:u w:val="single"/>
              </w:rPr>
              <w:t xml:space="preserve"> 3 </w:t>
            </w:r>
            <w:r>
              <w:rPr>
                <w:rFonts w:hint="eastAsia" w:ascii="宋体" w:hAnsi="宋体" w:cs="宋体"/>
                <w:highlight w:val="none"/>
              </w:rPr>
              <w:t>份，报价部分的正本</w:t>
            </w:r>
            <w:r>
              <w:rPr>
                <w:rFonts w:hint="eastAsia" w:ascii="宋体" w:hAnsi="宋体" w:cs="宋体"/>
                <w:highlight w:val="none"/>
                <w:u w:val="single"/>
              </w:rPr>
              <w:t xml:space="preserve"> 1 </w:t>
            </w:r>
            <w:r>
              <w:rPr>
                <w:rFonts w:hint="eastAsia" w:ascii="宋体" w:hAnsi="宋体" w:cs="宋体"/>
                <w:highlight w:val="none"/>
              </w:rPr>
              <w:t>份、副本</w:t>
            </w:r>
            <w:r>
              <w:rPr>
                <w:rStyle w:val="56"/>
                <w:rFonts w:hint="eastAsia" w:ascii="宋体" w:hAnsi="宋体" w:cs="宋体"/>
                <w:highlight w:val="none"/>
                <w:u w:val="single"/>
              </w:rPr>
              <w:t xml:space="preserve"> 7</w:t>
            </w:r>
            <w:r>
              <w:rPr>
                <w:rFonts w:hint="eastAsia" w:ascii="宋体" w:hAnsi="宋体" w:cs="宋体"/>
                <w:highlight w:val="none"/>
              </w:rPr>
              <w:t>份，技术商务部分的正本</w:t>
            </w:r>
            <w:r>
              <w:rPr>
                <w:rFonts w:hint="eastAsia" w:ascii="宋体" w:hAnsi="宋体" w:cs="宋体"/>
                <w:highlight w:val="none"/>
                <w:u w:val="single"/>
              </w:rPr>
              <w:t xml:space="preserve"> 1 </w:t>
            </w:r>
            <w:r>
              <w:rPr>
                <w:rFonts w:hint="eastAsia" w:ascii="宋体" w:hAnsi="宋体" w:cs="宋体"/>
                <w:highlight w:val="none"/>
              </w:rPr>
              <w:t>份、副本</w:t>
            </w:r>
            <w:r>
              <w:rPr>
                <w:rStyle w:val="56"/>
                <w:rFonts w:hint="eastAsia" w:ascii="宋体" w:hAnsi="宋体" w:cs="宋体"/>
                <w:highlight w:val="none"/>
                <w:u w:val="single"/>
              </w:rPr>
              <w:t xml:space="preserve"> 7 </w:t>
            </w:r>
            <w:r>
              <w:rPr>
                <w:rFonts w:hint="eastAsia" w:ascii="宋体" w:hAnsi="宋体" w:cs="宋体"/>
                <w:highlight w:val="none"/>
              </w:rPr>
              <w:t>份。</w:t>
            </w:r>
          </w:p>
          <w:p w14:paraId="21337D9D">
            <w:pPr>
              <w:pStyle w:val="10"/>
              <w:spacing w:before="0" w:beforeAutospacing="0" w:after="0" w:afterAutospacing="0"/>
              <w:rPr>
                <w:rFonts w:hint="eastAsia" w:ascii="宋体" w:hAnsi="宋体" w:cs="宋体"/>
                <w:highlight w:val="none"/>
              </w:rPr>
            </w:pPr>
            <w:r>
              <w:rPr>
                <w:rFonts w:hint="eastAsia" w:ascii="宋体" w:hAnsi="宋体" w:cs="宋体"/>
                <w:highlight w:val="none"/>
              </w:rPr>
              <w:t>②可读介质</w:t>
            </w:r>
            <w:r>
              <w:rPr>
                <w:rFonts w:hint="eastAsia" w:ascii="宋体" w:hAnsi="宋体" w:cs="宋体"/>
                <w:highlight w:val="none"/>
                <w:u w:val="single"/>
              </w:rPr>
              <w:t>1</w:t>
            </w:r>
            <w:r>
              <w:rPr>
                <w:rFonts w:hint="eastAsia" w:ascii="宋体" w:hAnsi="宋体" w:cs="宋体"/>
                <w:highlight w:val="none"/>
              </w:rPr>
              <w:t>份，应包含纸质投标文件（资格及资信证明部分、技术商务部分、报价部分）的☑扫描件（盖章签名后纸质投标文件正本的扫描件，PDF格式）和☑Word，以</w:t>
            </w:r>
            <w:r>
              <w:rPr>
                <w:rFonts w:hint="eastAsia" w:ascii="宋体" w:hAnsi="宋体" w:cs="宋体"/>
                <w:color w:val="000000" w:themeColor="text1"/>
                <w:highlight w:val="none"/>
                <w14:textFill>
                  <w14:solidFill>
                    <w14:schemeClr w14:val="tx1"/>
                  </w14:solidFill>
                </w14:textFill>
              </w:rPr>
              <w:t>光盘或</w:t>
            </w:r>
            <w:r>
              <w:rPr>
                <w:rFonts w:hint="eastAsia" w:ascii="宋体" w:hAnsi="宋体" w:cs="宋体"/>
                <w:highlight w:val="none"/>
              </w:rPr>
              <w:t>U盘提交。其中所有文件不做压缩处理、不留密码。</w:t>
            </w:r>
          </w:p>
          <w:p w14:paraId="2A29D8ED">
            <w:pPr>
              <w:pStyle w:val="10"/>
              <w:spacing w:before="0" w:beforeAutospacing="0" w:after="0" w:afterAutospacing="0"/>
              <w:rPr>
                <w:rFonts w:hint="eastAsia" w:ascii="宋体" w:hAnsi="宋体" w:cs="宋体"/>
                <w:highlight w:val="none"/>
              </w:rPr>
            </w:pPr>
            <w:r>
              <w:rPr>
                <w:rFonts w:hint="eastAsia" w:ascii="宋体" w:hAnsi="宋体" w:cs="宋体"/>
                <w:highlight w:val="none"/>
              </w:rPr>
              <w:t>注：本项目评审以</w:t>
            </w:r>
            <w:bookmarkStart w:id="8" w:name="OLE_LINK64"/>
            <w:bookmarkStart w:id="9" w:name="OLE_LINK63"/>
            <w:r>
              <w:rPr>
                <w:rFonts w:hint="eastAsia" w:ascii="宋体" w:hAnsi="宋体" w:cs="宋体"/>
                <w:highlight w:val="none"/>
              </w:rPr>
              <w:t>纸质投标文件正本</w:t>
            </w:r>
            <w:bookmarkEnd w:id="8"/>
            <w:bookmarkEnd w:id="9"/>
            <w:r>
              <w:rPr>
                <w:rFonts w:hint="eastAsia" w:ascii="宋体" w:hAnsi="宋体" w:cs="宋体"/>
                <w:highlight w:val="none"/>
              </w:rPr>
              <w:t>为准，电子文件与纸质文件的内容应保持一致，若有不一致以纸质投标文件正本为准。</w:t>
            </w:r>
          </w:p>
        </w:tc>
      </w:tr>
      <w:tr w14:paraId="6F9E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5D753671">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3</w:t>
            </w:r>
          </w:p>
        </w:tc>
        <w:tc>
          <w:tcPr>
            <w:tcW w:w="1272" w:type="dxa"/>
            <w:tcMar>
              <w:top w:w="0" w:type="dxa"/>
              <w:left w:w="83" w:type="dxa"/>
              <w:bottom w:w="0" w:type="dxa"/>
              <w:right w:w="83" w:type="dxa"/>
            </w:tcMar>
            <w:vAlign w:val="center"/>
          </w:tcPr>
          <w:p w14:paraId="0FA381B1">
            <w:pPr>
              <w:pStyle w:val="10"/>
              <w:spacing w:before="0" w:beforeAutospacing="0" w:after="0" w:afterAutospacing="0"/>
              <w:rPr>
                <w:rFonts w:hint="eastAsia" w:ascii="宋体" w:hAnsi="宋体" w:cs="宋体"/>
                <w:highlight w:val="none"/>
              </w:rPr>
            </w:pPr>
            <w:r>
              <w:rPr>
                <w:rFonts w:hint="eastAsia" w:ascii="宋体" w:hAnsi="宋体" w:cs="宋体"/>
                <w:highlight w:val="none"/>
              </w:rPr>
              <w:t>10.5-</w:t>
            </w:r>
            <w:r>
              <w:rPr>
                <w:rFonts w:hint="eastAsia" w:ascii="宋体" w:hAnsi="宋体" w:cs="宋体"/>
                <w:highlight w:val="none"/>
                <w:lang w:eastAsia="zh-CN"/>
              </w:rPr>
              <w:t>(</w:t>
            </w:r>
            <w:r>
              <w:rPr>
                <w:rFonts w:hint="eastAsia" w:ascii="宋体" w:hAnsi="宋体" w:cs="宋体"/>
                <w:highlight w:val="none"/>
              </w:rPr>
              <w:t>2</w:t>
            </w:r>
            <w:r>
              <w:rPr>
                <w:rFonts w:hint="eastAsia" w:ascii="宋体" w:hAnsi="宋体" w:cs="宋体"/>
                <w:highlight w:val="none"/>
                <w:lang w:eastAsia="zh-CN"/>
              </w:rPr>
              <w:t>)</w:t>
            </w:r>
            <w:r>
              <w:rPr>
                <w:rFonts w:hint="eastAsia" w:ascii="宋体" w:hAnsi="宋体" w:cs="宋体"/>
                <w:highlight w:val="none"/>
              </w:rPr>
              <w:t>-③</w:t>
            </w:r>
          </w:p>
        </w:tc>
        <w:tc>
          <w:tcPr>
            <w:tcW w:w="7715" w:type="dxa"/>
            <w:tcMar>
              <w:top w:w="0" w:type="dxa"/>
              <w:left w:w="83" w:type="dxa"/>
              <w:bottom w:w="0" w:type="dxa"/>
              <w:right w:w="83" w:type="dxa"/>
            </w:tcMar>
            <w:vAlign w:val="center"/>
          </w:tcPr>
          <w:p w14:paraId="41E39E38">
            <w:pPr>
              <w:pStyle w:val="10"/>
              <w:spacing w:before="0" w:beforeAutospacing="0" w:after="0" w:afterAutospacing="0"/>
              <w:rPr>
                <w:rFonts w:hint="eastAsia" w:ascii="宋体" w:hAnsi="宋体" w:cs="宋体"/>
                <w:highlight w:val="none"/>
              </w:rPr>
            </w:pPr>
            <w:r>
              <w:rPr>
                <w:rStyle w:val="34"/>
                <w:rFonts w:hint="eastAsia" w:ascii="宋体" w:hAnsi="宋体" w:cs="宋体"/>
                <w:highlight w:val="none"/>
              </w:rPr>
              <w:t>允许散装或活页装订的内容或材料：</w:t>
            </w:r>
          </w:p>
          <w:p w14:paraId="3A7A51A7">
            <w:pPr>
              <w:pStyle w:val="10"/>
              <w:spacing w:before="0" w:beforeAutospacing="0" w:after="0" w:afterAutospacing="0"/>
              <w:rPr>
                <w:rFonts w:hint="eastAsia" w:ascii="宋体" w:hAnsi="宋体" w:cs="宋体"/>
                <w:highlight w:val="none"/>
              </w:rPr>
            </w:pPr>
            <w:r>
              <w:rPr>
                <w:rFonts w:hint="eastAsia" w:ascii="宋体" w:hAnsi="宋体" w:cs="宋体"/>
                <w:highlight w:val="none"/>
              </w:rPr>
              <w:t>（1）投标文件的补充、修改或撤回；</w:t>
            </w:r>
          </w:p>
          <w:p w14:paraId="47CA860A">
            <w:pPr>
              <w:pStyle w:val="10"/>
              <w:spacing w:before="0" w:beforeAutospacing="0" w:after="0" w:afterAutospacing="0"/>
              <w:rPr>
                <w:rFonts w:hint="eastAsia" w:ascii="宋体" w:hAnsi="宋体" w:eastAsia="宋体" w:cs="宋体"/>
                <w:highlight w:val="none"/>
                <w:lang w:eastAsia="zh-CN"/>
              </w:rPr>
            </w:pPr>
            <w:r>
              <w:rPr>
                <w:rFonts w:hint="eastAsia" w:ascii="宋体" w:hAnsi="宋体" w:cs="宋体"/>
                <w:highlight w:val="none"/>
              </w:rPr>
              <w:t>（2）其他内容或材料：</w:t>
            </w:r>
            <w:r>
              <w:rPr>
                <w:rStyle w:val="62"/>
                <w:rFonts w:hint="eastAsia" w:ascii="宋体" w:hAnsi="宋体" w:cs="宋体"/>
                <w:highlight w:val="none"/>
              </w:rPr>
              <w:t>无</w:t>
            </w:r>
            <w:r>
              <w:rPr>
                <w:rStyle w:val="62"/>
                <w:rFonts w:hint="eastAsia" w:ascii="宋体" w:hAnsi="宋体" w:cs="宋体"/>
                <w:highlight w:val="none"/>
                <w:lang w:eastAsia="zh-CN"/>
              </w:rPr>
              <w:t>。</w:t>
            </w:r>
          </w:p>
        </w:tc>
      </w:tr>
      <w:tr w14:paraId="1A5C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4911CE06">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4</w:t>
            </w:r>
          </w:p>
        </w:tc>
        <w:tc>
          <w:tcPr>
            <w:tcW w:w="1272" w:type="dxa"/>
            <w:tcMar>
              <w:top w:w="0" w:type="dxa"/>
              <w:left w:w="83" w:type="dxa"/>
              <w:bottom w:w="0" w:type="dxa"/>
              <w:right w:w="83" w:type="dxa"/>
            </w:tcMar>
            <w:vAlign w:val="center"/>
          </w:tcPr>
          <w:p w14:paraId="12975328">
            <w:pPr>
              <w:pStyle w:val="10"/>
              <w:spacing w:before="0" w:beforeAutospacing="0" w:after="0" w:afterAutospacing="0"/>
              <w:rPr>
                <w:rFonts w:hint="eastAsia" w:ascii="宋体" w:hAnsi="宋体" w:cs="宋体"/>
                <w:highlight w:val="none"/>
              </w:rPr>
            </w:pPr>
            <w:r>
              <w:rPr>
                <w:rFonts w:hint="eastAsia" w:ascii="宋体" w:hAnsi="宋体" w:cs="宋体"/>
                <w:highlight w:val="none"/>
              </w:rPr>
              <w:t>10.7-</w:t>
            </w:r>
            <w:r>
              <w:rPr>
                <w:rFonts w:hint="eastAsia" w:ascii="宋体" w:hAnsi="宋体" w:cs="宋体"/>
                <w:highlight w:val="none"/>
                <w:lang w:eastAsia="zh-CN"/>
              </w:rPr>
              <w:t>(</w:t>
            </w:r>
            <w:r>
              <w:rPr>
                <w:rFonts w:hint="eastAsia" w:ascii="宋体" w:hAnsi="宋体" w:cs="宋体"/>
                <w:highlight w:val="none"/>
              </w:rPr>
              <w:t>1</w:t>
            </w:r>
            <w:r>
              <w:rPr>
                <w:rFonts w:hint="eastAsia" w:ascii="宋体" w:hAnsi="宋体" w:cs="宋体"/>
                <w:highlight w:val="none"/>
                <w:lang w:eastAsia="zh-CN"/>
              </w:rPr>
              <w:t>)</w:t>
            </w:r>
          </w:p>
        </w:tc>
        <w:tc>
          <w:tcPr>
            <w:tcW w:w="7715" w:type="dxa"/>
            <w:tcMar>
              <w:top w:w="0" w:type="dxa"/>
              <w:left w:w="83" w:type="dxa"/>
              <w:bottom w:w="0" w:type="dxa"/>
              <w:right w:w="83" w:type="dxa"/>
            </w:tcMar>
            <w:vAlign w:val="center"/>
          </w:tcPr>
          <w:p w14:paraId="07646E62">
            <w:pPr>
              <w:pStyle w:val="10"/>
              <w:spacing w:before="0" w:beforeAutospacing="0" w:after="0" w:afterAutospacing="0"/>
              <w:rPr>
                <w:rFonts w:hint="eastAsia" w:ascii="宋体" w:hAnsi="宋体" w:cs="宋体"/>
                <w:highlight w:val="none"/>
              </w:rPr>
            </w:pPr>
            <w:r>
              <w:rPr>
                <w:rStyle w:val="34"/>
                <w:rFonts w:hint="eastAsia" w:ascii="宋体" w:hAnsi="宋体" w:cs="宋体"/>
                <w:highlight w:val="none"/>
              </w:rPr>
              <w:t>是否允许中标人将本项目的非主体、非关键性工作进行</w:t>
            </w:r>
            <w:r>
              <w:rPr>
                <w:rStyle w:val="34"/>
                <w:rFonts w:hint="eastAsia" w:ascii="宋体" w:hAnsi="宋体" w:cs="宋体"/>
                <w:highlight w:val="none"/>
                <w:lang w:val="en-US" w:eastAsia="zh-CN"/>
              </w:rPr>
              <w:t>转</w:t>
            </w:r>
            <w:r>
              <w:rPr>
                <w:rStyle w:val="34"/>
                <w:rFonts w:hint="eastAsia" w:ascii="宋体" w:hAnsi="宋体" w:cs="宋体"/>
                <w:highlight w:val="none"/>
              </w:rPr>
              <w:t>包：</w:t>
            </w:r>
            <w:r>
              <w:rPr>
                <w:rFonts w:hint="eastAsia" w:ascii="宋体" w:hAnsi="宋体" w:cs="宋体"/>
                <w:highlight w:val="none"/>
              </w:rPr>
              <w:t>不允许。</w:t>
            </w:r>
          </w:p>
        </w:tc>
      </w:tr>
      <w:tr w14:paraId="079E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135B79D8">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5</w:t>
            </w:r>
          </w:p>
        </w:tc>
        <w:tc>
          <w:tcPr>
            <w:tcW w:w="1272" w:type="dxa"/>
            <w:tcMar>
              <w:top w:w="0" w:type="dxa"/>
              <w:left w:w="83" w:type="dxa"/>
              <w:bottom w:w="0" w:type="dxa"/>
              <w:right w:w="83" w:type="dxa"/>
            </w:tcMar>
            <w:vAlign w:val="center"/>
          </w:tcPr>
          <w:p w14:paraId="2AF18154">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10.8-</w:t>
            </w:r>
            <w:r>
              <w:rPr>
                <w:rFonts w:hint="eastAsia" w:ascii="宋体" w:hAnsi="宋体" w:cs="宋体"/>
                <w:highlight w:val="none"/>
                <w:lang w:eastAsia="zh-CN"/>
              </w:rPr>
              <w:t>(</w:t>
            </w:r>
            <w:r>
              <w:rPr>
                <w:rFonts w:hint="eastAsia" w:ascii="宋体" w:hAnsi="宋体" w:cs="宋体"/>
                <w:highlight w:val="none"/>
              </w:rPr>
              <w:t>1</w:t>
            </w:r>
            <w:r>
              <w:rPr>
                <w:rFonts w:hint="eastAsia" w:ascii="宋体" w:hAnsi="宋体" w:cs="宋体"/>
                <w:highlight w:val="none"/>
                <w:lang w:eastAsia="zh-CN"/>
              </w:rPr>
              <w:t>)</w:t>
            </w:r>
          </w:p>
        </w:tc>
        <w:tc>
          <w:tcPr>
            <w:tcW w:w="7715" w:type="dxa"/>
            <w:tcMar>
              <w:top w:w="0" w:type="dxa"/>
              <w:left w:w="83" w:type="dxa"/>
              <w:bottom w:w="0" w:type="dxa"/>
              <w:right w:w="83" w:type="dxa"/>
            </w:tcMar>
            <w:vAlign w:val="center"/>
          </w:tcPr>
          <w:p w14:paraId="1FAE9C5B">
            <w:pPr>
              <w:pStyle w:val="10"/>
              <w:spacing w:before="0" w:beforeAutospacing="0" w:after="0" w:afterAutospacing="0"/>
              <w:rPr>
                <w:rFonts w:hint="eastAsia" w:ascii="宋体" w:hAnsi="宋体" w:cs="宋体"/>
                <w:highlight w:val="none"/>
              </w:rPr>
            </w:pPr>
            <w:r>
              <w:rPr>
                <w:rStyle w:val="34"/>
                <w:rFonts w:hint="eastAsia" w:ascii="宋体" w:hAnsi="宋体" w:cs="宋体"/>
                <w:highlight w:val="none"/>
              </w:rPr>
              <w:t>投标有效期</w:t>
            </w:r>
            <w:r>
              <w:rPr>
                <w:rFonts w:hint="eastAsia" w:ascii="宋体" w:hAnsi="宋体" w:cs="宋体"/>
                <w:highlight w:val="none"/>
              </w:rPr>
              <w:t>：投标截止时间起90个日历日。</w:t>
            </w:r>
          </w:p>
        </w:tc>
      </w:tr>
      <w:tr w14:paraId="2448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7408F3E6">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6</w:t>
            </w:r>
          </w:p>
        </w:tc>
        <w:tc>
          <w:tcPr>
            <w:tcW w:w="1272" w:type="dxa"/>
            <w:tcMar>
              <w:top w:w="0" w:type="dxa"/>
              <w:left w:w="83" w:type="dxa"/>
              <w:bottom w:w="0" w:type="dxa"/>
              <w:right w:w="83" w:type="dxa"/>
            </w:tcMar>
            <w:vAlign w:val="center"/>
          </w:tcPr>
          <w:p w14:paraId="037AD686">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10.10-</w:t>
            </w:r>
            <w:r>
              <w:rPr>
                <w:rFonts w:hint="eastAsia" w:ascii="宋体" w:hAnsi="宋体" w:cs="宋体"/>
                <w:highlight w:val="none"/>
                <w:lang w:eastAsia="zh-CN"/>
              </w:rPr>
              <w:t>(</w:t>
            </w:r>
            <w:r>
              <w:rPr>
                <w:rFonts w:hint="eastAsia" w:ascii="宋体" w:hAnsi="宋体" w:cs="宋体"/>
                <w:highlight w:val="none"/>
              </w:rPr>
              <w:t>2</w:t>
            </w:r>
            <w:r>
              <w:rPr>
                <w:rFonts w:hint="eastAsia" w:ascii="宋体" w:hAnsi="宋体" w:cs="宋体"/>
                <w:highlight w:val="none"/>
                <w:lang w:eastAsia="zh-CN"/>
              </w:rPr>
              <w:t>)</w:t>
            </w:r>
          </w:p>
        </w:tc>
        <w:tc>
          <w:tcPr>
            <w:tcW w:w="7715" w:type="dxa"/>
            <w:tcMar>
              <w:top w:w="0" w:type="dxa"/>
              <w:left w:w="83" w:type="dxa"/>
              <w:bottom w:w="0" w:type="dxa"/>
              <w:right w:w="83" w:type="dxa"/>
            </w:tcMar>
            <w:vAlign w:val="center"/>
          </w:tcPr>
          <w:p w14:paraId="0D1194CB">
            <w:pPr>
              <w:pStyle w:val="10"/>
              <w:spacing w:before="0" w:beforeAutospacing="0" w:after="0" w:afterAutospacing="0"/>
              <w:rPr>
                <w:rFonts w:hint="eastAsia" w:ascii="宋体" w:hAnsi="宋体" w:cs="宋体"/>
                <w:highlight w:val="none"/>
              </w:rPr>
            </w:pPr>
            <w:r>
              <w:rPr>
                <w:rStyle w:val="34"/>
                <w:rFonts w:hint="eastAsia" w:ascii="宋体" w:hAnsi="宋体" w:cs="宋体"/>
                <w:highlight w:val="none"/>
              </w:rPr>
              <w:t>密封及其标记的具体形式：</w:t>
            </w:r>
          </w:p>
          <w:p w14:paraId="0D4DE18E">
            <w:pPr>
              <w:pStyle w:val="10"/>
              <w:spacing w:before="0" w:beforeAutospacing="0" w:after="0" w:afterAutospacing="0"/>
              <w:rPr>
                <w:rFonts w:hint="eastAsia" w:ascii="宋体" w:hAnsi="宋体" w:cs="宋体"/>
                <w:highlight w:val="none"/>
              </w:rPr>
            </w:pPr>
            <w:r>
              <w:rPr>
                <w:rFonts w:hint="eastAsia" w:ascii="宋体" w:hAnsi="宋体" w:cs="宋体"/>
                <w:highlight w:val="none"/>
              </w:rPr>
              <w:t>（1）全部纸质投标文件（包括正本、副本及可读介质）均应密封，否则</w:t>
            </w:r>
            <w:r>
              <w:rPr>
                <w:rStyle w:val="34"/>
                <w:rFonts w:hint="eastAsia" w:ascii="宋体" w:hAnsi="宋体" w:cs="宋体"/>
                <w:highlight w:val="none"/>
              </w:rPr>
              <w:t>投标将被拒绝。</w:t>
            </w:r>
          </w:p>
          <w:p w14:paraId="03B9A4A2">
            <w:pPr>
              <w:pStyle w:val="10"/>
              <w:spacing w:before="0" w:beforeAutospacing="0" w:after="0" w:afterAutospacing="0"/>
              <w:rPr>
                <w:rFonts w:hint="eastAsia" w:ascii="宋体" w:hAnsi="宋体" w:cs="宋体"/>
                <w:highlight w:val="none"/>
              </w:rPr>
            </w:pPr>
            <w:r>
              <w:rPr>
                <w:rFonts w:hint="eastAsia" w:ascii="宋体" w:hAnsi="宋体" w:cs="宋体"/>
                <w:highlight w:val="none"/>
              </w:rPr>
              <w:t>（2）密封的外包装应至少标记“项目名称、项目编号、所投采购包、投标人的全称”等内容，否则造成投标文件误投、遗漏或提前拆封的，</w:t>
            </w:r>
            <w:r>
              <w:rPr>
                <w:rFonts w:hint="eastAsia" w:ascii="宋体" w:hAnsi="宋体" w:cs="宋体"/>
                <w:highlight w:val="none"/>
                <w:u w:val="single"/>
              </w:rPr>
              <w:t>福建省智信招标有限公司</w:t>
            </w:r>
            <w:r>
              <w:rPr>
                <w:rFonts w:hint="eastAsia" w:ascii="宋体" w:hAnsi="宋体" w:cs="宋体"/>
                <w:highlight w:val="none"/>
              </w:rPr>
              <w:t>不承担责任。</w:t>
            </w:r>
          </w:p>
          <w:p w14:paraId="37A1EF5F">
            <w:pPr>
              <w:pStyle w:val="10"/>
              <w:spacing w:before="0" w:beforeAutospacing="0" w:after="0" w:afterAutospacing="0"/>
              <w:rPr>
                <w:rFonts w:hint="eastAsia" w:ascii="宋体" w:hAnsi="宋体" w:eastAsia="宋体" w:cs="宋体"/>
                <w:highlight w:val="none"/>
                <w:lang w:eastAsia="zh-CN"/>
              </w:rPr>
            </w:pPr>
            <w:r>
              <w:rPr>
                <w:rFonts w:hint="eastAsia" w:ascii="宋体" w:hAnsi="宋体" w:cs="宋体"/>
                <w:highlight w:val="none"/>
              </w:rPr>
              <w:t>（3）其他：</w:t>
            </w:r>
            <w:r>
              <w:rPr>
                <w:rStyle w:val="62"/>
                <w:rFonts w:hint="eastAsia" w:ascii="宋体" w:hAnsi="宋体" w:cs="宋体"/>
                <w:highlight w:val="none"/>
              </w:rPr>
              <w:t>无</w:t>
            </w:r>
            <w:r>
              <w:rPr>
                <w:rStyle w:val="62"/>
                <w:rFonts w:hint="eastAsia" w:ascii="宋体" w:hAnsi="宋体" w:cs="宋体"/>
                <w:highlight w:val="none"/>
                <w:lang w:eastAsia="zh-CN"/>
              </w:rPr>
              <w:t>。</w:t>
            </w:r>
          </w:p>
        </w:tc>
      </w:tr>
      <w:tr w14:paraId="37CB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02F8784C">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7</w:t>
            </w:r>
          </w:p>
        </w:tc>
        <w:tc>
          <w:tcPr>
            <w:tcW w:w="1272" w:type="dxa"/>
            <w:tcMar>
              <w:top w:w="0" w:type="dxa"/>
              <w:left w:w="83" w:type="dxa"/>
              <w:bottom w:w="0" w:type="dxa"/>
              <w:right w:w="83" w:type="dxa"/>
            </w:tcMar>
            <w:vAlign w:val="center"/>
          </w:tcPr>
          <w:p w14:paraId="436882C4">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12.1</w:t>
            </w:r>
          </w:p>
        </w:tc>
        <w:tc>
          <w:tcPr>
            <w:tcW w:w="7715" w:type="dxa"/>
            <w:tcMar>
              <w:top w:w="0" w:type="dxa"/>
              <w:left w:w="83" w:type="dxa"/>
              <w:bottom w:w="0" w:type="dxa"/>
              <w:right w:w="83" w:type="dxa"/>
            </w:tcMar>
            <w:vAlign w:val="center"/>
          </w:tcPr>
          <w:p w14:paraId="0DCC7A66">
            <w:pPr>
              <w:pStyle w:val="10"/>
              <w:spacing w:before="0" w:beforeAutospacing="0" w:after="0" w:afterAutospacing="0"/>
              <w:rPr>
                <w:rFonts w:hint="eastAsia" w:ascii="宋体" w:hAnsi="宋体" w:cs="宋体"/>
                <w:highlight w:val="none"/>
              </w:rPr>
            </w:pPr>
            <w:r>
              <w:rPr>
                <w:rFonts w:hint="eastAsia" w:ascii="宋体" w:hAnsi="宋体" w:cs="宋体"/>
                <w:highlight w:val="none"/>
              </w:rPr>
              <w:t>本项目推荐中标候选人数为1家。</w:t>
            </w:r>
          </w:p>
        </w:tc>
      </w:tr>
      <w:tr w14:paraId="0F4B3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59" w:type="dxa"/>
              <w:left w:w="118" w:type="dxa"/>
              <w:bottom w:w="59" w:type="dxa"/>
              <w:right w:w="118" w:type="dxa"/>
            </w:tcMar>
            <w:vAlign w:val="center"/>
          </w:tcPr>
          <w:p w14:paraId="50FA5C29">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8</w:t>
            </w:r>
          </w:p>
        </w:tc>
        <w:tc>
          <w:tcPr>
            <w:tcW w:w="1272" w:type="dxa"/>
            <w:tcMar>
              <w:top w:w="59" w:type="dxa"/>
              <w:left w:w="118" w:type="dxa"/>
              <w:bottom w:w="59" w:type="dxa"/>
              <w:right w:w="118" w:type="dxa"/>
            </w:tcMar>
            <w:vAlign w:val="center"/>
          </w:tcPr>
          <w:p w14:paraId="35D96D2B">
            <w:pPr>
              <w:pStyle w:val="10"/>
              <w:spacing w:before="0" w:beforeAutospacing="0" w:after="0" w:afterAutospacing="0"/>
              <w:rPr>
                <w:rFonts w:hint="eastAsia" w:ascii="宋体" w:hAnsi="宋体" w:cs="宋体"/>
                <w:highlight w:val="none"/>
              </w:rPr>
            </w:pPr>
            <w:r>
              <w:rPr>
                <w:rFonts w:hint="eastAsia" w:ascii="宋体" w:hAnsi="宋体" w:cs="宋体"/>
                <w:highlight w:val="none"/>
              </w:rPr>
              <w:t> 12.2</w:t>
            </w:r>
          </w:p>
        </w:tc>
        <w:tc>
          <w:tcPr>
            <w:tcW w:w="7715" w:type="dxa"/>
            <w:tcMar>
              <w:top w:w="59" w:type="dxa"/>
              <w:left w:w="118" w:type="dxa"/>
              <w:bottom w:w="59" w:type="dxa"/>
              <w:right w:w="118" w:type="dxa"/>
            </w:tcMar>
            <w:vAlign w:val="center"/>
          </w:tcPr>
          <w:p w14:paraId="1CE70ABC">
            <w:pPr>
              <w:pStyle w:val="10"/>
              <w:spacing w:before="0" w:beforeAutospacing="0" w:after="0" w:afterAutospacing="0"/>
              <w:rPr>
                <w:rFonts w:hint="eastAsia" w:ascii="宋体" w:hAnsi="宋体" w:cs="宋体"/>
                <w:highlight w:val="none"/>
              </w:rPr>
            </w:pPr>
            <w:r>
              <w:rPr>
                <w:rStyle w:val="34"/>
                <w:rFonts w:hint="eastAsia" w:ascii="宋体" w:hAnsi="宋体" w:cs="宋体"/>
                <w:highlight w:val="none"/>
              </w:rPr>
              <w:t>本项目中标人的确定（以采购包为单位）：</w:t>
            </w:r>
          </w:p>
          <w:p w14:paraId="54B07ED9">
            <w:pPr>
              <w:pStyle w:val="10"/>
              <w:spacing w:before="0" w:beforeAutospacing="0" w:after="0" w:afterAutospacing="0"/>
              <w:rPr>
                <w:rFonts w:hint="eastAsia" w:ascii="宋体" w:hAnsi="宋体" w:cs="宋体"/>
                <w:highlight w:val="none"/>
              </w:rPr>
            </w:pPr>
            <w:r>
              <w:rPr>
                <w:rFonts w:hint="eastAsia" w:ascii="宋体" w:hAnsi="宋体" w:cs="宋体"/>
                <w:highlight w:val="none"/>
              </w:rPr>
              <w:t>（1）采购人应当自收到评标报告之日起5个工作日内，在评标报告确定的中标候选人名单中按顺序确定中标人。</w:t>
            </w:r>
          </w:p>
          <w:p w14:paraId="7CE9CA4D">
            <w:pPr>
              <w:pStyle w:val="10"/>
              <w:spacing w:before="0" w:beforeAutospacing="0" w:after="0" w:afterAutospacing="0"/>
              <w:rPr>
                <w:rFonts w:hint="eastAsia" w:ascii="宋体" w:hAnsi="宋体" w:cs="宋体"/>
                <w:highlight w:val="none"/>
              </w:rPr>
            </w:pPr>
            <w:r>
              <w:rPr>
                <w:rFonts w:hint="eastAsia" w:ascii="宋体" w:hAnsi="宋体" w:cs="宋体"/>
                <w:highlight w:val="none"/>
              </w:rPr>
              <w:t>（2）若出现中标候选人并列情形，则按照下列方式确定中标人：</w:t>
            </w:r>
          </w:p>
          <w:p w14:paraId="44E923A0">
            <w:pPr>
              <w:pStyle w:val="10"/>
              <w:widowControl/>
              <w:spacing w:before="0" w:beforeAutospacing="0" w:after="0" w:afterAutospacing="0" w:line="23" w:lineRule="atLeast"/>
              <w:rPr>
                <w:rFonts w:hint="eastAsia" w:ascii="宋体" w:hAnsi="宋体" w:cs="宋体"/>
                <w:highlight w:val="none"/>
              </w:rPr>
            </w:pPr>
            <w:r>
              <w:rPr>
                <w:rFonts w:hint="eastAsia" w:ascii="宋体" w:hAnsi="宋体" w:cs="宋体"/>
                <w:highlight w:val="none"/>
              </w:rPr>
              <w:t>①招标文件规定的方式：</w:t>
            </w:r>
            <w:r>
              <w:rPr>
                <w:rFonts w:hint="eastAsia" w:ascii="宋体" w:hAnsi="宋体" w:cs="宋体"/>
                <w:bCs/>
                <w:highlight w:val="none"/>
              </w:rPr>
              <w:t>投标人评标总得分（FA）且评标价（即价格扣除后的投标报价）相同的，则按技术项的得分从高到低排序推荐中标候选人；若投标人的评标总得分（FA）且评标价（即价格扣除后的投标报价）、技术项、商务项得分均相同的，则评标委员会在有关监督人员的监督下通过随机抽签的形式，确定他们之间的排名顺序。</w:t>
            </w:r>
          </w:p>
          <w:p w14:paraId="4C5144B0">
            <w:pPr>
              <w:pStyle w:val="10"/>
              <w:spacing w:before="0" w:beforeAutospacing="0" w:after="0" w:afterAutospacing="0"/>
              <w:rPr>
                <w:rFonts w:hint="eastAsia" w:ascii="宋体" w:hAnsi="宋体" w:cs="宋体"/>
                <w:highlight w:val="none"/>
              </w:rPr>
            </w:pPr>
            <w:r>
              <w:rPr>
                <w:rFonts w:hint="eastAsia" w:ascii="宋体" w:hAnsi="宋体" w:cs="宋体"/>
                <w:highlight w:val="none"/>
              </w:rPr>
              <w:t>②若本款第①点规定方式为“无”，则按照下列方式确定：</w:t>
            </w:r>
            <w:r>
              <w:rPr>
                <w:rStyle w:val="62"/>
                <w:rFonts w:hint="eastAsia" w:ascii="宋体" w:hAnsi="宋体" w:cs="宋体"/>
                <w:highlight w:val="none"/>
              </w:rPr>
              <w:t>无</w:t>
            </w:r>
            <w:r>
              <w:rPr>
                <w:rFonts w:hint="eastAsia" w:ascii="宋体" w:hAnsi="宋体" w:cs="宋体"/>
                <w:highlight w:val="none"/>
              </w:rPr>
              <w:t>。</w:t>
            </w:r>
          </w:p>
          <w:p w14:paraId="3D793F89">
            <w:pPr>
              <w:pStyle w:val="10"/>
              <w:spacing w:before="0" w:beforeAutospacing="0" w:after="0" w:afterAutospacing="0"/>
              <w:rPr>
                <w:rFonts w:hint="eastAsia" w:ascii="宋体" w:hAnsi="宋体" w:cs="宋体"/>
                <w:highlight w:val="none"/>
              </w:rPr>
            </w:pPr>
            <w:r>
              <w:rPr>
                <w:rFonts w:hint="eastAsia" w:ascii="宋体" w:hAnsi="宋体" w:cs="宋体"/>
                <w:highlight w:val="none"/>
              </w:rPr>
              <w:t>③若本款第①、②点规定方式均为“无”，则按照下列方式确定：随机抽取。</w:t>
            </w:r>
          </w:p>
          <w:p w14:paraId="0768F1C0">
            <w:pPr>
              <w:pStyle w:val="10"/>
              <w:spacing w:before="0" w:beforeAutospacing="0" w:after="0" w:afterAutospacing="0"/>
              <w:rPr>
                <w:rFonts w:hint="eastAsia" w:ascii="宋体" w:hAnsi="宋体" w:cs="宋体"/>
                <w:highlight w:val="none"/>
              </w:rPr>
            </w:pPr>
            <w:r>
              <w:rPr>
                <w:rFonts w:hint="eastAsia" w:ascii="宋体" w:hAnsi="宋体" w:cs="宋体"/>
                <w:highlight w:val="none"/>
              </w:rPr>
              <w:t>（3）本项目确定的中标人家数：</w:t>
            </w:r>
          </w:p>
          <w:p w14:paraId="2BE9BE39">
            <w:pPr>
              <w:pStyle w:val="10"/>
              <w:spacing w:before="0" w:beforeAutospacing="0" w:after="0" w:afterAutospacing="0"/>
              <w:rPr>
                <w:rFonts w:hint="eastAsia" w:ascii="宋体" w:hAnsi="宋体" w:cs="宋体"/>
                <w:highlight w:val="none"/>
              </w:rPr>
            </w:pPr>
            <w:r>
              <w:rPr>
                <w:rFonts w:hint="eastAsia" w:ascii="宋体" w:hAnsi="宋体" w:cs="宋体"/>
                <w:highlight w:val="none"/>
              </w:rPr>
              <w:t>①本项目确定中标人数为1家；</w:t>
            </w:r>
          </w:p>
          <w:p w14:paraId="4F1F5639">
            <w:pPr>
              <w:pStyle w:val="10"/>
              <w:spacing w:before="0" w:beforeAutospacing="0" w:after="0" w:afterAutospacing="0"/>
              <w:rPr>
                <w:rFonts w:hint="eastAsia" w:ascii="宋体" w:hAnsi="宋体" w:cs="宋体"/>
                <w:highlight w:val="none"/>
              </w:rPr>
            </w:pPr>
            <w:r>
              <w:rPr>
                <w:rFonts w:hint="eastAsia" w:ascii="宋体" w:hAnsi="宋体" w:cs="宋体"/>
                <w:highlight w:val="none"/>
              </w:rPr>
              <w:t>②若出现中标候选人符合法定家数但不足本款第①点规定中标人家数情形，则按照中标候选人的实际家数确定中标人。</w:t>
            </w:r>
          </w:p>
        </w:tc>
      </w:tr>
      <w:tr w14:paraId="66DF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783A41C4">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9</w:t>
            </w:r>
          </w:p>
        </w:tc>
        <w:tc>
          <w:tcPr>
            <w:tcW w:w="1272" w:type="dxa"/>
            <w:tcMar>
              <w:top w:w="0" w:type="dxa"/>
              <w:left w:w="83" w:type="dxa"/>
              <w:bottom w:w="0" w:type="dxa"/>
              <w:right w:w="83" w:type="dxa"/>
            </w:tcMar>
            <w:vAlign w:val="center"/>
          </w:tcPr>
          <w:p w14:paraId="15E335A3">
            <w:pPr>
              <w:pStyle w:val="10"/>
              <w:spacing w:before="0" w:beforeAutospacing="0" w:after="0" w:afterAutospacing="0"/>
              <w:rPr>
                <w:rFonts w:hint="eastAsia" w:ascii="宋体" w:hAnsi="宋体" w:cs="宋体"/>
                <w:highlight w:val="none"/>
              </w:rPr>
            </w:pPr>
            <w:r>
              <w:rPr>
                <w:rFonts w:hint="eastAsia" w:ascii="宋体" w:hAnsi="宋体" w:cs="宋体"/>
                <w:highlight w:val="none"/>
              </w:rPr>
              <w:t>15.1-</w:t>
            </w:r>
            <w:r>
              <w:rPr>
                <w:rFonts w:hint="eastAsia" w:ascii="宋体" w:hAnsi="宋体" w:cs="宋体"/>
                <w:highlight w:val="none"/>
                <w:lang w:eastAsia="zh-CN"/>
              </w:rPr>
              <w:t>(</w:t>
            </w:r>
            <w:r>
              <w:rPr>
                <w:rFonts w:hint="eastAsia" w:ascii="宋体" w:hAnsi="宋体" w:cs="宋体"/>
                <w:highlight w:val="none"/>
              </w:rPr>
              <w:t>2</w:t>
            </w:r>
            <w:r>
              <w:rPr>
                <w:rFonts w:hint="eastAsia" w:ascii="宋体" w:hAnsi="宋体" w:cs="宋体"/>
                <w:highlight w:val="none"/>
                <w:lang w:eastAsia="zh-CN"/>
              </w:rPr>
              <w:t>)</w:t>
            </w:r>
          </w:p>
        </w:tc>
        <w:tc>
          <w:tcPr>
            <w:tcW w:w="7715" w:type="dxa"/>
            <w:tcMar>
              <w:top w:w="0" w:type="dxa"/>
              <w:left w:w="83" w:type="dxa"/>
              <w:bottom w:w="0" w:type="dxa"/>
              <w:right w:w="83" w:type="dxa"/>
            </w:tcMar>
            <w:vAlign w:val="center"/>
          </w:tcPr>
          <w:p w14:paraId="114A1D8B">
            <w:pPr>
              <w:pStyle w:val="10"/>
              <w:wordWrap w:val="0"/>
              <w:spacing w:before="0" w:beforeAutospacing="0" w:after="0" w:afterAutospacing="0"/>
              <w:rPr>
                <w:rFonts w:hint="eastAsia" w:ascii="宋体" w:hAnsi="宋体" w:cs="宋体"/>
                <w:highlight w:val="none"/>
              </w:rPr>
            </w:pPr>
            <w:r>
              <w:rPr>
                <w:rStyle w:val="34"/>
                <w:rFonts w:hint="eastAsia" w:ascii="宋体" w:hAnsi="宋体" w:cs="宋体"/>
                <w:highlight w:val="none"/>
              </w:rPr>
              <w:t>质疑函原件应采用下列方式提交：</w:t>
            </w:r>
            <w:r>
              <w:rPr>
                <w:rFonts w:hint="eastAsia" w:ascii="宋体" w:hAnsi="宋体" w:cs="宋体"/>
                <w:highlight w:val="none"/>
              </w:rPr>
              <w:t>书面形式。</w:t>
            </w:r>
          </w:p>
        </w:tc>
      </w:tr>
      <w:tr w14:paraId="3CE8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blCellSpacing w:w="15" w:type="dxa"/>
        </w:trPr>
        <w:tc>
          <w:tcPr>
            <w:tcW w:w="736" w:type="dxa"/>
            <w:tcMar>
              <w:top w:w="0" w:type="dxa"/>
              <w:left w:w="83" w:type="dxa"/>
              <w:bottom w:w="0" w:type="dxa"/>
              <w:right w:w="83" w:type="dxa"/>
            </w:tcMar>
            <w:vAlign w:val="center"/>
          </w:tcPr>
          <w:p w14:paraId="35BABE76">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10</w:t>
            </w:r>
          </w:p>
        </w:tc>
        <w:tc>
          <w:tcPr>
            <w:tcW w:w="1272" w:type="dxa"/>
            <w:tcMar>
              <w:top w:w="0" w:type="dxa"/>
              <w:left w:w="83" w:type="dxa"/>
              <w:bottom w:w="0" w:type="dxa"/>
              <w:right w:w="83" w:type="dxa"/>
            </w:tcMar>
            <w:vAlign w:val="center"/>
          </w:tcPr>
          <w:p w14:paraId="0F0A2280">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15.4</w:t>
            </w:r>
          </w:p>
        </w:tc>
        <w:tc>
          <w:tcPr>
            <w:tcW w:w="7715" w:type="dxa"/>
            <w:tcMar>
              <w:top w:w="0" w:type="dxa"/>
              <w:left w:w="83" w:type="dxa"/>
              <w:bottom w:w="0" w:type="dxa"/>
              <w:right w:w="83" w:type="dxa"/>
            </w:tcMar>
            <w:vAlign w:val="center"/>
          </w:tcPr>
          <w:p w14:paraId="46F080E4">
            <w:pPr>
              <w:pStyle w:val="10"/>
              <w:spacing w:before="0" w:beforeAutospacing="0" w:after="0" w:afterAutospacing="0"/>
              <w:rPr>
                <w:rFonts w:hint="eastAsia" w:ascii="宋体" w:hAnsi="宋体" w:cs="宋体"/>
                <w:highlight w:val="none"/>
              </w:rPr>
            </w:pPr>
            <w:r>
              <w:rPr>
                <w:rStyle w:val="34"/>
                <w:rFonts w:hint="eastAsia" w:ascii="宋体" w:hAnsi="宋体" w:cs="宋体"/>
                <w:highlight w:val="none"/>
              </w:rPr>
              <w:t>招标文件的质疑</w:t>
            </w:r>
          </w:p>
          <w:p w14:paraId="5604F2A9">
            <w:pPr>
              <w:pStyle w:val="10"/>
              <w:wordWrap w:val="0"/>
              <w:spacing w:before="0" w:beforeAutospacing="0" w:after="0" w:afterAutospacing="0"/>
              <w:rPr>
                <w:rFonts w:hint="eastAsia" w:ascii="宋体" w:hAnsi="宋体" w:cs="宋体"/>
                <w:bCs/>
                <w:highlight w:val="none"/>
              </w:rPr>
            </w:pPr>
            <w:r>
              <w:rPr>
                <w:rFonts w:hint="eastAsia" w:ascii="宋体" w:hAnsi="宋体" w:cs="宋体"/>
                <w:highlight w:val="none"/>
              </w:rPr>
              <w:t>（1）潜在投标人可在质疑时效期间内对招标文件以书面形式提出质疑。</w:t>
            </w:r>
            <w:r>
              <w:rPr>
                <w:rStyle w:val="62"/>
                <w:rFonts w:hint="eastAsia" w:ascii="宋体" w:hAnsi="宋体" w:cs="宋体"/>
                <w:b/>
                <w:bCs/>
                <w:highlight w:val="none"/>
              </w:rPr>
              <w:t>在法定质疑期内质疑人须一次性提出针对同一采购程序环节的质疑，二（多）次质疑不予受理。</w:t>
            </w:r>
          </w:p>
          <w:p w14:paraId="19EA967D">
            <w:pPr>
              <w:pStyle w:val="10"/>
              <w:spacing w:before="0" w:beforeAutospacing="0" w:after="0" w:afterAutospacing="0"/>
              <w:rPr>
                <w:rFonts w:hint="eastAsia" w:ascii="宋体" w:hAnsi="宋体" w:cs="宋体"/>
                <w:highlight w:val="none"/>
              </w:rPr>
            </w:pPr>
            <w:r>
              <w:rPr>
                <w:rFonts w:hint="eastAsia" w:ascii="宋体" w:hAnsi="宋体" w:cs="宋体"/>
                <w:highlight w:val="none"/>
              </w:rPr>
              <w:t>（2）质疑时效期间：</w:t>
            </w:r>
          </w:p>
          <w:p w14:paraId="3AF45013">
            <w:pPr>
              <w:pStyle w:val="10"/>
              <w:spacing w:before="0" w:beforeAutospacing="0" w:after="0" w:afterAutospacing="0"/>
              <w:rPr>
                <w:rFonts w:hint="eastAsia" w:ascii="宋体" w:hAnsi="宋体" w:cs="宋体"/>
                <w:highlight w:val="none"/>
              </w:rPr>
            </w:pPr>
            <w:r>
              <w:rPr>
                <w:rFonts w:hint="eastAsia" w:ascii="宋体" w:hAnsi="宋体" w:cs="宋体"/>
                <w:highlight w:val="none"/>
              </w:rPr>
              <w:t>①在招标文件公告期限内：自招标文件获取之日起7个工作日内向福建省智信招标有限公司提出。</w:t>
            </w:r>
          </w:p>
          <w:p w14:paraId="4A4A96CE">
            <w:pPr>
              <w:pStyle w:val="10"/>
              <w:spacing w:before="0" w:beforeAutospacing="0" w:after="0" w:afterAutospacing="0"/>
              <w:rPr>
                <w:rFonts w:hint="eastAsia" w:ascii="宋体" w:hAnsi="宋体" w:cs="宋体"/>
                <w:highlight w:val="none"/>
              </w:rPr>
            </w:pPr>
            <w:r>
              <w:rPr>
                <w:rFonts w:hint="eastAsia" w:ascii="宋体" w:hAnsi="宋体" w:cs="宋体"/>
                <w:highlight w:val="none"/>
              </w:rPr>
              <w:t>②在招标文件公告期限截止后至招标文件提供期限届满前的期间内：自招标文件公告期限届满之日起7个工作日内向</w:t>
            </w:r>
            <w:r>
              <w:rPr>
                <w:rFonts w:hint="eastAsia" w:ascii="宋体" w:hAnsi="宋体" w:cs="宋体"/>
                <w:highlight w:val="none"/>
                <w:u w:val="single"/>
              </w:rPr>
              <w:t>福建省智信招标有限公司</w:t>
            </w:r>
            <w:r>
              <w:rPr>
                <w:rFonts w:hint="eastAsia" w:ascii="宋体" w:hAnsi="宋体" w:cs="宋体"/>
                <w:highlight w:val="none"/>
              </w:rPr>
              <w:t>提出。</w:t>
            </w:r>
          </w:p>
          <w:p w14:paraId="3F0FD819">
            <w:pPr>
              <w:pStyle w:val="10"/>
              <w:spacing w:before="0" w:beforeAutospacing="0" w:after="0" w:afterAutospacing="0"/>
              <w:rPr>
                <w:rFonts w:hint="eastAsia" w:ascii="宋体" w:hAnsi="宋体" w:cs="宋体"/>
                <w:highlight w:val="none"/>
              </w:rPr>
            </w:pPr>
            <w:r>
              <w:rPr>
                <w:rFonts w:hint="eastAsia" w:ascii="宋体" w:hAnsi="宋体" w:cs="宋体"/>
                <w:highlight w:val="none"/>
              </w:rPr>
              <w:t>（3）</w:t>
            </w:r>
            <w:r>
              <w:rPr>
                <w:highlight w:val="none"/>
              </w:rPr>
              <w:fldChar w:fldCharType="begin"/>
            </w:r>
            <w:r>
              <w:rPr>
                <w:highlight w:val="none"/>
              </w:rPr>
              <w:instrText xml:space="preserve"> HYPERLINK "http://download.ccgp.gov.cn/2018/zhiyihanfanben.zip" \t "_blank" </w:instrText>
            </w:r>
            <w:r>
              <w:rPr>
                <w:highlight w:val="none"/>
              </w:rPr>
              <w:fldChar w:fldCharType="separate"/>
            </w:r>
            <w:r>
              <w:rPr>
                <w:rFonts w:hint="eastAsia" w:ascii="宋体" w:hAnsi="宋体" w:cs="宋体"/>
                <w:highlight w:val="none"/>
              </w:rPr>
              <w:t>质疑函范本</w:t>
            </w:r>
            <w:r>
              <w:rPr>
                <w:rFonts w:hint="eastAsia" w:ascii="宋体" w:hAnsi="宋体" w:cs="宋体"/>
                <w:highlight w:val="none"/>
              </w:rPr>
              <w:fldChar w:fldCharType="end"/>
            </w:r>
            <w:r>
              <w:rPr>
                <w:rFonts w:hint="eastAsia" w:ascii="宋体" w:hAnsi="宋体" w:cs="宋体"/>
                <w:highlight w:val="none"/>
              </w:rPr>
              <w:t>下载地址：中国政府采购网（http://www.ccgp.gov.cn/）下载专区；</w:t>
            </w:r>
          </w:p>
          <w:p w14:paraId="6D0BAB37">
            <w:pPr>
              <w:pStyle w:val="10"/>
              <w:spacing w:before="0" w:beforeAutospacing="0" w:after="0" w:afterAutospacing="0"/>
              <w:rPr>
                <w:rFonts w:hint="eastAsia" w:ascii="宋体" w:hAnsi="宋体" w:cs="宋体"/>
                <w:highlight w:val="none"/>
              </w:rPr>
            </w:pPr>
            <w:r>
              <w:rPr>
                <w:rStyle w:val="34"/>
                <w:rFonts w:hint="eastAsia" w:ascii="宋体" w:hAnsi="宋体" w:cs="宋体"/>
                <w:highlight w:val="none"/>
              </w:rPr>
              <w:t>※除上述规定外，对招标文件提出的质疑还应符合招标文件第三章第15.1条的有关规定。</w:t>
            </w:r>
          </w:p>
        </w:tc>
      </w:tr>
      <w:tr w14:paraId="507C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0B6AF238">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11</w:t>
            </w:r>
          </w:p>
        </w:tc>
        <w:tc>
          <w:tcPr>
            <w:tcW w:w="1272" w:type="dxa"/>
            <w:tcMar>
              <w:top w:w="0" w:type="dxa"/>
              <w:left w:w="83" w:type="dxa"/>
              <w:bottom w:w="0" w:type="dxa"/>
              <w:right w:w="83" w:type="dxa"/>
            </w:tcMar>
            <w:vAlign w:val="center"/>
          </w:tcPr>
          <w:p w14:paraId="59819EE0">
            <w:pPr>
              <w:pStyle w:val="10"/>
              <w:spacing w:before="0" w:beforeAutospacing="0" w:after="0" w:afterAutospacing="0"/>
              <w:jc w:val="center"/>
              <w:rPr>
                <w:rStyle w:val="34"/>
                <w:rFonts w:hint="eastAsia" w:ascii="宋体" w:hAnsi="宋体" w:cs="宋体"/>
                <w:highlight w:val="none"/>
              </w:rPr>
            </w:pPr>
            <w:r>
              <w:rPr>
                <w:rStyle w:val="34"/>
                <w:rFonts w:hint="eastAsia" w:ascii="宋体" w:hAnsi="宋体" w:cs="宋体"/>
                <w:highlight w:val="none"/>
              </w:rPr>
              <w:t>16.1</w:t>
            </w:r>
          </w:p>
        </w:tc>
        <w:tc>
          <w:tcPr>
            <w:tcW w:w="7715" w:type="dxa"/>
            <w:tcMar>
              <w:top w:w="0" w:type="dxa"/>
              <w:left w:w="83" w:type="dxa"/>
              <w:bottom w:w="0" w:type="dxa"/>
              <w:right w:w="83" w:type="dxa"/>
            </w:tcMar>
            <w:vAlign w:val="center"/>
          </w:tcPr>
          <w:p w14:paraId="35AD6BCE">
            <w:pPr>
              <w:pStyle w:val="10"/>
              <w:spacing w:before="0" w:beforeAutospacing="0" w:after="0" w:afterAutospacing="0"/>
              <w:rPr>
                <w:rStyle w:val="34"/>
                <w:rFonts w:hint="eastAsia" w:ascii="宋体" w:hAnsi="宋体" w:cs="宋体"/>
                <w:highlight w:val="none"/>
              </w:rPr>
            </w:pPr>
            <w:r>
              <w:rPr>
                <w:rStyle w:val="34"/>
                <w:rFonts w:hint="eastAsia" w:ascii="宋体" w:hAnsi="宋体" w:cs="宋体"/>
                <w:highlight w:val="none"/>
              </w:rPr>
              <w:t>监督管理部门：福州市鼓楼区城建投资发展集团有限公司监督部门</w:t>
            </w:r>
          </w:p>
        </w:tc>
      </w:tr>
      <w:tr w14:paraId="595B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69D2AC70">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12</w:t>
            </w:r>
          </w:p>
        </w:tc>
        <w:tc>
          <w:tcPr>
            <w:tcW w:w="1272" w:type="dxa"/>
            <w:tcMar>
              <w:top w:w="0" w:type="dxa"/>
              <w:left w:w="83" w:type="dxa"/>
              <w:bottom w:w="0" w:type="dxa"/>
              <w:right w:w="83" w:type="dxa"/>
            </w:tcMar>
            <w:vAlign w:val="center"/>
          </w:tcPr>
          <w:p w14:paraId="35978212">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18.1</w:t>
            </w:r>
          </w:p>
        </w:tc>
        <w:tc>
          <w:tcPr>
            <w:tcW w:w="7715" w:type="dxa"/>
            <w:tcMar>
              <w:top w:w="0" w:type="dxa"/>
              <w:left w:w="83" w:type="dxa"/>
              <w:bottom w:w="0" w:type="dxa"/>
              <w:right w:w="83" w:type="dxa"/>
            </w:tcMar>
            <w:vAlign w:val="center"/>
          </w:tcPr>
          <w:p w14:paraId="04F1A29D">
            <w:pPr>
              <w:widowControl/>
              <w:rPr>
                <w:rStyle w:val="34"/>
                <w:rFonts w:hint="eastAsia" w:ascii="宋体" w:hAnsi="宋体" w:cs="宋体"/>
                <w:sz w:val="24"/>
                <w:highlight w:val="none"/>
              </w:rPr>
            </w:pPr>
            <w:r>
              <w:rPr>
                <w:rStyle w:val="34"/>
                <w:rFonts w:hint="eastAsia" w:ascii="宋体" w:hAnsi="宋体" w:cs="宋体"/>
                <w:sz w:val="24"/>
                <w:highlight w:val="none"/>
              </w:rPr>
              <w:t>信息发布媒体（以下简称：“指定媒体”）：</w:t>
            </w:r>
          </w:p>
          <w:p w14:paraId="6E58368E">
            <w:pPr>
              <w:widowControl/>
              <w:jc w:val="left"/>
              <w:rPr>
                <w:rStyle w:val="34"/>
                <w:rFonts w:hint="eastAsia" w:ascii="宋体" w:hAnsi="宋体" w:cs="宋体"/>
                <w:b w:val="0"/>
                <w:bCs/>
                <w:sz w:val="24"/>
                <w:highlight w:val="none"/>
              </w:rPr>
            </w:pPr>
            <w:r>
              <w:rPr>
                <w:rStyle w:val="34"/>
                <w:rFonts w:hint="eastAsia" w:ascii="宋体" w:hAnsi="宋体" w:cs="宋体"/>
                <w:b w:val="0"/>
                <w:bCs/>
                <w:sz w:val="24"/>
                <w:highlight w:val="none"/>
              </w:rPr>
              <w:t>①中国招标投标公共服务平台</w:t>
            </w:r>
            <w:r>
              <w:rPr>
                <w:rStyle w:val="34"/>
                <w:rFonts w:hint="eastAsia" w:ascii="宋体" w:hAnsi="宋体" w:cs="宋体"/>
                <w:b w:val="0"/>
                <w:bCs/>
                <w:sz w:val="24"/>
                <w:highlight w:val="none"/>
                <w:lang w:eastAsia="zh-CN"/>
              </w:rPr>
              <w:t>（</w:t>
            </w:r>
            <w:r>
              <w:rPr>
                <w:rStyle w:val="34"/>
                <w:rFonts w:hint="eastAsia" w:ascii="宋体" w:hAnsi="宋体" w:cs="宋体"/>
                <w:b w:val="0"/>
                <w:bCs/>
                <w:sz w:val="24"/>
                <w:highlight w:val="none"/>
              </w:rPr>
              <w:t>网址http：//www.cebpubservice.com/</w:t>
            </w:r>
            <w:r>
              <w:rPr>
                <w:rStyle w:val="34"/>
                <w:rFonts w:hint="eastAsia" w:ascii="宋体" w:hAnsi="宋体" w:cs="宋体"/>
                <w:b w:val="0"/>
                <w:bCs/>
                <w:sz w:val="24"/>
                <w:highlight w:val="none"/>
                <w:lang w:eastAsia="zh-CN"/>
              </w:rPr>
              <w:t>）</w:t>
            </w:r>
          </w:p>
          <w:p w14:paraId="034B7D0A">
            <w:pPr>
              <w:widowControl/>
              <w:jc w:val="left"/>
              <w:rPr>
                <w:rStyle w:val="34"/>
                <w:rFonts w:hint="eastAsia" w:ascii="宋体" w:hAnsi="宋体" w:cs="宋体"/>
                <w:b w:val="0"/>
                <w:bCs/>
                <w:sz w:val="24"/>
                <w:highlight w:val="none"/>
              </w:rPr>
            </w:pPr>
            <w:r>
              <w:rPr>
                <w:rStyle w:val="34"/>
                <w:rFonts w:hint="eastAsia" w:ascii="宋体" w:hAnsi="宋体" w:cs="宋体"/>
                <w:b w:val="0"/>
                <w:bCs/>
                <w:sz w:val="24"/>
                <w:highlight w:val="none"/>
              </w:rPr>
              <w:t>②工采通电子招投标交易平台（网址https：//easy-prt.com/）</w:t>
            </w:r>
          </w:p>
          <w:p w14:paraId="16318FA3">
            <w:pPr>
              <w:widowControl/>
              <w:jc w:val="left"/>
              <w:rPr>
                <w:rFonts w:hint="eastAsia" w:ascii="宋体" w:hAnsi="宋体" w:cs="宋体"/>
                <w:spacing w:val="-2"/>
                <w:sz w:val="24"/>
                <w:highlight w:val="none"/>
              </w:rPr>
            </w:pPr>
            <w:r>
              <w:rPr>
                <w:rStyle w:val="34"/>
                <w:rFonts w:hint="eastAsia" w:ascii="宋体" w:hAnsi="宋体" w:cs="宋体"/>
                <w:b w:val="0"/>
                <w:bCs/>
                <w:sz w:val="24"/>
                <w:highlight w:val="none"/>
              </w:rPr>
              <w:t>③</w:t>
            </w:r>
            <w:r>
              <w:rPr>
                <w:rFonts w:hint="eastAsia" w:ascii="宋体" w:hAnsi="宋体" w:cs="宋体"/>
                <w:spacing w:val="-2"/>
                <w:sz w:val="24"/>
                <w:highlight w:val="none"/>
              </w:rPr>
              <w:t>福州市鼓楼区人民政府（网址https://www.gl.gov.cn/）</w:t>
            </w:r>
          </w:p>
          <w:p w14:paraId="087B4232">
            <w:pPr>
              <w:widowControl/>
              <w:jc w:val="left"/>
              <w:rPr>
                <w:rFonts w:hint="eastAsia" w:ascii="宋体" w:hAnsi="宋体" w:cs="宋体"/>
                <w:highlight w:val="none"/>
              </w:rPr>
            </w:pPr>
            <w:r>
              <w:rPr>
                <w:rFonts w:hint="eastAsia" w:ascii="宋体" w:hAnsi="宋体" w:cs="宋体"/>
                <w:sz w:val="24"/>
                <w:highlight w:val="none"/>
              </w:rPr>
              <w:t>※若出现上述指定媒体信息不一致情形，应以工采通电子招投标交易平台发布的为准。</w:t>
            </w:r>
          </w:p>
        </w:tc>
      </w:tr>
      <w:tr w14:paraId="6F90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6F244E8A">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13</w:t>
            </w:r>
          </w:p>
        </w:tc>
        <w:tc>
          <w:tcPr>
            <w:tcW w:w="1272" w:type="dxa"/>
            <w:tcMar>
              <w:top w:w="0" w:type="dxa"/>
              <w:left w:w="83" w:type="dxa"/>
              <w:bottom w:w="0" w:type="dxa"/>
              <w:right w:w="83" w:type="dxa"/>
            </w:tcMar>
            <w:vAlign w:val="center"/>
          </w:tcPr>
          <w:p w14:paraId="68E2358B">
            <w:pPr>
              <w:pStyle w:val="10"/>
              <w:spacing w:before="0" w:beforeAutospacing="0" w:after="0" w:afterAutospacing="0"/>
              <w:jc w:val="center"/>
              <w:rPr>
                <w:rFonts w:hint="eastAsia" w:ascii="宋体" w:hAnsi="宋体" w:cs="宋体"/>
                <w:highlight w:val="none"/>
              </w:rPr>
            </w:pPr>
          </w:p>
        </w:tc>
        <w:tc>
          <w:tcPr>
            <w:tcW w:w="7715" w:type="dxa"/>
            <w:tcMar>
              <w:top w:w="0" w:type="dxa"/>
              <w:left w:w="83" w:type="dxa"/>
              <w:bottom w:w="0" w:type="dxa"/>
              <w:right w:w="83" w:type="dxa"/>
            </w:tcMar>
            <w:vAlign w:val="center"/>
          </w:tcPr>
          <w:p w14:paraId="310F79A1">
            <w:pPr>
              <w:pStyle w:val="10"/>
              <w:wordWrap w:val="0"/>
              <w:spacing w:before="0" w:beforeAutospacing="0" w:after="0" w:afterAutospacing="0"/>
              <w:rPr>
                <w:rStyle w:val="34"/>
                <w:rFonts w:hint="eastAsia" w:ascii="宋体" w:hAnsi="宋体" w:cs="宋体"/>
                <w:highlight w:val="none"/>
              </w:rPr>
            </w:pPr>
            <w:r>
              <w:rPr>
                <w:rStyle w:val="34"/>
                <w:rFonts w:hint="eastAsia" w:ascii="宋体" w:hAnsi="宋体" w:cs="宋体"/>
                <w:highlight w:val="none"/>
              </w:rPr>
              <w:t>代理服务费：</w:t>
            </w:r>
          </w:p>
          <w:p w14:paraId="167FFFBE">
            <w:pPr>
              <w:pStyle w:val="10"/>
              <w:wordWrap w:val="0"/>
              <w:spacing w:before="0" w:beforeAutospacing="0" w:after="0" w:afterAutospacing="0"/>
              <w:rPr>
                <w:rStyle w:val="34"/>
                <w:rFonts w:hint="eastAsia" w:ascii="宋体" w:hAnsi="宋体" w:cs="宋体"/>
                <w:bCs/>
                <w:highlight w:val="none"/>
              </w:rPr>
            </w:pPr>
            <w:r>
              <w:rPr>
                <w:rStyle w:val="34"/>
                <w:rFonts w:hint="eastAsia" w:ascii="宋体" w:hAnsi="宋体" w:cs="宋体"/>
                <w:bCs/>
                <w:highlight w:val="none"/>
              </w:rPr>
              <w:t>（1）本项目招标代理费用由中标人支付。</w:t>
            </w:r>
          </w:p>
          <w:p w14:paraId="6B9239BC">
            <w:pPr>
              <w:pStyle w:val="10"/>
              <w:wordWrap w:val="0"/>
              <w:spacing w:before="0" w:beforeAutospacing="0" w:after="0" w:afterAutospacing="0"/>
              <w:rPr>
                <w:rStyle w:val="34"/>
                <w:rFonts w:hint="eastAsia" w:ascii="宋体" w:hAnsi="宋体" w:cs="宋体"/>
                <w:bCs/>
                <w:highlight w:val="none"/>
              </w:rPr>
            </w:pPr>
            <w:r>
              <w:rPr>
                <w:rStyle w:val="34"/>
                <w:rFonts w:hint="eastAsia" w:ascii="宋体" w:hAnsi="宋体" w:cs="宋体"/>
                <w:bCs/>
                <w:highlight w:val="none"/>
              </w:rPr>
              <w:t>（2）收费标准：以中标金额为计算基数，按差额定率累进法计算：100</w:t>
            </w:r>
            <w:r>
              <w:rPr>
                <w:rStyle w:val="34"/>
                <w:rFonts w:hint="eastAsia" w:ascii="宋体" w:hAnsi="宋体" w:cs="宋体"/>
                <w:bCs/>
                <w:highlight w:val="none"/>
                <w:lang w:eastAsia="zh-CN"/>
              </w:rPr>
              <w:t>（</w:t>
            </w:r>
            <w:r>
              <w:rPr>
                <w:rStyle w:val="34"/>
                <w:rFonts w:hint="eastAsia" w:ascii="宋体" w:hAnsi="宋体" w:cs="宋体"/>
                <w:bCs/>
                <w:highlight w:val="none"/>
              </w:rPr>
              <w:t>万元</w:t>
            </w:r>
            <w:r>
              <w:rPr>
                <w:rStyle w:val="34"/>
                <w:rFonts w:hint="eastAsia" w:ascii="宋体" w:hAnsi="宋体" w:cs="宋体"/>
                <w:bCs/>
                <w:highlight w:val="none"/>
                <w:lang w:eastAsia="zh-CN"/>
              </w:rPr>
              <w:t>）</w:t>
            </w:r>
            <w:r>
              <w:rPr>
                <w:rStyle w:val="34"/>
                <w:rFonts w:hint="eastAsia" w:ascii="宋体" w:hAnsi="宋体" w:cs="宋体"/>
                <w:bCs/>
                <w:highlight w:val="none"/>
              </w:rPr>
              <w:t>以下的部分费率标准为1.5%，100</w:t>
            </w:r>
            <w:r>
              <w:rPr>
                <w:rStyle w:val="34"/>
                <w:rFonts w:hint="eastAsia" w:ascii="宋体" w:hAnsi="宋体" w:cs="宋体"/>
                <w:bCs/>
                <w:highlight w:val="none"/>
                <w:lang w:eastAsia="zh-CN"/>
              </w:rPr>
              <w:t>（</w:t>
            </w:r>
            <w:r>
              <w:rPr>
                <w:rStyle w:val="34"/>
                <w:rFonts w:hint="eastAsia" w:ascii="宋体" w:hAnsi="宋体" w:cs="宋体"/>
                <w:bCs/>
                <w:highlight w:val="none"/>
              </w:rPr>
              <w:t>万元</w:t>
            </w:r>
            <w:r>
              <w:rPr>
                <w:rStyle w:val="34"/>
                <w:rFonts w:hint="eastAsia" w:ascii="宋体" w:hAnsi="宋体" w:cs="宋体"/>
                <w:bCs/>
                <w:highlight w:val="none"/>
                <w:lang w:eastAsia="zh-CN"/>
              </w:rPr>
              <w:t>）</w:t>
            </w:r>
            <w:r>
              <w:rPr>
                <w:rStyle w:val="34"/>
                <w:rFonts w:hint="eastAsia" w:ascii="宋体" w:hAnsi="宋体" w:cs="宋体"/>
                <w:bCs/>
                <w:highlight w:val="none"/>
              </w:rPr>
              <w:t>-500</w:t>
            </w:r>
            <w:r>
              <w:rPr>
                <w:rStyle w:val="34"/>
                <w:rFonts w:hint="eastAsia" w:ascii="宋体" w:hAnsi="宋体" w:cs="宋体"/>
                <w:bCs/>
                <w:highlight w:val="none"/>
                <w:lang w:eastAsia="zh-CN"/>
              </w:rPr>
              <w:t>（</w:t>
            </w:r>
            <w:r>
              <w:rPr>
                <w:rStyle w:val="34"/>
                <w:rFonts w:hint="eastAsia" w:ascii="宋体" w:hAnsi="宋体" w:cs="宋体"/>
                <w:bCs/>
                <w:highlight w:val="none"/>
              </w:rPr>
              <w:t>万元</w:t>
            </w:r>
            <w:r>
              <w:rPr>
                <w:rStyle w:val="34"/>
                <w:rFonts w:hint="eastAsia" w:ascii="宋体" w:hAnsi="宋体" w:cs="宋体"/>
                <w:bCs/>
                <w:highlight w:val="none"/>
                <w:lang w:eastAsia="zh-CN"/>
              </w:rPr>
              <w:t>）</w:t>
            </w:r>
            <w:r>
              <w:rPr>
                <w:rStyle w:val="34"/>
                <w:rFonts w:hint="eastAsia" w:ascii="宋体" w:hAnsi="宋体" w:cs="宋体"/>
                <w:bCs/>
                <w:highlight w:val="none"/>
              </w:rPr>
              <w:t>的部分费率标准为0.8%，500</w:t>
            </w:r>
            <w:r>
              <w:rPr>
                <w:rStyle w:val="34"/>
                <w:rFonts w:hint="eastAsia" w:ascii="宋体" w:hAnsi="宋体" w:cs="宋体"/>
                <w:bCs/>
                <w:highlight w:val="none"/>
                <w:lang w:eastAsia="zh-CN"/>
              </w:rPr>
              <w:t>（</w:t>
            </w:r>
            <w:r>
              <w:rPr>
                <w:rStyle w:val="34"/>
                <w:rFonts w:hint="eastAsia" w:ascii="宋体" w:hAnsi="宋体" w:cs="宋体"/>
                <w:bCs/>
                <w:highlight w:val="none"/>
              </w:rPr>
              <w:t>万元</w:t>
            </w:r>
            <w:r>
              <w:rPr>
                <w:rStyle w:val="34"/>
                <w:rFonts w:hint="eastAsia" w:ascii="宋体" w:hAnsi="宋体" w:cs="宋体"/>
                <w:bCs/>
                <w:highlight w:val="none"/>
                <w:lang w:eastAsia="zh-CN"/>
              </w:rPr>
              <w:t>）</w:t>
            </w:r>
            <w:r>
              <w:rPr>
                <w:rStyle w:val="34"/>
                <w:rFonts w:hint="eastAsia" w:ascii="宋体" w:hAnsi="宋体" w:cs="宋体"/>
                <w:bCs/>
                <w:highlight w:val="none"/>
              </w:rPr>
              <w:t>-1000</w:t>
            </w:r>
            <w:r>
              <w:rPr>
                <w:rStyle w:val="34"/>
                <w:rFonts w:hint="eastAsia" w:ascii="宋体" w:hAnsi="宋体" w:cs="宋体"/>
                <w:bCs/>
                <w:highlight w:val="none"/>
                <w:lang w:eastAsia="zh-CN"/>
              </w:rPr>
              <w:t>（</w:t>
            </w:r>
            <w:r>
              <w:rPr>
                <w:rStyle w:val="34"/>
                <w:rFonts w:hint="eastAsia" w:ascii="宋体" w:hAnsi="宋体" w:cs="宋体"/>
                <w:bCs/>
                <w:highlight w:val="none"/>
              </w:rPr>
              <w:t>万元</w:t>
            </w:r>
            <w:r>
              <w:rPr>
                <w:rStyle w:val="34"/>
                <w:rFonts w:hint="eastAsia" w:ascii="宋体" w:hAnsi="宋体" w:cs="宋体"/>
                <w:bCs/>
                <w:highlight w:val="none"/>
                <w:lang w:eastAsia="zh-CN"/>
              </w:rPr>
              <w:t>）</w:t>
            </w:r>
            <w:r>
              <w:rPr>
                <w:rStyle w:val="34"/>
                <w:rFonts w:hint="eastAsia" w:ascii="宋体" w:hAnsi="宋体" w:cs="宋体"/>
                <w:bCs/>
                <w:highlight w:val="none"/>
              </w:rPr>
              <w:t>的部分费率标准为0.45%，1000</w:t>
            </w:r>
            <w:r>
              <w:rPr>
                <w:rStyle w:val="34"/>
                <w:rFonts w:hint="eastAsia" w:ascii="宋体" w:hAnsi="宋体" w:cs="宋体"/>
                <w:bCs/>
                <w:highlight w:val="none"/>
                <w:lang w:eastAsia="zh-CN"/>
              </w:rPr>
              <w:t>（</w:t>
            </w:r>
            <w:r>
              <w:rPr>
                <w:rStyle w:val="34"/>
                <w:rFonts w:hint="eastAsia" w:ascii="宋体" w:hAnsi="宋体" w:cs="宋体"/>
                <w:bCs/>
                <w:highlight w:val="none"/>
              </w:rPr>
              <w:t>万元</w:t>
            </w:r>
            <w:r>
              <w:rPr>
                <w:rStyle w:val="34"/>
                <w:rFonts w:hint="eastAsia" w:ascii="宋体" w:hAnsi="宋体" w:cs="宋体"/>
                <w:bCs/>
                <w:highlight w:val="none"/>
                <w:lang w:eastAsia="zh-CN"/>
              </w:rPr>
              <w:t>）</w:t>
            </w:r>
            <w:r>
              <w:rPr>
                <w:rStyle w:val="34"/>
                <w:rFonts w:hint="eastAsia" w:ascii="宋体" w:hAnsi="宋体" w:cs="宋体"/>
                <w:bCs/>
                <w:highlight w:val="none"/>
              </w:rPr>
              <w:t>-5000</w:t>
            </w:r>
            <w:r>
              <w:rPr>
                <w:rStyle w:val="34"/>
                <w:rFonts w:hint="eastAsia" w:ascii="宋体" w:hAnsi="宋体" w:cs="宋体"/>
                <w:bCs/>
                <w:highlight w:val="none"/>
                <w:lang w:eastAsia="zh-CN"/>
              </w:rPr>
              <w:t>（</w:t>
            </w:r>
            <w:r>
              <w:rPr>
                <w:rStyle w:val="34"/>
                <w:rFonts w:hint="eastAsia" w:ascii="宋体" w:hAnsi="宋体" w:cs="宋体"/>
                <w:bCs/>
                <w:highlight w:val="none"/>
              </w:rPr>
              <w:t>万元</w:t>
            </w:r>
            <w:r>
              <w:rPr>
                <w:rStyle w:val="34"/>
                <w:rFonts w:hint="eastAsia" w:ascii="宋体" w:hAnsi="宋体" w:cs="宋体"/>
                <w:bCs/>
                <w:highlight w:val="none"/>
                <w:lang w:eastAsia="zh-CN"/>
              </w:rPr>
              <w:t>）</w:t>
            </w:r>
            <w:r>
              <w:rPr>
                <w:rStyle w:val="34"/>
                <w:rFonts w:hint="eastAsia" w:ascii="宋体" w:hAnsi="宋体" w:cs="宋体"/>
                <w:bCs/>
                <w:highlight w:val="none"/>
              </w:rPr>
              <w:t>的部分费率标准为0.25%；按照上述收费标准计算后的代理服务费整体下浮20%收取。中标人应按规定的标准以银行转账等方式一次性向代理机构缴清。</w:t>
            </w:r>
          </w:p>
          <w:p w14:paraId="1F7F048C">
            <w:pPr>
              <w:pStyle w:val="10"/>
              <w:wordWrap w:val="0"/>
              <w:spacing w:before="0" w:beforeAutospacing="0" w:after="0" w:afterAutospacing="0"/>
              <w:rPr>
                <w:rStyle w:val="34"/>
                <w:rFonts w:hint="eastAsia" w:ascii="宋体" w:hAnsi="宋体" w:cs="宋体"/>
                <w:b w:val="0"/>
                <w:highlight w:val="none"/>
              </w:rPr>
            </w:pPr>
            <w:r>
              <w:rPr>
                <w:rStyle w:val="34"/>
                <w:rFonts w:hint="eastAsia" w:ascii="宋体" w:hAnsi="宋体" w:cs="宋体"/>
                <w:b w:val="0"/>
                <w:highlight w:val="none"/>
              </w:rPr>
              <w:t>（3）招标代理服务费专户：</w:t>
            </w:r>
          </w:p>
          <w:p w14:paraId="67A8C335">
            <w:pPr>
              <w:pStyle w:val="10"/>
              <w:wordWrap w:val="0"/>
              <w:spacing w:before="0" w:beforeAutospacing="0" w:after="0" w:afterAutospacing="0"/>
              <w:rPr>
                <w:rStyle w:val="34"/>
                <w:rFonts w:hint="eastAsia" w:ascii="宋体" w:hAnsi="宋体" w:cs="宋体"/>
                <w:b w:val="0"/>
                <w:highlight w:val="none"/>
              </w:rPr>
            </w:pPr>
            <w:r>
              <w:rPr>
                <w:rStyle w:val="34"/>
                <w:rFonts w:hint="eastAsia" w:ascii="宋体" w:hAnsi="宋体" w:cs="宋体"/>
                <w:b w:val="0"/>
                <w:highlight w:val="none"/>
              </w:rPr>
              <w:t>开户名：福建省智信招标有限公司</w:t>
            </w:r>
          </w:p>
          <w:p w14:paraId="12E19098">
            <w:pPr>
              <w:pStyle w:val="10"/>
              <w:wordWrap w:val="0"/>
              <w:spacing w:before="0" w:beforeAutospacing="0" w:after="0" w:afterAutospacing="0"/>
              <w:rPr>
                <w:rStyle w:val="34"/>
                <w:rFonts w:hint="eastAsia" w:ascii="宋体" w:hAnsi="宋体" w:cs="宋体"/>
                <w:b w:val="0"/>
                <w:highlight w:val="none"/>
              </w:rPr>
            </w:pPr>
            <w:r>
              <w:rPr>
                <w:rStyle w:val="34"/>
                <w:rFonts w:hint="eastAsia" w:ascii="宋体" w:hAnsi="宋体" w:cs="宋体"/>
                <w:b w:val="0"/>
                <w:highlight w:val="none"/>
              </w:rPr>
              <w:t>开户行：中国光大银行福州市杨桥支行</w:t>
            </w:r>
          </w:p>
          <w:p w14:paraId="242C11B5">
            <w:pPr>
              <w:pStyle w:val="10"/>
              <w:wordWrap w:val="0"/>
              <w:spacing w:before="0" w:beforeAutospacing="0" w:after="0" w:afterAutospacing="0"/>
              <w:rPr>
                <w:rFonts w:hint="eastAsia" w:ascii="宋体" w:hAnsi="宋体" w:cs="宋体"/>
                <w:highlight w:val="none"/>
              </w:rPr>
            </w:pPr>
            <w:r>
              <w:rPr>
                <w:rStyle w:val="34"/>
                <w:rFonts w:hint="eastAsia" w:ascii="宋体" w:hAnsi="宋体" w:cs="宋体"/>
                <w:b w:val="0"/>
                <w:highlight w:val="none"/>
              </w:rPr>
              <w:t>账  号：087739120100304037933。</w:t>
            </w:r>
          </w:p>
        </w:tc>
      </w:tr>
      <w:tr w14:paraId="3961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0708C45A">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14</w:t>
            </w:r>
          </w:p>
        </w:tc>
        <w:tc>
          <w:tcPr>
            <w:tcW w:w="1272" w:type="dxa"/>
            <w:tcMar>
              <w:top w:w="0" w:type="dxa"/>
              <w:left w:w="83" w:type="dxa"/>
              <w:bottom w:w="0" w:type="dxa"/>
              <w:right w:w="83" w:type="dxa"/>
            </w:tcMar>
            <w:vAlign w:val="center"/>
          </w:tcPr>
          <w:p w14:paraId="59A75BB4">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9.5</w:t>
            </w:r>
          </w:p>
        </w:tc>
        <w:tc>
          <w:tcPr>
            <w:tcW w:w="7715" w:type="dxa"/>
            <w:tcMar>
              <w:top w:w="0" w:type="dxa"/>
              <w:left w:w="83" w:type="dxa"/>
              <w:bottom w:w="0" w:type="dxa"/>
              <w:right w:w="83" w:type="dxa"/>
            </w:tcMar>
            <w:vAlign w:val="center"/>
          </w:tcPr>
          <w:p w14:paraId="41CE0059">
            <w:pPr>
              <w:pStyle w:val="10"/>
              <w:wordWrap w:val="0"/>
              <w:spacing w:before="0" w:beforeAutospacing="0" w:after="0" w:afterAutospacing="0"/>
              <w:rPr>
                <w:rStyle w:val="34"/>
                <w:rFonts w:hint="eastAsia" w:ascii="宋体" w:hAnsi="宋体" w:cs="宋体"/>
                <w:highlight w:val="none"/>
              </w:rPr>
            </w:pPr>
            <w:r>
              <w:rPr>
                <w:rStyle w:val="62"/>
                <w:rFonts w:hint="eastAsia" w:ascii="宋体" w:hAnsi="宋体" w:cs="宋体"/>
                <w:bCs/>
                <w:highlight w:val="none"/>
              </w:rPr>
              <w:t>为本项目提供整体设计、规范编制或项目管理、监理、检测等服务的供应商，不得参加本项目除整体设计、规范编制和项目管理、监理、检测等服务外的采购活动，否则投标无效。</w:t>
            </w:r>
          </w:p>
        </w:tc>
      </w:tr>
      <w:tr w14:paraId="4F7D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1939A28D">
            <w:pPr>
              <w:pStyle w:val="10"/>
              <w:spacing w:before="0" w:beforeAutospacing="0" w:after="0" w:afterAutospacing="0"/>
              <w:jc w:val="center"/>
              <w:rPr>
                <w:rFonts w:hint="eastAsia" w:ascii="宋体" w:hAnsi="宋体" w:cs="宋体"/>
                <w:highlight w:val="none"/>
              </w:rPr>
            </w:pPr>
            <w:r>
              <w:rPr>
                <w:rFonts w:hint="eastAsia" w:ascii="宋体" w:hAnsi="宋体" w:cs="宋体"/>
                <w:highlight w:val="none"/>
              </w:rPr>
              <w:t>15</w:t>
            </w:r>
          </w:p>
        </w:tc>
        <w:tc>
          <w:tcPr>
            <w:tcW w:w="1272" w:type="dxa"/>
            <w:tcMar>
              <w:top w:w="0" w:type="dxa"/>
              <w:left w:w="83" w:type="dxa"/>
              <w:bottom w:w="0" w:type="dxa"/>
              <w:right w:w="83" w:type="dxa"/>
            </w:tcMar>
            <w:vAlign w:val="center"/>
          </w:tcPr>
          <w:p w14:paraId="7542F40D">
            <w:pPr>
              <w:pStyle w:val="10"/>
              <w:spacing w:before="0" w:beforeAutospacing="0" w:after="0" w:afterAutospacing="0"/>
              <w:jc w:val="center"/>
              <w:rPr>
                <w:rFonts w:hint="eastAsia" w:ascii="宋体" w:hAnsi="宋体" w:cs="宋体"/>
                <w:highlight w:val="none"/>
              </w:rPr>
            </w:pPr>
          </w:p>
        </w:tc>
        <w:tc>
          <w:tcPr>
            <w:tcW w:w="7715" w:type="dxa"/>
            <w:tcMar>
              <w:top w:w="0" w:type="dxa"/>
              <w:left w:w="83" w:type="dxa"/>
              <w:bottom w:w="0" w:type="dxa"/>
              <w:right w:w="83" w:type="dxa"/>
            </w:tcMar>
            <w:vAlign w:val="center"/>
          </w:tcPr>
          <w:p w14:paraId="5B92D2E8">
            <w:pPr>
              <w:pStyle w:val="10"/>
              <w:wordWrap w:val="0"/>
              <w:spacing w:before="0" w:beforeAutospacing="0" w:after="0" w:afterAutospacing="0"/>
              <w:ind w:firstLine="482" w:firstLineChars="200"/>
              <w:rPr>
                <w:rStyle w:val="34"/>
                <w:rFonts w:hint="eastAsia" w:ascii="宋体" w:hAnsi="宋体" w:cs="宋体"/>
                <w:highlight w:val="none"/>
              </w:rPr>
            </w:pPr>
            <w:r>
              <w:rPr>
                <w:rStyle w:val="34"/>
                <w:rFonts w:hint="eastAsia" w:ascii="宋体" w:hAnsi="宋体" w:cs="宋体"/>
                <w:highlight w:val="none"/>
              </w:rPr>
              <w:t>其他事项：</w:t>
            </w:r>
          </w:p>
          <w:p w14:paraId="215EF92D">
            <w:pPr>
              <w:pStyle w:val="10"/>
              <w:wordWrap w:val="0"/>
              <w:spacing w:before="0" w:beforeAutospacing="0" w:after="0" w:afterAutospacing="0"/>
              <w:ind w:firstLine="480" w:firstLineChars="200"/>
              <w:rPr>
                <w:rStyle w:val="62"/>
                <w:rFonts w:hint="eastAsia" w:ascii="宋体" w:hAnsi="宋体" w:cs="宋体"/>
                <w:bCs/>
                <w:highlight w:val="none"/>
              </w:rPr>
            </w:pPr>
            <w:r>
              <w:rPr>
                <w:rStyle w:val="62"/>
                <w:rFonts w:hint="eastAsia" w:ascii="宋体" w:hAnsi="宋体" w:cs="宋体"/>
                <w:bCs/>
                <w:highlight w:val="none"/>
              </w:rPr>
              <w:t>1.本项目非依法必须招标的项目、非依法进行的政府采购项目；采购人根据内控制度，同时参照政府采购（含相关规定）程序规范本次采购活动；采购文件中关于“政府采购”的有关表述，仅出于表述参照政府采购程序过程的目的；在适用法律上不受政府采购相关法律法规限制，遵从本采购文件有关规定。</w:t>
            </w:r>
          </w:p>
          <w:p w14:paraId="0F7E3BA7">
            <w:pPr>
              <w:pStyle w:val="10"/>
              <w:wordWrap w:val="0"/>
              <w:spacing w:before="0" w:beforeAutospacing="0" w:after="0" w:afterAutospacing="0"/>
              <w:ind w:firstLine="480" w:firstLineChars="200"/>
              <w:rPr>
                <w:rFonts w:hint="eastAsia" w:ascii="宋体" w:hAnsi="宋体" w:cs="宋体"/>
                <w:highlight w:val="none"/>
                <w:shd w:val="clear" w:color="auto" w:fill="FFFFFF"/>
              </w:rPr>
            </w:pPr>
            <w:r>
              <w:rPr>
                <w:rStyle w:val="62"/>
                <w:rFonts w:hint="eastAsia" w:ascii="宋体" w:hAnsi="宋体" w:cs="宋体"/>
                <w:bCs/>
                <w:highlight w:val="none"/>
              </w:rPr>
              <w:t>2.</w:t>
            </w:r>
            <w:r>
              <w:rPr>
                <w:rFonts w:hint="eastAsia" w:ascii="宋体" w:hAnsi="宋体" w:cs="宋体"/>
                <w:highlight w:val="none"/>
                <w:shd w:val="clear" w:color="auto" w:fill="FFFFFF"/>
              </w:rPr>
              <w:t>投标人对提供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项目监督部门可参照政府采购法律法规有关规定处理。</w:t>
            </w:r>
          </w:p>
          <w:p w14:paraId="4730E521">
            <w:pPr>
              <w:pStyle w:val="10"/>
              <w:wordWrap w:val="0"/>
              <w:spacing w:before="0" w:beforeAutospacing="0" w:after="0" w:afterAutospacing="0"/>
              <w:ind w:firstLine="480" w:firstLineChars="200"/>
              <w:rPr>
                <w:rFonts w:hint="default" w:ascii="宋体" w:hAnsi="宋体" w:eastAsia="宋体" w:cs="宋体"/>
                <w:highlight w:val="none"/>
                <w:lang w:val="en-US" w:eastAsia="zh-CN"/>
              </w:rPr>
            </w:pPr>
            <w:r>
              <w:rPr>
                <w:rFonts w:hint="eastAsia" w:ascii="宋体" w:hAnsi="宋体" w:cs="宋体"/>
                <w:highlight w:val="none"/>
                <w:shd w:val="clear" w:color="auto" w:fill="FFFFFF"/>
                <w:lang w:val="en-US" w:eastAsia="zh-CN"/>
              </w:rPr>
              <w:t>3.本项目由</w:t>
            </w:r>
            <w:r>
              <w:rPr>
                <w:rFonts w:hint="eastAsia"/>
                <w:color w:val="auto"/>
                <w:shd w:val="clear" w:color="auto" w:fill="FFFFFF"/>
                <w:lang w:val="en-US" w:eastAsia="zh-CN"/>
              </w:rPr>
              <w:t>业主单位</w:t>
            </w:r>
            <w:r>
              <w:rPr>
                <w:rFonts w:hint="eastAsia"/>
                <w:color w:val="auto"/>
                <w:shd w:val="clear" w:color="auto" w:fill="FFFFFF"/>
              </w:rPr>
              <w:t>数字福建鼓楼示范区建设领导小组办公室</w:t>
            </w:r>
            <w:r>
              <w:rPr>
                <w:rFonts w:hint="eastAsia"/>
                <w:color w:val="auto"/>
                <w:shd w:val="clear" w:color="auto" w:fill="FFFFFF"/>
                <w:lang w:val="en-US" w:eastAsia="zh-CN"/>
              </w:rPr>
              <w:t>委托代业主单位</w:t>
            </w:r>
            <w:r>
              <w:rPr>
                <w:rFonts w:hint="eastAsia"/>
                <w:color w:val="auto"/>
                <w:shd w:val="clear" w:color="auto" w:fill="FFFFFF"/>
                <w:lang w:eastAsia="zh-CN"/>
              </w:rPr>
              <w:t>福州市鼓楼区城建投资发展集团有限公司</w:t>
            </w:r>
            <w:r>
              <w:rPr>
                <w:rFonts w:hint="eastAsia"/>
                <w:color w:val="auto"/>
                <w:shd w:val="clear" w:color="auto" w:fill="FFFFFF"/>
                <w:lang w:val="en-US" w:eastAsia="zh-CN"/>
              </w:rPr>
              <w:t>作为采购人组织本次采购。</w:t>
            </w:r>
          </w:p>
        </w:tc>
      </w:tr>
    </w:tbl>
    <w:p w14:paraId="3B8CB803">
      <w:pPr>
        <w:pStyle w:val="10"/>
        <w:spacing w:before="59" w:beforeAutospacing="0" w:after="59" w:afterAutospacing="0"/>
        <w:rPr>
          <w:rFonts w:hint="eastAsia" w:ascii="宋体" w:hAnsi="宋体" w:cs="宋体"/>
          <w:sz w:val="19"/>
          <w:szCs w:val="19"/>
          <w:highlight w:val="none"/>
        </w:rPr>
      </w:pPr>
    </w:p>
    <w:p w14:paraId="57182FD3">
      <w:pPr>
        <w:pStyle w:val="69"/>
        <w:spacing w:line="240" w:lineRule="atLeast"/>
        <w:jc w:val="center"/>
        <w:outlineLvl w:val="0"/>
        <w:rPr>
          <w:rFonts w:hint="eastAsia" w:hAnsi="宋体" w:cs="宋体"/>
          <w:b/>
          <w:color w:val="auto"/>
          <w:sz w:val="32"/>
          <w:szCs w:val="32"/>
          <w:highlight w:val="none"/>
        </w:rPr>
      </w:pPr>
      <w:bookmarkStart w:id="10" w:name="_Toc38959618"/>
      <w:bookmarkStart w:id="11" w:name="_Toc4479"/>
      <w:r>
        <w:rPr>
          <w:rFonts w:hint="eastAsia" w:hAnsi="宋体" w:cs="宋体"/>
          <w:b/>
          <w:color w:val="auto"/>
          <w:sz w:val="36"/>
          <w:highlight w:val="none"/>
        </w:rPr>
        <w:br w:type="page"/>
      </w:r>
      <w:bookmarkStart w:id="12" w:name="_Toc9160"/>
      <w:r>
        <w:rPr>
          <w:rFonts w:hint="eastAsia" w:hAnsi="宋体" w:cs="宋体"/>
          <w:b/>
          <w:color w:val="auto"/>
          <w:sz w:val="36"/>
          <w:highlight w:val="none"/>
        </w:rPr>
        <w:t>第三章 投标人须知</w:t>
      </w:r>
      <w:bookmarkEnd w:id="10"/>
      <w:bookmarkEnd w:id="11"/>
      <w:bookmarkEnd w:id="12"/>
    </w:p>
    <w:p w14:paraId="40C82AE1">
      <w:pPr>
        <w:spacing w:line="420" w:lineRule="exact"/>
        <w:jc w:val="center"/>
        <w:outlineLvl w:val="1"/>
        <w:rPr>
          <w:rFonts w:hint="eastAsia" w:ascii="宋体" w:hAnsi="宋体" w:cs="宋体"/>
          <w:b/>
          <w:sz w:val="24"/>
          <w:highlight w:val="none"/>
        </w:rPr>
      </w:pPr>
      <w:bookmarkStart w:id="13" w:name="_Toc6893"/>
      <w:bookmarkStart w:id="14" w:name="_Toc38959619"/>
      <w:bookmarkStart w:id="15" w:name="_Toc21527"/>
      <w:r>
        <w:rPr>
          <w:rFonts w:hint="eastAsia" w:ascii="宋体" w:hAnsi="宋体" w:cs="宋体"/>
          <w:b/>
          <w:sz w:val="24"/>
          <w:highlight w:val="none"/>
        </w:rPr>
        <w:t>一、总则</w:t>
      </w:r>
      <w:bookmarkEnd w:id="13"/>
      <w:bookmarkEnd w:id="14"/>
      <w:bookmarkEnd w:id="15"/>
    </w:p>
    <w:p w14:paraId="3DEA8351">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适用范围</w:t>
      </w:r>
    </w:p>
    <w:p w14:paraId="33890829">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1.1适用于招标文件载明项目的采购活动（以下简称：“本次采购活动”）。</w:t>
      </w:r>
    </w:p>
    <w:p w14:paraId="2B64CAD0">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定义</w:t>
      </w:r>
    </w:p>
    <w:p w14:paraId="4050F671">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2.1“采购标的”指招标文件载明的需要采购的货物或服务。</w:t>
      </w:r>
    </w:p>
    <w:p w14:paraId="15B0D696">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2.2“潜在投标人”指按照招标文件第一章第6条规定获取招标文件且有意向参加本项目投标的供应商。</w:t>
      </w:r>
    </w:p>
    <w:p w14:paraId="0015B4BE">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2.3“投标人”指按照招标文件第一章第6条规定获取招标文件并参加本项目投标的供应商。</w:t>
      </w:r>
    </w:p>
    <w:p w14:paraId="63E499B0">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2.4“单位负责人”指单位法定代表人或</w:t>
      </w:r>
      <w:r>
        <w:rPr>
          <w:rFonts w:hint="eastAsia" w:ascii="宋体" w:hAnsi="宋体" w:cs="宋体"/>
          <w:highlight w:val="none"/>
          <w:lang w:eastAsia="zh-CN"/>
        </w:rPr>
        <w:t>法律法规</w:t>
      </w:r>
      <w:r>
        <w:rPr>
          <w:rFonts w:hint="eastAsia" w:ascii="宋体" w:hAnsi="宋体" w:cs="宋体"/>
          <w:highlight w:val="none"/>
        </w:rPr>
        <w:t>规定代表单位行使职权的主要负责人。</w:t>
      </w:r>
    </w:p>
    <w:p w14:paraId="495B7781">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2.5“投标人代表”指投标人的单位负责人或“单位负责人授权书”中载明的接受授权方。</w:t>
      </w:r>
    </w:p>
    <w:p w14:paraId="0E15FCDD">
      <w:pPr>
        <w:pStyle w:val="10"/>
        <w:spacing w:before="0" w:beforeAutospacing="0" w:after="0" w:afterAutospacing="0" w:line="420" w:lineRule="exact"/>
        <w:rPr>
          <w:rFonts w:hint="eastAsia" w:ascii="宋体" w:hAnsi="宋体" w:cs="宋体"/>
          <w:highlight w:val="none"/>
        </w:rPr>
      </w:pPr>
    </w:p>
    <w:p w14:paraId="7E5C4F75">
      <w:pPr>
        <w:spacing w:line="420" w:lineRule="exact"/>
        <w:jc w:val="center"/>
        <w:outlineLvl w:val="1"/>
        <w:rPr>
          <w:rFonts w:hint="eastAsia" w:ascii="宋体" w:hAnsi="宋体" w:cs="宋体"/>
          <w:b/>
          <w:sz w:val="24"/>
          <w:highlight w:val="none"/>
        </w:rPr>
      </w:pPr>
      <w:bookmarkStart w:id="16" w:name="_Toc5862"/>
      <w:bookmarkStart w:id="17" w:name="_Toc4641"/>
      <w:bookmarkStart w:id="18" w:name="_Toc38959620"/>
      <w:r>
        <w:rPr>
          <w:rFonts w:hint="eastAsia" w:ascii="宋体" w:hAnsi="宋体" w:cs="宋体"/>
          <w:b/>
          <w:sz w:val="24"/>
          <w:highlight w:val="none"/>
        </w:rPr>
        <w:t>二、投标人</w:t>
      </w:r>
      <w:bookmarkEnd w:id="16"/>
      <w:bookmarkEnd w:id="17"/>
      <w:bookmarkEnd w:id="18"/>
    </w:p>
    <w:p w14:paraId="6CFFEAFD">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3.</w:t>
      </w:r>
      <w:r>
        <w:rPr>
          <w:rFonts w:hint="eastAsia" w:ascii="宋体" w:hAnsi="宋体" w:cs="宋体"/>
          <w:highlight w:val="none"/>
        </w:rPr>
        <w:t xml:space="preserve">合格投标人 </w:t>
      </w:r>
    </w:p>
    <w:p w14:paraId="3B8B1C69">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3.1一般规定</w:t>
      </w:r>
    </w:p>
    <w:p w14:paraId="694C1CA2">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（1）投标人应遵守有关</w:t>
      </w:r>
      <w:r>
        <w:rPr>
          <w:rFonts w:hint="eastAsia" w:ascii="宋体" w:hAnsi="宋体" w:cs="宋体"/>
          <w:highlight w:val="none"/>
          <w:lang w:eastAsia="zh-CN"/>
        </w:rPr>
        <w:t>法律法规</w:t>
      </w:r>
      <w:r>
        <w:rPr>
          <w:rFonts w:hint="eastAsia" w:ascii="宋体" w:hAnsi="宋体" w:cs="宋体"/>
          <w:highlight w:val="none"/>
        </w:rPr>
        <w:t>和规章的强制性规定。</w:t>
      </w:r>
    </w:p>
    <w:p w14:paraId="6FC1780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（2）投标人的资格要求：详见招标文件第一章。</w:t>
      </w:r>
    </w:p>
    <w:p w14:paraId="257F77D6">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3.2若本项目接受联合体投标且投标人为联合体，则联合体各方应遵守本章第3.1条规定，同时还应遵守下列规定：</w:t>
      </w:r>
    </w:p>
    <w:p w14:paraId="4D3CA403">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（1）联合体各方应提交联合体协议，联合体协议应符合招标文件规定。</w:t>
      </w:r>
    </w:p>
    <w:p w14:paraId="7EE20CC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（2）联合体各方不得再单独参加或与其他供应商另外组成联合体参加同一合同项下的投标。</w:t>
      </w:r>
    </w:p>
    <w:p w14:paraId="3D0F2E90">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（3）联合体各方应共同与采购人签订采购合同，就采购合同约定的事项对采购人承担连带责任。</w:t>
      </w:r>
    </w:p>
    <w:p w14:paraId="55871392">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4.</w:t>
      </w:r>
      <w:r>
        <w:rPr>
          <w:rFonts w:hint="eastAsia" w:ascii="宋体" w:hAnsi="宋体" w:cs="宋体"/>
          <w:highlight w:val="none"/>
        </w:rPr>
        <w:t>投标费用</w:t>
      </w:r>
    </w:p>
    <w:p w14:paraId="1F714837">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4.1除招标文件另有规定外，投标人应自行</w:t>
      </w:r>
      <w:r>
        <w:rPr>
          <w:rFonts w:hint="eastAsia" w:ascii="宋体" w:hAnsi="宋体" w:cs="宋体"/>
          <w:highlight w:val="none"/>
          <w:lang w:eastAsia="zh-CN"/>
        </w:rPr>
        <w:t>承担其参加本次</w:t>
      </w:r>
      <w:r>
        <w:rPr>
          <w:rFonts w:hint="eastAsia" w:ascii="宋体" w:hAnsi="宋体" w:cs="宋体"/>
          <w:highlight w:val="none"/>
        </w:rPr>
        <w:t>项目投标所涉及的一切费用。</w:t>
      </w:r>
    </w:p>
    <w:p w14:paraId="0860361B">
      <w:pPr>
        <w:pStyle w:val="10"/>
        <w:spacing w:before="0" w:beforeAutospacing="0" w:after="0" w:afterAutospacing="0" w:line="420" w:lineRule="exact"/>
        <w:rPr>
          <w:rFonts w:hint="eastAsia" w:ascii="宋体" w:hAnsi="宋体" w:cs="宋体"/>
          <w:highlight w:val="none"/>
        </w:rPr>
      </w:pPr>
    </w:p>
    <w:p w14:paraId="1FE544D7">
      <w:pPr>
        <w:spacing w:line="420" w:lineRule="exact"/>
        <w:jc w:val="center"/>
        <w:outlineLvl w:val="1"/>
        <w:rPr>
          <w:rFonts w:hint="eastAsia" w:ascii="宋体" w:hAnsi="宋体" w:cs="宋体"/>
          <w:b/>
          <w:sz w:val="24"/>
          <w:highlight w:val="none"/>
        </w:rPr>
      </w:pPr>
      <w:bookmarkStart w:id="19" w:name="_Toc5054"/>
      <w:bookmarkStart w:id="20" w:name="_Toc13235"/>
      <w:bookmarkStart w:id="21" w:name="_Toc38959621"/>
      <w:r>
        <w:rPr>
          <w:rFonts w:hint="eastAsia" w:ascii="宋体" w:hAnsi="宋体" w:cs="宋体"/>
          <w:b/>
          <w:sz w:val="24"/>
          <w:highlight w:val="none"/>
        </w:rPr>
        <w:t>三、招标</w:t>
      </w:r>
      <w:bookmarkEnd w:id="19"/>
      <w:bookmarkEnd w:id="20"/>
      <w:bookmarkEnd w:id="21"/>
    </w:p>
    <w:p w14:paraId="3F81E88C">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5.</w:t>
      </w:r>
      <w:r>
        <w:rPr>
          <w:rFonts w:hint="eastAsia" w:ascii="宋体" w:hAnsi="宋体" w:cs="宋体"/>
          <w:highlight w:val="none"/>
        </w:rPr>
        <w:t>招标文件</w:t>
      </w:r>
    </w:p>
    <w:p w14:paraId="084DF101">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5.1招标文件由下述部分组成：</w:t>
      </w:r>
    </w:p>
    <w:p w14:paraId="6D58B59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（1）投标邀请</w:t>
      </w:r>
    </w:p>
    <w:p w14:paraId="34E2CF47">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（2）投标人须知前附表</w:t>
      </w:r>
    </w:p>
    <w:p w14:paraId="445AC358">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（3）投标人须知</w:t>
      </w:r>
    </w:p>
    <w:p w14:paraId="7B53D24F">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（4）资格审查与评标</w:t>
      </w:r>
    </w:p>
    <w:p w14:paraId="781E001E">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（5）招标内容及要求</w:t>
      </w:r>
    </w:p>
    <w:p w14:paraId="21FB3FC3">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（6）采购合同（参考文本）</w:t>
      </w:r>
    </w:p>
    <w:p w14:paraId="0DF2E342">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（7）投标文件格式</w:t>
      </w:r>
    </w:p>
    <w:p w14:paraId="10105FBE">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（8）按照招标文件规定作为招标文件组成部分的其他内容（若有）</w:t>
      </w:r>
    </w:p>
    <w:p w14:paraId="02C562BD">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5.2招标文件的澄清或修改</w:t>
      </w:r>
    </w:p>
    <w:p w14:paraId="3316CBE3">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w:t>
      </w:r>
      <w:r>
        <w:rPr>
          <w:rFonts w:hint="eastAsia" w:ascii="宋体" w:hAnsi="宋体" w:cs="宋体"/>
          <w:highlight w:val="none"/>
          <w:u w:val="single"/>
        </w:rPr>
        <w:t>福建省智信招标有限公司</w:t>
      </w:r>
      <w:r>
        <w:rPr>
          <w:rFonts w:hint="eastAsia" w:ascii="宋体" w:hAnsi="宋体" w:cs="宋体"/>
          <w:highlight w:val="none"/>
        </w:rPr>
        <w:t>可对已发出的招标文件进行必要的澄清或修改，但不得对招标文件载明的采购标的和投标人的资格要求进行改变。</w:t>
      </w:r>
    </w:p>
    <w:p w14:paraId="4C300739">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（2）除本章第5.2条第（3）款规定情形外，澄清或修改的内容可能影响投标文件编制的，</w:t>
      </w:r>
      <w:r>
        <w:rPr>
          <w:rFonts w:hint="eastAsia" w:ascii="宋体" w:hAnsi="宋体" w:cs="宋体"/>
          <w:highlight w:val="none"/>
          <w:u w:val="single"/>
        </w:rPr>
        <w:t>福建省智信招标有限公司</w:t>
      </w:r>
      <w:r>
        <w:rPr>
          <w:rFonts w:hint="eastAsia" w:ascii="宋体" w:hAnsi="宋体" w:cs="宋体"/>
          <w:highlight w:val="none"/>
        </w:rPr>
        <w:t>将在投标截止时间至少15个日历日前，在招标文件载明的指定媒体以更正公告的形式发布澄清或修改的内容。不足15个日历日的，</w:t>
      </w:r>
      <w:r>
        <w:rPr>
          <w:rFonts w:hint="eastAsia" w:ascii="宋体" w:hAnsi="宋体" w:cs="宋体"/>
          <w:highlight w:val="none"/>
          <w:u w:val="single"/>
        </w:rPr>
        <w:t>福建省智信招标有限公司</w:t>
      </w:r>
      <w:r>
        <w:rPr>
          <w:rFonts w:hint="eastAsia" w:ascii="宋体" w:hAnsi="宋体" w:cs="宋体"/>
          <w:highlight w:val="none"/>
        </w:rPr>
        <w:t>将顺延投标截止时间及开标时间，</w:t>
      </w:r>
      <w:r>
        <w:rPr>
          <w:rFonts w:hint="eastAsia" w:ascii="宋体" w:hAnsi="宋体" w:cs="宋体"/>
          <w:highlight w:val="none"/>
          <w:u w:val="single"/>
        </w:rPr>
        <w:t>福建省智信招标有限公司</w:t>
      </w:r>
      <w:r>
        <w:rPr>
          <w:rFonts w:hint="eastAsia" w:ascii="宋体" w:hAnsi="宋体" w:cs="宋体"/>
          <w:highlight w:val="none"/>
        </w:rPr>
        <w:t>和投标人受原投标截止时间及开标时间制约的所有权利和义务均延长至新的投标截止时间及开标时间。</w:t>
      </w:r>
    </w:p>
    <w:p w14:paraId="7B21CC2E">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（3）澄清或修改的内容可能改变招标文件载明的采购标的和投标人的资格要求的，本次采购活动结</w:t>
      </w:r>
      <w:r>
        <w:rPr>
          <w:rFonts w:hint="eastAsia" w:ascii="宋体" w:hAnsi="宋体" w:cs="宋体"/>
          <w:highlight w:val="none"/>
          <w:lang w:eastAsia="zh-CN"/>
        </w:rPr>
        <w:t>束后</w:t>
      </w:r>
      <w:r>
        <w:rPr>
          <w:rFonts w:hint="eastAsia" w:ascii="宋体" w:hAnsi="宋体" w:cs="宋体"/>
          <w:highlight w:val="none"/>
        </w:rPr>
        <w:t>，</w:t>
      </w:r>
      <w:r>
        <w:rPr>
          <w:rFonts w:hint="eastAsia" w:ascii="宋体" w:hAnsi="宋体" w:cs="宋体"/>
          <w:highlight w:val="none"/>
          <w:u w:val="single"/>
        </w:rPr>
        <w:t>福建省智信招标有限公司</w:t>
      </w:r>
      <w:r>
        <w:rPr>
          <w:rFonts w:hint="eastAsia" w:ascii="宋体" w:hAnsi="宋体" w:cs="宋体"/>
          <w:highlight w:val="none"/>
        </w:rPr>
        <w:t>将依法组织后续采购活动（包括但不限于：重新招标、采用其他方式采购等）。</w:t>
      </w:r>
    </w:p>
    <w:p w14:paraId="4198F92B">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6.</w:t>
      </w:r>
      <w:r>
        <w:rPr>
          <w:rFonts w:hint="eastAsia" w:ascii="宋体" w:hAnsi="宋体" w:cs="宋体"/>
          <w:highlight w:val="none"/>
        </w:rPr>
        <w:t>现场考察或开标前答疑会</w:t>
      </w:r>
    </w:p>
    <w:p w14:paraId="6EFE0FDD">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6.1是否组织现场考察或召开开标前答疑会：详见招标文件第二章。</w:t>
      </w:r>
    </w:p>
    <w:p w14:paraId="3DD99211">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7.</w:t>
      </w:r>
      <w:r>
        <w:rPr>
          <w:rFonts w:hint="eastAsia" w:ascii="宋体" w:hAnsi="宋体" w:cs="宋体"/>
          <w:highlight w:val="none"/>
        </w:rPr>
        <w:t>更正公告</w:t>
      </w:r>
    </w:p>
    <w:p w14:paraId="0F662BE7">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7.1若</w:t>
      </w:r>
      <w:r>
        <w:rPr>
          <w:rFonts w:hint="eastAsia" w:ascii="宋体" w:hAnsi="宋体" w:cs="宋体"/>
          <w:highlight w:val="none"/>
          <w:u w:val="single"/>
        </w:rPr>
        <w:t>福建省智信招标有限公司</w:t>
      </w:r>
      <w:r>
        <w:rPr>
          <w:rFonts w:hint="eastAsia" w:ascii="宋体" w:hAnsi="宋体" w:cs="宋体"/>
          <w:highlight w:val="none"/>
        </w:rPr>
        <w:t>发布更正公告，则更正公告及其所发布的内容或信息（包括但不限于：招标文件的澄清或修改、现场考察或答疑会的有关事宜等）</w:t>
      </w:r>
      <w:r>
        <w:rPr>
          <w:rStyle w:val="34"/>
          <w:rFonts w:hint="eastAsia" w:ascii="宋体" w:hAnsi="宋体" w:cs="宋体"/>
          <w:highlight w:val="none"/>
        </w:rPr>
        <w:t>作为招标文件组成部分</w:t>
      </w:r>
      <w:r>
        <w:rPr>
          <w:rFonts w:hint="eastAsia" w:ascii="宋体" w:hAnsi="宋体" w:cs="宋体"/>
          <w:highlight w:val="none"/>
        </w:rPr>
        <w:t>，对投标人具有约束力。</w:t>
      </w:r>
    </w:p>
    <w:p w14:paraId="557334C8">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7.2更正公告作为</w:t>
      </w:r>
      <w:r>
        <w:rPr>
          <w:rFonts w:hint="eastAsia" w:ascii="宋体" w:hAnsi="宋体" w:cs="宋体"/>
          <w:highlight w:val="none"/>
          <w:u w:val="single"/>
        </w:rPr>
        <w:t>福建省智信招标有限公司</w:t>
      </w:r>
      <w:r>
        <w:rPr>
          <w:rFonts w:hint="eastAsia" w:ascii="宋体" w:hAnsi="宋体" w:cs="宋体"/>
          <w:highlight w:val="none"/>
        </w:rPr>
        <w:t>通知所有潜在投标人的书面形式。</w:t>
      </w:r>
    </w:p>
    <w:p w14:paraId="2914131F">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8.</w:t>
      </w:r>
      <w:r>
        <w:rPr>
          <w:rFonts w:hint="eastAsia" w:ascii="宋体" w:hAnsi="宋体" w:cs="宋体"/>
          <w:highlight w:val="none"/>
        </w:rPr>
        <w:t>终止公告</w:t>
      </w:r>
    </w:p>
    <w:p w14:paraId="3F5A6557">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8.1若出现因重大变故导致采购任务取消情形，福建省智信招标有限公司可终止招标并发布终止公告。</w:t>
      </w:r>
    </w:p>
    <w:p w14:paraId="509AE9A4">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8.2终止公告作为福建省智信招标有限公司通知所有潜在投标人的书面形式。</w:t>
      </w:r>
    </w:p>
    <w:p w14:paraId="4B3A32E8">
      <w:pPr>
        <w:pStyle w:val="10"/>
        <w:spacing w:before="0" w:beforeAutospacing="0" w:after="0" w:afterAutospacing="0" w:line="420" w:lineRule="exact"/>
        <w:rPr>
          <w:rFonts w:hint="eastAsia" w:ascii="宋体" w:hAnsi="宋体" w:cs="宋体"/>
          <w:highlight w:val="none"/>
        </w:rPr>
      </w:pPr>
    </w:p>
    <w:p w14:paraId="1C88EE52">
      <w:pPr>
        <w:spacing w:line="420" w:lineRule="exact"/>
        <w:jc w:val="center"/>
        <w:outlineLvl w:val="1"/>
        <w:rPr>
          <w:rFonts w:hint="eastAsia" w:ascii="宋体" w:hAnsi="宋体" w:cs="宋体"/>
          <w:b/>
          <w:sz w:val="24"/>
          <w:highlight w:val="none"/>
        </w:rPr>
      </w:pPr>
      <w:bookmarkStart w:id="22" w:name="_Toc38959622"/>
      <w:bookmarkStart w:id="23" w:name="_Toc13352"/>
      <w:bookmarkStart w:id="24" w:name="_Toc19539"/>
      <w:r>
        <w:rPr>
          <w:rFonts w:hint="eastAsia" w:ascii="宋体" w:hAnsi="宋体" w:cs="宋体"/>
          <w:b/>
          <w:sz w:val="24"/>
          <w:highlight w:val="none"/>
        </w:rPr>
        <w:t>四、投标</w:t>
      </w:r>
      <w:bookmarkEnd w:id="22"/>
      <w:bookmarkEnd w:id="23"/>
      <w:bookmarkEnd w:id="24"/>
    </w:p>
    <w:p w14:paraId="466E12CD">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9.</w:t>
      </w:r>
      <w:r>
        <w:rPr>
          <w:rFonts w:hint="eastAsia" w:ascii="宋体" w:hAnsi="宋体" w:cs="宋体"/>
          <w:highlight w:val="none"/>
        </w:rPr>
        <w:t>投标</w:t>
      </w:r>
    </w:p>
    <w:p w14:paraId="46709E7E">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9.1投标人可对招标文件载明的全部或部分采购包进行投标。</w:t>
      </w:r>
    </w:p>
    <w:p w14:paraId="37A63D7E">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9.2投标人应对同一个采购包内的所有内容进行完整投标，否则</w:t>
      </w:r>
      <w:r>
        <w:rPr>
          <w:rStyle w:val="34"/>
          <w:rFonts w:hint="eastAsia" w:ascii="宋体" w:hAnsi="宋体" w:cs="宋体"/>
          <w:highlight w:val="none"/>
        </w:rPr>
        <w:t>投标无效</w:t>
      </w:r>
      <w:r>
        <w:rPr>
          <w:rFonts w:hint="eastAsia" w:ascii="宋体" w:hAnsi="宋体" w:cs="宋体"/>
          <w:highlight w:val="none"/>
        </w:rPr>
        <w:t>。</w:t>
      </w:r>
    </w:p>
    <w:p w14:paraId="741B7901">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9.3投标人代表只能接受一个投标人的授权参加投标，否则</w:t>
      </w:r>
      <w:r>
        <w:rPr>
          <w:rStyle w:val="34"/>
          <w:rFonts w:hint="eastAsia" w:ascii="宋体" w:hAnsi="宋体" w:cs="宋体"/>
          <w:highlight w:val="none"/>
        </w:rPr>
        <w:t>投标无效</w:t>
      </w:r>
      <w:r>
        <w:rPr>
          <w:rFonts w:hint="eastAsia" w:ascii="宋体" w:hAnsi="宋体" w:cs="宋体"/>
          <w:highlight w:val="none"/>
        </w:rPr>
        <w:t>。</w:t>
      </w:r>
    </w:p>
    <w:p w14:paraId="4724A8B0">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9.4单位负责人为同一人或存在直接控股、管理关系的不同供应商，不得同时参加同一合同项下的投标，否则</w:t>
      </w:r>
      <w:r>
        <w:rPr>
          <w:rStyle w:val="34"/>
          <w:rFonts w:hint="eastAsia" w:ascii="宋体" w:hAnsi="宋体" w:cs="宋体"/>
          <w:highlight w:val="none"/>
        </w:rPr>
        <w:t>投标无效</w:t>
      </w:r>
      <w:r>
        <w:rPr>
          <w:rFonts w:hint="eastAsia" w:ascii="宋体" w:hAnsi="宋体" w:cs="宋体"/>
          <w:highlight w:val="none"/>
        </w:rPr>
        <w:t>。</w:t>
      </w:r>
    </w:p>
    <w:p w14:paraId="39475D44">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9.5为本项目提供整体设计、规范编制或项目管理、监理、检测等服务的供应商，不得参加本项目除整体设计、规范编制和项目管理、监理、检测等服务外的采购活动，否则</w:t>
      </w:r>
      <w:r>
        <w:rPr>
          <w:rStyle w:val="34"/>
          <w:rFonts w:hint="eastAsia" w:ascii="宋体" w:hAnsi="宋体" w:cs="宋体"/>
          <w:highlight w:val="none"/>
        </w:rPr>
        <w:t>投标无效</w:t>
      </w:r>
      <w:r>
        <w:rPr>
          <w:rFonts w:hint="eastAsia" w:ascii="宋体" w:hAnsi="宋体" w:cs="宋体"/>
          <w:highlight w:val="none"/>
        </w:rPr>
        <w:t>。</w:t>
      </w:r>
    </w:p>
    <w:p w14:paraId="6ED1F97B">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9.6列入失信被执行人、重大税收违法案件当事人名单、政府采购严重违法失信行为记录名单及其他不符合政府采购法第二十二条规定条件的供应商，不得参加投标，否则</w:t>
      </w:r>
      <w:r>
        <w:rPr>
          <w:rStyle w:val="34"/>
          <w:rFonts w:hint="eastAsia" w:ascii="宋体" w:hAnsi="宋体" w:cs="宋体"/>
          <w:highlight w:val="none"/>
        </w:rPr>
        <w:t>投标无效</w:t>
      </w:r>
      <w:r>
        <w:rPr>
          <w:rFonts w:hint="eastAsia" w:ascii="宋体" w:hAnsi="宋体" w:cs="宋体"/>
          <w:highlight w:val="none"/>
        </w:rPr>
        <w:t>。</w:t>
      </w:r>
    </w:p>
    <w:p w14:paraId="2119B076">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9.7有下列情形之一的，视为投标人串通投标，</w:t>
      </w:r>
      <w:r>
        <w:rPr>
          <w:rStyle w:val="34"/>
          <w:rFonts w:hint="eastAsia" w:ascii="宋体" w:hAnsi="宋体" w:cs="宋体"/>
          <w:highlight w:val="none"/>
        </w:rPr>
        <w:t>其投标无效：</w:t>
      </w:r>
    </w:p>
    <w:p w14:paraId="553DB1A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（1）不同投标人的投标文件由同一单位或个人编制；</w:t>
      </w:r>
    </w:p>
    <w:p w14:paraId="1FC6B938">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（2）不同投标人委托同一单位或个人办理投标事宜；</w:t>
      </w:r>
    </w:p>
    <w:p w14:paraId="235CAB09">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（3）不同投标人的投标文件载明的项目管理成员或联系人员为同一人；</w:t>
      </w:r>
    </w:p>
    <w:p w14:paraId="084F5772">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（4）不同投标人的投标文件异常一致或投标报价呈规律性差异；</w:t>
      </w:r>
    </w:p>
    <w:p w14:paraId="3570BE41">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（5）不同投标人的投标文件相互混装；</w:t>
      </w:r>
    </w:p>
    <w:p w14:paraId="1BBB5B98">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（6）不同投标人的投标保证金从同一单位或个人的账户转出；</w:t>
      </w:r>
    </w:p>
    <w:p w14:paraId="6DEC573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（7）有关</w:t>
      </w:r>
      <w:r>
        <w:rPr>
          <w:rFonts w:hint="eastAsia" w:ascii="宋体" w:hAnsi="宋体" w:cs="宋体"/>
          <w:highlight w:val="none"/>
          <w:lang w:eastAsia="zh-CN"/>
        </w:rPr>
        <w:t>法律法规</w:t>
      </w:r>
      <w:r>
        <w:rPr>
          <w:rFonts w:hint="eastAsia" w:ascii="宋体" w:hAnsi="宋体" w:cs="宋体"/>
          <w:highlight w:val="none"/>
        </w:rPr>
        <w:t>和规章及招标文件规定的其他串通投标情形。</w:t>
      </w:r>
    </w:p>
    <w:p w14:paraId="51922782">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10.</w:t>
      </w:r>
      <w:r>
        <w:rPr>
          <w:rFonts w:hint="eastAsia" w:ascii="宋体" w:hAnsi="宋体" w:cs="宋体"/>
          <w:highlight w:val="none"/>
        </w:rPr>
        <w:t>投标文件</w:t>
      </w:r>
    </w:p>
    <w:p w14:paraId="36C80763">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10.1投标文件的编制</w:t>
      </w:r>
    </w:p>
    <w:p w14:paraId="69C3DC89">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（1）投标人应先仔细阅读招标文件的全部内容后，再进行投标文件的编制。</w:t>
      </w:r>
    </w:p>
    <w:p w14:paraId="3705A3E0">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（2）投标文件应按照本章第10.2条规定编制其组成部分。</w:t>
      </w:r>
    </w:p>
    <w:p w14:paraId="0704A32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（3）投标文件应满足招标文件提出的实质性要求和条件，并保证其所提交的全部资料是不可割离且真实、有效、准确、完整和不具有任何误导性的，否则造成不利后果由投标人承担责任。</w:t>
      </w:r>
    </w:p>
    <w:p w14:paraId="6EC58CCC">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10.2投标文件由下述部分组成：</w:t>
      </w:r>
    </w:p>
    <w:p w14:paraId="4115BAAF">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（1）资格及资信证明部分</w:t>
      </w:r>
    </w:p>
    <w:p w14:paraId="6B00222E">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①投标函</w:t>
      </w:r>
    </w:p>
    <w:p w14:paraId="1EE3F620">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②投标人的资格及资信证明文件</w:t>
      </w:r>
    </w:p>
    <w:p w14:paraId="101C88D1">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③投标保证金</w:t>
      </w:r>
    </w:p>
    <w:p w14:paraId="583F50C6">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（2）报价部分</w:t>
      </w:r>
    </w:p>
    <w:p w14:paraId="648AFF17">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①开标一览表</w:t>
      </w:r>
    </w:p>
    <w:p w14:paraId="1F590213">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②投标分项报价表</w:t>
      </w:r>
    </w:p>
    <w:p w14:paraId="14BD4978">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③招标文件规定的价格扣除证明材料（若有）</w:t>
      </w:r>
    </w:p>
    <w:p w14:paraId="3629A98D">
      <w:pPr>
        <w:pStyle w:val="10"/>
        <w:spacing w:before="0" w:beforeAutospacing="0" w:after="0" w:afterAutospacing="0" w:line="420" w:lineRule="exact"/>
        <w:ind w:firstLine="378"/>
        <w:rPr>
          <w:rFonts w:hint="eastAsia" w:ascii="宋体" w:hAnsi="宋体" w:eastAsia="宋体" w:cs="宋体"/>
          <w:highlight w:val="none"/>
          <w:lang w:eastAsia="zh-CN"/>
        </w:rPr>
      </w:pPr>
      <w:r>
        <w:rPr>
          <w:rFonts w:hint="eastAsia" w:ascii="宋体" w:hAnsi="宋体" w:cs="宋体"/>
          <w:highlight w:val="none"/>
        </w:rPr>
        <w:t>④</w:t>
      </w:r>
      <w:r>
        <w:rPr>
          <w:rFonts w:hint="eastAsia" w:ascii="宋体" w:hAnsi="宋体" w:cs="宋体"/>
          <w:highlight w:val="none"/>
          <w:lang w:eastAsia="zh-CN" w:bidi="ar"/>
        </w:rPr>
        <w:t>退还投标保证金的函</w:t>
      </w:r>
    </w:p>
    <w:p w14:paraId="300F4CA3">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（3）技术商务部分</w:t>
      </w:r>
    </w:p>
    <w:p w14:paraId="63F1C145">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①标的说明一览表</w:t>
      </w:r>
    </w:p>
    <w:p w14:paraId="3A6FB528">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②技术和服务要求响应表</w:t>
      </w:r>
    </w:p>
    <w:p w14:paraId="3C1AA74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③商务条件响应表</w:t>
      </w:r>
    </w:p>
    <w:p w14:paraId="16EA456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④投标人提交的其他资料（若有）</w:t>
      </w:r>
    </w:p>
    <w:p w14:paraId="545235C8">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⑤招标文件规定作为投标文件组成部分的其他内容（若有）</w:t>
      </w:r>
    </w:p>
    <w:p w14:paraId="4D11E390">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10.3投标文件的语言</w:t>
      </w:r>
    </w:p>
    <w:p w14:paraId="3052CE2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（1）除招标文件另有规定外，投标文件应使用中文文本，若有不同文本，以中文文本为准。</w:t>
      </w:r>
    </w:p>
    <w:p w14:paraId="3816DE85">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848CB23">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10.4投标文件的份数：详见招标文件第二章。</w:t>
      </w:r>
    </w:p>
    <w:p w14:paraId="0DCAC9A0">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10.5投标文件的格式</w:t>
      </w:r>
    </w:p>
    <w:p w14:paraId="270250CF">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（1）除招标文件另有规定外，投标文件应使用招标文件第七章规定的格式。</w:t>
      </w:r>
    </w:p>
    <w:p w14:paraId="06BEAD8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（2）除招标文件另有规定外，投标文件的正本和全部副本均应使用不能擦去的墨料或墨水打印、书写或复印，其中：</w:t>
      </w:r>
    </w:p>
    <w:p w14:paraId="2B593F3F">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①正本应用A4幅面（图纸除外）纸张打印装订，编制封面（封面标明“正本”字样）、索引、页码，并用胶装装订成册。</w:t>
      </w:r>
    </w:p>
    <w:p w14:paraId="322EDEF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②副本应用A4幅面（图纸除外）纸张打印装订，编制封面（封面标明“副本”字样）、索引、页码，并用胶装装订成册；副本可用正本的完整复印件，并与正本保持一致（若不一致，以正本为准）。</w:t>
      </w:r>
    </w:p>
    <w:p w14:paraId="1A8CEF32">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③允许散装或活页装订的内容或材料：详见招标文件第二章。</w:t>
      </w:r>
    </w:p>
    <w:p w14:paraId="0335903C">
      <w:pPr>
        <w:pStyle w:val="10"/>
        <w:spacing w:before="0" w:beforeAutospacing="0" w:after="0" w:afterAutospacing="0" w:line="420" w:lineRule="exact"/>
        <w:ind w:firstLine="378"/>
        <w:rPr>
          <w:rFonts w:hint="eastAsia" w:ascii="宋体" w:hAnsi="宋体" w:cs="宋体"/>
          <w:highlight w:val="none"/>
        </w:rPr>
      </w:pPr>
      <w:r>
        <w:rPr>
          <w:rStyle w:val="34"/>
          <w:rFonts w:hint="eastAsia" w:ascii="宋体" w:hAnsi="宋体" w:cs="宋体"/>
          <w:highlight w:val="none"/>
        </w:rPr>
        <w:t>※除本章第10.5条第（2）款第③点规定情形外，投标文件散装或活页装订将导致投标无效。</w:t>
      </w:r>
    </w:p>
    <w:p w14:paraId="5CA655E9">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（3）除招标文件另有规定外，投标文件应使用人民币作为计量货币。</w:t>
      </w:r>
    </w:p>
    <w:p w14:paraId="0290A775">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（4）除招标文件另有规定外，签署、盖章应遵守下列规定：</w:t>
      </w:r>
    </w:p>
    <w:p w14:paraId="70B4273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①投标文件应由投标人代表签字并加盖投标人的单位公章。若投标人代表为单位负责人授权的委托代理人，应提供“单位负责人授权书”。</w:t>
      </w:r>
    </w:p>
    <w:p w14:paraId="534DE349">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②投标文件应没有涂改或行间插字，除非这些改动是根据</w:t>
      </w:r>
      <w:r>
        <w:rPr>
          <w:rFonts w:hint="eastAsia" w:ascii="宋体" w:hAnsi="宋体" w:cs="宋体"/>
          <w:highlight w:val="none"/>
          <w:u w:val="single"/>
        </w:rPr>
        <w:t>福建省智信招标有限公司</w:t>
      </w:r>
      <w:r>
        <w:rPr>
          <w:rFonts w:hint="eastAsia" w:ascii="宋体" w:hAnsi="宋体" w:cs="宋体"/>
          <w:highlight w:val="none"/>
        </w:rPr>
        <w:t>的指示进行的，或是为改正投标人造成的应修改的错误而进行的。若有前述改动，应按照下列规定之一对改动处进行处理：</w:t>
      </w:r>
    </w:p>
    <w:p w14:paraId="0672E801">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a.投标人代表签字确认；</w:t>
      </w:r>
    </w:p>
    <w:p w14:paraId="5F1FA952">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b.加盖投标人的单位公章或校正章。</w:t>
      </w:r>
    </w:p>
    <w:p w14:paraId="02BB01E1">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10.6投标报价</w:t>
      </w:r>
    </w:p>
    <w:p w14:paraId="5B5FD11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（1）投标报价超出最高限价将导致</w:t>
      </w:r>
      <w:r>
        <w:rPr>
          <w:rStyle w:val="34"/>
          <w:rFonts w:hint="eastAsia" w:ascii="宋体" w:hAnsi="宋体" w:cs="宋体"/>
          <w:highlight w:val="none"/>
        </w:rPr>
        <w:t>投标无效。</w:t>
      </w:r>
    </w:p>
    <w:p w14:paraId="14F05D0F">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（2）最高限价由采购人根据价格测算情况，在预算金额的额度内合理设定。最高限价不得超出预算金额。</w:t>
      </w:r>
    </w:p>
    <w:p w14:paraId="2D28CCE6">
      <w:pPr>
        <w:pStyle w:val="10"/>
        <w:spacing w:before="0" w:beforeAutospacing="0" w:after="0" w:afterAutospacing="0" w:line="420" w:lineRule="exact"/>
        <w:ind w:firstLine="0"/>
        <w:rPr>
          <w:rFonts w:hint="eastAsia" w:ascii="宋体" w:hAnsi="宋体" w:cs="宋体"/>
          <w:highlight w:val="none"/>
        </w:rPr>
      </w:pPr>
      <w:bookmarkStart w:id="25" w:name="OLE_LINK16"/>
      <w:r>
        <w:rPr>
          <w:rFonts w:hint="eastAsia" w:ascii="宋体" w:hAnsi="宋体" w:cs="宋体"/>
          <w:highlight w:val="none"/>
        </w:rPr>
        <w:t>（3）除招标文件另有规定外，投标文件不能出现任何选择性的投标报价，即每一个采购包和品目号的采购标的都只能有一个投标报价。任何选择性的投标报价将导致</w:t>
      </w:r>
      <w:r>
        <w:rPr>
          <w:rStyle w:val="34"/>
          <w:rFonts w:hint="eastAsia" w:ascii="宋体" w:hAnsi="宋体" w:cs="宋体"/>
          <w:highlight w:val="none"/>
        </w:rPr>
        <w:t>投标无效。</w:t>
      </w:r>
      <w:bookmarkEnd w:id="25"/>
    </w:p>
    <w:p w14:paraId="34A43E40">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10.7</w:t>
      </w:r>
      <w:r>
        <w:rPr>
          <w:rFonts w:hint="eastAsia" w:ascii="宋体" w:hAnsi="宋体" w:cs="宋体"/>
          <w:highlight w:val="none"/>
          <w:lang w:val="en-US" w:eastAsia="zh-CN"/>
        </w:rPr>
        <w:t>转</w:t>
      </w:r>
      <w:r>
        <w:rPr>
          <w:rFonts w:hint="eastAsia" w:ascii="宋体" w:hAnsi="宋体" w:cs="宋体"/>
          <w:highlight w:val="none"/>
        </w:rPr>
        <w:t>包</w:t>
      </w:r>
    </w:p>
    <w:p w14:paraId="5CDC6787">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是否允许中标人将本项目的非主体、非关键性工作进行</w:t>
      </w:r>
      <w:r>
        <w:rPr>
          <w:rFonts w:hint="eastAsia" w:ascii="宋体" w:hAnsi="宋体" w:cs="宋体"/>
          <w:highlight w:val="none"/>
          <w:lang w:val="en-US" w:eastAsia="zh-CN"/>
        </w:rPr>
        <w:t>转</w:t>
      </w:r>
      <w:r>
        <w:rPr>
          <w:rFonts w:hint="eastAsia" w:ascii="宋体" w:hAnsi="宋体" w:cs="宋体"/>
          <w:highlight w:val="none"/>
        </w:rPr>
        <w:t>包：详见招标文件第二章。</w:t>
      </w:r>
    </w:p>
    <w:p w14:paraId="0942338C">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10.8投标有效期</w:t>
      </w:r>
    </w:p>
    <w:p w14:paraId="2AD287D6">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（1）招标文件载明的投标有效期：详见招标文件第二章。</w:t>
      </w:r>
    </w:p>
    <w:p w14:paraId="400B0742">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（2）投标文件承诺的投标有效期不得少于招标文件载明的投标有效期，否则</w:t>
      </w:r>
      <w:r>
        <w:rPr>
          <w:rStyle w:val="34"/>
          <w:rFonts w:hint="eastAsia" w:ascii="宋体" w:hAnsi="宋体" w:cs="宋体"/>
          <w:highlight w:val="none"/>
        </w:rPr>
        <w:t>投标无效</w:t>
      </w:r>
      <w:r>
        <w:rPr>
          <w:rFonts w:hint="eastAsia" w:ascii="宋体" w:hAnsi="宋体" w:cs="宋体"/>
          <w:highlight w:val="none"/>
        </w:rPr>
        <w:t>。</w:t>
      </w:r>
    </w:p>
    <w:p w14:paraId="13C9C9A0">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（3）根据本次采购活动的需要，</w:t>
      </w:r>
      <w:r>
        <w:rPr>
          <w:rFonts w:hint="eastAsia" w:ascii="宋体" w:hAnsi="宋体" w:cs="宋体"/>
          <w:highlight w:val="none"/>
          <w:u w:val="single"/>
        </w:rPr>
        <w:t>福建省智信招标有限公司</w:t>
      </w:r>
      <w:r>
        <w:rPr>
          <w:rFonts w:hint="eastAsia" w:ascii="宋体" w:hAnsi="宋体" w:cs="宋体"/>
          <w:highlight w:val="none"/>
        </w:rPr>
        <w:t>可于投标有效期届满之前书面要求投标人延长投标有效期，投标人应在</w:t>
      </w:r>
      <w:r>
        <w:rPr>
          <w:rFonts w:hint="eastAsia" w:ascii="宋体" w:hAnsi="宋体" w:cs="宋体"/>
          <w:highlight w:val="none"/>
          <w:u w:val="single"/>
        </w:rPr>
        <w:t>福建省智信招标有限公司</w:t>
      </w:r>
      <w:r>
        <w:rPr>
          <w:rFonts w:hint="eastAsia" w:ascii="宋体" w:hAnsi="宋体" w:cs="宋体"/>
          <w:highlight w:val="none"/>
        </w:rPr>
        <w:t>规定的期限内以书面形式予以答复。对于延长投标有效期的要求，投标人可以拒绝也可以接受，投标人答复不明确或逾期未答复的，均视为拒绝该要求。对于接受延长投标有效期的投标人，既不要求也不允许修改投标文件。</w:t>
      </w:r>
    </w:p>
    <w:p w14:paraId="65AD5278">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10.9投标保证金</w:t>
      </w:r>
    </w:p>
    <w:p w14:paraId="78891704">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（1）投标保证金作为投标人按照招标文件规定履行相应投标责任、义务的约束及担保。</w:t>
      </w:r>
    </w:p>
    <w:p w14:paraId="6C177D39">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（2）投标保证金的有效期应与投标文件承诺的投标有效期保持一致，投标人以保函形式提交投标保证金的，</w:t>
      </w:r>
      <w:r>
        <w:rPr>
          <w:rFonts w:hint="eastAsia" w:ascii="宋体" w:hAnsi="宋体" w:cs="宋体"/>
          <w:b/>
          <w:bCs/>
          <w:highlight w:val="none"/>
        </w:rPr>
        <w:t>保函的有效期应等于或长于投标文件承诺的投标有效期</w:t>
      </w:r>
      <w:r>
        <w:rPr>
          <w:rFonts w:hint="eastAsia" w:ascii="宋体" w:hAnsi="宋体" w:cs="宋体"/>
          <w:highlight w:val="none"/>
        </w:rPr>
        <w:t>，否则</w:t>
      </w:r>
      <w:r>
        <w:rPr>
          <w:rStyle w:val="34"/>
          <w:rFonts w:hint="eastAsia" w:ascii="宋体" w:hAnsi="宋体" w:cs="宋体"/>
          <w:highlight w:val="none"/>
        </w:rPr>
        <w:t>投标无效</w:t>
      </w:r>
      <w:r>
        <w:rPr>
          <w:rFonts w:hint="eastAsia" w:ascii="宋体" w:hAnsi="宋体" w:cs="宋体"/>
          <w:highlight w:val="none"/>
        </w:rPr>
        <w:t>。</w:t>
      </w:r>
    </w:p>
    <w:p w14:paraId="0A38D1BF">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（3）提交</w:t>
      </w:r>
    </w:p>
    <w:p w14:paraId="6A5772CE">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①投标人以汇款形式缴纳投标保证金的，应从其银行账户按照下列方式：</w:t>
      </w:r>
      <w:r>
        <w:rPr>
          <w:rStyle w:val="34"/>
          <w:rFonts w:hint="eastAsia" w:ascii="宋体" w:hAnsi="宋体" w:cs="宋体"/>
          <w:highlight w:val="none"/>
        </w:rPr>
        <w:t>公对公转账方式</w:t>
      </w:r>
      <w:r>
        <w:rPr>
          <w:rFonts w:hint="eastAsia" w:ascii="宋体" w:hAnsi="宋体" w:cs="宋体"/>
          <w:highlight w:val="none"/>
        </w:rPr>
        <w:t>向招标文件载明的投标保证金账户提交投标保证金，具体金额详见招标文件第一章。投标保证金应于投标截止时间前到达招标文件载明的投标保证金账户，否则视为投标保证金未提交；是否到达按照下列方式认定：是否到达按照保证金缴纳账号记载时间为准</w:t>
      </w:r>
      <w:r>
        <w:rPr>
          <w:rStyle w:val="34"/>
          <w:rFonts w:hint="eastAsia" w:ascii="宋体" w:hAnsi="宋体" w:cs="宋体"/>
          <w:highlight w:val="none"/>
        </w:rPr>
        <w:t>。</w:t>
      </w:r>
    </w:p>
    <w:p w14:paraId="46CC773A">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②投标人以保函形式提交投标保证金的，应在投标截止时间之前将保函文件放入投标文件中，否则视为未提交投标保证金。</w:t>
      </w:r>
    </w:p>
    <w:p w14:paraId="212A8B79">
      <w:pPr>
        <w:pStyle w:val="10"/>
        <w:spacing w:before="0" w:beforeAutospacing="0" w:after="0" w:afterAutospacing="0" w:line="420" w:lineRule="exact"/>
        <w:ind w:firstLine="378"/>
        <w:rPr>
          <w:rFonts w:hint="eastAsia" w:ascii="宋体" w:hAnsi="宋体" w:cs="宋体"/>
          <w:highlight w:val="none"/>
        </w:rPr>
      </w:pPr>
      <w:r>
        <w:rPr>
          <w:rFonts w:ascii="宋体" w:hAnsi="宋体" w:cs="宋体"/>
          <w:highlight w:val="none"/>
        </w:rPr>
        <w:t>③</w:t>
      </w:r>
      <w:r>
        <w:rPr>
          <w:rFonts w:hint="eastAsia" w:ascii="宋体" w:hAnsi="宋体" w:cs="宋体"/>
          <w:highlight w:val="none"/>
        </w:rPr>
        <w:t>若本项目接受联合体投标且投标人为联合体，则联合体中的牵头方应按照本章第10.9条第（3）款第①、②点规定提交投标保证金。</w:t>
      </w:r>
    </w:p>
    <w:p w14:paraId="6E7A782A">
      <w:pPr>
        <w:pStyle w:val="10"/>
        <w:spacing w:before="0" w:beforeAutospacing="0" w:after="0" w:afterAutospacing="0" w:line="420" w:lineRule="exact"/>
        <w:ind w:firstLine="378"/>
        <w:rPr>
          <w:rFonts w:hint="eastAsia" w:ascii="宋体" w:hAnsi="宋体" w:cs="宋体"/>
          <w:highlight w:val="none"/>
        </w:rPr>
      </w:pPr>
      <w:r>
        <w:rPr>
          <w:rStyle w:val="34"/>
          <w:rFonts w:hint="eastAsia" w:ascii="宋体" w:hAnsi="宋体" w:cs="宋体"/>
          <w:highlight w:val="none"/>
        </w:rPr>
        <w:t>※除招标文件另有规定外，未按照上述规定提交投标保证金将导致资格审查不合格。</w:t>
      </w:r>
    </w:p>
    <w:p w14:paraId="41CF791B">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（4）退还</w:t>
      </w:r>
    </w:p>
    <w:p w14:paraId="2BF3DB7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①在投标截止时间前撤回已提交的投标文件的投标人，其投标保证金将在</w:t>
      </w:r>
      <w:r>
        <w:rPr>
          <w:rFonts w:hint="eastAsia" w:ascii="宋体" w:hAnsi="宋体" w:cs="宋体"/>
          <w:highlight w:val="none"/>
          <w:u w:val="single"/>
          <w:lang w:val="en-US" w:eastAsia="zh-CN"/>
        </w:rPr>
        <w:t>采购人</w:t>
      </w:r>
      <w:r>
        <w:rPr>
          <w:rFonts w:hint="eastAsia" w:ascii="宋体" w:hAnsi="宋体" w:cs="宋体"/>
          <w:highlight w:val="none"/>
        </w:rPr>
        <w:t>收到投标人书面撤回通知之日起5个工作日内退回原账户。</w:t>
      </w:r>
    </w:p>
    <w:p w14:paraId="05B03F27">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②未中标人的投标保证金将在中标通知书发出之日起5个工作日内退回原账户。</w:t>
      </w:r>
    </w:p>
    <w:p w14:paraId="1393C4AB">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③中标人的投标保证金将在采购合同签订之日起5个工作日内退回原账户；</w:t>
      </w:r>
    </w:p>
    <w:p w14:paraId="061DAE4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④终止招标的，</w:t>
      </w:r>
      <w:r>
        <w:rPr>
          <w:rFonts w:hint="eastAsia" w:ascii="宋体" w:hAnsi="宋体" w:cs="宋体"/>
          <w:highlight w:val="none"/>
          <w:u w:val="single"/>
          <w:lang w:val="en-US" w:eastAsia="zh-CN"/>
        </w:rPr>
        <w:t>采购人</w:t>
      </w:r>
      <w:r>
        <w:rPr>
          <w:rFonts w:hint="eastAsia" w:ascii="宋体" w:hAnsi="宋体" w:cs="宋体"/>
          <w:highlight w:val="none"/>
        </w:rPr>
        <w:t>将在终止公告发布之日起5个工作日内退回已收取的投标保证金及其在银行产生的孳息。</w:t>
      </w:r>
    </w:p>
    <w:p w14:paraId="566B5DA0">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⑤除招标文件另有规定外，质疑或投诉涉及的投标人，若投标保证金尚未退还，则待质疑或投诉处理完毕后不计利息原额退还。</w:t>
      </w:r>
    </w:p>
    <w:p w14:paraId="3E92FC95">
      <w:pPr>
        <w:pStyle w:val="10"/>
        <w:spacing w:before="0" w:beforeAutospacing="0" w:after="0" w:afterAutospacing="0" w:line="420" w:lineRule="exact"/>
        <w:ind w:firstLine="378"/>
        <w:rPr>
          <w:rFonts w:hint="eastAsia" w:ascii="宋体" w:hAnsi="宋体" w:cs="宋体"/>
          <w:highlight w:val="none"/>
        </w:rPr>
      </w:pPr>
      <w:r>
        <w:rPr>
          <w:rStyle w:val="34"/>
          <w:rFonts w:hint="eastAsia" w:ascii="宋体" w:hAnsi="宋体" w:cs="宋体"/>
          <w:highlight w:val="none"/>
        </w:rPr>
        <w:t>※本章第10.9条第（4）款第①、②、③点规定的投标保证金退还时限不包括因投标人自身原因导致无法及时退还而增加的时间。</w:t>
      </w:r>
    </w:p>
    <w:p w14:paraId="091230B7">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1FEFCF96">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（6）有下列情形之一的，投标保证金将不予退还或通过投标保函进行索赔：</w:t>
      </w:r>
    </w:p>
    <w:p w14:paraId="09905BB1">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①投标人串通投标；</w:t>
      </w:r>
    </w:p>
    <w:p w14:paraId="5095481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②投标人提供虚假材料；</w:t>
      </w:r>
    </w:p>
    <w:p w14:paraId="5875FA1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③投标人采取不正当手段诋毁、排挤其他投标人；</w:t>
      </w:r>
    </w:p>
    <w:p w14:paraId="5814E557">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④投标截止时间后，投标人在投标有效期内撤销投标文件；</w:t>
      </w:r>
    </w:p>
    <w:p w14:paraId="7B805349">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⑤投标人不接受评标委员会按照招标文件规定对投标报价错误之处进行修正；</w:t>
      </w:r>
    </w:p>
    <w:p w14:paraId="3F18FC41">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⑥投标人违反招标文件第三章第9.4、9.5、9.6条规定之一；</w:t>
      </w:r>
    </w:p>
    <w:p w14:paraId="56B8DCE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⑦招标文件规定的其他不予退还情形；</w:t>
      </w:r>
    </w:p>
    <w:p w14:paraId="438B276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⑧中标人有下列情形之一的：</w:t>
      </w:r>
    </w:p>
    <w:p w14:paraId="1621C188">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a.除不可抗力外，因中标人自身原因未在中标通知书要求的期限内与采购人签订采购合同；</w:t>
      </w:r>
    </w:p>
    <w:p w14:paraId="4100C63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b.未按照招标文件、投标文件的约定签订采购合同或提交履约保证金。</w:t>
      </w:r>
    </w:p>
    <w:p w14:paraId="2A9FEA81">
      <w:pPr>
        <w:pStyle w:val="10"/>
        <w:spacing w:before="0" w:beforeAutospacing="0" w:after="0" w:afterAutospacing="0" w:line="420" w:lineRule="exact"/>
        <w:ind w:firstLine="378"/>
        <w:rPr>
          <w:rStyle w:val="34"/>
          <w:rFonts w:hint="eastAsia" w:ascii="宋体" w:hAnsi="宋体" w:cs="宋体"/>
          <w:highlight w:val="none"/>
        </w:rPr>
      </w:pPr>
      <w:r>
        <w:rPr>
          <w:rStyle w:val="34"/>
          <w:rFonts w:hint="eastAsia" w:ascii="宋体" w:hAnsi="宋体" w:cs="宋体"/>
          <w:highlight w:val="none"/>
        </w:rPr>
        <w:t>※若上述投标保证金不予退还情形给采购人（采购代理机构）造成损失，则投标人还要承担相应的赔偿责任。</w:t>
      </w:r>
    </w:p>
    <w:p w14:paraId="5BED91FA">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注：供应商须在响应文件中对该条款中的情形单独做出专项声 明，否则视为响应无 效。</w:t>
      </w:r>
    </w:p>
    <w:p w14:paraId="06F7C655">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10.10投标文件的提交</w:t>
      </w:r>
    </w:p>
    <w:p w14:paraId="0E546DE8">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（1）一个投标人只能提交一个投标文件，并按照招标文件第一章规定将其送达。</w:t>
      </w:r>
    </w:p>
    <w:p w14:paraId="4417C31B">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（2）密封及其标记的具体形式：详见招标文件第二章。</w:t>
      </w:r>
    </w:p>
    <w:p w14:paraId="667F8C20">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10.11投标文件的补充、修改或撤回</w:t>
      </w:r>
    </w:p>
    <w:p w14:paraId="233DF47F">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（1）投标截止时</w:t>
      </w:r>
      <w:r>
        <w:rPr>
          <w:rFonts w:hint="eastAsia" w:ascii="宋体" w:hAnsi="宋体" w:cs="宋体"/>
          <w:highlight w:val="none"/>
          <w:lang w:eastAsia="zh-CN"/>
        </w:rPr>
        <w:t>间之</w:t>
      </w:r>
      <w:r>
        <w:rPr>
          <w:rFonts w:hint="eastAsia" w:ascii="宋体" w:hAnsi="宋体" w:cs="宋体"/>
          <w:highlight w:val="none"/>
        </w:rPr>
        <w:t>前，投标人可对所提交的投标文件进行补充、修改或撤回，并书面通知</w:t>
      </w:r>
      <w:r>
        <w:rPr>
          <w:rFonts w:hint="eastAsia" w:ascii="宋体" w:hAnsi="宋体" w:cs="宋体"/>
          <w:highlight w:val="none"/>
          <w:u w:val="single"/>
        </w:rPr>
        <w:t>福建省智信招标有限公司</w:t>
      </w:r>
      <w:r>
        <w:rPr>
          <w:rFonts w:hint="eastAsia" w:ascii="宋体" w:hAnsi="宋体" w:cs="宋体"/>
          <w:highlight w:val="none"/>
        </w:rPr>
        <w:t>。</w:t>
      </w:r>
    </w:p>
    <w:p w14:paraId="2C6CCA9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（2）补充、修改的内容应按照本章第10.5条第（4）款规定进行签署、盖章，并按照本章第10.10条规定提交，</w:t>
      </w:r>
      <w:r>
        <w:rPr>
          <w:rStyle w:val="34"/>
          <w:rFonts w:hint="eastAsia" w:ascii="宋体" w:hAnsi="宋体" w:cs="宋体"/>
          <w:highlight w:val="none"/>
        </w:rPr>
        <w:t>否则将被拒收。</w:t>
      </w:r>
    </w:p>
    <w:p w14:paraId="533E3897">
      <w:pPr>
        <w:pStyle w:val="10"/>
        <w:spacing w:before="0" w:beforeAutospacing="0" w:after="0" w:afterAutospacing="0" w:line="420" w:lineRule="exact"/>
        <w:ind w:firstLine="378"/>
        <w:rPr>
          <w:rFonts w:hint="eastAsia" w:ascii="宋体" w:hAnsi="宋体" w:cs="宋体"/>
          <w:highlight w:val="none"/>
        </w:rPr>
      </w:pPr>
      <w:r>
        <w:rPr>
          <w:rStyle w:val="34"/>
          <w:rFonts w:hint="eastAsia" w:ascii="宋体" w:hAnsi="宋体" w:cs="宋体"/>
          <w:highlight w:val="none"/>
        </w:rPr>
        <w:t>※按照上述规定提交的补充、修改内容作为投标文件组成部分。</w:t>
      </w:r>
    </w:p>
    <w:p w14:paraId="1BE25145">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10.12除招标文件另有规定外，有下列情形之一的，</w:t>
      </w:r>
      <w:r>
        <w:rPr>
          <w:rStyle w:val="34"/>
          <w:rFonts w:hint="eastAsia" w:ascii="宋体" w:hAnsi="宋体" w:cs="宋体"/>
          <w:highlight w:val="none"/>
        </w:rPr>
        <w:t>投标无效</w:t>
      </w:r>
      <w:r>
        <w:rPr>
          <w:rFonts w:hint="eastAsia" w:ascii="宋体" w:hAnsi="宋体" w:cs="宋体"/>
          <w:highlight w:val="none"/>
        </w:rPr>
        <w:t>：</w:t>
      </w:r>
    </w:p>
    <w:p w14:paraId="0AA26C5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（1）投标文件未按照招标文件要求签署、盖章；</w:t>
      </w:r>
    </w:p>
    <w:p w14:paraId="176E9709">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（2）不符合招标文件中规定的资格要求；</w:t>
      </w:r>
    </w:p>
    <w:p w14:paraId="3155AE36">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（3）投标报价超过招标文件中规定的预算金额或最高限价；</w:t>
      </w:r>
    </w:p>
    <w:p w14:paraId="691B7EE1">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（4）投标文件含有采购人不能接受的附加条件；</w:t>
      </w:r>
    </w:p>
    <w:p w14:paraId="1BF5B7F0">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（5）有关</w:t>
      </w:r>
      <w:r>
        <w:rPr>
          <w:rFonts w:hint="eastAsia" w:ascii="宋体" w:hAnsi="宋体" w:cs="宋体"/>
          <w:highlight w:val="none"/>
          <w:lang w:eastAsia="zh-CN"/>
        </w:rPr>
        <w:t>法律法规</w:t>
      </w:r>
      <w:r>
        <w:rPr>
          <w:rFonts w:hint="eastAsia" w:ascii="宋体" w:hAnsi="宋体" w:cs="宋体"/>
          <w:highlight w:val="none"/>
        </w:rPr>
        <w:t>和规章及招标文件规定的其他无效情形。</w:t>
      </w:r>
    </w:p>
    <w:p w14:paraId="162F81FB">
      <w:pPr>
        <w:pStyle w:val="10"/>
        <w:spacing w:before="0" w:beforeAutospacing="0" w:after="0" w:afterAutospacing="0" w:line="420" w:lineRule="exact"/>
        <w:rPr>
          <w:rFonts w:hint="eastAsia" w:ascii="宋体" w:hAnsi="宋体" w:cs="宋体"/>
          <w:highlight w:val="none"/>
        </w:rPr>
      </w:pPr>
    </w:p>
    <w:p w14:paraId="780B3269">
      <w:pPr>
        <w:spacing w:line="420" w:lineRule="exact"/>
        <w:jc w:val="center"/>
        <w:outlineLvl w:val="1"/>
        <w:rPr>
          <w:rFonts w:hint="eastAsia" w:ascii="宋体" w:hAnsi="宋体" w:cs="宋体"/>
          <w:b/>
          <w:sz w:val="24"/>
          <w:highlight w:val="none"/>
        </w:rPr>
      </w:pPr>
      <w:bookmarkStart w:id="26" w:name="_Toc6474"/>
      <w:bookmarkStart w:id="27" w:name="_Toc38959623"/>
      <w:bookmarkStart w:id="28" w:name="_Toc4693"/>
      <w:r>
        <w:rPr>
          <w:rFonts w:hint="eastAsia" w:ascii="宋体" w:hAnsi="宋体" w:cs="宋体"/>
          <w:b/>
          <w:sz w:val="24"/>
          <w:highlight w:val="none"/>
        </w:rPr>
        <w:t>五、开标</w:t>
      </w:r>
      <w:bookmarkEnd w:id="26"/>
      <w:bookmarkEnd w:id="27"/>
      <w:bookmarkEnd w:id="28"/>
    </w:p>
    <w:p w14:paraId="29906366">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11.</w:t>
      </w:r>
      <w:r>
        <w:rPr>
          <w:rFonts w:hint="eastAsia" w:ascii="宋体" w:hAnsi="宋体" w:cs="宋体"/>
          <w:highlight w:val="none"/>
        </w:rPr>
        <w:t>开标</w:t>
      </w:r>
    </w:p>
    <w:p w14:paraId="5A921B41">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11.1</w:t>
      </w:r>
      <w:r>
        <w:rPr>
          <w:rFonts w:hint="eastAsia" w:ascii="宋体" w:hAnsi="宋体" w:cs="宋体"/>
          <w:highlight w:val="none"/>
          <w:u w:val="single"/>
        </w:rPr>
        <w:t>福建省智信招标有限公司</w:t>
      </w:r>
      <w:r>
        <w:rPr>
          <w:rFonts w:hint="eastAsia" w:ascii="宋体" w:hAnsi="宋体" w:cs="宋体"/>
          <w:highlight w:val="none"/>
        </w:rPr>
        <w:t>将在招标文件载明的开标时间及地点主持召开开标会，并邀请投标人参加。</w:t>
      </w:r>
    </w:p>
    <w:p w14:paraId="33A763F6">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11.2开标会的主持人、唱标人、记录人及其他工作人员（若有）均由</w:t>
      </w:r>
      <w:r>
        <w:rPr>
          <w:rFonts w:hint="eastAsia" w:ascii="宋体" w:hAnsi="宋体" w:cs="宋体"/>
          <w:highlight w:val="none"/>
          <w:u w:val="single"/>
        </w:rPr>
        <w:t>福建省智信招标有限公司</w:t>
      </w:r>
      <w:r>
        <w:rPr>
          <w:rFonts w:hint="eastAsia" w:ascii="宋体" w:hAnsi="宋体" w:cs="宋体"/>
          <w:highlight w:val="none"/>
        </w:rPr>
        <w:t>派出，现场监督人员（若有）可由有关方面派出。</w:t>
      </w:r>
    </w:p>
    <w:p w14:paraId="6030972B">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11.3参加开标会的投标人应签到，非投标人不参加开标会。</w:t>
      </w:r>
    </w:p>
    <w:p w14:paraId="3FA1D246">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11.4开标会应遵守下列规定：</w:t>
      </w:r>
    </w:p>
    <w:p w14:paraId="675A9E47">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（1）首先由主持人宣布开标会须知，然后由投标人代表对投标文件的密封情况进行检查，经确认无误后，由工作人员对密封的投标文件当众拆封。</w:t>
      </w:r>
    </w:p>
    <w:p w14:paraId="52D5D9CA">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（2）唱标时，唱标人将依次宣布“投标人名称</w:t>
      </w:r>
      <w:r>
        <w:rPr>
          <w:rFonts w:hint="eastAsia" w:ascii="宋体" w:hAnsi="宋体" w:cs="宋体"/>
          <w:highlight w:val="none"/>
          <w:lang w:eastAsia="zh-CN"/>
        </w:rPr>
        <w:t>”“</w:t>
      </w:r>
      <w:r>
        <w:rPr>
          <w:rFonts w:hint="eastAsia" w:ascii="宋体" w:hAnsi="宋体" w:cs="宋体"/>
          <w:highlight w:val="none"/>
        </w:rPr>
        <w:t>各投标人关于投标文件补充、修改或撤回的书面通知（若有）</w:t>
      </w:r>
      <w:r>
        <w:rPr>
          <w:rFonts w:hint="eastAsia" w:ascii="宋体" w:hAnsi="宋体" w:cs="宋体"/>
          <w:highlight w:val="none"/>
          <w:lang w:eastAsia="zh-CN"/>
        </w:rPr>
        <w:t>”“</w:t>
      </w:r>
      <w:r>
        <w:rPr>
          <w:rFonts w:hint="eastAsia" w:ascii="宋体" w:hAnsi="宋体" w:cs="宋体"/>
          <w:highlight w:val="none"/>
        </w:rPr>
        <w:t>各投标人的投标报价”和招标文件规定的需要宣布的其他内容（包括但不限于：开标一览表中的内容、唱标人认为需要宣布的内容等）。</w:t>
      </w:r>
    </w:p>
    <w:p w14:paraId="4EBEF75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（3）记录人对唱标人宣布的内容</w:t>
      </w:r>
      <w:r>
        <w:rPr>
          <w:rFonts w:hint="eastAsia" w:ascii="宋体" w:hAnsi="宋体" w:cs="宋体"/>
          <w:highlight w:val="none"/>
          <w:lang w:eastAsia="zh-CN"/>
        </w:rPr>
        <w:t>做</w:t>
      </w:r>
      <w:r>
        <w:rPr>
          <w:rFonts w:hint="eastAsia" w:ascii="宋体" w:hAnsi="宋体" w:cs="宋体"/>
          <w:highlight w:val="none"/>
        </w:rPr>
        <w:t>开标记录。</w:t>
      </w:r>
    </w:p>
    <w:p w14:paraId="7F682026">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4）唱标结束后，投标人代表应对开标记录进行签字确认。投标人代表的签字确认，视为投标人对开标过程和开标记录予以认可。投标人代表拒绝签字确认且无正当理由，亦视为投标人对开标过程和开标记录予以认可。</w:t>
      </w:r>
    </w:p>
    <w:p w14:paraId="720A1CA7">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（5）投标人代表对开标过程和开标记录有疑义，以及认为采购人（采购代理机构）相关工作人员有需要回避情形的，应当场提出询问或回避申请。否则，视为投标人对开标过程和开标记录予以认可。</w:t>
      </w:r>
    </w:p>
    <w:p w14:paraId="557508EE">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（6）若投标人未参加开标会（包括但不限于投标人派出的人员不是投标人代表），视同其对开标过程和开标记录予以认可。</w:t>
      </w:r>
    </w:p>
    <w:p w14:paraId="7332CCB5">
      <w:pPr>
        <w:pStyle w:val="10"/>
        <w:spacing w:before="0" w:beforeAutospacing="0" w:after="0" w:afterAutospacing="0" w:line="420" w:lineRule="exact"/>
        <w:ind w:firstLine="378"/>
        <w:rPr>
          <w:rFonts w:hint="eastAsia" w:ascii="宋体" w:hAnsi="宋体" w:cs="宋体"/>
          <w:highlight w:val="none"/>
        </w:rPr>
      </w:pPr>
      <w:r>
        <w:rPr>
          <w:rStyle w:val="34"/>
          <w:rFonts w:hint="eastAsia" w:ascii="宋体" w:hAnsi="宋体" w:cs="宋体"/>
          <w:highlight w:val="none"/>
        </w:rPr>
        <w:t>※若出现本章第11.4条第（4）、</w:t>
      </w:r>
      <w:r>
        <w:rPr>
          <w:rStyle w:val="34"/>
          <w:rFonts w:hint="eastAsia" w:ascii="宋体" w:hAnsi="宋体" w:cs="宋体"/>
          <w:highlight w:val="none"/>
          <w:lang w:eastAsia="zh-CN"/>
        </w:rPr>
        <w:t>（5）</w:t>
      </w:r>
      <w:r>
        <w:rPr>
          <w:rStyle w:val="34"/>
          <w:rFonts w:hint="eastAsia" w:ascii="宋体" w:hAnsi="宋体" w:cs="宋体"/>
          <w:highlight w:val="none"/>
        </w:rPr>
        <w:t>（6）款规定情形之一</w:t>
      </w:r>
      <w:r>
        <w:rPr>
          <w:rFonts w:hint="eastAsia" w:ascii="宋体" w:hAnsi="宋体" w:cs="宋体"/>
          <w:highlight w:val="none"/>
        </w:rPr>
        <w:t>，</w:t>
      </w:r>
      <w:r>
        <w:rPr>
          <w:rStyle w:val="34"/>
          <w:rFonts w:hint="eastAsia" w:ascii="宋体" w:hAnsi="宋体" w:cs="宋体"/>
          <w:highlight w:val="none"/>
        </w:rPr>
        <w:t>则投标人不得在开标会后就开标过程和开标记录涉及或可能涉及的有关事由（包括但不限于：“投标报价</w:t>
      </w:r>
      <w:r>
        <w:rPr>
          <w:rStyle w:val="34"/>
          <w:rFonts w:hint="eastAsia" w:ascii="宋体" w:hAnsi="宋体" w:cs="宋体"/>
          <w:highlight w:val="none"/>
          <w:lang w:eastAsia="zh-CN"/>
        </w:rPr>
        <w:t>”“</w:t>
      </w:r>
      <w:r>
        <w:rPr>
          <w:rStyle w:val="34"/>
          <w:rFonts w:hint="eastAsia" w:ascii="宋体" w:hAnsi="宋体" w:cs="宋体"/>
          <w:highlight w:val="none"/>
        </w:rPr>
        <w:t>投标文件的格式</w:t>
      </w:r>
      <w:r>
        <w:rPr>
          <w:rStyle w:val="34"/>
          <w:rFonts w:hint="eastAsia" w:ascii="宋体" w:hAnsi="宋体" w:cs="宋体"/>
          <w:highlight w:val="none"/>
          <w:lang w:eastAsia="zh-CN"/>
        </w:rPr>
        <w:t>”“</w:t>
      </w:r>
      <w:r>
        <w:rPr>
          <w:rStyle w:val="34"/>
          <w:rFonts w:hint="eastAsia" w:ascii="宋体" w:hAnsi="宋体" w:cs="宋体"/>
          <w:highlight w:val="none"/>
        </w:rPr>
        <w:t>投标文件的提交</w:t>
      </w:r>
      <w:r>
        <w:rPr>
          <w:rStyle w:val="34"/>
          <w:rFonts w:hint="eastAsia" w:ascii="宋体" w:hAnsi="宋体" w:cs="宋体"/>
          <w:highlight w:val="none"/>
          <w:lang w:eastAsia="zh-CN"/>
        </w:rPr>
        <w:t>”“</w:t>
      </w:r>
      <w:r>
        <w:rPr>
          <w:rStyle w:val="34"/>
          <w:rFonts w:hint="eastAsia" w:ascii="宋体" w:hAnsi="宋体" w:cs="宋体"/>
          <w:highlight w:val="none"/>
        </w:rPr>
        <w:t>投标文件的补充、修改或撤回”等）向</w:t>
      </w:r>
      <w:r>
        <w:rPr>
          <w:rFonts w:hint="eastAsia" w:ascii="宋体" w:hAnsi="宋体" w:cs="宋体"/>
          <w:highlight w:val="none"/>
          <w:u w:val="single"/>
        </w:rPr>
        <w:t>福建省智信招标有限公司</w:t>
      </w:r>
      <w:r>
        <w:rPr>
          <w:rStyle w:val="34"/>
          <w:rFonts w:hint="eastAsia" w:ascii="宋体" w:hAnsi="宋体" w:cs="宋体"/>
          <w:highlight w:val="none"/>
        </w:rPr>
        <w:t>提出任何疑义或要求（包括质疑）。</w:t>
      </w:r>
    </w:p>
    <w:p w14:paraId="115878AD">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11.5投标截止时间后，参加投标的投标人不足三家的，不进行开标。同时，本次采购活动结</w:t>
      </w:r>
      <w:r>
        <w:rPr>
          <w:rFonts w:hint="eastAsia" w:ascii="宋体" w:hAnsi="宋体" w:cs="宋体"/>
          <w:highlight w:val="none"/>
          <w:lang w:eastAsia="zh-CN"/>
        </w:rPr>
        <w:t>束后</w:t>
      </w:r>
      <w:r>
        <w:rPr>
          <w:rFonts w:hint="eastAsia" w:ascii="宋体" w:hAnsi="宋体" w:cs="宋体"/>
          <w:highlight w:val="none"/>
        </w:rPr>
        <w:t>，</w:t>
      </w:r>
      <w:r>
        <w:rPr>
          <w:rFonts w:hint="eastAsia" w:ascii="宋体" w:hAnsi="宋体" w:cs="宋体"/>
          <w:highlight w:val="none"/>
          <w:u w:val="single"/>
        </w:rPr>
        <w:t>福建省智信招标有限公司</w:t>
      </w:r>
      <w:r>
        <w:rPr>
          <w:rFonts w:hint="eastAsia" w:ascii="宋体" w:hAnsi="宋体" w:cs="宋体"/>
          <w:highlight w:val="none"/>
        </w:rPr>
        <w:t>将依法组织后续采购活动（包括但不限于：重新招标、采用其他方式采购等）。</w:t>
      </w:r>
    </w:p>
    <w:p w14:paraId="6FD667E5">
      <w:pPr>
        <w:spacing w:line="420" w:lineRule="exact"/>
        <w:jc w:val="center"/>
        <w:outlineLvl w:val="1"/>
        <w:rPr>
          <w:rFonts w:hint="eastAsia" w:ascii="宋体" w:hAnsi="宋体" w:cs="宋体"/>
          <w:b/>
          <w:sz w:val="24"/>
          <w:highlight w:val="none"/>
        </w:rPr>
      </w:pPr>
      <w:bookmarkStart w:id="29" w:name="_Toc38959624"/>
      <w:bookmarkStart w:id="30" w:name="_Toc529"/>
      <w:bookmarkStart w:id="31" w:name="_Toc27649"/>
      <w:r>
        <w:rPr>
          <w:rFonts w:hint="eastAsia" w:ascii="宋体" w:hAnsi="宋体" w:cs="宋体"/>
          <w:b/>
          <w:sz w:val="24"/>
          <w:highlight w:val="none"/>
        </w:rPr>
        <w:t>六、中标与</w:t>
      </w:r>
      <w:bookmarkEnd w:id="29"/>
      <w:r>
        <w:rPr>
          <w:rFonts w:hint="eastAsia" w:ascii="宋体" w:hAnsi="宋体" w:cs="宋体"/>
          <w:b/>
          <w:sz w:val="24"/>
          <w:highlight w:val="none"/>
        </w:rPr>
        <w:t>采购合同</w:t>
      </w:r>
      <w:bookmarkEnd w:id="30"/>
      <w:bookmarkEnd w:id="31"/>
    </w:p>
    <w:p w14:paraId="5F47DBCF">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12.</w:t>
      </w:r>
      <w:r>
        <w:rPr>
          <w:rFonts w:hint="eastAsia" w:ascii="宋体" w:hAnsi="宋体" w:cs="宋体"/>
          <w:highlight w:val="none"/>
        </w:rPr>
        <w:t>中标</w:t>
      </w:r>
    </w:p>
    <w:p w14:paraId="25C2CD05">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12.1本项目推荐的中标候选人家数：详见招标文件第二章。</w:t>
      </w:r>
    </w:p>
    <w:p w14:paraId="1D27664A">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12.2本项目中标人的确定：详见招标文件第二章。</w:t>
      </w:r>
    </w:p>
    <w:p w14:paraId="6DB53E16">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12.3中标公告</w:t>
      </w:r>
    </w:p>
    <w:p w14:paraId="531A7C5B">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（1）中标人确定之日起2个工作日内，</w:t>
      </w:r>
      <w:r>
        <w:rPr>
          <w:rFonts w:hint="eastAsia" w:ascii="宋体" w:hAnsi="宋体" w:cs="宋体"/>
          <w:highlight w:val="none"/>
          <w:u w:val="single"/>
        </w:rPr>
        <w:t>福建省智信招标有限公司</w:t>
      </w:r>
      <w:r>
        <w:rPr>
          <w:rFonts w:hint="eastAsia" w:ascii="宋体" w:hAnsi="宋体" w:cs="宋体"/>
          <w:highlight w:val="none"/>
        </w:rPr>
        <w:t>将在招标文件载明的指定媒体以中标公告的形式发布中标结果。</w:t>
      </w:r>
    </w:p>
    <w:p w14:paraId="5D3C4847">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（2）中标公告的公告期限为1个工作日。</w:t>
      </w:r>
    </w:p>
    <w:p w14:paraId="6A537EF2">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（3）中标公告同时作为</w:t>
      </w:r>
      <w:r>
        <w:rPr>
          <w:rFonts w:hint="eastAsia" w:ascii="宋体" w:hAnsi="宋体" w:cs="宋体"/>
          <w:highlight w:val="none"/>
          <w:u w:val="single"/>
        </w:rPr>
        <w:t>福建省智信招标有限公司</w:t>
      </w:r>
      <w:r>
        <w:rPr>
          <w:rFonts w:hint="eastAsia" w:ascii="宋体" w:hAnsi="宋体" w:cs="宋体"/>
          <w:highlight w:val="none"/>
        </w:rPr>
        <w:t>通知除中标人外的其他投标人没有中标的书面形式。</w:t>
      </w:r>
    </w:p>
    <w:p w14:paraId="61C2B00E">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12.4中标通知书</w:t>
      </w:r>
    </w:p>
    <w:p w14:paraId="26CD01EF">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（1）中标公告发布的同时，</w:t>
      </w:r>
      <w:r>
        <w:rPr>
          <w:rFonts w:hint="eastAsia" w:ascii="宋体" w:hAnsi="宋体" w:cs="宋体"/>
          <w:highlight w:val="none"/>
          <w:u w:val="single"/>
        </w:rPr>
        <w:t>福建省智信招标有限公司</w:t>
      </w:r>
      <w:r>
        <w:rPr>
          <w:rFonts w:hint="eastAsia" w:ascii="宋体" w:hAnsi="宋体" w:cs="宋体"/>
          <w:highlight w:val="none"/>
        </w:rPr>
        <w:t>将向中标人发出中标通知书。</w:t>
      </w:r>
    </w:p>
    <w:p w14:paraId="7CD9E229">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（2）中标通知书发出后，采购人不得违法改变中标结果，中标人无正当理由不得放弃中标。</w:t>
      </w:r>
    </w:p>
    <w:p w14:paraId="19D5D329">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13.</w:t>
      </w:r>
      <w:r>
        <w:rPr>
          <w:rFonts w:hint="eastAsia" w:ascii="宋体" w:hAnsi="宋体" w:cs="宋体"/>
          <w:highlight w:val="none"/>
        </w:rPr>
        <w:t>采购合同</w:t>
      </w:r>
    </w:p>
    <w:p w14:paraId="7FF0D563">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13.1签订采购合同不得对招标文件确定的事项和中标人的投标文件作实质性修改。采购人不得向中标人提出任何不合理的要求作为采购合同的签订条件。</w:t>
      </w:r>
    </w:p>
    <w:p w14:paraId="30E4187A">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13.2签订时限：自中标通知书发出之日起30个日历日内。</w:t>
      </w:r>
    </w:p>
    <w:p w14:paraId="159C74E5">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13.3采购合同的履行、违约责任和解决争议的方法等适用民法典。</w:t>
      </w:r>
    </w:p>
    <w:p w14:paraId="32778CA0">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13.4采购人与中标人应根据采购合同的约定依法履行合同义务。</w:t>
      </w:r>
    </w:p>
    <w:p w14:paraId="514F8EB4">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13.5采购合同履行过程中，采购人若需追加与合同标的相同的货物或服务，则追加采购金额不得超过原合同采购金额的10%。</w:t>
      </w:r>
    </w:p>
    <w:p w14:paraId="11E94495">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13.6中标人在采购合同履行过程中应遵守有关</w:t>
      </w:r>
      <w:r>
        <w:rPr>
          <w:rFonts w:hint="eastAsia" w:ascii="宋体" w:hAnsi="宋体" w:cs="宋体"/>
          <w:highlight w:val="none"/>
          <w:lang w:eastAsia="zh-CN"/>
        </w:rPr>
        <w:t>法律法规</w:t>
      </w:r>
      <w:r>
        <w:rPr>
          <w:rFonts w:hint="eastAsia" w:ascii="宋体" w:hAnsi="宋体" w:cs="宋体"/>
          <w:highlight w:val="none"/>
        </w:rPr>
        <w:t>和规章的强制性规定（即使前述强制性规定有可能在招标文件中未予列明）。</w:t>
      </w:r>
    </w:p>
    <w:p w14:paraId="5BCA816D">
      <w:pPr>
        <w:spacing w:line="420" w:lineRule="exact"/>
        <w:jc w:val="center"/>
        <w:outlineLvl w:val="1"/>
        <w:rPr>
          <w:rFonts w:hint="eastAsia" w:ascii="宋体" w:hAnsi="宋体" w:cs="宋体"/>
          <w:b/>
          <w:sz w:val="24"/>
          <w:highlight w:val="none"/>
        </w:rPr>
      </w:pPr>
      <w:bookmarkStart w:id="32" w:name="_Toc23597"/>
      <w:bookmarkStart w:id="33" w:name="_Toc11029"/>
      <w:bookmarkStart w:id="34" w:name="_Toc38959625"/>
      <w:r>
        <w:rPr>
          <w:rFonts w:hint="eastAsia" w:ascii="宋体" w:hAnsi="宋体" w:cs="宋体"/>
          <w:b/>
          <w:sz w:val="24"/>
          <w:highlight w:val="none"/>
        </w:rPr>
        <w:t>七、询问、质疑与投诉</w:t>
      </w:r>
      <w:bookmarkEnd w:id="32"/>
      <w:bookmarkEnd w:id="33"/>
      <w:bookmarkEnd w:id="34"/>
    </w:p>
    <w:p w14:paraId="5B86FD62">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14.</w:t>
      </w:r>
      <w:r>
        <w:rPr>
          <w:rFonts w:hint="eastAsia" w:ascii="宋体" w:hAnsi="宋体" w:cs="宋体"/>
          <w:highlight w:val="none"/>
        </w:rPr>
        <w:t>询问</w:t>
      </w:r>
    </w:p>
    <w:p w14:paraId="08DAA5CA">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14.1潜在投标人或投标人对本次采购活动的有关事项若有疑问，可向福建省智信招标有限公司提出询问，福建省智信招标有限公司将按照政府采购法及实施条例的有关规定进行答复。</w:t>
      </w:r>
    </w:p>
    <w:p w14:paraId="1AA10A03">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15.</w:t>
      </w:r>
      <w:r>
        <w:rPr>
          <w:rFonts w:hint="eastAsia" w:ascii="宋体" w:hAnsi="宋体" w:cs="宋体"/>
          <w:highlight w:val="none"/>
        </w:rPr>
        <w:t>质疑</w:t>
      </w:r>
    </w:p>
    <w:p w14:paraId="52C2EC59">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15.1针对同一采购程序环节的质疑应在政府采购法及实施条例规定的时限内一次性提出，并同时符合下列条件：</w:t>
      </w:r>
    </w:p>
    <w:p w14:paraId="0D2744AB">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（1）对招标文件提出质疑的，质疑人应为潜在投标人，且两者的身份、名称等均应保持一致。对采购过程、结果提出质疑的，质疑人应为投标人，且两者的身份、名称等均应保持一致。</w:t>
      </w:r>
    </w:p>
    <w:p w14:paraId="2DE09C5B">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（2）质疑人应按照招标文件第二章规定方式提交质疑函。</w:t>
      </w:r>
    </w:p>
    <w:p w14:paraId="518F0D45">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（3）质疑函应包括下列主要内容：</w:t>
      </w:r>
    </w:p>
    <w:p w14:paraId="2D042CA5">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①质疑人的基本信息，至少包括：全称、地址、邮政编码等；</w:t>
      </w:r>
    </w:p>
    <w:p w14:paraId="6F87842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②所质疑项目的基本信息，至少包括：项目编号、项目名称等；</w:t>
      </w:r>
    </w:p>
    <w:p w14:paraId="18B3A55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③所质疑的具体事项（以下简称：“质疑事项”）；</w:t>
      </w:r>
    </w:p>
    <w:p w14:paraId="0084CDF3">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④针对质疑事项提出的明确请求，前述明确请求指质疑人提出质疑的目的以及希望福建省智信招标有限公司对其质疑作出的处理结果，如：暂停招标投标活动、修改招标文件、停止或纠正违法违规行为、中标结果无效、废标、重新招标等；</w:t>
      </w:r>
    </w:p>
    <w:p w14:paraId="17EA8C49">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⑤针对质疑事项导致质疑人自身权益受到损害的必要证明材料，至少包括：</w:t>
      </w:r>
    </w:p>
    <w:p w14:paraId="445C8773">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a.质疑人代表的身份证明材料：</w:t>
      </w:r>
    </w:p>
    <w:p w14:paraId="600D65A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704D91E4">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a2若本项目接受自然人投标且质疑人为自然人的，提供本人的身份证复印件。</w:t>
      </w:r>
    </w:p>
    <w:p w14:paraId="79E80F06">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b.其他证明材料（即事实依据和必要的法律依据）包括但不限于下列材料：</w:t>
      </w:r>
    </w:p>
    <w:p w14:paraId="7B67CF44">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b1所质疑的具体事项是与自己有利害关系的证明材料；</w:t>
      </w:r>
    </w:p>
    <w:p w14:paraId="060A22D3">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b2质疑函所述事实存在的证明材料，如：采购文件、采购过程或中标结果违法违规或不符合采购文件要求等证明材料；</w:t>
      </w:r>
    </w:p>
    <w:p w14:paraId="52F8CF09">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b3依法应终止采购程序的证明材料；</w:t>
      </w:r>
    </w:p>
    <w:p w14:paraId="1778923F">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b4应重新采购的证明材料；</w:t>
      </w:r>
    </w:p>
    <w:p w14:paraId="1441BD33">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b5采购文件、采购过程或中标、成交结果损害自己合法权益的证明材料等；</w:t>
      </w:r>
    </w:p>
    <w:p w14:paraId="146715D4">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b6若质疑的具体事项按照有关</w:t>
      </w:r>
      <w:r>
        <w:rPr>
          <w:rFonts w:hint="eastAsia" w:ascii="宋体" w:hAnsi="宋体" w:cs="宋体"/>
          <w:highlight w:val="none"/>
          <w:lang w:eastAsia="zh-CN"/>
        </w:rPr>
        <w:t>法律法规</w:t>
      </w:r>
      <w:r>
        <w:rPr>
          <w:rFonts w:hint="eastAsia" w:ascii="宋体" w:hAnsi="宋体" w:cs="宋体"/>
          <w:highlight w:val="none"/>
        </w:rPr>
        <w:t>和规章规定处于保密阶段，则应提供信息或证明材料为合法或公开渠道获得的有效证据（若证据无法有效表明信息或证明材料为合法或公开渠道获得，则前述信息或证明材料</w:t>
      </w:r>
      <w:r>
        <w:rPr>
          <w:rStyle w:val="34"/>
          <w:rFonts w:hint="eastAsia" w:ascii="宋体" w:hAnsi="宋体" w:cs="宋体"/>
          <w:highlight w:val="none"/>
        </w:rPr>
        <w:t>视为无效</w:t>
      </w:r>
      <w:r>
        <w:rPr>
          <w:rFonts w:hint="eastAsia" w:ascii="宋体" w:hAnsi="宋体" w:cs="宋体"/>
          <w:highlight w:val="none"/>
        </w:rPr>
        <w:t>）。</w:t>
      </w:r>
    </w:p>
    <w:p w14:paraId="2CC3B350">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⑥质疑人代表及其联系方法的信息，至少包括：姓名、手机、电子信箱、邮寄地址等。</w:t>
      </w:r>
    </w:p>
    <w:p w14:paraId="2861544B">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⑦提出质疑的日期。</w:t>
      </w:r>
    </w:p>
    <w:p w14:paraId="5692C4BC">
      <w:pPr>
        <w:pStyle w:val="10"/>
        <w:spacing w:before="0" w:beforeAutospacing="0" w:after="0" w:afterAutospacing="0" w:line="420" w:lineRule="exact"/>
        <w:ind w:firstLine="378"/>
        <w:rPr>
          <w:rFonts w:hint="eastAsia" w:ascii="宋体" w:hAnsi="宋体" w:cs="宋体"/>
          <w:highlight w:val="none"/>
        </w:rPr>
      </w:pPr>
      <w:r>
        <w:rPr>
          <w:rStyle w:val="34"/>
          <w:rFonts w:hint="eastAsia" w:ascii="宋体" w:hAnsi="宋体" w:cs="宋体"/>
          <w:highlight w:val="none"/>
        </w:rPr>
        <w:t>※质疑人为法人或其他组织的，质疑函应由单位负责人或委托代理人签字或盖章，并加盖投标人的单位公章。质疑人为自然人的，质疑函应由本人签字。</w:t>
      </w:r>
    </w:p>
    <w:p w14:paraId="02A6F7E4">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15.2对不符合本章第15.1条规定的质疑，将按照下列规定进行处理：</w:t>
      </w:r>
    </w:p>
    <w:p w14:paraId="28323A1A">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（1）不符合其中第（1）、（2）条规定的，书面告知质疑人不予受理及其理由。</w:t>
      </w:r>
    </w:p>
    <w:p w14:paraId="7EA7C3BE">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（2）不符合其中第（3）条规定的，书面告知质疑人修改、补充后在规定时限内重新提交质疑函。</w:t>
      </w:r>
    </w:p>
    <w:p w14:paraId="71169546">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15.3对符合本章第15.1条规定的质疑，将按照有关法律法规及行政规章的有关规定进行答复。</w:t>
      </w:r>
    </w:p>
    <w:p w14:paraId="5DC68B06">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15.4招标文件的质疑：详见招标文件第二章。</w:t>
      </w:r>
    </w:p>
    <w:p w14:paraId="14DBCB20">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16.</w:t>
      </w:r>
      <w:r>
        <w:rPr>
          <w:rFonts w:hint="eastAsia" w:ascii="宋体" w:hAnsi="宋体" w:cs="宋体"/>
          <w:highlight w:val="none"/>
        </w:rPr>
        <w:t>投诉</w:t>
      </w:r>
    </w:p>
    <w:p w14:paraId="7B9BEF29">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25C64284">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16.2投诉应有明确的请求和必要的证明材料，投诉的事项不得超出已质疑事项的范围。</w:t>
      </w:r>
    </w:p>
    <w:p w14:paraId="74D2E768">
      <w:pPr>
        <w:pStyle w:val="10"/>
        <w:spacing w:before="0" w:beforeAutospacing="0" w:after="0" w:afterAutospacing="0" w:line="420" w:lineRule="exact"/>
        <w:jc w:val="center"/>
        <w:outlineLvl w:val="1"/>
        <w:rPr>
          <w:rFonts w:hint="eastAsia" w:ascii="宋体" w:hAnsi="宋体" w:cs="宋体"/>
          <w:b/>
          <w:highlight w:val="none"/>
        </w:rPr>
      </w:pPr>
      <w:bookmarkStart w:id="35" w:name="_Toc17972"/>
      <w:bookmarkStart w:id="36" w:name="_Toc20352"/>
      <w:bookmarkStart w:id="37" w:name="_Toc38959626"/>
      <w:r>
        <w:rPr>
          <w:rFonts w:hint="eastAsia" w:ascii="宋体" w:hAnsi="宋体" w:cs="宋体"/>
          <w:b/>
          <w:highlight w:val="none"/>
        </w:rPr>
        <w:t>八、政府采购政策</w:t>
      </w:r>
      <w:bookmarkEnd w:id="35"/>
      <w:bookmarkEnd w:id="36"/>
      <w:bookmarkEnd w:id="37"/>
    </w:p>
    <w:p w14:paraId="58E07229">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17.</w:t>
      </w:r>
      <w:r>
        <w:rPr>
          <w:rFonts w:hint="eastAsia" w:ascii="宋体" w:hAnsi="宋体" w:cs="宋体"/>
          <w:highlight w:val="none"/>
        </w:rPr>
        <w:t>政府采购政策由财政部根据</w:t>
      </w:r>
      <w:r>
        <w:rPr>
          <w:rFonts w:hint="eastAsia" w:ascii="宋体" w:hAnsi="宋体" w:cs="宋体"/>
          <w:highlight w:val="none"/>
          <w:lang w:eastAsia="zh-CN"/>
        </w:rPr>
        <w:t>国民经济和社会发展</w:t>
      </w:r>
      <w:r>
        <w:rPr>
          <w:rFonts w:hint="eastAsia" w:ascii="宋体" w:hAnsi="宋体" w:cs="宋体"/>
          <w:highlight w:val="none"/>
        </w:rPr>
        <w:t>政策并会同国家有关部委制定，包括但不限于下列具体政策要求：</w:t>
      </w:r>
    </w:p>
    <w:p w14:paraId="158DD227">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17.1进口产品指通过中国海关报关验放进入中国境内且产自关境外的产品，其中：</w:t>
      </w:r>
    </w:p>
    <w:p w14:paraId="00F2A75C">
      <w:pPr>
        <w:pStyle w:val="10"/>
        <w:spacing w:before="0" w:beforeAutospacing="0" w:after="0" w:afterAutospacing="0" w:line="420" w:lineRule="exact"/>
        <w:ind w:firstLine="480" w:firstLineChars="200"/>
        <w:rPr>
          <w:rFonts w:hint="eastAsia" w:ascii="宋体" w:hAnsi="宋体" w:cs="宋体"/>
          <w:highlight w:val="none"/>
          <w:shd w:val="clear" w:color="auto" w:fill="FFFFFF"/>
        </w:rPr>
      </w:pPr>
      <w:r>
        <w:rPr>
          <w:rFonts w:hint="eastAsia" w:ascii="宋体" w:hAnsi="宋体" w:cs="宋体"/>
          <w:highlight w:val="none"/>
          <w:shd w:val="clear" w:color="auto" w:fill="FFFFFF"/>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21C82E3F">
      <w:pPr>
        <w:pStyle w:val="10"/>
        <w:spacing w:before="0" w:beforeAutospacing="0" w:after="0" w:afterAutospacing="0" w:line="420" w:lineRule="exact"/>
        <w:ind w:firstLine="480" w:firstLineChars="200"/>
        <w:rPr>
          <w:rFonts w:hint="eastAsia" w:ascii="宋体" w:hAnsi="宋体" w:cs="宋体"/>
          <w:highlight w:val="none"/>
          <w:shd w:val="clear" w:color="auto" w:fill="FFFFFF"/>
        </w:rPr>
      </w:pPr>
      <w:r>
        <w:rPr>
          <w:rFonts w:hint="eastAsia" w:ascii="宋体" w:hAnsi="宋体" w:cs="宋体"/>
          <w:highlight w:val="none"/>
          <w:shd w:val="clear" w:color="auto" w:fill="FFFFFF"/>
        </w:rPr>
        <w:t>（2）凡在海关特殊监管区域内企业生产或加工（包括从境外进口料件）销往境内其他地区的产品，不作为政府采购项下进口产品。</w:t>
      </w:r>
    </w:p>
    <w:p w14:paraId="7601483B">
      <w:pPr>
        <w:pStyle w:val="10"/>
        <w:spacing w:before="0" w:beforeAutospacing="0" w:after="0" w:afterAutospacing="0" w:line="420" w:lineRule="exact"/>
        <w:ind w:firstLine="480" w:firstLineChars="200"/>
        <w:rPr>
          <w:rFonts w:hint="eastAsia" w:ascii="宋体" w:hAnsi="宋体" w:cs="宋体"/>
          <w:highlight w:val="none"/>
          <w:shd w:val="clear" w:color="auto" w:fill="FFFFFF"/>
        </w:rPr>
      </w:pPr>
      <w:r>
        <w:rPr>
          <w:rFonts w:hint="eastAsia" w:ascii="宋体" w:hAnsi="宋体" w:cs="宋体"/>
          <w:highlight w:val="none"/>
          <w:shd w:val="clear" w:color="auto" w:fill="FFFFFF"/>
        </w:rPr>
        <w:t>（3）对从境外进入海关特殊监管区域，再经办理报关手续后从海关特殊监管区进入境内其他地区的产品，认定为进口产品。</w:t>
      </w:r>
    </w:p>
    <w:p w14:paraId="2A3D54AC">
      <w:pPr>
        <w:pStyle w:val="10"/>
        <w:spacing w:before="0" w:beforeAutospacing="0" w:after="0" w:afterAutospacing="0" w:line="420" w:lineRule="exact"/>
        <w:ind w:firstLine="480" w:firstLineChars="200"/>
        <w:rPr>
          <w:rFonts w:hint="eastAsia" w:ascii="宋体" w:hAnsi="宋体" w:cs="宋体"/>
          <w:highlight w:val="none"/>
          <w:shd w:val="clear" w:color="auto" w:fill="FFFFFF"/>
        </w:rPr>
      </w:pPr>
      <w:r>
        <w:rPr>
          <w:rFonts w:hint="eastAsia" w:ascii="宋体" w:hAnsi="宋体" w:cs="宋体"/>
          <w:highlight w:val="none"/>
          <w:shd w:val="clear" w:color="auto" w:fill="FFFFFF"/>
        </w:rPr>
        <w:t>（4）招标文件列明不允许或未列明允许进口产品参加投标的，均视为拒绝进口产品参加投标。</w:t>
      </w:r>
    </w:p>
    <w:p w14:paraId="7C9C3038">
      <w:pPr>
        <w:pStyle w:val="10"/>
        <w:spacing w:before="0" w:beforeAutospacing="0" w:after="0" w:afterAutospacing="0" w:line="420" w:lineRule="exact"/>
        <w:rPr>
          <w:rFonts w:hint="eastAsia" w:ascii="宋体" w:hAnsi="宋体" w:cs="宋体"/>
          <w:highlight w:val="none"/>
          <w:shd w:val="clear" w:color="auto" w:fill="FFFFFF"/>
        </w:rPr>
      </w:pPr>
      <w:r>
        <w:rPr>
          <w:rFonts w:hint="eastAsia" w:ascii="宋体" w:hAnsi="宋体" w:cs="宋体"/>
          <w:highlight w:val="none"/>
          <w:shd w:val="clear" w:color="auto" w:fill="FFFFFF"/>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1C7451A7">
      <w:pPr>
        <w:pStyle w:val="10"/>
        <w:spacing w:before="0" w:beforeAutospacing="0" w:after="0" w:afterAutospacing="0" w:line="420" w:lineRule="exact"/>
        <w:rPr>
          <w:rFonts w:hint="eastAsia" w:ascii="宋体" w:hAnsi="宋体" w:cs="宋体"/>
          <w:highlight w:val="none"/>
          <w:shd w:val="clear" w:color="auto" w:fill="FFFFFF"/>
        </w:rPr>
      </w:pPr>
      <w:r>
        <w:rPr>
          <w:rFonts w:hint="eastAsia" w:ascii="宋体" w:hAnsi="宋体" w:cs="宋体"/>
          <w:highlight w:val="none"/>
          <w:shd w:val="clear" w:color="auto" w:fill="FFFFFF"/>
        </w:rPr>
        <w:t>17.3列入国家质检总局、国家认监委《第一批信息安全产品强制性认证目录》（以下简称“信息安全产品目录”）内的信息安全产品，应获得强制性产品认证证书（即中国信息安全认证中心颁发的《中国国家信息安全产品认证证书》）和加施中国强制性认证标志。未列入信息安全产品目录的产品，不属于政府强制采购的信息安全产品范围。</w:t>
      </w:r>
    </w:p>
    <w:p w14:paraId="27866318">
      <w:pPr>
        <w:pStyle w:val="10"/>
        <w:spacing w:before="0" w:beforeAutospacing="0" w:after="0" w:afterAutospacing="0" w:line="420" w:lineRule="exact"/>
        <w:rPr>
          <w:rFonts w:hint="eastAsia" w:ascii="宋体" w:hAnsi="宋体" w:cs="宋体"/>
          <w:highlight w:val="none"/>
          <w:shd w:val="clear" w:color="auto" w:fill="FFFFFF"/>
        </w:rPr>
      </w:pPr>
      <w:r>
        <w:rPr>
          <w:rFonts w:hint="eastAsia" w:ascii="宋体" w:hAnsi="宋体" w:cs="宋体"/>
          <w:highlight w:val="none"/>
          <w:shd w:val="clear" w:color="auto" w:fill="FFFFFF"/>
        </w:rPr>
        <w:t>17.4符合财政部、工信部文件（财库〔2020〕46号）规定的小型、微型企业可享受扶持政策（如：预留采购份额、价格评审优惠、优先采购）。符合财政部、司法部文件（财库</w:t>
      </w:r>
      <w:r>
        <w:rPr>
          <w:rFonts w:hint="eastAsia" w:ascii="宋体" w:hAnsi="宋体" w:cs="宋体"/>
          <w:highlight w:val="none"/>
          <w:shd w:val="clear" w:color="auto" w:fill="FFFFFF"/>
          <w:lang w:eastAsia="zh-CN"/>
        </w:rPr>
        <w:t>〔2014〕68号</w:t>
      </w:r>
      <w:r>
        <w:rPr>
          <w:rFonts w:hint="eastAsia" w:ascii="宋体" w:hAnsi="宋体" w:cs="宋体"/>
          <w:highlight w:val="none"/>
          <w:shd w:val="clear" w:color="auto" w:fill="FFFFFF"/>
        </w:rPr>
        <w:t>）规定的监狱企业（以下简称：“监狱企业”）亦可享受前述扶持政策。符合财政部、民政部、中国残联文件（财库</w:t>
      </w:r>
      <w:r>
        <w:rPr>
          <w:rFonts w:hint="eastAsia" w:ascii="宋体" w:hAnsi="宋体" w:cs="宋体"/>
          <w:highlight w:val="none"/>
          <w:shd w:val="clear" w:color="auto" w:fill="FFFFFF"/>
          <w:lang w:eastAsia="zh-CN"/>
        </w:rPr>
        <w:t>〔2017〕141号</w:t>
      </w:r>
      <w:r>
        <w:rPr>
          <w:rFonts w:hint="eastAsia" w:ascii="宋体" w:hAnsi="宋体" w:cs="宋体"/>
          <w:highlight w:val="none"/>
          <w:shd w:val="clear" w:color="auto" w:fill="FFFFFF"/>
        </w:rPr>
        <w:t>）规定的残疾人福利性单位（以下简称：</w:t>
      </w:r>
      <w:r>
        <w:rPr>
          <w:rStyle w:val="34"/>
          <w:rFonts w:hint="eastAsia" w:ascii="宋体" w:hAnsi="宋体" w:cs="宋体"/>
          <w:highlight w:val="none"/>
          <w:shd w:val="clear" w:color="auto" w:fill="FFFFFF"/>
        </w:rPr>
        <w:t>“残疾人福利性单位”</w:t>
      </w:r>
      <w:r>
        <w:rPr>
          <w:rFonts w:hint="eastAsia" w:ascii="宋体" w:hAnsi="宋体" w:cs="宋体"/>
          <w:highlight w:val="none"/>
          <w:shd w:val="clear" w:color="auto" w:fill="FFFFFF"/>
        </w:rPr>
        <w:t>）亦可享受前述扶持政策。其中：</w:t>
      </w:r>
    </w:p>
    <w:p w14:paraId="510036F2">
      <w:pPr>
        <w:pStyle w:val="10"/>
        <w:spacing w:before="0" w:beforeAutospacing="0" w:after="0" w:afterAutospacing="0" w:line="420" w:lineRule="exact"/>
        <w:rPr>
          <w:rFonts w:hint="eastAsia" w:ascii="宋体" w:hAnsi="宋体" w:cs="宋体"/>
          <w:highlight w:val="none"/>
          <w:shd w:val="clear" w:color="auto" w:fill="FFFFFF"/>
        </w:rPr>
      </w:pPr>
      <w:r>
        <w:rPr>
          <w:rFonts w:hint="eastAsia" w:ascii="宋体" w:hAnsi="宋体" w:cs="宋体"/>
          <w:highlight w:val="none"/>
          <w:shd w:val="clear" w:color="auto" w:fill="FFFFFF"/>
        </w:rPr>
        <w:t>（1）中小企业指符合下列条件的中型、小型、微型企业：</w:t>
      </w:r>
    </w:p>
    <w:p w14:paraId="4FE5E1FA">
      <w:pPr>
        <w:pStyle w:val="10"/>
        <w:spacing w:before="0" w:beforeAutospacing="0" w:after="0" w:afterAutospacing="0" w:line="420" w:lineRule="exact"/>
        <w:rPr>
          <w:rFonts w:hint="eastAsia" w:ascii="宋体" w:hAnsi="宋体" w:cs="宋体"/>
          <w:highlight w:val="none"/>
          <w:shd w:val="clear" w:color="auto" w:fill="FFFFFF"/>
        </w:rPr>
      </w:pPr>
      <w:r>
        <w:rPr>
          <w:rFonts w:hint="eastAsia" w:ascii="宋体" w:hAnsi="宋体" w:cs="宋体"/>
          <w:highlight w:val="none"/>
          <w:shd w:val="clear" w:color="auto" w:fill="FFFFFF"/>
        </w:rPr>
        <w:t>①符合《工业和信息化部、国家统计局、国家发展和改革委员会、财政部关于印发中小企业划型标准规定的通知》（工信部联企业</w:t>
      </w:r>
      <w:r>
        <w:rPr>
          <w:rFonts w:hint="eastAsia" w:ascii="宋体" w:hAnsi="宋体" w:cs="宋体"/>
          <w:highlight w:val="none"/>
          <w:shd w:val="clear" w:color="auto" w:fill="FFFFFF"/>
          <w:lang w:eastAsia="zh-CN"/>
        </w:rPr>
        <w:t>〔2011〕300号</w:t>
      </w:r>
      <w:r>
        <w:rPr>
          <w:rFonts w:hint="eastAsia" w:ascii="宋体" w:hAnsi="宋体" w:cs="宋体"/>
          <w:highlight w:val="none"/>
          <w:shd w:val="clear" w:color="auto" w:fill="FFFFFF"/>
        </w:rPr>
        <w:t>）规定的划分标准，但与大企业的负责人为同一人，或者与大企业存在直接控股、管理关系的除外；</w:t>
      </w:r>
    </w:p>
    <w:p w14:paraId="5B25630E">
      <w:pPr>
        <w:pStyle w:val="10"/>
        <w:spacing w:before="0" w:beforeAutospacing="0" w:after="0" w:afterAutospacing="0" w:line="420" w:lineRule="exact"/>
        <w:rPr>
          <w:rFonts w:hint="eastAsia" w:ascii="宋体" w:hAnsi="宋体" w:cs="宋体"/>
          <w:highlight w:val="none"/>
          <w:shd w:val="clear" w:color="auto" w:fill="FFFFFF"/>
        </w:rPr>
      </w:pPr>
      <w:r>
        <w:rPr>
          <w:rFonts w:hint="eastAsia" w:ascii="宋体" w:hAnsi="宋体" w:cs="宋体"/>
          <w:highlight w:val="none"/>
          <w:shd w:val="clear" w:color="auto" w:fill="FFFFFF"/>
        </w:rPr>
        <w:t>②符合中小企业划分标准的个体工商户，在政府采购活动中视同中小企业。</w:t>
      </w:r>
    </w:p>
    <w:p w14:paraId="7A0E8A1A">
      <w:pPr>
        <w:pStyle w:val="10"/>
        <w:spacing w:before="0" w:beforeAutospacing="0" w:after="0" w:afterAutospacing="0" w:line="420" w:lineRule="exact"/>
        <w:rPr>
          <w:rFonts w:hint="eastAsia" w:ascii="宋体" w:hAnsi="宋体" w:cs="宋体"/>
          <w:highlight w:val="none"/>
          <w:shd w:val="clear" w:color="auto" w:fill="FFFFFF"/>
        </w:rPr>
      </w:pPr>
      <w:r>
        <w:rPr>
          <w:rFonts w:hint="eastAsia" w:ascii="宋体" w:hAnsi="宋体" w:cs="宋体"/>
          <w:highlight w:val="none"/>
          <w:shd w:val="clear" w:color="auto" w:fill="FFFFFF"/>
        </w:rPr>
        <w:t>（2）在政府采购活动中，供应商提供的货物、工程或者服务符合下列情形的，享受本办法规定的中小企业扶持政策：</w:t>
      </w:r>
    </w:p>
    <w:p w14:paraId="1AB59BD0">
      <w:pPr>
        <w:pStyle w:val="10"/>
        <w:spacing w:before="0" w:beforeAutospacing="0" w:after="0" w:afterAutospacing="0" w:line="420" w:lineRule="exact"/>
        <w:rPr>
          <w:rFonts w:hint="eastAsia" w:ascii="宋体" w:hAnsi="宋体" w:cs="宋体"/>
          <w:highlight w:val="none"/>
          <w:shd w:val="clear" w:color="auto" w:fill="FFFFFF"/>
        </w:rPr>
      </w:pPr>
      <w:r>
        <w:rPr>
          <w:rFonts w:hint="eastAsia" w:ascii="宋体" w:hAnsi="宋体" w:cs="宋体"/>
          <w:highlight w:val="none"/>
          <w:shd w:val="clear" w:color="auto" w:fill="FFFFFF"/>
        </w:rPr>
        <w:t>①在货物采购项目中，货物由中小企业制造，即货物由中小企业生产且使用该中小企业商号或者注册商标；</w:t>
      </w:r>
    </w:p>
    <w:p w14:paraId="0AF62858">
      <w:pPr>
        <w:pStyle w:val="10"/>
        <w:spacing w:before="0" w:beforeAutospacing="0" w:after="0" w:afterAutospacing="0" w:line="420" w:lineRule="exact"/>
        <w:rPr>
          <w:rFonts w:hint="eastAsia" w:ascii="宋体" w:hAnsi="宋体" w:cs="宋体"/>
          <w:highlight w:val="none"/>
          <w:shd w:val="clear" w:color="auto" w:fill="FFFFFF"/>
        </w:rPr>
      </w:pPr>
      <w:r>
        <w:rPr>
          <w:rFonts w:hint="eastAsia" w:ascii="宋体" w:hAnsi="宋体" w:cs="宋体"/>
          <w:highlight w:val="none"/>
          <w:shd w:val="clear" w:color="auto" w:fill="FFFFFF"/>
        </w:rPr>
        <w:t>②在工程采购项目中，工程由中小企业承建，即工程施工单位为中小企业；</w:t>
      </w:r>
    </w:p>
    <w:p w14:paraId="468E28AD">
      <w:pPr>
        <w:pStyle w:val="10"/>
        <w:spacing w:before="0" w:beforeAutospacing="0" w:after="0" w:afterAutospacing="0" w:line="420" w:lineRule="exact"/>
        <w:rPr>
          <w:rFonts w:hint="eastAsia" w:ascii="宋体" w:hAnsi="宋体" w:cs="宋体"/>
          <w:highlight w:val="none"/>
          <w:shd w:val="clear" w:color="auto" w:fill="FFFFFF"/>
        </w:rPr>
      </w:pPr>
      <w:r>
        <w:rPr>
          <w:rFonts w:hint="eastAsia" w:ascii="宋体" w:hAnsi="宋体" w:cs="宋体"/>
          <w:highlight w:val="none"/>
          <w:shd w:val="clear" w:color="auto" w:fill="FFFFFF"/>
        </w:rPr>
        <w:t>③在服务采购项目中，服务由中小企业承接，即提供服务的人员为中小企业依照《中华人民共和国劳动合同法》订立劳动合同的从业人员。</w:t>
      </w:r>
    </w:p>
    <w:p w14:paraId="420CF68D">
      <w:pPr>
        <w:pStyle w:val="10"/>
        <w:spacing w:before="0" w:beforeAutospacing="0" w:after="0" w:afterAutospacing="0" w:line="420" w:lineRule="exact"/>
        <w:ind w:firstLine="480" w:firstLineChars="200"/>
        <w:rPr>
          <w:rFonts w:hint="eastAsia" w:ascii="宋体" w:hAnsi="宋体" w:cs="宋体"/>
          <w:highlight w:val="none"/>
          <w:shd w:val="clear" w:color="auto" w:fill="FFFFFF"/>
        </w:rPr>
      </w:pPr>
      <w:r>
        <w:rPr>
          <w:rFonts w:hint="eastAsia" w:ascii="宋体" w:hAnsi="宋体" w:cs="宋体"/>
          <w:highlight w:val="none"/>
          <w:shd w:val="clear" w:color="auto" w:fill="FFFFFF"/>
        </w:rPr>
        <w:t>在货物采购项目中，供应商提供的货物既有中小企业制造货物，也有大型企业制造货物的，不享受本办法规定的中小企业扶持政策。</w:t>
      </w:r>
    </w:p>
    <w:p w14:paraId="3AA0B0BF">
      <w:pPr>
        <w:pStyle w:val="10"/>
        <w:spacing w:before="0" w:beforeAutospacing="0" w:after="0" w:afterAutospacing="0" w:line="420" w:lineRule="exact"/>
        <w:ind w:firstLine="480" w:firstLineChars="200"/>
        <w:rPr>
          <w:rFonts w:hint="eastAsia" w:ascii="宋体" w:hAnsi="宋体" w:cs="宋体"/>
          <w:highlight w:val="none"/>
          <w:shd w:val="clear" w:color="auto" w:fill="FFFFFF"/>
        </w:rPr>
      </w:pPr>
      <w:r>
        <w:rPr>
          <w:rFonts w:hint="eastAsia" w:ascii="宋体" w:hAnsi="宋体" w:cs="宋体"/>
          <w:highlight w:val="none"/>
          <w:shd w:val="clear" w:color="auto" w:fill="FFFFFF"/>
        </w:rPr>
        <w:t>以联合体形式参加政府采购活动，联合体各方均为中小企业的，联合体视同中小企业。其中，联合体各方均为小微企业的，联合体视同小微企业。</w:t>
      </w:r>
    </w:p>
    <w:p w14:paraId="1FC5E46F">
      <w:pPr>
        <w:pStyle w:val="10"/>
        <w:spacing w:before="0" w:beforeAutospacing="0" w:after="0" w:afterAutospacing="0" w:line="420" w:lineRule="exact"/>
        <w:rPr>
          <w:rFonts w:hint="eastAsia" w:ascii="宋体" w:hAnsi="宋体" w:cs="宋体"/>
          <w:highlight w:val="none"/>
          <w:shd w:val="clear" w:color="auto" w:fill="FFFFFF"/>
        </w:rPr>
      </w:pPr>
      <w:r>
        <w:rPr>
          <w:rFonts w:hint="eastAsia" w:ascii="宋体" w:hAnsi="宋体" w:cs="宋体"/>
          <w:highlight w:val="none"/>
          <w:shd w:val="clear" w:color="auto" w:fill="FFFFFF"/>
        </w:rPr>
        <w:t>（3）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607DF4D4">
      <w:pPr>
        <w:pStyle w:val="10"/>
        <w:spacing w:before="0" w:beforeAutospacing="0" w:after="0" w:afterAutospacing="0" w:line="420" w:lineRule="exact"/>
        <w:ind w:firstLine="480" w:firstLineChars="200"/>
        <w:rPr>
          <w:rFonts w:hint="eastAsia" w:ascii="宋体" w:hAnsi="宋体" w:cs="宋体"/>
          <w:highlight w:val="none"/>
          <w:shd w:val="clear" w:color="auto" w:fill="FFFFFF"/>
        </w:rPr>
      </w:pPr>
      <w:r>
        <w:rPr>
          <w:rFonts w:hint="eastAsia" w:ascii="宋体" w:hAnsi="宋体" w:cs="宋体"/>
          <w:highlight w:val="none"/>
          <w:shd w:val="clear" w:color="auto" w:fill="FFFFFF"/>
        </w:rPr>
        <w:t>①监狱企业参加采购活动时，应提供由省级以上监狱管理局、戒毒管理局（含新疆生产建设兵团）出具的属于监狱企业的证明文件。</w:t>
      </w:r>
    </w:p>
    <w:p w14:paraId="385550A5">
      <w:pPr>
        <w:pStyle w:val="10"/>
        <w:spacing w:before="0" w:beforeAutospacing="0" w:after="0" w:afterAutospacing="0" w:line="420" w:lineRule="exact"/>
        <w:ind w:firstLine="480" w:firstLineChars="200"/>
        <w:rPr>
          <w:rFonts w:hint="eastAsia" w:ascii="宋体" w:hAnsi="宋体" w:cs="宋体"/>
          <w:highlight w:val="none"/>
          <w:shd w:val="clear" w:color="auto" w:fill="FFFFFF"/>
        </w:rPr>
      </w:pPr>
      <w:r>
        <w:rPr>
          <w:rFonts w:hint="eastAsia" w:ascii="宋体" w:hAnsi="宋体" w:cs="宋体"/>
          <w:highlight w:val="none"/>
          <w:shd w:val="clear" w:color="auto" w:fill="FFFFFF"/>
        </w:rPr>
        <w:t>②监狱企业视同小型、微型企业。</w:t>
      </w:r>
    </w:p>
    <w:p w14:paraId="25050D16">
      <w:pPr>
        <w:pStyle w:val="10"/>
        <w:spacing w:before="0" w:beforeAutospacing="0" w:after="0" w:afterAutospacing="0" w:line="420" w:lineRule="exact"/>
        <w:rPr>
          <w:rFonts w:hint="eastAsia" w:ascii="宋体" w:hAnsi="宋体" w:cs="宋体"/>
          <w:highlight w:val="none"/>
          <w:shd w:val="clear" w:color="auto" w:fill="FFFFFF"/>
        </w:rPr>
      </w:pPr>
      <w:r>
        <w:rPr>
          <w:rFonts w:hint="eastAsia" w:ascii="宋体" w:hAnsi="宋体" w:cs="宋体"/>
          <w:highlight w:val="none"/>
          <w:shd w:val="clear" w:color="auto" w:fill="FFFFFF"/>
        </w:rPr>
        <w:t>（4）残疾人福利性单位指同时符合下列条件的单位：</w:t>
      </w:r>
    </w:p>
    <w:p w14:paraId="56AE131F">
      <w:pPr>
        <w:pStyle w:val="10"/>
        <w:spacing w:before="0" w:beforeAutospacing="0" w:after="0" w:afterAutospacing="0" w:line="420" w:lineRule="exact"/>
        <w:ind w:firstLine="480" w:firstLineChars="200"/>
        <w:rPr>
          <w:rFonts w:hint="eastAsia" w:ascii="宋体" w:hAnsi="宋体" w:cs="宋体"/>
          <w:highlight w:val="none"/>
          <w:shd w:val="clear" w:color="auto" w:fill="FFFFFF"/>
        </w:rPr>
      </w:pPr>
      <w:r>
        <w:rPr>
          <w:rFonts w:hint="eastAsia" w:ascii="宋体" w:hAnsi="宋体" w:cs="宋体"/>
          <w:highlight w:val="none"/>
          <w:shd w:val="clear" w:color="auto" w:fill="FFFFFF"/>
        </w:rPr>
        <w:t>①安置的残疾人占本单位在职职工人数的比例不低于25%（含25%），并且安置的残疾人人数不少于10人（含10人）；</w:t>
      </w:r>
    </w:p>
    <w:p w14:paraId="101D569A">
      <w:pPr>
        <w:pStyle w:val="10"/>
        <w:spacing w:before="0" w:beforeAutospacing="0" w:after="0" w:afterAutospacing="0" w:line="420" w:lineRule="exact"/>
        <w:ind w:firstLine="480" w:firstLineChars="200"/>
        <w:rPr>
          <w:rFonts w:hint="eastAsia" w:ascii="宋体" w:hAnsi="宋体" w:cs="宋体"/>
          <w:highlight w:val="none"/>
          <w:shd w:val="clear" w:color="auto" w:fill="FFFFFF"/>
        </w:rPr>
      </w:pPr>
      <w:r>
        <w:rPr>
          <w:rFonts w:hint="eastAsia" w:ascii="宋体" w:hAnsi="宋体" w:cs="宋体"/>
          <w:highlight w:val="none"/>
          <w:shd w:val="clear" w:color="auto" w:fill="FFFFFF"/>
        </w:rPr>
        <w:t>②依法与安置的每位残疾人签订了一年以上（含一年）的劳动合同或服务协议；</w:t>
      </w:r>
    </w:p>
    <w:p w14:paraId="1CDEDC07">
      <w:pPr>
        <w:pStyle w:val="10"/>
        <w:spacing w:before="0" w:beforeAutospacing="0" w:after="0" w:afterAutospacing="0" w:line="420" w:lineRule="exact"/>
        <w:ind w:firstLine="480" w:firstLineChars="200"/>
        <w:rPr>
          <w:rFonts w:hint="eastAsia" w:ascii="宋体" w:hAnsi="宋体" w:cs="宋体"/>
          <w:highlight w:val="none"/>
          <w:shd w:val="clear" w:color="auto" w:fill="FFFFFF"/>
        </w:rPr>
      </w:pPr>
      <w:r>
        <w:rPr>
          <w:rFonts w:hint="eastAsia" w:ascii="宋体" w:hAnsi="宋体" w:cs="宋体"/>
          <w:highlight w:val="none"/>
          <w:shd w:val="clear" w:color="auto" w:fill="FFFFFF"/>
        </w:rPr>
        <w:t>③为安置的每位残疾人按月足额缴纳了基本养老保险、基本医疗保险、失业保险、工伤保险和生育保险等社会保险费；</w:t>
      </w:r>
    </w:p>
    <w:p w14:paraId="29FFB893">
      <w:pPr>
        <w:pStyle w:val="10"/>
        <w:spacing w:before="0" w:beforeAutospacing="0" w:after="0" w:afterAutospacing="0" w:line="420" w:lineRule="exact"/>
        <w:ind w:firstLine="480" w:firstLineChars="200"/>
        <w:rPr>
          <w:rFonts w:hint="eastAsia" w:ascii="宋体" w:hAnsi="宋体" w:cs="宋体"/>
          <w:highlight w:val="none"/>
          <w:shd w:val="clear" w:color="auto" w:fill="FFFFFF"/>
        </w:rPr>
      </w:pPr>
      <w:r>
        <w:rPr>
          <w:rFonts w:hint="eastAsia" w:ascii="宋体" w:hAnsi="宋体" w:cs="宋体"/>
          <w:highlight w:val="none"/>
          <w:shd w:val="clear" w:color="auto" w:fill="FFFFFF"/>
        </w:rPr>
        <w:t>④通过银行等金融机构向安置的每位残疾人，按月支付了不低于单位所在区县适用的经省级人民政府批准的月最低工资标准的工资；</w:t>
      </w:r>
    </w:p>
    <w:p w14:paraId="29B15AEF">
      <w:pPr>
        <w:pStyle w:val="10"/>
        <w:spacing w:before="0" w:beforeAutospacing="0" w:after="0" w:afterAutospacing="0" w:line="420" w:lineRule="exact"/>
        <w:ind w:firstLine="480" w:firstLineChars="200"/>
        <w:rPr>
          <w:rFonts w:hint="eastAsia" w:ascii="宋体" w:hAnsi="宋体" w:cs="宋体"/>
          <w:highlight w:val="none"/>
          <w:shd w:val="clear" w:color="auto" w:fill="FFFFFF"/>
        </w:rPr>
      </w:pPr>
      <w:r>
        <w:rPr>
          <w:rFonts w:hint="eastAsia" w:ascii="宋体" w:hAnsi="宋体" w:cs="宋体"/>
          <w:highlight w:val="none"/>
          <w:shd w:val="clear" w:color="auto" w:fill="FFFFFF"/>
        </w:rPr>
        <w:t>⑤提供本单位制造的货物、承担的工程或服务，或提供其他残疾人福利性单位制造的货物（不包括使用非残疾人福利性单位注册商标的货物）。</w:t>
      </w:r>
    </w:p>
    <w:p w14:paraId="1D7FC2D4">
      <w:pPr>
        <w:pStyle w:val="10"/>
        <w:spacing w:before="0" w:beforeAutospacing="0" w:after="0" w:afterAutospacing="0" w:line="420" w:lineRule="exact"/>
        <w:ind w:firstLine="480" w:firstLineChars="200"/>
        <w:rPr>
          <w:rFonts w:hint="eastAsia" w:ascii="宋体" w:hAnsi="宋体" w:cs="宋体"/>
          <w:highlight w:val="none"/>
          <w:shd w:val="clear" w:color="auto" w:fill="FFFFFF"/>
        </w:rPr>
      </w:pPr>
      <w:r>
        <w:rPr>
          <w:rFonts w:hint="eastAsia" w:ascii="宋体" w:hAnsi="宋体" w:cs="宋体"/>
          <w:highlight w:val="none"/>
          <w:shd w:val="clear" w:color="auto" w:fill="FFFFFF"/>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307633C2">
      <w:pPr>
        <w:pStyle w:val="10"/>
        <w:spacing w:before="0" w:beforeAutospacing="0" w:after="0" w:afterAutospacing="0" w:line="420" w:lineRule="exact"/>
        <w:ind w:firstLine="482" w:firstLineChars="200"/>
        <w:rPr>
          <w:rStyle w:val="34"/>
          <w:rFonts w:hint="eastAsia" w:ascii="宋体" w:hAnsi="宋体" w:cs="宋体"/>
          <w:highlight w:val="none"/>
          <w:shd w:val="clear" w:color="auto" w:fill="FFFFFF"/>
        </w:rPr>
      </w:pPr>
      <w:r>
        <w:rPr>
          <w:rStyle w:val="34"/>
          <w:rFonts w:hint="eastAsia" w:ascii="宋体" w:hAnsi="宋体" w:cs="宋体"/>
          <w:highlight w:val="none"/>
          <w:shd w:val="clear" w:color="auto" w:fill="FFFFFF"/>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1F5F7EFB">
      <w:pPr>
        <w:pStyle w:val="10"/>
        <w:spacing w:before="0" w:beforeAutospacing="0" w:after="0" w:afterAutospacing="0" w:line="420" w:lineRule="exact"/>
        <w:rPr>
          <w:rFonts w:hint="eastAsia" w:ascii="宋体" w:hAnsi="宋体" w:cs="宋体"/>
          <w:highlight w:val="none"/>
          <w:shd w:val="clear" w:color="auto" w:fill="FFFFFF"/>
        </w:rPr>
      </w:pPr>
      <w:r>
        <w:rPr>
          <w:rFonts w:hint="eastAsia" w:ascii="宋体" w:hAnsi="宋体" w:cs="宋体"/>
          <w:highlight w:val="none"/>
          <w:shd w:val="clear" w:color="auto" w:fill="FFFFFF"/>
        </w:rPr>
        <w:t>17.5信用记录指由财政部确定的有关网站提供的相关主体信用信息。信用记录的查询及使用应符合财政部文件（财库</w:t>
      </w:r>
      <w:r>
        <w:rPr>
          <w:rFonts w:hint="eastAsia" w:ascii="宋体" w:hAnsi="宋体" w:cs="宋体"/>
          <w:highlight w:val="none"/>
          <w:shd w:val="clear" w:color="auto" w:fill="FFFFFF"/>
          <w:lang w:eastAsia="zh-CN"/>
        </w:rPr>
        <w:t>〔2016〕125号</w:t>
      </w:r>
      <w:r>
        <w:rPr>
          <w:rFonts w:hint="eastAsia" w:ascii="宋体" w:hAnsi="宋体" w:cs="宋体"/>
          <w:highlight w:val="none"/>
          <w:shd w:val="clear" w:color="auto" w:fill="FFFFFF"/>
        </w:rPr>
        <w:t>）规定。</w:t>
      </w:r>
    </w:p>
    <w:p w14:paraId="4166FDEA">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shd w:val="clear" w:color="auto" w:fill="FFFFFF"/>
        </w:rPr>
        <w:t>17.6为落实政府采购政策需满足的要求：详见招标文件第一章。</w:t>
      </w:r>
    </w:p>
    <w:p w14:paraId="55C097BD">
      <w:pPr>
        <w:spacing w:line="420" w:lineRule="exact"/>
        <w:jc w:val="center"/>
        <w:outlineLvl w:val="1"/>
        <w:rPr>
          <w:rFonts w:hint="eastAsia" w:ascii="宋体" w:hAnsi="宋体" w:cs="宋体"/>
          <w:b/>
          <w:sz w:val="24"/>
          <w:highlight w:val="none"/>
        </w:rPr>
      </w:pPr>
      <w:bookmarkStart w:id="38" w:name="_Toc15870"/>
      <w:bookmarkStart w:id="39" w:name="_Toc11134"/>
      <w:bookmarkStart w:id="40" w:name="_Toc38959627"/>
      <w:r>
        <w:rPr>
          <w:rFonts w:hint="eastAsia" w:ascii="宋体" w:hAnsi="宋体" w:cs="宋体"/>
          <w:b/>
          <w:sz w:val="24"/>
          <w:highlight w:val="none"/>
        </w:rPr>
        <w:t>九、本项目的有关信息</w:t>
      </w:r>
      <w:bookmarkEnd w:id="38"/>
      <w:bookmarkEnd w:id="39"/>
      <w:bookmarkEnd w:id="40"/>
    </w:p>
    <w:p w14:paraId="76D95918">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18.</w:t>
      </w:r>
      <w:r>
        <w:rPr>
          <w:rFonts w:hint="eastAsia" w:ascii="宋体" w:hAnsi="宋体" w:cs="宋体"/>
          <w:highlight w:val="none"/>
        </w:rPr>
        <w:t>本项目的有关信息，包括但不限于：招标公告、更正公告（若有）、招标文件、招标文件的澄清或修改（若有）、中标公告、终止公告（若有）、废标公告（若有）等都将在招标文件载明的指定媒体发布。</w:t>
      </w:r>
    </w:p>
    <w:p w14:paraId="4AA1431A">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18.1指定媒体：详见招标文件第二章。</w:t>
      </w:r>
    </w:p>
    <w:p w14:paraId="5D4D1C92">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18.2本项目的潜在投标人或投标人应随时关注指定媒体，否则产生不利后果由其自行承担。</w:t>
      </w:r>
    </w:p>
    <w:p w14:paraId="4AB30254">
      <w:pPr>
        <w:pStyle w:val="10"/>
        <w:spacing w:before="0" w:beforeAutospacing="0" w:after="0" w:afterAutospacing="0" w:line="420" w:lineRule="exact"/>
        <w:jc w:val="center"/>
        <w:outlineLvl w:val="1"/>
        <w:rPr>
          <w:rFonts w:hint="eastAsia" w:ascii="宋体" w:hAnsi="宋体" w:cs="宋体"/>
          <w:b/>
          <w:highlight w:val="none"/>
        </w:rPr>
      </w:pPr>
      <w:bookmarkStart w:id="41" w:name="_Toc38959628"/>
      <w:bookmarkStart w:id="42" w:name="_Toc6194"/>
      <w:r>
        <w:rPr>
          <w:rFonts w:hint="eastAsia" w:ascii="宋体" w:hAnsi="宋体" w:cs="宋体"/>
          <w:b/>
          <w:highlight w:val="none"/>
        </w:rPr>
        <w:t>十、其他事项</w:t>
      </w:r>
      <w:bookmarkEnd w:id="41"/>
      <w:bookmarkEnd w:id="42"/>
    </w:p>
    <w:p w14:paraId="2AB49044">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19.</w:t>
      </w:r>
      <w:r>
        <w:rPr>
          <w:rFonts w:hint="eastAsia" w:ascii="宋体" w:hAnsi="宋体" w:cs="宋体"/>
          <w:highlight w:val="none"/>
        </w:rPr>
        <w:t>其他事项：详见招标文件第二章。</w:t>
      </w:r>
    </w:p>
    <w:p w14:paraId="4599C0D1">
      <w:pPr>
        <w:pStyle w:val="69"/>
        <w:spacing w:line="420" w:lineRule="exact"/>
        <w:ind w:left="181"/>
        <w:jc w:val="center"/>
        <w:outlineLvl w:val="0"/>
        <w:rPr>
          <w:rFonts w:hint="eastAsia" w:hAnsi="宋体" w:cs="宋体"/>
          <w:b/>
          <w:color w:val="auto"/>
          <w:sz w:val="32"/>
          <w:szCs w:val="32"/>
          <w:highlight w:val="none"/>
        </w:rPr>
      </w:pPr>
      <w:bookmarkStart w:id="43" w:name="_Toc38959629"/>
      <w:bookmarkStart w:id="44" w:name="_Toc12598"/>
      <w:r>
        <w:rPr>
          <w:rFonts w:hint="eastAsia" w:hAnsi="宋体" w:cs="宋体"/>
          <w:b/>
          <w:color w:val="auto"/>
          <w:sz w:val="36"/>
          <w:highlight w:val="none"/>
        </w:rPr>
        <w:br w:type="page"/>
      </w:r>
      <w:bookmarkStart w:id="45" w:name="_Toc23373"/>
      <w:r>
        <w:rPr>
          <w:rFonts w:hint="eastAsia" w:hAnsi="宋体" w:cs="宋体"/>
          <w:b/>
          <w:color w:val="auto"/>
          <w:sz w:val="36"/>
          <w:highlight w:val="none"/>
        </w:rPr>
        <w:t>第四章 资格审查与评标</w:t>
      </w:r>
      <w:bookmarkEnd w:id="43"/>
      <w:bookmarkEnd w:id="44"/>
      <w:bookmarkEnd w:id="45"/>
    </w:p>
    <w:p w14:paraId="63E9CC02">
      <w:pPr>
        <w:spacing w:line="420" w:lineRule="exact"/>
        <w:jc w:val="center"/>
        <w:outlineLvl w:val="1"/>
        <w:rPr>
          <w:rFonts w:hint="eastAsia" w:ascii="宋体" w:hAnsi="宋体" w:cs="宋体"/>
          <w:b/>
          <w:sz w:val="24"/>
          <w:highlight w:val="none"/>
        </w:rPr>
      </w:pPr>
      <w:bookmarkStart w:id="46" w:name="_Toc38959630"/>
      <w:bookmarkStart w:id="47" w:name="_Toc12961"/>
      <w:bookmarkStart w:id="48" w:name="_Toc6535"/>
      <w:r>
        <w:rPr>
          <w:rFonts w:hint="eastAsia" w:ascii="宋体" w:hAnsi="宋体" w:cs="宋体"/>
          <w:b/>
          <w:sz w:val="24"/>
          <w:highlight w:val="none"/>
        </w:rPr>
        <w:t>一、资格审查</w:t>
      </w:r>
      <w:bookmarkEnd w:id="46"/>
      <w:bookmarkEnd w:id="47"/>
      <w:bookmarkEnd w:id="48"/>
    </w:p>
    <w:p w14:paraId="67BE6BE5">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开标结束后，由</w:t>
      </w:r>
      <w:r>
        <w:rPr>
          <w:rFonts w:hint="eastAsia" w:ascii="宋体" w:hAnsi="宋体" w:cs="宋体"/>
          <w:highlight w:val="none"/>
          <w:u w:val="single"/>
        </w:rPr>
        <w:t>福建省智信招标有限公司</w:t>
      </w:r>
      <w:r>
        <w:rPr>
          <w:rFonts w:hint="eastAsia" w:ascii="宋体" w:hAnsi="宋体" w:cs="宋体"/>
          <w:highlight w:val="none"/>
        </w:rPr>
        <w:t>负责资格审查小组的组建及资格审查工作的组织。</w:t>
      </w:r>
    </w:p>
    <w:p w14:paraId="72C0B3EB">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1.1资格审查小组由3人组成。</w:t>
      </w:r>
    </w:p>
    <w:p w14:paraId="49B7DE90">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1.2资格审查的依据是招标文件和投标文件。</w:t>
      </w:r>
    </w:p>
    <w:p w14:paraId="2EB5EA12">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1.3资格审查的范围及内容：投标文件（资格及资信证明部分），具体如下：</w:t>
      </w:r>
    </w:p>
    <w:p w14:paraId="3A3899E9">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（1）“投标函”；</w:t>
      </w:r>
    </w:p>
    <w:p w14:paraId="746FF3F6">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（2）“投标人的资格及资信证明文件”</w:t>
      </w:r>
    </w:p>
    <w:p w14:paraId="3C9F3565">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①一般资格证明文件：</w:t>
      </w:r>
    </w:p>
    <w:tbl>
      <w:tblPr>
        <w:tblStyle w:val="31"/>
        <w:tblW w:w="4998" w:type="pct"/>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10"/>
        <w:gridCol w:w="7644"/>
      </w:tblGrid>
      <w:tr w14:paraId="7F8BB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1F2108A8">
            <w:pPr>
              <w:spacing w:line="360" w:lineRule="exact"/>
              <w:jc w:val="center"/>
              <w:rPr>
                <w:rFonts w:hint="eastAsia" w:ascii="宋体" w:hAnsi="宋体" w:cs="宋体"/>
                <w:b/>
                <w:bCs/>
                <w:sz w:val="24"/>
                <w:highlight w:val="none"/>
              </w:rPr>
            </w:pPr>
            <w:r>
              <w:rPr>
                <w:rFonts w:hint="eastAsia" w:ascii="宋体" w:hAnsi="宋体" w:cs="宋体"/>
                <w:b/>
                <w:bCs/>
                <w:sz w:val="24"/>
                <w:highlight w:val="none"/>
              </w:rPr>
              <w:t>明细</w:t>
            </w:r>
          </w:p>
        </w:tc>
        <w:tc>
          <w:tcPr>
            <w:tcW w:w="3958" w:type="pct"/>
            <w:vAlign w:val="center"/>
          </w:tcPr>
          <w:p w14:paraId="753C3D04">
            <w:pPr>
              <w:spacing w:line="360" w:lineRule="exact"/>
              <w:jc w:val="center"/>
              <w:rPr>
                <w:rFonts w:hint="eastAsia" w:ascii="宋体" w:hAnsi="宋体" w:cs="宋体"/>
                <w:b/>
                <w:bCs/>
                <w:sz w:val="24"/>
                <w:highlight w:val="none"/>
              </w:rPr>
            </w:pPr>
            <w:r>
              <w:rPr>
                <w:rFonts w:hint="eastAsia" w:ascii="宋体" w:hAnsi="宋体" w:cs="宋体"/>
                <w:b/>
                <w:bCs/>
                <w:sz w:val="24"/>
                <w:highlight w:val="none"/>
              </w:rPr>
              <w:t>描述</w:t>
            </w:r>
          </w:p>
        </w:tc>
      </w:tr>
      <w:tr w14:paraId="1E01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5A4F04DB">
            <w:pPr>
              <w:spacing w:line="360" w:lineRule="exact"/>
              <w:rPr>
                <w:rFonts w:hint="eastAsia" w:ascii="宋体" w:hAnsi="宋体" w:cs="宋体"/>
                <w:sz w:val="24"/>
                <w:highlight w:val="none"/>
              </w:rPr>
            </w:pPr>
            <w:r>
              <w:rPr>
                <w:rFonts w:hint="eastAsia" w:ascii="宋体" w:hAnsi="宋体" w:cs="宋体"/>
                <w:sz w:val="24"/>
                <w:highlight w:val="none"/>
              </w:rPr>
              <w:t>单位负责人授权书（若有）</w:t>
            </w:r>
          </w:p>
        </w:tc>
        <w:tc>
          <w:tcPr>
            <w:tcW w:w="3958" w:type="pct"/>
            <w:vAlign w:val="center"/>
          </w:tcPr>
          <w:p w14:paraId="0F633E2F">
            <w:pPr>
              <w:spacing w:line="360" w:lineRule="exact"/>
              <w:rPr>
                <w:rFonts w:hint="eastAsia"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rPr>
              <w:t>企业（银行、保险、石油石化、电力、电信等行业除外）、事业单位和社会团体法人的“单位负责人”指法定代表人，即与实际提交的“营业执照等证明文件”载明的一致。</w:t>
            </w:r>
          </w:p>
          <w:p w14:paraId="56672B5B">
            <w:pPr>
              <w:spacing w:line="360" w:lineRule="exact"/>
              <w:rPr>
                <w:rFonts w:hint="eastAsia" w:ascii="宋体" w:hAnsi="宋体" w:cs="宋体"/>
                <w:sz w:val="24"/>
                <w:highlight w:val="none"/>
              </w:rPr>
            </w:pPr>
            <w:r>
              <w:rPr>
                <w:rFonts w:hint="eastAsia" w:ascii="宋体" w:hAnsi="宋体" w:cs="宋体"/>
                <w:sz w:val="24"/>
                <w:highlight w:val="none"/>
                <w:lang w:eastAsia="zh-CN"/>
              </w:rPr>
              <w:t>2.</w:t>
            </w:r>
            <w:r>
              <w:rPr>
                <w:rFonts w:hint="eastAsia" w:ascii="宋体" w:hAnsi="宋体" w:cs="宋体"/>
                <w:sz w:val="24"/>
                <w:highlight w:val="none"/>
              </w:rPr>
              <w:t>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64506389">
            <w:pPr>
              <w:spacing w:line="360" w:lineRule="exact"/>
              <w:rPr>
                <w:rFonts w:hint="eastAsia" w:ascii="宋体" w:hAnsi="宋体" w:cs="宋体"/>
                <w:sz w:val="24"/>
                <w:highlight w:val="none"/>
              </w:rPr>
            </w:pPr>
            <w:r>
              <w:rPr>
                <w:rFonts w:hint="eastAsia" w:ascii="宋体" w:hAnsi="宋体" w:cs="宋体"/>
                <w:sz w:val="24"/>
                <w:highlight w:val="none"/>
                <w:lang w:eastAsia="zh-CN"/>
              </w:rPr>
              <w:t>3.</w:t>
            </w:r>
            <w:r>
              <w:rPr>
                <w:rFonts w:hint="eastAsia" w:ascii="宋体" w:hAnsi="宋体" w:cs="宋体"/>
                <w:sz w:val="24"/>
                <w:highlight w:val="none"/>
              </w:rPr>
              <w:t>投标人（自然人除外）：若投标人代表为单位负责人授权的委托代理人，应提供本授权书；若投标人代表为单位负责人，应在此项下提交其身份证正反面复印件，可不提供本授权书。</w:t>
            </w:r>
          </w:p>
          <w:p w14:paraId="17EFAB90">
            <w:pPr>
              <w:spacing w:line="360" w:lineRule="exact"/>
              <w:rPr>
                <w:rFonts w:hint="eastAsia" w:ascii="宋体" w:hAnsi="宋体" w:cs="宋体"/>
                <w:sz w:val="24"/>
                <w:highlight w:val="none"/>
              </w:rPr>
            </w:pPr>
            <w:r>
              <w:rPr>
                <w:rFonts w:hint="eastAsia" w:ascii="宋体" w:hAnsi="宋体" w:cs="宋体"/>
                <w:sz w:val="24"/>
                <w:highlight w:val="none"/>
                <w:lang w:eastAsia="zh-CN"/>
              </w:rPr>
              <w:t>4.</w:t>
            </w:r>
            <w:r>
              <w:rPr>
                <w:rFonts w:hint="eastAsia" w:ascii="宋体" w:hAnsi="宋体" w:cs="宋体"/>
                <w:sz w:val="24"/>
                <w:highlight w:val="none"/>
              </w:rPr>
              <w:t>投标人为自然人的，可不填写本授权书。</w:t>
            </w:r>
          </w:p>
          <w:p w14:paraId="10C051B3">
            <w:pPr>
              <w:spacing w:line="360" w:lineRule="exact"/>
              <w:rPr>
                <w:rFonts w:hint="eastAsia" w:ascii="宋体" w:hAnsi="宋体" w:cs="宋体"/>
                <w:sz w:val="24"/>
                <w:highlight w:val="none"/>
              </w:rPr>
            </w:pPr>
            <w:r>
              <w:rPr>
                <w:rFonts w:hint="eastAsia" w:ascii="宋体" w:hAnsi="宋体" w:cs="宋体"/>
                <w:sz w:val="24"/>
                <w:highlight w:val="none"/>
                <w:lang w:eastAsia="zh-CN"/>
              </w:rPr>
              <w:t>5.</w:t>
            </w:r>
            <w:r>
              <w:rPr>
                <w:rFonts w:hint="eastAsia" w:ascii="宋体" w:hAnsi="宋体" w:cs="宋体"/>
                <w:sz w:val="24"/>
                <w:highlight w:val="none"/>
              </w:rPr>
              <w:t>纸质投标文件正本中的本授权书（若有）应为原件。</w:t>
            </w:r>
          </w:p>
          <w:p w14:paraId="3A8838AB">
            <w:pPr>
              <w:spacing w:line="360" w:lineRule="exact"/>
              <w:rPr>
                <w:rFonts w:hint="eastAsia" w:ascii="宋体" w:hAnsi="宋体" w:cs="宋体"/>
                <w:sz w:val="24"/>
                <w:highlight w:val="none"/>
              </w:rPr>
            </w:pPr>
            <w:r>
              <w:rPr>
                <w:rFonts w:hint="eastAsia" w:ascii="宋体" w:hAnsi="宋体" w:cs="宋体"/>
                <w:sz w:val="24"/>
                <w:highlight w:val="none"/>
              </w:rPr>
              <w:t>※投标人应按照招标文件第七章规定提供。</w:t>
            </w:r>
          </w:p>
        </w:tc>
      </w:tr>
      <w:tr w14:paraId="532C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435F1046">
            <w:pPr>
              <w:spacing w:line="360" w:lineRule="exact"/>
              <w:rPr>
                <w:rFonts w:hint="eastAsia" w:ascii="宋体" w:hAnsi="宋体" w:cs="宋体"/>
                <w:sz w:val="24"/>
                <w:highlight w:val="none"/>
              </w:rPr>
            </w:pPr>
            <w:r>
              <w:rPr>
                <w:rFonts w:hint="eastAsia" w:ascii="宋体" w:hAnsi="宋体" w:cs="宋体"/>
                <w:sz w:val="24"/>
                <w:highlight w:val="none"/>
              </w:rPr>
              <w:t>营业执照等证明文件</w:t>
            </w:r>
          </w:p>
        </w:tc>
        <w:tc>
          <w:tcPr>
            <w:tcW w:w="3958" w:type="pct"/>
            <w:vAlign w:val="center"/>
          </w:tcPr>
          <w:p w14:paraId="507590A4">
            <w:pPr>
              <w:spacing w:line="360" w:lineRule="exact"/>
              <w:rPr>
                <w:rFonts w:hint="eastAsia"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rPr>
              <w:t>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w:t>
            </w:r>
            <w:r>
              <w:rPr>
                <w:rFonts w:hint="eastAsia" w:ascii="宋体" w:hAnsi="宋体" w:cs="宋体"/>
                <w:sz w:val="24"/>
                <w:highlight w:val="none"/>
                <w:lang w:eastAsia="zh-CN"/>
              </w:rPr>
              <w:t>法律法规</w:t>
            </w:r>
            <w:r>
              <w:rPr>
                <w:rFonts w:hint="eastAsia" w:ascii="宋体" w:hAnsi="宋体" w:cs="宋体"/>
                <w:sz w:val="24"/>
                <w:highlight w:val="none"/>
              </w:rPr>
              <w:t>和规章规定，提供有效的相应具体证照复印件。</w:t>
            </w:r>
          </w:p>
          <w:p w14:paraId="2CD41567">
            <w:pPr>
              <w:spacing w:line="360" w:lineRule="exact"/>
              <w:rPr>
                <w:rFonts w:hint="eastAsia" w:ascii="宋体" w:hAnsi="宋体" w:cs="宋体"/>
                <w:sz w:val="24"/>
                <w:highlight w:val="none"/>
              </w:rPr>
            </w:pPr>
            <w:r>
              <w:rPr>
                <w:rFonts w:hint="eastAsia" w:ascii="宋体" w:hAnsi="宋体" w:cs="宋体"/>
                <w:sz w:val="24"/>
                <w:highlight w:val="none"/>
                <w:lang w:eastAsia="zh-CN"/>
              </w:rPr>
              <w:t>2.</w:t>
            </w:r>
            <w:r>
              <w:rPr>
                <w:rFonts w:hint="eastAsia" w:ascii="宋体" w:hAnsi="宋体" w:cs="宋体"/>
                <w:sz w:val="24"/>
                <w:highlight w:val="none"/>
              </w:rPr>
              <w:t>投标人提供的相应证明材料复印件均应符合：内容完整、清晰、整洁，并由投标人加盖其单位公章。</w:t>
            </w:r>
          </w:p>
          <w:p w14:paraId="4CEBB83E">
            <w:pPr>
              <w:spacing w:line="360" w:lineRule="exact"/>
              <w:rPr>
                <w:rFonts w:hint="eastAsia" w:ascii="宋体" w:hAnsi="宋体" w:cs="宋体"/>
                <w:sz w:val="24"/>
                <w:highlight w:val="none"/>
              </w:rPr>
            </w:pPr>
            <w:r>
              <w:rPr>
                <w:rFonts w:hint="eastAsia" w:ascii="宋体" w:hAnsi="宋体" w:cs="宋体"/>
                <w:sz w:val="24"/>
                <w:highlight w:val="none"/>
              </w:rPr>
              <w:t>※投标人应按照招标文件第七章规定提供。</w:t>
            </w:r>
          </w:p>
          <w:p w14:paraId="6213FCF1">
            <w:pPr>
              <w:spacing w:line="360" w:lineRule="exact"/>
              <w:rPr>
                <w:rFonts w:hint="eastAsia" w:ascii="宋体" w:hAnsi="宋体" w:cs="宋体"/>
                <w:sz w:val="24"/>
                <w:highlight w:val="none"/>
              </w:rPr>
            </w:pPr>
            <w:r>
              <w:rPr>
                <w:rFonts w:hint="eastAsia" w:ascii="宋体" w:hAnsi="宋体" w:cs="宋体"/>
                <w:b/>
                <w:bCs/>
                <w:sz w:val="24"/>
                <w:highlight w:val="none"/>
              </w:rPr>
              <w:t>注：本项允许投标人采用资格承诺，采用资格承诺制的投标人，须根据投标文件格式要求提供《资格承诺函》，否则，视为未按照招标文件规定提交投标人的资格及资信文件，按资格审查不合格处理。</w:t>
            </w:r>
          </w:p>
        </w:tc>
      </w:tr>
      <w:tr w14:paraId="03888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0F08C1EA">
            <w:pPr>
              <w:spacing w:line="360" w:lineRule="exact"/>
              <w:rPr>
                <w:rFonts w:hint="eastAsia" w:ascii="宋体" w:hAnsi="宋体" w:cs="宋体"/>
                <w:sz w:val="24"/>
                <w:highlight w:val="none"/>
              </w:rPr>
            </w:pPr>
            <w:r>
              <w:rPr>
                <w:rFonts w:hint="eastAsia" w:ascii="宋体" w:hAnsi="宋体" w:cs="宋体"/>
                <w:sz w:val="24"/>
                <w:highlight w:val="none"/>
              </w:rPr>
              <w:t>财务状况报告（财务报告或资信证明）</w:t>
            </w:r>
          </w:p>
        </w:tc>
        <w:tc>
          <w:tcPr>
            <w:tcW w:w="3958" w:type="pct"/>
            <w:vAlign w:val="center"/>
          </w:tcPr>
          <w:p w14:paraId="371CA0D1">
            <w:pPr>
              <w:spacing w:line="360" w:lineRule="exact"/>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sz w:val="24"/>
                <w:highlight w:val="none"/>
              </w:rPr>
              <w:t>投标人提供的财务报告复印件（成立年限按照投标截止时间推算）应符合下列规定：1.1成立年限满1年及以上的投标人，提供经审计的</w:t>
            </w:r>
            <w:r>
              <w:rPr>
                <w:rFonts w:hint="eastAsia" w:ascii="宋体" w:hAnsi="宋体" w:cs="宋体"/>
                <w:b/>
                <w:bCs/>
                <w:sz w:val="24"/>
                <w:highlight w:val="none"/>
              </w:rPr>
              <w:t>2025年度</w:t>
            </w:r>
            <w:r>
              <w:rPr>
                <w:rFonts w:hint="eastAsia" w:ascii="宋体" w:hAnsi="宋体" w:cs="宋体"/>
                <w:sz w:val="24"/>
                <w:highlight w:val="none"/>
              </w:rPr>
              <w:t>财务报告。1.2成立年限满半年但不足1年的投标人，提供该半年度中任一季度的季度财务报告或该半年度的半年度财务报告。※无法按照第1.1、1.2条规定提供财务报告复印件的投标人（包括但不限于：成立年限满1年及以上的投标人、成立年限满半年但不足1年的投标人、成立年限不足半年的投标人），应选择提供资信证明复印件。</w:t>
            </w:r>
          </w:p>
          <w:p w14:paraId="338F2601">
            <w:pPr>
              <w:spacing w:line="360" w:lineRule="exact"/>
              <w:rPr>
                <w:rFonts w:hint="eastAsia" w:ascii="宋体" w:hAnsi="宋体" w:cs="宋体"/>
                <w:sz w:val="24"/>
                <w:highlight w:val="none"/>
              </w:rPr>
            </w:pPr>
            <w:r>
              <w:rPr>
                <w:rFonts w:hint="eastAsia" w:ascii="宋体" w:hAnsi="宋体" w:cs="宋体"/>
                <w:sz w:val="24"/>
                <w:highlight w:val="none"/>
                <w:lang w:eastAsia="zh-CN"/>
              </w:rPr>
              <w:t>2.</w:t>
            </w:r>
            <w:r>
              <w:rPr>
                <w:rFonts w:hint="eastAsia" w:ascii="宋体" w:hAnsi="宋体" w:cs="宋体"/>
                <w:sz w:val="24"/>
                <w:highlight w:val="none"/>
              </w:rPr>
              <w:t>投标人提供的相应证明材料均应符合：内容完整、清晰、整洁，并由投标人加盖其单位公章。</w:t>
            </w:r>
          </w:p>
          <w:p w14:paraId="69821BF1">
            <w:pPr>
              <w:spacing w:line="360" w:lineRule="exact"/>
              <w:rPr>
                <w:rFonts w:hint="eastAsia" w:ascii="宋体" w:hAnsi="宋体" w:cs="宋体"/>
                <w:sz w:val="24"/>
                <w:highlight w:val="none"/>
              </w:rPr>
            </w:pPr>
            <w:r>
              <w:rPr>
                <w:rFonts w:hint="eastAsia" w:ascii="宋体" w:hAnsi="宋体" w:cs="宋体"/>
                <w:sz w:val="24"/>
                <w:highlight w:val="none"/>
              </w:rPr>
              <w:t>※投标人应按照招标文件第七章规定提供。</w:t>
            </w:r>
          </w:p>
          <w:p w14:paraId="0B496BDA">
            <w:pPr>
              <w:spacing w:line="360" w:lineRule="exact"/>
              <w:rPr>
                <w:rFonts w:hint="eastAsia" w:ascii="宋体" w:hAnsi="宋体" w:cs="宋体"/>
                <w:sz w:val="24"/>
                <w:highlight w:val="none"/>
              </w:rPr>
            </w:pPr>
            <w:r>
              <w:rPr>
                <w:rFonts w:hint="eastAsia" w:ascii="宋体" w:hAnsi="宋体" w:cs="宋体"/>
                <w:b/>
                <w:bCs/>
                <w:sz w:val="24"/>
                <w:highlight w:val="none"/>
              </w:rPr>
              <w:t>注：本项允许投标人采用资格承诺，采用资格承诺制的投标人，须根据投标文件格式要求提供《资格承诺函》，否则，视为未按照招标文件规定提交投标人的资格及资信文件，按资格审查不合格处理。</w:t>
            </w:r>
          </w:p>
        </w:tc>
      </w:tr>
      <w:tr w14:paraId="2EF2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0CD07564">
            <w:pPr>
              <w:spacing w:line="360" w:lineRule="exact"/>
              <w:rPr>
                <w:rFonts w:hint="eastAsia" w:ascii="宋体" w:hAnsi="宋体" w:cs="宋体"/>
                <w:sz w:val="24"/>
                <w:highlight w:val="none"/>
              </w:rPr>
            </w:pPr>
            <w:r>
              <w:rPr>
                <w:rFonts w:hint="eastAsia" w:ascii="宋体" w:hAnsi="宋体" w:cs="宋体"/>
                <w:sz w:val="24"/>
                <w:highlight w:val="none"/>
              </w:rPr>
              <w:t>依法缴纳税收证明材料</w:t>
            </w:r>
          </w:p>
        </w:tc>
        <w:tc>
          <w:tcPr>
            <w:tcW w:w="3958" w:type="pct"/>
            <w:vAlign w:val="center"/>
          </w:tcPr>
          <w:p w14:paraId="20ECC0DE">
            <w:pPr>
              <w:spacing w:line="360" w:lineRule="exact"/>
              <w:rPr>
                <w:rFonts w:hint="eastAsia"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rPr>
              <w:t>投标人提供的税收凭据复印件应符合下列规定：1.1投标截止时间前（不含投标截止时间的当月）已依法缴纳税收的投标人，提供投标截止时间前六个月（不含投标截止时间的当月）中任一月份的税收凭据复印件。1.2投标截止时间的当月成立的投标人，视同满足本项资格条件要求。1.3若为依法免税范围的投标人，提供依法免税证明材料的，视同满足本项资格条件要求。</w:t>
            </w:r>
          </w:p>
          <w:p w14:paraId="28EAECEC">
            <w:pPr>
              <w:spacing w:line="360" w:lineRule="exact"/>
              <w:rPr>
                <w:rFonts w:hint="eastAsia" w:ascii="宋体" w:hAnsi="宋体" w:cs="宋体"/>
                <w:sz w:val="24"/>
                <w:highlight w:val="none"/>
              </w:rPr>
            </w:pPr>
            <w:r>
              <w:rPr>
                <w:rFonts w:hint="eastAsia" w:ascii="宋体" w:hAnsi="宋体" w:cs="宋体"/>
                <w:sz w:val="24"/>
                <w:highlight w:val="none"/>
                <w:lang w:eastAsia="zh-CN"/>
              </w:rPr>
              <w:t>2.</w:t>
            </w:r>
            <w:r>
              <w:rPr>
                <w:rFonts w:hint="eastAsia" w:ascii="宋体" w:hAnsi="宋体" w:cs="宋体"/>
                <w:sz w:val="24"/>
                <w:highlight w:val="none"/>
              </w:rPr>
              <w:t>“依法缴纳税收证明材料”有欠缴记录的，视为未依法缴纳税收。</w:t>
            </w:r>
          </w:p>
          <w:p w14:paraId="11F34CBE">
            <w:pPr>
              <w:spacing w:line="360" w:lineRule="exact"/>
              <w:rPr>
                <w:rFonts w:hint="eastAsia" w:ascii="宋体" w:hAnsi="宋体" w:cs="宋体"/>
                <w:sz w:val="24"/>
                <w:highlight w:val="none"/>
              </w:rPr>
            </w:pPr>
            <w:r>
              <w:rPr>
                <w:rFonts w:hint="eastAsia" w:ascii="宋体" w:hAnsi="宋体" w:cs="宋体"/>
                <w:sz w:val="24"/>
                <w:highlight w:val="none"/>
                <w:lang w:eastAsia="zh-CN"/>
              </w:rPr>
              <w:t>3.</w:t>
            </w:r>
            <w:r>
              <w:rPr>
                <w:rFonts w:hint="eastAsia" w:ascii="宋体" w:hAnsi="宋体" w:cs="宋体"/>
                <w:sz w:val="24"/>
                <w:highlight w:val="none"/>
              </w:rPr>
              <w:t>投标人提供的相应证明材料复印件均应符合：内容完整、清晰、整洁，并由投标人加盖其单位公章。</w:t>
            </w:r>
          </w:p>
          <w:p w14:paraId="50B57DE3">
            <w:pPr>
              <w:spacing w:line="360" w:lineRule="exact"/>
              <w:rPr>
                <w:rFonts w:hint="eastAsia" w:ascii="宋体" w:hAnsi="宋体" w:cs="宋体"/>
                <w:sz w:val="24"/>
                <w:highlight w:val="none"/>
              </w:rPr>
            </w:pPr>
            <w:r>
              <w:rPr>
                <w:rFonts w:hint="eastAsia" w:ascii="宋体" w:hAnsi="宋体" w:cs="宋体"/>
                <w:sz w:val="24"/>
                <w:highlight w:val="none"/>
              </w:rPr>
              <w:t>※投标人应按照招标文件第七章规定提供。</w:t>
            </w:r>
          </w:p>
          <w:p w14:paraId="7990FD62">
            <w:pPr>
              <w:spacing w:line="360" w:lineRule="exact"/>
              <w:rPr>
                <w:rFonts w:hint="eastAsia" w:ascii="宋体" w:hAnsi="宋体" w:cs="宋体"/>
                <w:highlight w:val="none"/>
              </w:rPr>
            </w:pPr>
            <w:r>
              <w:rPr>
                <w:rFonts w:hint="eastAsia" w:ascii="宋体" w:hAnsi="宋体" w:cs="宋体"/>
                <w:b/>
                <w:bCs/>
                <w:sz w:val="24"/>
                <w:highlight w:val="none"/>
              </w:rPr>
              <w:t>注：本项允许投标人采用资格承诺，采用资格承诺制的投标人，须根据投标文件格式要求提供《资格承诺函》，否则，视为未按照招标文件规定提交投标人的资格及资信文件，按资格审查不合格处理。</w:t>
            </w:r>
          </w:p>
        </w:tc>
      </w:tr>
      <w:tr w14:paraId="4176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701B6A48">
            <w:pPr>
              <w:spacing w:line="360" w:lineRule="exact"/>
              <w:rPr>
                <w:rFonts w:hint="eastAsia" w:ascii="宋体" w:hAnsi="宋体" w:cs="宋体"/>
                <w:sz w:val="24"/>
                <w:highlight w:val="none"/>
              </w:rPr>
            </w:pPr>
            <w:r>
              <w:rPr>
                <w:rFonts w:hint="eastAsia" w:ascii="宋体" w:hAnsi="宋体" w:cs="宋体"/>
                <w:sz w:val="24"/>
                <w:highlight w:val="none"/>
              </w:rPr>
              <w:t>依法缴纳社会保障资金证明材料</w:t>
            </w:r>
          </w:p>
        </w:tc>
        <w:tc>
          <w:tcPr>
            <w:tcW w:w="3958" w:type="pct"/>
            <w:vAlign w:val="center"/>
          </w:tcPr>
          <w:p w14:paraId="35D79B93">
            <w:pPr>
              <w:spacing w:line="360" w:lineRule="exact"/>
              <w:rPr>
                <w:rFonts w:hint="eastAsia"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rPr>
              <w:t>投标人提供的社会保险凭据复印件应符合下列规定：1.1投标截止时间前（不含投标截止时间的当月）已依法缴纳社会保障资金的投标人，提供投标截止时间前六个月（不含投标截止时间的当月）中任一月份的社会保险凭据复印件。1.2投标截止时间的当月成立的投标人，视同满足本项资格条件要求。1.3若为依法不需要缴纳或暂缓缴纳社会保障资金的投标人，提供依法不需要缴纳或暂缓缴纳社会保障资金证明材料的，视同满足本项资格条件要求。</w:t>
            </w:r>
          </w:p>
          <w:p w14:paraId="368D67A4">
            <w:pPr>
              <w:spacing w:line="360" w:lineRule="exact"/>
              <w:rPr>
                <w:rFonts w:hint="eastAsia" w:ascii="宋体" w:hAnsi="宋体" w:cs="宋体"/>
                <w:sz w:val="24"/>
                <w:highlight w:val="none"/>
              </w:rPr>
            </w:pPr>
            <w:r>
              <w:rPr>
                <w:rFonts w:hint="eastAsia" w:ascii="宋体" w:hAnsi="宋体" w:cs="宋体"/>
                <w:sz w:val="24"/>
                <w:highlight w:val="none"/>
                <w:lang w:eastAsia="zh-CN"/>
              </w:rPr>
              <w:t>2.</w:t>
            </w:r>
            <w:r>
              <w:rPr>
                <w:rFonts w:hint="eastAsia" w:ascii="宋体" w:hAnsi="宋体" w:cs="宋体"/>
                <w:sz w:val="24"/>
                <w:highlight w:val="none"/>
              </w:rPr>
              <w:t>“依法缴纳社会保障资金证明材料”有欠缴记录的，视为未依法缴纳社会保障资金。</w:t>
            </w:r>
          </w:p>
          <w:p w14:paraId="0E075611">
            <w:pPr>
              <w:spacing w:line="360" w:lineRule="exact"/>
              <w:rPr>
                <w:rFonts w:hint="eastAsia" w:ascii="宋体" w:hAnsi="宋体" w:cs="宋体"/>
                <w:sz w:val="24"/>
                <w:highlight w:val="none"/>
              </w:rPr>
            </w:pPr>
            <w:r>
              <w:rPr>
                <w:rFonts w:hint="eastAsia" w:ascii="宋体" w:hAnsi="宋体" w:cs="宋体"/>
                <w:sz w:val="24"/>
                <w:highlight w:val="none"/>
                <w:lang w:eastAsia="zh-CN"/>
              </w:rPr>
              <w:t>3.</w:t>
            </w:r>
            <w:r>
              <w:rPr>
                <w:rFonts w:hint="eastAsia" w:ascii="宋体" w:hAnsi="宋体" w:cs="宋体"/>
                <w:sz w:val="24"/>
                <w:highlight w:val="none"/>
              </w:rPr>
              <w:t>投标人提供的相应证明材料复印件均应符合：内容完整、清晰、整洁，并由投标人加盖其单位公章。</w:t>
            </w:r>
          </w:p>
          <w:p w14:paraId="4A2BC62C">
            <w:pPr>
              <w:spacing w:line="360" w:lineRule="exact"/>
              <w:rPr>
                <w:rFonts w:hint="eastAsia" w:ascii="宋体" w:hAnsi="宋体" w:cs="宋体"/>
                <w:sz w:val="24"/>
                <w:highlight w:val="none"/>
              </w:rPr>
            </w:pPr>
            <w:r>
              <w:rPr>
                <w:rFonts w:hint="eastAsia" w:ascii="宋体" w:hAnsi="宋体" w:cs="宋体"/>
                <w:sz w:val="24"/>
                <w:highlight w:val="none"/>
              </w:rPr>
              <w:t>※投标人应按照招标文件第七章规定提供。</w:t>
            </w:r>
          </w:p>
          <w:p w14:paraId="1A245FDF">
            <w:pPr>
              <w:spacing w:line="360" w:lineRule="exact"/>
              <w:rPr>
                <w:rFonts w:hint="eastAsia" w:ascii="宋体" w:hAnsi="宋体" w:cs="宋体"/>
                <w:sz w:val="24"/>
                <w:highlight w:val="none"/>
              </w:rPr>
            </w:pPr>
            <w:r>
              <w:rPr>
                <w:rFonts w:hint="eastAsia" w:ascii="宋体" w:hAnsi="宋体" w:cs="宋体"/>
                <w:b/>
                <w:bCs/>
                <w:sz w:val="24"/>
                <w:highlight w:val="none"/>
              </w:rPr>
              <w:t>注：本项允许投标人采用资格承诺，采用资格承诺制的投标人，须根据投标文件格式要求提供《资格承诺函》，否则，视为未按照招标文件规定提交投标人的资格及资信文件，按资格审查不合格处理。</w:t>
            </w:r>
          </w:p>
        </w:tc>
      </w:tr>
      <w:tr w14:paraId="6A5F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06D4660F">
            <w:pPr>
              <w:spacing w:line="360" w:lineRule="exact"/>
              <w:rPr>
                <w:rFonts w:hint="eastAsia" w:ascii="宋体" w:hAnsi="宋体" w:cs="宋体"/>
                <w:sz w:val="24"/>
                <w:highlight w:val="none"/>
              </w:rPr>
            </w:pPr>
            <w:r>
              <w:rPr>
                <w:rFonts w:hint="eastAsia" w:ascii="宋体" w:hAnsi="宋体" w:cs="宋体"/>
                <w:sz w:val="24"/>
                <w:highlight w:val="none"/>
              </w:rPr>
              <w:t>具备履行合同所必需设备和专业技术能力的声明函</w:t>
            </w:r>
          </w:p>
        </w:tc>
        <w:tc>
          <w:tcPr>
            <w:tcW w:w="3958" w:type="pct"/>
            <w:vAlign w:val="center"/>
          </w:tcPr>
          <w:p w14:paraId="6F28292B">
            <w:pPr>
              <w:spacing w:line="360" w:lineRule="exact"/>
              <w:rPr>
                <w:rFonts w:hint="eastAsia"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rPr>
              <w:t>招标文件未要求投标人提供“具备履行合同所必需的设备和专业技术能力专项证明材料”的，投标人应提供本声明函。2、招标文件要求投标人提供“具备履行合同所必需的设备和专业技术能力专项证明材料”的，投标人可不提供本声明函。3、纸质投标文件正本中的本声明函（若有）应为原件。※投标人应按照招标文件第七章规定提供。</w:t>
            </w:r>
          </w:p>
          <w:p w14:paraId="3E352393">
            <w:pPr>
              <w:spacing w:line="360" w:lineRule="exact"/>
              <w:rPr>
                <w:rFonts w:hint="eastAsia" w:ascii="宋体" w:hAnsi="宋体" w:cs="宋体"/>
                <w:sz w:val="24"/>
                <w:highlight w:val="none"/>
              </w:rPr>
            </w:pPr>
            <w:r>
              <w:rPr>
                <w:rFonts w:hint="eastAsia" w:ascii="宋体" w:hAnsi="宋体" w:cs="宋体"/>
                <w:b/>
                <w:bCs/>
                <w:sz w:val="24"/>
                <w:highlight w:val="none"/>
              </w:rPr>
              <w:t>注：本项允许投标人采用资格承诺，采用资格承诺制的投标人，须根据投标文件格式要求提供《资格承诺函》，否则，视为未按照招标文件规定提交投标人的资格及资信文件，按资格审查不合格处理。</w:t>
            </w:r>
          </w:p>
        </w:tc>
      </w:tr>
      <w:tr w14:paraId="5B38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6DD4D67F">
            <w:pPr>
              <w:spacing w:line="360" w:lineRule="exact"/>
              <w:rPr>
                <w:rFonts w:hint="eastAsia" w:ascii="宋体" w:hAnsi="宋体" w:cs="宋体"/>
                <w:sz w:val="24"/>
                <w:highlight w:val="none"/>
              </w:rPr>
            </w:pPr>
            <w:r>
              <w:rPr>
                <w:rFonts w:hint="eastAsia" w:ascii="宋体" w:hAnsi="宋体" w:cs="宋体"/>
                <w:sz w:val="24"/>
                <w:highlight w:val="none"/>
              </w:rPr>
              <w:t>参加采购活动前三年内在经营活动中没有重大违法记录书面声明</w:t>
            </w:r>
          </w:p>
        </w:tc>
        <w:tc>
          <w:tcPr>
            <w:tcW w:w="3958" w:type="pct"/>
            <w:vAlign w:val="center"/>
          </w:tcPr>
          <w:p w14:paraId="6B4234A4">
            <w:pPr>
              <w:spacing w:line="360" w:lineRule="exact"/>
              <w:rPr>
                <w:rFonts w:hint="eastAsia" w:ascii="宋体" w:hAnsi="宋体" w:cs="宋体"/>
                <w:sz w:val="24"/>
                <w:highlight w:val="none"/>
              </w:rPr>
            </w:pPr>
            <w:r>
              <w:rPr>
                <w:rFonts w:hint="eastAsia" w:ascii="宋体" w:hAnsi="宋体" w:cs="宋体"/>
                <w:sz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75A320C">
            <w:pPr>
              <w:spacing w:line="360" w:lineRule="exact"/>
              <w:rPr>
                <w:rFonts w:hint="eastAsia" w:ascii="宋体" w:hAnsi="宋体" w:cs="宋体"/>
                <w:sz w:val="24"/>
                <w:highlight w:val="none"/>
              </w:rPr>
            </w:pPr>
            <w:r>
              <w:rPr>
                <w:rFonts w:hint="eastAsia" w:ascii="宋体" w:hAnsi="宋体" w:cs="宋体"/>
                <w:b/>
                <w:bCs/>
                <w:sz w:val="24"/>
                <w:highlight w:val="none"/>
              </w:rPr>
              <w:t>注：本项允许投标人采用资格承诺，采用资格承诺制的投标人，须根据投标文件格式要求提供《资格承诺函》，否则，视为未按照招标文件规定提交投标人的资格及资信文件，按资格审查不合格处理。</w:t>
            </w:r>
          </w:p>
        </w:tc>
      </w:tr>
      <w:tr w14:paraId="4C21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041" w:type="pct"/>
            <w:vAlign w:val="center"/>
          </w:tcPr>
          <w:p w14:paraId="72A20CF3">
            <w:pPr>
              <w:spacing w:line="360" w:lineRule="exact"/>
              <w:rPr>
                <w:rFonts w:hint="eastAsia" w:ascii="宋体" w:hAnsi="宋体" w:cs="宋体"/>
                <w:sz w:val="24"/>
                <w:highlight w:val="none"/>
              </w:rPr>
            </w:pPr>
            <w:r>
              <w:rPr>
                <w:rFonts w:hint="eastAsia" w:ascii="宋体" w:hAnsi="宋体" w:cs="宋体"/>
                <w:sz w:val="24"/>
                <w:highlight w:val="none"/>
              </w:rPr>
              <w:t>信用记录查询结果</w:t>
            </w:r>
          </w:p>
        </w:tc>
        <w:tc>
          <w:tcPr>
            <w:tcW w:w="3958" w:type="pct"/>
            <w:vAlign w:val="center"/>
          </w:tcPr>
          <w:p w14:paraId="329550A7">
            <w:pPr>
              <w:spacing w:line="360" w:lineRule="exact"/>
              <w:rPr>
                <w:rFonts w:hint="eastAsia" w:ascii="宋体" w:hAnsi="宋体" w:cs="宋体"/>
                <w:sz w:val="24"/>
                <w:highlight w:val="none"/>
              </w:rPr>
            </w:pPr>
            <w:r>
              <w:rPr>
                <w:rFonts w:hint="eastAsia" w:ascii="宋体" w:hAnsi="宋体" w:cs="宋体"/>
                <w:kern w:val="0"/>
                <w:sz w:val="24"/>
                <w:highlight w:val="none"/>
              </w:rPr>
              <w:t>资格审查小组分别通过“信用中国”网站（www.creditchina.gov.cn）、中国政府采购网（www.ccgp.gov.cn）查询并打印相应的信用记录。对列入失信被执行人、重大税收违法案件当事人名单、政府采购严重违法失信行为记录名单及其他不符合《中华人民共和国政府采购法》第二十二条规定条件的供应商，拒绝其参与政府采购活动。查询结果存在投标人应被拒绝参与政府采购活动相关信息的，其资格审查不合格。</w:t>
            </w:r>
          </w:p>
        </w:tc>
      </w:tr>
    </w:tbl>
    <w:p w14:paraId="562122F5">
      <w:pPr>
        <w:spacing w:line="360" w:lineRule="exact"/>
        <w:rPr>
          <w:rFonts w:hint="eastAsia" w:ascii="宋体" w:hAnsi="宋体" w:cs="宋体"/>
          <w:sz w:val="24"/>
          <w:highlight w:val="none"/>
        </w:rPr>
      </w:pPr>
      <w:r>
        <w:rPr>
          <w:rFonts w:hint="eastAsia" w:ascii="宋体" w:hAnsi="宋体" w:cs="宋体"/>
          <w:sz w:val="24"/>
          <w:highlight w:val="none"/>
        </w:rPr>
        <w:t>②其他资格证明文件：无。</w:t>
      </w:r>
    </w:p>
    <w:p w14:paraId="04BDE19E">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（3）投标保证金。</w:t>
      </w:r>
    </w:p>
    <w:p w14:paraId="6E597888">
      <w:pPr>
        <w:pStyle w:val="10"/>
        <w:spacing w:before="0" w:beforeAutospacing="0" w:after="0" w:afterAutospacing="0" w:line="420" w:lineRule="exact"/>
        <w:rPr>
          <w:rStyle w:val="34"/>
          <w:rFonts w:hint="eastAsia" w:ascii="宋体" w:hAnsi="宋体" w:cs="宋体"/>
          <w:highlight w:val="none"/>
        </w:rPr>
      </w:pPr>
      <w:r>
        <w:rPr>
          <w:rFonts w:hint="eastAsia" w:ascii="宋体" w:hAnsi="宋体" w:cs="宋体"/>
          <w:highlight w:val="none"/>
        </w:rPr>
        <w:t>1.4有下列情形之一的，</w:t>
      </w:r>
      <w:r>
        <w:rPr>
          <w:rStyle w:val="34"/>
          <w:rFonts w:hint="eastAsia" w:ascii="宋体" w:hAnsi="宋体" w:cs="宋体"/>
          <w:highlight w:val="none"/>
        </w:rPr>
        <w:t>资格审查不合格：</w:t>
      </w:r>
    </w:p>
    <w:p w14:paraId="7B2645A2">
      <w:pPr>
        <w:pStyle w:val="10"/>
        <w:spacing w:before="0" w:beforeAutospacing="0" w:after="0" w:afterAutospacing="0" w:line="420" w:lineRule="exact"/>
        <w:ind w:firstLine="240" w:firstLineChars="100"/>
        <w:rPr>
          <w:rFonts w:hint="eastAsia" w:ascii="宋体" w:hAnsi="宋体" w:cs="宋体"/>
          <w:highlight w:val="none"/>
        </w:rPr>
      </w:pPr>
      <w:r>
        <w:rPr>
          <w:rFonts w:hint="eastAsia" w:ascii="宋体" w:hAnsi="宋体" w:cs="宋体"/>
          <w:highlight w:val="none"/>
        </w:rPr>
        <w:t xml:space="preserve"> （1）一般情形：</w:t>
      </w:r>
    </w:p>
    <w:tbl>
      <w:tblPr>
        <w:tblStyle w:val="3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58"/>
      </w:tblGrid>
      <w:tr w14:paraId="61AE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0" w:type="dxa"/>
        </w:trPr>
        <w:tc>
          <w:tcPr>
            <w:tcW w:w="9658" w:type="dxa"/>
            <w:vAlign w:val="center"/>
          </w:tcPr>
          <w:p w14:paraId="5FC190FC">
            <w:pPr>
              <w:spacing w:line="420" w:lineRule="exact"/>
              <w:jc w:val="center"/>
              <w:rPr>
                <w:rFonts w:hint="eastAsia" w:ascii="宋体" w:hAnsi="宋体" w:cs="宋体"/>
                <w:b/>
                <w:bCs/>
                <w:sz w:val="24"/>
                <w:highlight w:val="none"/>
              </w:rPr>
            </w:pPr>
            <w:r>
              <w:rPr>
                <w:rFonts w:hint="eastAsia" w:ascii="宋体" w:hAnsi="宋体" w:cs="宋体"/>
                <w:b/>
                <w:bCs/>
                <w:sz w:val="24"/>
                <w:highlight w:val="none"/>
              </w:rPr>
              <w:t>明细</w:t>
            </w:r>
          </w:p>
        </w:tc>
      </w:tr>
      <w:tr w14:paraId="6F05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58" w:type="dxa"/>
            <w:vAlign w:val="center"/>
          </w:tcPr>
          <w:p w14:paraId="37DF84CF">
            <w:pPr>
              <w:spacing w:line="420" w:lineRule="exact"/>
              <w:rPr>
                <w:rFonts w:hint="eastAsia" w:ascii="宋体" w:hAnsi="宋体" w:cs="宋体"/>
                <w:sz w:val="24"/>
                <w:highlight w:val="none"/>
              </w:rPr>
            </w:pPr>
            <w:r>
              <w:rPr>
                <w:rFonts w:hint="eastAsia" w:ascii="宋体" w:hAnsi="宋体" w:cs="宋体"/>
                <w:sz w:val="24"/>
                <w:highlight w:val="none"/>
              </w:rPr>
              <w:t>未按照招标文件规定提交投标函</w:t>
            </w:r>
          </w:p>
        </w:tc>
      </w:tr>
      <w:tr w14:paraId="7E8F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58" w:type="dxa"/>
            <w:vAlign w:val="center"/>
          </w:tcPr>
          <w:p w14:paraId="05856E2D">
            <w:pPr>
              <w:spacing w:line="420" w:lineRule="exact"/>
              <w:rPr>
                <w:rFonts w:hint="eastAsia" w:ascii="宋体" w:hAnsi="宋体" w:cs="宋体"/>
                <w:sz w:val="24"/>
                <w:highlight w:val="none"/>
              </w:rPr>
            </w:pPr>
            <w:r>
              <w:rPr>
                <w:rFonts w:hint="eastAsia" w:ascii="宋体" w:hAnsi="宋体" w:cs="宋体"/>
                <w:sz w:val="24"/>
                <w:highlight w:val="none"/>
              </w:rPr>
              <w:t>未按照招标文件规定提交投标人的资格及资信文件</w:t>
            </w:r>
          </w:p>
        </w:tc>
      </w:tr>
      <w:tr w14:paraId="26F2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58" w:type="dxa"/>
            <w:vAlign w:val="center"/>
          </w:tcPr>
          <w:p w14:paraId="757A3183">
            <w:pPr>
              <w:spacing w:line="420" w:lineRule="exact"/>
              <w:rPr>
                <w:rFonts w:hint="eastAsia" w:ascii="宋体" w:hAnsi="宋体" w:cs="宋体"/>
                <w:sz w:val="24"/>
                <w:highlight w:val="none"/>
              </w:rPr>
            </w:pPr>
            <w:r>
              <w:rPr>
                <w:rFonts w:hint="eastAsia" w:ascii="宋体" w:hAnsi="宋体" w:cs="宋体"/>
                <w:sz w:val="24"/>
                <w:highlight w:val="none"/>
              </w:rPr>
              <w:t>未按照招标文件规定提交投标保证金</w:t>
            </w:r>
          </w:p>
        </w:tc>
      </w:tr>
      <w:tr w14:paraId="24B6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58" w:type="dxa"/>
            <w:vAlign w:val="center"/>
          </w:tcPr>
          <w:p w14:paraId="647C6181">
            <w:pPr>
              <w:spacing w:line="420" w:lineRule="exact"/>
              <w:rPr>
                <w:rFonts w:hint="eastAsia" w:ascii="宋体" w:hAnsi="宋体" w:cs="宋体"/>
                <w:sz w:val="24"/>
                <w:highlight w:val="none"/>
              </w:rPr>
            </w:pPr>
            <w:r>
              <w:rPr>
                <w:rFonts w:hint="eastAsia" w:ascii="宋体" w:hAnsi="宋体" w:cs="宋体"/>
                <w:sz w:val="24"/>
                <w:highlight w:val="none"/>
              </w:rPr>
              <w:t>资格及资信证明部分中出现报价部分的全部或部分的投标报价信息（或组成资料）</w:t>
            </w:r>
          </w:p>
        </w:tc>
      </w:tr>
      <w:tr w14:paraId="27E7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58" w:type="dxa"/>
            <w:vAlign w:val="center"/>
          </w:tcPr>
          <w:p w14:paraId="3D905563">
            <w:pPr>
              <w:spacing w:line="420" w:lineRule="exact"/>
              <w:rPr>
                <w:rFonts w:hint="eastAsia" w:ascii="宋体" w:hAnsi="宋体" w:cs="宋体"/>
                <w:sz w:val="24"/>
                <w:highlight w:val="none"/>
              </w:rPr>
            </w:pPr>
            <w:r>
              <w:rPr>
                <w:rFonts w:hint="eastAsia" w:ascii="宋体" w:hAnsi="宋体" w:cs="宋体"/>
                <w:sz w:val="24"/>
                <w:highlight w:val="none"/>
              </w:rPr>
              <w:t>属于招标文件中载明“资格审查不合格”条款规定的情形</w:t>
            </w:r>
          </w:p>
        </w:tc>
      </w:tr>
    </w:tbl>
    <w:p w14:paraId="48DA6EC1">
      <w:pPr>
        <w:pStyle w:val="10"/>
        <w:spacing w:before="0" w:beforeAutospacing="0" w:after="0" w:afterAutospacing="0" w:line="420" w:lineRule="exact"/>
        <w:ind w:firstLine="240" w:firstLineChars="100"/>
        <w:rPr>
          <w:rFonts w:hint="eastAsia" w:ascii="宋体" w:hAnsi="宋体" w:cs="宋体"/>
          <w:highlight w:val="none"/>
        </w:rPr>
      </w:pPr>
      <w:r>
        <w:rPr>
          <w:rFonts w:hint="eastAsia" w:ascii="宋体" w:hAnsi="宋体" w:cs="宋体"/>
          <w:highlight w:val="none"/>
        </w:rPr>
        <w:t>（2）本项目规定的其他情形：</w:t>
      </w:r>
      <w:r>
        <w:rPr>
          <w:rFonts w:hint="eastAsia" w:ascii="宋体" w:hAnsi="宋体" w:cs="宋体"/>
          <w:b/>
          <w:highlight w:val="none"/>
        </w:rPr>
        <w:t>无</w:t>
      </w:r>
    </w:p>
    <w:p w14:paraId="5D14C518">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515386C1">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资格审查情况不得私自外泄，有关信息由</w:t>
      </w:r>
      <w:r>
        <w:rPr>
          <w:rFonts w:hint="eastAsia" w:ascii="宋体" w:hAnsi="宋体" w:cs="宋体"/>
          <w:highlight w:val="none"/>
          <w:u w:val="single"/>
        </w:rPr>
        <w:t>福建省智信招标有限公司</w:t>
      </w:r>
      <w:r>
        <w:rPr>
          <w:rFonts w:hint="eastAsia" w:ascii="宋体" w:hAnsi="宋体" w:cs="宋体"/>
          <w:highlight w:val="none"/>
        </w:rPr>
        <w:t>统一对外发布。</w:t>
      </w:r>
    </w:p>
    <w:p w14:paraId="50973850">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3.</w:t>
      </w:r>
      <w:r>
        <w:rPr>
          <w:rFonts w:hint="eastAsia" w:ascii="宋体" w:hAnsi="宋体" w:cs="宋体"/>
          <w:highlight w:val="none"/>
        </w:rPr>
        <w:t>资格审查合格的投标人不足三家的，不进行评标。同时，本次采购活动结</w:t>
      </w:r>
      <w:r>
        <w:rPr>
          <w:rFonts w:hint="eastAsia" w:ascii="宋体" w:hAnsi="宋体" w:cs="宋体"/>
          <w:highlight w:val="none"/>
          <w:lang w:eastAsia="zh-CN"/>
        </w:rPr>
        <w:t>束后</w:t>
      </w:r>
      <w:r>
        <w:rPr>
          <w:rFonts w:hint="eastAsia" w:ascii="宋体" w:hAnsi="宋体" w:cs="宋体"/>
          <w:highlight w:val="none"/>
        </w:rPr>
        <w:t>，</w:t>
      </w:r>
      <w:r>
        <w:rPr>
          <w:rFonts w:hint="eastAsia" w:ascii="宋体" w:hAnsi="宋体" w:cs="宋体"/>
          <w:highlight w:val="none"/>
          <w:u w:val="single"/>
        </w:rPr>
        <w:t>福建省智信招标有限公司</w:t>
      </w:r>
      <w:r>
        <w:rPr>
          <w:rFonts w:hint="eastAsia" w:ascii="宋体" w:hAnsi="宋体" w:cs="宋体"/>
          <w:highlight w:val="none"/>
        </w:rPr>
        <w:t>将依法组织后续采购活动（包括但不限于：重新招标、采用其他方式采购等）。</w:t>
      </w:r>
    </w:p>
    <w:p w14:paraId="0A1BEC16">
      <w:pPr>
        <w:pStyle w:val="10"/>
        <w:spacing w:before="0" w:beforeAutospacing="0" w:after="0" w:afterAutospacing="0" w:line="420" w:lineRule="exact"/>
        <w:rPr>
          <w:rFonts w:hint="eastAsia" w:ascii="宋体" w:hAnsi="宋体" w:cs="宋体"/>
          <w:highlight w:val="none"/>
        </w:rPr>
      </w:pPr>
    </w:p>
    <w:p w14:paraId="4CDFA322">
      <w:pPr>
        <w:spacing w:line="420" w:lineRule="exact"/>
        <w:jc w:val="center"/>
        <w:outlineLvl w:val="1"/>
        <w:rPr>
          <w:rFonts w:hint="eastAsia" w:ascii="宋体" w:hAnsi="宋体" w:cs="宋体"/>
          <w:b/>
          <w:sz w:val="24"/>
          <w:highlight w:val="none"/>
        </w:rPr>
      </w:pPr>
      <w:bookmarkStart w:id="49" w:name="_Toc4651"/>
      <w:bookmarkStart w:id="50" w:name="_Toc38959631"/>
      <w:bookmarkStart w:id="51" w:name="_Toc6038"/>
      <w:r>
        <w:rPr>
          <w:rFonts w:hint="eastAsia" w:ascii="宋体" w:hAnsi="宋体" w:cs="宋体"/>
          <w:b/>
          <w:sz w:val="24"/>
          <w:highlight w:val="none"/>
        </w:rPr>
        <w:t>二、评标</w:t>
      </w:r>
      <w:bookmarkEnd w:id="49"/>
      <w:bookmarkEnd w:id="50"/>
      <w:bookmarkEnd w:id="51"/>
    </w:p>
    <w:p w14:paraId="188B91F6">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4.</w:t>
      </w:r>
      <w:r>
        <w:rPr>
          <w:rFonts w:hint="eastAsia" w:ascii="宋体" w:hAnsi="宋体" w:cs="宋体"/>
          <w:highlight w:val="none"/>
        </w:rPr>
        <w:t>资格审查结束后，由福建省智信招标有限公司负责评标委员会的组建及评标工作的组织。</w:t>
      </w:r>
    </w:p>
    <w:p w14:paraId="05F79BA3">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5.</w:t>
      </w:r>
      <w:r>
        <w:rPr>
          <w:rFonts w:hint="eastAsia" w:ascii="宋体" w:hAnsi="宋体" w:cs="宋体"/>
          <w:highlight w:val="none"/>
        </w:rPr>
        <w:t>评标委员会</w:t>
      </w:r>
    </w:p>
    <w:p w14:paraId="508F1BA7">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5.1评标委员会由7人组成，其中</w:t>
      </w:r>
      <w:r>
        <w:rPr>
          <w:rFonts w:hint="eastAsia" w:ascii="宋体" w:hAnsi="宋体" w:cs="宋体"/>
          <w:highlight w:val="none"/>
          <w:lang w:val="en-US" w:eastAsia="zh-CN"/>
        </w:rPr>
        <w:t>专家库产生的</w:t>
      </w:r>
      <w:r>
        <w:rPr>
          <w:rFonts w:hint="eastAsia" w:ascii="宋体" w:hAnsi="宋体" w:cs="宋体"/>
          <w:highlight w:val="none"/>
        </w:rPr>
        <w:t>评</w:t>
      </w:r>
      <w:r>
        <w:rPr>
          <w:rFonts w:hint="eastAsia" w:ascii="宋体" w:hAnsi="宋体" w:cs="宋体"/>
          <w:highlight w:val="none"/>
          <w:lang w:val="en-US" w:eastAsia="zh-CN"/>
        </w:rPr>
        <w:t>标</w:t>
      </w:r>
      <w:r>
        <w:rPr>
          <w:rFonts w:hint="eastAsia" w:ascii="宋体" w:hAnsi="宋体" w:cs="宋体"/>
          <w:highlight w:val="none"/>
        </w:rPr>
        <w:t>专家不得少于成员总数的三分之二。</w:t>
      </w:r>
    </w:p>
    <w:p w14:paraId="62CEB239">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5.2评标委员会负责具体评标事务，并按照下列原则依法独立履行有关职责：</w:t>
      </w:r>
    </w:p>
    <w:p w14:paraId="23EA9912">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（1）评标应保护国家利益、社会公共利益和各方当事人合法权益，提高采购效益，保证项目质量。</w:t>
      </w:r>
    </w:p>
    <w:p w14:paraId="538839BB">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（2）评标应遵循公平、公正、科学、严谨和择优原则。</w:t>
      </w:r>
    </w:p>
    <w:p w14:paraId="0160C631">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（3）评标的依据是招标文件和投标文件。</w:t>
      </w:r>
    </w:p>
    <w:p w14:paraId="37304802">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（4）应按照招标文件规定推荐中标候选人或确定中标人。</w:t>
      </w:r>
    </w:p>
    <w:p w14:paraId="6B302A4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（5）评标应遵守下列评标纪律：</w:t>
      </w:r>
    </w:p>
    <w:p w14:paraId="2B34B274">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①评标情况不得私自外泄，有关信息由</w:t>
      </w:r>
      <w:r>
        <w:rPr>
          <w:rFonts w:hint="eastAsia" w:ascii="宋体" w:hAnsi="宋体" w:cs="宋体"/>
          <w:highlight w:val="none"/>
          <w:u w:val="single"/>
        </w:rPr>
        <w:t>福建省智信招标有限公司</w:t>
      </w:r>
      <w:r>
        <w:rPr>
          <w:rFonts w:hint="eastAsia" w:ascii="宋体" w:hAnsi="宋体" w:cs="宋体"/>
          <w:highlight w:val="none"/>
        </w:rPr>
        <w:t>统一对外发布。</w:t>
      </w:r>
    </w:p>
    <w:p w14:paraId="25050A62">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②对</w:t>
      </w:r>
      <w:r>
        <w:rPr>
          <w:rFonts w:hint="eastAsia" w:ascii="宋体" w:hAnsi="宋体" w:cs="宋体"/>
          <w:highlight w:val="none"/>
          <w:u w:val="single"/>
        </w:rPr>
        <w:t>福建省智信招标有限公司</w:t>
      </w:r>
      <w:r>
        <w:rPr>
          <w:rFonts w:hint="eastAsia" w:ascii="宋体" w:hAnsi="宋体" w:cs="宋体"/>
          <w:highlight w:val="none"/>
        </w:rPr>
        <w:t>或投标人提供的要求保密的资料，不得摘记翻印和外传。</w:t>
      </w:r>
    </w:p>
    <w:p w14:paraId="517A6D22">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③不得收受投标人或有关人员的任何礼物，不得串联鼓动其他人袒护某投标人。若与投标人存在利害关系，则应主动声明并回避。</w:t>
      </w:r>
    </w:p>
    <w:p w14:paraId="2B042D0B">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④全体评委应按照招标文件规定进行评标，一切认定事项应查有实据且不得弄虚作假。</w:t>
      </w:r>
    </w:p>
    <w:p w14:paraId="4EE4BC6E">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⑤评标中应充分发扬民主，推荐中标候选人或确定中标人后要服从评标报告。</w:t>
      </w:r>
    </w:p>
    <w:p w14:paraId="5C16DA3C">
      <w:pPr>
        <w:pStyle w:val="10"/>
        <w:spacing w:before="0" w:beforeAutospacing="0" w:after="0" w:afterAutospacing="0" w:line="420" w:lineRule="exact"/>
        <w:ind w:firstLine="378"/>
        <w:rPr>
          <w:rFonts w:hint="eastAsia" w:ascii="宋体" w:hAnsi="宋体" w:cs="宋体"/>
          <w:highlight w:val="none"/>
        </w:rPr>
      </w:pPr>
      <w:r>
        <w:rPr>
          <w:rStyle w:val="34"/>
          <w:rFonts w:hint="eastAsia" w:ascii="宋体" w:hAnsi="宋体" w:cs="宋体"/>
          <w:highlight w:val="none"/>
        </w:rPr>
        <w:t>※对违反评标纪律的评委，将取消其评委资格，对评标工作造成严重损失者将予以通报批评乃至追究法律责任。</w:t>
      </w:r>
    </w:p>
    <w:p w14:paraId="7BC9FFB5">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6.</w:t>
      </w:r>
      <w:r>
        <w:rPr>
          <w:rFonts w:hint="eastAsia" w:ascii="宋体" w:hAnsi="宋体" w:cs="宋体"/>
          <w:highlight w:val="none"/>
        </w:rPr>
        <w:t>评标程序</w:t>
      </w:r>
    </w:p>
    <w:p w14:paraId="7D55E94E">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6.1评标前的准备工作</w:t>
      </w:r>
    </w:p>
    <w:p w14:paraId="57E720BE">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（1）全体评委应认真审阅招标文件，了解评委应履行或遵守的职责、义务和评标纪律。</w:t>
      </w:r>
    </w:p>
    <w:p w14:paraId="1780F560">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（2）参加评标委员会的采购人代表可对本项目的背景和采购需求进行介绍，介绍材料应以书面形式提交（随采购文件一并存档），介绍内容不得含有歧视性、倾向性意见，不得超出招标文件所述范围。</w:t>
      </w:r>
    </w:p>
    <w:p w14:paraId="0DA0C960">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6.2符合性审查</w:t>
      </w:r>
    </w:p>
    <w:p w14:paraId="1F8AA303">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（1）评标委员会依据招标文件的实质性要求，对通过资格审查的投标文件进行符合性审查，以确定其是否满足招标文件的实质性要求。</w:t>
      </w:r>
    </w:p>
    <w:p w14:paraId="3EBAF419">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（2）满足招标文件的实质性要求指投标文件对招标文件实质性要求的响应不存在重大偏差或保留。</w:t>
      </w:r>
    </w:p>
    <w:p w14:paraId="6764F57B">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64754E4A">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4）评标委员会审查判断投标文件是否满足招标文件的实质性要求仅基于投标文件本身而不寻求其他的外部证据。未满足招标文件实质性要求的投标文件将被评标委员会否决（即符合性审查不合格），被否决的投标文件不能通过补充、修改（澄清、说明或补正）等方式重新成为满足招标文件实质性要求的投标文件。</w:t>
      </w:r>
    </w:p>
    <w:p w14:paraId="73DCA4BA">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（5）评标委员会对所有投标人都执行相同的程序和标准。</w:t>
      </w:r>
    </w:p>
    <w:p w14:paraId="007F6FD3">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（6）有下列情形之一的，</w:t>
      </w:r>
      <w:r>
        <w:rPr>
          <w:rStyle w:val="34"/>
          <w:rFonts w:hint="eastAsia" w:ascii="宋体" w:hAnsi="宋体" w:cs="宋体"/>
          <w:highlight w:val="none"/>
        </w:rPr>
        <w:t>符合性审查不合格：</w:t>
      </w:r>
    </w:p>
    <w:p w14:paraId="7A2A2D65">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①项目一般情形：</w:t>
      </w:r>
    </w:p>
    <w:tbl>
      <w:tblPr>
        <w:tblStyle w:val="3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58"/>
      </w:tblGrid>
      <w:tr w14:paraId="5289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0" w:type="dxa"/>
        </w:trPr>
        <w:tc>
          <w:tcPr>
            <w:tcW w:w="9658" w:type="dxa"/>
            <w:vAlign w:val="center"/>
          </w:tcPr>
          <w:p w14:paraId="17EE5F5D">
            <w:pPr>
              <w:spacing w:line="420" w:lineRule="exact"/>
              <w:jc w:val="center"/>
              <w:rPr>
                <w:rFonts w:hint="eastAsia" w:ascii="宋体" w:hAnsi="宋体" w:cs="宋体"/>
                <w:b/>
                <w:bCs/>
                <w:sz w:val="24"/>
                <w:highlight w:val="none"/>
              </w:rPr>
            </w:pPr>
            <w:r>
              <w:rPr>
                <w:rFonts w:hint="eastAsia" w:ascii="宋体" w:hAnsi="宋体" w:cs="宋体"/>
                <w:b/>
                <w:bCs/>
                <w:sz w:val="24"/>
                <w:highlight w:val="none"/>
              </w:rPr>
              <w:t>明细</w:t>
            </w:r>
          </w:p>
        </w:tc>
      </w:tr>
      <w:tr w14:paraId="2239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58" w:type="dxa"/>
            <w:vAlign w:val="center"/>
          </w:tcPr>
          <w:p w14:paraId="06063FA3">
            <w:pPr>
              <w:spacing w:line="420" w:lineRule="exact"/>
              <w:rPr>
                <w:rFonts w:hint="eastAsia" w:ascii="宋体" w:hAnsi="宋体" w:cs="宋体"/>
                <w:sz w:val="24"/>
                <w:highlight w:val="none"/>
              </w:rPr>
            </w:pPr>
            <w:r>
              <w:rPr>
                <w:rFonts w:hint="eastAsia" w:ascii="宋体" w:hAnsi="宋体" w:cs="宋体"/>
                <w:sz w:val="24"/>
                <w:highlight w:val="none"/>
              </w:rPr>
              <w:t>属于招标文件中载明“投标无效”条款规定的情形；</w:t>
            </w:r>
          </w:p>
        </w:tc>
      </w:tr>
      <w:tr w14:paraId="332B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58" w:type="dxa"/>
            <w:vAlign w:val="center"/>
          </w:tcPr>
          <w:p w14:paraId="00AD622A">
            <w:pPr>
              <w:spacing w:line="420" w:lineRule="exact"/>
              <w:rPr>
                <w:rFonts w:hint="eastAsia" w:ascii="宋体" w:hAnsi="宋体" w:cs="宋体"/>
                <w:sz w:val="24"/>
                <w:highlight w:val="none"/>
              </w:rPr>
            </w:pPr>
            <w:r>
              <w:rPr>
                <w:rFonts w:hint="eastAsia" w:ascii="宋体" w:hAnsi="宋体" w:cs="宋体"/>
                <w:sz w:val="24"/>
                <w:highlight w:val="none"/>
              </w:rPr>
              <w:t>属于招标文件第三章第10.12条规定的投标无效情形；</w:t>
            </w:r>
          </w:p>
        </w:tc>
      </w:tr>
      <w:tr w14:paraId="5C33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58" w:type="dxa"/>
            <w:vAlign w:val="center"/>
          </w:tcPr>
          <w:p w14:paraId="0AE267A7">
            <w:pPr>
              <w:spacing w:line="420" w:lineRule="exact"/>
              <w:rPr>
                <w:rFonts w:hint="eastAsia" w:ascii="宋体" w:hAnsi="宋体" w:cs="宋体"/>
                <w:sz w:val="24"/>
                <w:highlight w:val="none"/>
              </w:rPr>
            </w:pPr>
            <w:r>
              <w:rPr>
                <w:rFonts w:hint="eastAsia" w:ascii="宋体" w:hAnsi="宋体" w:cs="宋体"/>
                <w:sz w:val="24"/>
                <w:highlight w:val="none"/>
              </w:rPr>
              <w:t>投标文件对招标文件实质性要求的响应存在重大偏离或保留。</w:t>
            </w:r>
          </w:p>
        </w:tc>
      </w:tr>
    </w:tbl>
    <w:p w14:paraId="4D464790">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②本项目规定的其他情形：</w:t>
      </w:r>
    </w:p>
    <w:p w14:paraId="01C69264">
      <w:pPr>
        <w:spacing w:line="420" w:lineRule="exact"/>
        <w:rPr>
          <w:rFonts w:hint="eastAsia" w:ascii="宋体" w:hAnsi="宋体" w:cs="宋体"/>
          <w:sz w:val="24"/>
          <w:highlight w:val="none"/>
        </w:rPr>
      </w:pPr>
      <w:r>
        <w:rPr>
          <w:rFonts w:hint="eastAsia" w:ascii="宋体" w:hAnsi="宋体" w:cs="宋体"/>
          <w:sz w:val="24"/>
          <w:highlight w:val="none"/>
        </w:rPr>
        <w:t xml:space="preserve">技术符合性 </w:t>
      </w:r>
    </w:p>
    <w:tbl>
      <w:tblPr>
        <w:tblStyle w:val="3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58"/>
      </w:tblGrid>
      <w:tr w14:paraId="2955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0" w:type="dxa"/>
        </w:trPr>
        <w:tc>
          <w:tcPr>
            <w:tcW w:w="9658" w:type="dxa"/>
            <w:vAlign w:val="center"/>
          </w:tcPr>
          <w:p w14:paraId="72F87F3F">
            <w:pPr>
              <w:spacing w:line="420" w:lineRule="exact"/>
              <w:jc w:val="center"/>
              <w:rPr>
                <w:rFonts w:hint="eastAsia" w:ascii="宋体" w:hAnsi="宋体" w:cs="宋体"/>
                <w:b/>
                <w:bCs/>
                <w:sz w:val="24"/>
                <w:highlight w:val="none"/>
              </w:rPr>
            </w:pPr>
            <w:r>
              <w:rPr>
                <w:rFonts w:hint="eastAsia" w:ascii="宋体" w:hAnsi="宋体" w:cs="宋体"/>
                <w:b/>
                <w:bCs/>
                <w:sz w:val="24"/>
                <w:highlight w:val="none"/>
              </w:rPr>
              <w:t>明细</w:t>
            </w:r>
          </w:p>
        </w:tc>
      </w:tr>
      <w:tr w14:paraId="4521E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58" w:type="dxa"/>
            <w:vAlign w:val="center"/>
          </w:tcPr>
          <w:p w14:paraId="5625FA23">
            <w:pPr>
              <w:spacing w:line="420" w:lineRule="exact"/>
              <w:rPr>
                <w:rFonts w:hint="eastAsia" w:ascii="宋体" w:hAnsi="宋体" w:cs="宋体"/>
                <w:sz w:val="24"/>
                <w:highlight w:val="none"/>
                <w:lang w:bidi="ar"/>
              </w:rPr>
            </w:pPr>
            <w:r>
              <w:rPr>
                <w:rFonts w:hint="eastAsia" w:ascii="宋体" w:hAnsi="宋体" w:cs="宋体"/>
                <w:sz w:val="24"/>
                <w:highlight w:val="none"/>
              </w:rPr>
              <w:t>技术部分中出现报价部分的全部或部分的投标报价信息（或组成资料）。</w:t>
            </w:r>
          </w:p>
        </w:tc>
      </w:tr>
      <w:tr w14:paraId="0609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58" w:type="dxa"/>
            <w:vAlign w:val="center"/>
          </w:tcPr>
          <w:p w14:paraId="0B78386B">
            <w:pPr>
              <w:spacing w:line="420" w:lineRule="exact"/>
              <w:rPr>
                <w:rFonts w:hint="eastAsia" w:ascii="宋体" w:hAnsi="宋体" w:cs="宋体"/>
                <w:sz w:val="24"/>
                <w:highlight w:val="none"/>
              </w:rPr>
            </w:pPr>
            <w:r>
              <w:rPr>
                <w:rFonts w:hint="eastAsia" w:ascii="宋体" w:hAnsi="宋体" w:cs="宋体"/>
                <w:sz w:val="24"/>
                <w:highlight w:val="none"/>
              </w:rPr>
              <w:t>属于招标文件中载明“投标无效”条款规定的情形。</w:t>
            </w:r>
          </w:p>
        </w:tc>
      </w:tr>
    </w:tbl>
    <w:p w14:paraId="78B08CD1">
      <w:pPr>
        <w:spacing w:line="420" w:lineRule="exact"/>
        <w:rPr>
          <w:rFonts w:hint="eastAsia" w:ascii="宋体" w:hAnsi="宋体" w:cs="宋体"/>
          <w:sz w:val="24"/>
          <w:highlight w:val="none"/>
        </w:rPr>
      </w:pPr>
      <w:r>
        <w:rPr>
          <w:rFonts w:hint="eastAsia" w:ascii="宋体" w:hAnsi="宋体" w:cs="宋体"/>
          <w:sz w:val="24"/>
          <w:highlight w:val="none"/>
        </w:rPr>
        <w:t xml:space="preserve">商务符合性 </w:t>
      </w:r>
    </w:p>
    <w:tbl>
      <w:tblPr>
        <w:tblStyle w:val="31"/>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58"/>
      </w:tblGrid>
      <w:tr w14:paraId="3805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0" w:type="dxa"/>
        </w:trPr>
        <w:tc>
          <w:tcPr>
            <w:tcW w:w="9658" w:type="dxa"/>
            <w:vAlign w:val="center"/>
          </w:tcPr>
          <w:p w14:paraId="5B6804E9">
            <w:pPr>
              <w:spacing w:line="420" w:lineRule="exact"/>
              <w:jc w:val="center"/>
              <w:rPr>
                <w:rFonts w:hint="eastAsia" w:ascii="宋体" w:hAnsi="宋体" w:cs="宋体"/>
                <w:b/>
                <w:bCs/>
                <w:sz w:val="24"/>
                <w:highlight w:val="none"/>
              </w:rPr>
            </w:pPr>
            <w:r>
              <w:rPr>
                <w:rFonts w:hint="eastAsia" w:ascii="宋体" w:hAnsi="宋体" w:cs="宋体"/>
                <w:b/>
                <w:bCs/>
                <w:sz w:val="24"/>
                <w:highlight w:val="none"/>
              </w:rPr>
              <w:t>明细</w:t>
            </w:r>
          </w:p>
        </w:tc>
      </w:tr>
      <w:tr w14:paraId="3BF4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0" w:type="dxa"/>
        </w:trPr>
        <w:tc>
          <w:tcPr>
            <w:tcW w:w="9658" w:type="dxa"/>
            <w:vAlign w:val="center"/>
          </w:tcPr>
          <w:p w14:paraId="4291DE45">
            <w:pPr>
              <w:spacing w:line="420" w:lineRule="exact"/>
              <w:rPr>
                <w:rFonts w:hint="eastAsia" w:ascii="宋体" w:hAnsi="宋体" w:cs="宋体"/>
                <w:b/>
                <w:bCs/>
                <w:sz w:val="24"/>
                <w:highlight w:val="none"/>
              </w:rPr>
            </w:pPr>
            <w:r>
              <w:rPr>
                <w:rFonts w:hint="eastAsia" w:ascii="宋体" w:hAnsi="宋体" w:cs="宋体"/>
                <w:sz w:val="24"/>
                <w:highlight w:val="none"/>
              </w:rPr>
              <w:t>商务部分中出现报价部分的全部或部分的投标报价信息（或组成资料）。</w:t>
            </w:r>
          </w:p>
        </w:tc>
      </w:tr>
      <w:tr w14:paraId="3B292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58" w:type="dxa"/>
            <w:vAlign w:val="center"/>
          </w:tcPr>
          <w:p w14:paraId="7FBA8DD6">
            <w:pPr>
              <w:spacing w:line="420" w:lineRule="exact"/>
              <w:rPr>
                <w:rFonts w:hint="eastAsia" w:ascii="宋体" w:hAnsi="宋体" w:cs="宋体"/>
                <w:sz w:val="24"/>
                <w:highlight w:val="none"/>
              </w:rPr>
            </w:pPr>
            <w:r>
              <w:rPr>
                <w:rFonts w:hint="eastAsia" w:ascii="宋体" w:hAnsi="宋体" w:cs="宋体"/>
                <w:sz w:val="24"/>
                <w:highlight w:val="none"/>
              </w:rPr>
              <w:t>属于</w:t>
            </w:r>
            <w:r>
              <w:rPr>
                <w:rFonts w:hint="eastAsia" w:ascii="宋体" w:hAnsi="宋体" w:cs="宋体"/>
                <w:kern w:val="0"/>
                <w:sz w:val="24"/>
                <w:highlight w:val="none"/>
                <w:lang w:bidi="ar"/>
              </w:rPr>
              <w:t>未响应或不满足招标文件第五章招标内容及要求“三、商务条件”中任一条款的。</w:t>
            </w:r>
          </w:p>
        </w:tc>
      </w:tr>
      <w:tr w14:paraId="3081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58" w:type="dxa"/>
            <w:vAlign w:val="center"/>
          </w:tcPr>
          <w:p w14:paraId="7BFC8E35">
            <w:pPr>
              <w:spacing w:line="420" w:lineRule="exact"/>
              <w:rPr>
                <w:rFonts w:hint="eastAsia" w:ascii="宋体" w:hAnsi="宋体" w:cs="宋体"/>
                <w:sz w:val="24"/>
                <w:highlight w:val="none"/>
              </w:rPr>
            </w:pPr>
            <w:r>
              <w:rPr>
                <w:rFonts w:hint="eastAsia" w:ascii="宋体" w:hAnsi="宋体" w:cs="宋体"/>
                <w:sz w:val="24"/>
                <w:highlight w:val="none"/>
              </w:rPr>
              <w:t>属于招标文件中载明“投标无效”条款规定的情形。</w:t>
            </w:r>
          </w:p>
        </w:tc>
      </w:tr>
    </w:tbl>
    <w:p w14:paraId="13D01B56">
      <w:pPr>
        <w:spacing w:line="420" w:lineRule="exact"/>
        <w:rPr>
          <w:rFonts w:hint="eastAsia" w:ascii="宋体" w:hAnsi="宋体" w:cs="宋体"/>
          <w:sz w:val="24"/>
          <w:highlight w:val="none"/>
        </w:rPr>
      </w:pPr>
      <w:r>
        <w:rPr>
          <w:rFonts w:hint="eastAsia" w:ascii="宋体" w:hAnsi="宋体" w:cs="宋体"/>
          <w:sz w:val="24"/>
          <w:highlight w:val="none"/>
        </w:rPr>
        <w:t xml:space="preserve">价格符合性 </w:t>
      </w:r>
    </w:p>
    <w:tbl>
      <w:tblPr>
        <w:tblStyle w:val="31"/>
        <w:tblW w:w="9725" w:type="dxa"/>
        <w:tblCellSpacing w:w="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25"/>
      </w:tblGrid>
      <w:tr w14:paraId="35B3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9725" w:type="dxa"/>
            <w:vAlign w:val="center"/>
          </w:tcPr>
          <w:p w14:paraId="139A6B10">
            <w:pPr>
              <w:spacing w:line="420" w:lineRule="exact"/>
              <w:jc w:val="center"/>
              <w:rPr>
                <w:rFonts w:hint="eastAsia" w:ascii="宋体" w:hAnsi="宋体" w:cs="宋体"/>
                <w:b/>
                <w:bCs/>
                <w:sz w:val="24"/>
                <w:highlight w:val="none"/>
              </w:rPr>
            </w:pPr>
            <w:r>
              <w:rPr>
                <w:rFonts w:hint="eastAsia" w:ascii="宋体" w:hAnsi="宋体" w:cs="宋体"/>
                <w:b/>
                <w:bCs/>
                <w:sz w:val="24"/>
                <w:highlight w:val="none"/>
              </w:rPr>
              <w:t>明细</w:t>
            </w:r>
          </w:p>
        </w:tc>
      </w:tr>
      <w:tr w14:paraId="3D98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725" w:type="dxa"/>
            <w:vAlign w:val="center"/>
          </w:tcPr>
          <w:p w14:paraId="166C85E3">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w:t>
            </w:r>
            <w:r>
              <w:rPr>
                <w:rStyle w:val="34"/>
                <w:rFonts w:hint="eastAsia" w:ascii="宋体" w:hAnsi="宋体" w:cs="宋体"/>
                <w:highlight w:val="none"/>
              </w:rPr>
              <w:t>投标无效</w:t>
            </w:r>
            <w:r>
              <w:rPr>
                <w:rFonts w:hint="eastAsia" w:ascii="宋体" w:hAnsi="宋体" w:cs="宋体"/>
                <w:highlight w:val="none"/>
              </w:rPr>
              <w:t>处理；</w:t>
            </w:r>
          </w:p>
        </w:tc>
      </w:tr>
      <w:tr w14:paraId="38E6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725" w:type="dxa"/>
            <w:vAlign w:val="center"/>
          </w:tcPr>
          <w:p w14:paraId="3FED324E">
            <w:pPr>
              <w:spacing w:line="420" w:lineRule="exact"/>
              <w:rPr>
                <w:rFonts w:hint="eastAsia" w:ascii="宋体" w:hAnsi="宋体" w:cs="宋体"/>
                <w:sz w:val="24"/>
                <w:highlight w:val="none"/>
              </w:rPr>
            </w:pPr>
            <w:r>
              <w:rPr>
                <w:rFonts w:hint="eastAsia" w:ascii="宋体" w:hAnsi="宋体" w:cs="宋体"/>
                <w:kern w:val="0"/>
                <w:sz w:val="24"/>
                <w:highlight w:val="none"/>
                <w:lang w:bidi="ar"/>
              </w:rPr>
              <w:t>投标报价超过招标文件中规定的预算金额或单价限价或总价限价的</w:t>
            </w:r>
            <w:r>
              <w:rPr>
                <w:rFonts w:hint="eastAsia" w:ascii="宋体" w:hAnsi="宋体" w:cs="宋体"/>
                <w:sz w:val="24"/>
                <w:highlight w:val="none"/>
              </w:rPr>
              <w:t>；</w:t>
            </w:r>
          </w:p>
        </w:tc>
      </w:tr>
      <w:tr w14:paraId="47A8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725" w:type="dxa"/>
            <w:vAlign w:val="center"/>
          </w:tcPr>
          <w:p w14:paraId="6CA5928E">
            <w:pPr>
              <w:pStyle w:val="10"/>
              <w:rPr>
                <w:rFonts w:hint="eastAsia" w:ascii="宋体" w:hAnsi="宋体" w:cs="宋体"/>
                <w:highlight w:val="none"/>
              </w:rPr>
            </w:pPr>
            <w:r>
              <w:rPr>
                <w:rFonts w:hint="eastAsia" w:ascii="宋体" w:hAnsi="宋体" w:cs="宋体"/>
                <w:highlight w:val="none"/>
                <w:lang w:bidi="ar"/>
              </w:rPr>
              <w:t>有出现任何可选择性的投标报价的</w:t>
            </w:r>
            <w:r>
              <w:rPr>
                <w:rFonts w:hint="eastAsia" w:ascii="宋体" w:hAnsi="宋体" w:cs="宋体"/>
                <w:highlight w:val="none"/>
              </w:rPr>
              <w:t>。</w:t>
            </w:r>
          </w:p>
        </w:tc>
      </w:tr>
      <w:tr w14:paraId="771AB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725" w:type="dxa"/>
            <w:vAlign w:val="center"/>
          </w:tcPr>
          <w:p w14:paraId="3FF2E2E6">
            <w:pPr>
              <w:pStyle w:val="10"/>
              <w:rPr>
                <w:rFonts w:hint="eastAsia" w:ascii="宋体" w:hAnsi="宋体" w:cs="宋体"/>
                <w:highlight w:val="none"/>
              </w:rPr>
            </w:pPr>
            <w:r>
              <w:rPr>
                <w:rFonts w:hint="eastAsia" w:ascii="宋体" w:hAnsi="宋体" w:cs="宋体"/>
                <w:highlight w:val="none"/>
              </w:rPr>
              <w:t>为强化采购异常低价审查，在本项目采购评审中出现下列情形之一的，评审委员会应当启动异常低价投标（响应）审查程序：1.投标（响应）报价低于全部通过符合性审查供应商投标（响应）报价平均值50%的，即投标（响应）报价＜全部通过符合性审查供应商投标（响应）报价平均值×50%；2.投标（响应）报价低于通过符合性审查的次低报价供应商投标（响应）报价50%的，即投标（响应）报价＜通过符合性审查的次低报价供应商投标（响应）报价×50%；3.投标（响应）报价低于采购项目最高限价45%的，即投标（响应）报价＜采购项目最高限价×45%；4.评审委员会基于专业判断，认为供应商报价过低，有可能影响产品质量或者不能诚信履约的其他情形。评审委员会启动异常低价投标（响应）审查后，属于前述第1项至第4项情形的，应当要求相关供应商在评审现场合理的时间内对投标（响应）价格作出解释</w:t>
            </w:r>
            <w:r>
              <w:rPr>
                <w:rFonts w:hint="eastAsia" w:ascii="宋体" w:hAnsi="宋体" w:cs="宋体"/>
                <w:highlight w:val="none"/>
                <w:lang w:eastAsia="zh-CN"/>
              </w:rPr>
              <w:t>，并</w:t>
            </w:r>
            <w:r>
              <w:rPr>
                <w:rFonts w:hint="eastAsia" w:ascii="宋体" w:hAnsi="宋体" w:cs="宋体"/>
                <w:highlight w:val="none"/>
              </w:rPr>
              <w:t>提供项目具体成本测算等与报价合理性相关的书面说明及必要的证明材料，包括但不限于原材料成本、人工成本、制造费用等。其中，属于第3项情形，供应商已在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异常低价投标（响应）审查的启动原因、审查意见和审查结果应当在评审报告中记录，并随供应商提供的相关书面说明及证明材料，以及评审委员会有关互联网浏览、查询历史一并归档。</w:t>
            </w:r>
          </w:p>
        </w:tc>
      </w:tr>
    </w:tbl>
    <w:p w14:paraId="0E502D5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6.3澄清有关问题</w:t>
      </w:r>
    </w:p>
    <w:p w14:paraId="14299889">
      <w:pPr>
        <w:pStyle w:val="10"/>
        <w:spacing w:before="0" w:beforeAutospacing="0" w:after="0" w:afterAutospacing="0" w:line="420" w:lineRule="exact"/>
        <w:ind w:firstLine="330"/>
        <w:rPr>
          <w:rFonts w:hint="eastAsia" w:ascii="宋体" w:hAnsi="宋体" w:cs="宋体"/>
          <w:highlight w:val="none"/>
        </w:rPr>
      </w:pPr>
      <w:r>
        <w:rPr>
          <w:rFonts w:hint="eastAsia" w:ascii="宋体" w:hAnsi="宋体" w:cs="宋体"/>
          <w:highlight w:val="none"/>
        </w:rPr>
        <w:t>（1）对通过符合性审查的投标文件中含义不明确、同类问题表述不一致或有明显文字和计算错误的内容，评标委员会将以书面形式要求投标人作出必要的澄清、说明或补正。</w:t>
      </w:r>
    </w:p>
    <w:p w14:paraId="58AE2BE2">
      <w:pPr>
        <w:pStyle w:val="10"/>
        <w:spacing w:before="0" w:beforeAutospacing="0" w:after="0" w:afterAutospacing="0" w:line="420" w:lineRule="exact"/>
        <w:ind w:firstLine="330"/>
        <w:rPr>
          <w:rFonts w:hint="eastAsia" w:ascii="宋体" w:hAnsi="宋体" w:cs="宋体"/>
          <w:highlight w:val="none"/>
        </w:rPr>
      </w:pPr>
      <w:r>
        <w:rPr>
          <w:rFonts w:hint="eastAsia" w:ascii="宋体" w:hAnsi="宋体" w:cs="宋体"/>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投标文件的范围或改变投标文件的实质性内容。若投标人未按照前述规定向评标委员会提交书面澄清、说明或补正，则评标委员会将按照不利于投标人的内容进行认定。</w:t>
      </w:r>
    </w:p>
    <w:p w14:paraId="6853E0A3">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（3）投标文件报价出现前后不一致的，除招标文件另有规定外，按照下列规定修正：</w:t>
      </w:r>
    </w:p>
    <w:p w14:paraId="226C6FCE">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①开标一览表内容与投标文件中相应内容不一致的，以开标一览表为准；</w:t>
      </w:r>
    </w:p>
    <w:p w14:paraId="3F913D4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②大写金额和小写金额不一致的，以大写金额为准；</w:t>
      </w:r>
    </w:p>
    <w:p w14:paraId="21A01AE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③单价金额小数点或百分比有明显错位的，以开标一览表的总价为准，并修改单价；</w:t>
      </w:r>
    </w:p>
    <w:p w14:paraId="1F39817E">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④总价金额与按照单价汇总金额不一致的，以单价金额计算结果为准。</w:t>
      </w:r>
    </w:p>
    <w:p w14:paraId="217DAFF2">
      <w:pPr>
        <w:pStyle w:val="10"/>
        <w:spacing w:before="0" w:beforeAutospacing="0" w:after="0" w:afterAutospacing="0" w:line="420" w:lineRule="exact"/>
        <w:ind w:firstLine="378"/>
        <w:rPr>
          <w:rFonts w:hint="eastAsia" w:ascii="宋体" w:hAnsi="宋体" w:cs="宋体"/>
          <w:highlight w:val="none"/>
        </w:rPr>
      </w:pPr>
      <w:r>
        <w:rPr>
          <w:rStyle w:val="34"/>
          <w:rFonts w:hint="eastAsia" w:ascii="宋体" w:hAnsi="宋体" w:cs="宋体"/>
          <w:highlight w:val="none"/>
        </w:rPr>
        <w:t>※同时出现两种以上不一致的，按照前款规定的顺序修正。修正后的报价应按照本章第6.3条第（1）、（2）款规定经投标人确认后产生约束力，投标人不确认的，其投标无效。</w:t>
      </w:r>
    </w:p>
    <w:p w14:paraId="4D068F1F">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（4）关于细微偏差</w:t>
      </w:r>
    </w:p>
    <w:p w14:paraId="7D95B73A">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①细微偏差指投标文件实质性响应招标文件要求，但在个别地方存在漏项或提供了不完整的技术信息和数据等情况，并且补正这些遗漏或不完整不会对其他投标人造成不公平的结果。细微偏差不影响投标文件的有效性。</w:t>
      </w:r>
    </w:p>
    <w:p w14:paraId="183A13B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②评标委员会将以书面形式要求存在细微偏差的投标人在评标委员会规定的时间内予以补正。若无法补正，则评标委员会将按照不利于投标人的内容进行认定。</w:t>
      </w:r>
    </w:p>
    <w:p w14:paraId="56BE5F14">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（5）关于投标描述（即投标文件中描述的内容）</w:t>
      </w:r>
    </w:p>
    <w:p w14:paraId="543AAE04">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①投标描述前后不一致且不涉及证明材料的：按照本章第6.3条第（1）、（2）款规定执行。</w:t>
      </w:r>
    </w:p>
    <w:p w14:paraId="0FE1651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②投标描述与证明材料不一致或多份证明材料之间不一致的：</w:t>
      </w:r>
    </w:p>
    <w:p w14:paraId="20316CD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a.评标委员会将要求投标人进行书面澄清，并按照不利于投标人的内容进行评标。</w:t>
      </w:r>
    </w:p>
    <w:p w14:paraId="67DE9EAA">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001AEAC0">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4555F42B">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6.4比较与评价</w:t>
      </w:r>
    </w:p>
    <w:p w14:paraId="707D2740">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（1）按照本章第7条载明的评标方法和标准，对符合性审查合格的投标文件进行比较与评价。</w:t>
      </w:r>
    </w:p>
    <w:p w14:paraId="1B26645A">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（2）关于相同品牌产品</w:t>
      </w:r>
      <w:r>
        <w:rPr>
          <w:rStyle w:val="34"/>
          <w:rFonts w:hint="eastAsia" w:ascii="宋体" w:hAnsi="宋体" w:cs="宋体"/>
          <w:highlight w:val="none"/>
        </w:rPr>
        <w:t>（服务类项目不适用本条款规定）</w:t>
      </w:r>
    </w:p>
    <w:p w14:paraId="45F593C2">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08A0174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a.招标文件规定的方式：</w:t>
      </w:r>
      <w:r>
        <w:rPr>
          <w:rStyle w:val="62"/>
          <w:rFonts w:hint="eastAsia" w:ascii="宋体" w:hAnsi="宋体" w:cs="宋体"/>
          <w:highlight w:val="none"/>
          <w:u w:val="single"/>
        </w:rPr>
        <w:t>无</w:t>
      </w:r>
      <w:r>
        <w:rPr>
          <w:rFonts w:hint="eastAsia" w:ascii="宋体" w:hAnsi="宋体" w:cs="宋体"/>
          <w:highlight w:val="none"/>
        </w:rPr>
        <w:t>。</w:t>
      </w:r>
    </w:p>
    <w:p w14:paraId="0F7216B6">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b.招标文件未规定的，采取随机抽取方式确定，其他</w:t>
      </w:r>
      <w:r>
        <w:rPr>
          <w:rStyle w:val="34"/>
          <w:rFonts w:hint="eastAsia" w:ascii="宋体" w:hAnsi="宋体" w:cs="宋体"/>
          <w:highlight w:val="none"/>
        </w:rPr>
        <w:t>投标无效。</w:t>
      </w:r>
    </w:p>
    <w:p w14:paraId="38B3ED52">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628D8056">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a.招标文件规定的方式：</w:t>
      </w:r>
      <w:r>
        <w:rPr>
          <w:rStyle w:val="62"/>
          <w:rFonts w:hint="eastAsia" w:ascii="宋体" w:hAnsi="宋体" w:cs="宋体"/>
          <w:highlight w:val="none"/>
          <w:u w:val="single"/>
        </w:rPr>
        <w:t>无</w:t>
      </w:r>
      <w:r>
        <w:rPr>
          <w:rFonts w:hint="eastAsia" w:ascii="宋体" w:hAnsi="宋体" w:cs="宋体"/>
          <w:highlight w:val="none"/>
        </w:rPr>
        <w:t>。</w:t>
      </w:r>
    </w:p>
    <w:p w14:paraId="55814872">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b.招标文件未规定的，采取随机抽取方式确定，其他同品牌投标人不作为中标候选人。</w:t>
      </w:r>
    </w:p>
    <w:p w14:paraId="7CB4DE48">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③非单一产品采购项目，多家投标人提供的核心产品品牌相同的，按照本章第6.4条第（2）款第①、②规定处理。</w:t>
      </w:r>
    </w:p>
    <w:p w14:paraId="46C5E109">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（3）漏（缺）项</w:t>
      </w:r>
    </w:p>
    <w:p w14:paraId="61DC5B1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①招标文件中要求列入报价的费用（含配置、功能），漏（缺）项的报价视为已经包括在投标总价中。</w:t>
      </w:r>
    </w:p>
    <w:p w14:paraId="44086FF0">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②对多报项及赠送项的价格评标时不予核减，全部进入评标价评议。</w:t>
      </w:r>
    </w:p>
    <w:p w14:paraId="16528EE5">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6.5推荐中标候选人：详见本章第7.2条规定。</w:t>
      </w:r>
    </w:p>
    <w:p w14:paraId="4D5BD704">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6.6编写评标报告</w:t>
      </w:r>
    </w:p>
    <w:p w14:paraId="61272F75">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（1）评标报告由评标委员会负责编写。</w:t>
      </w:r>
    </w:p>
    <w:p w14:paraId="05C99AB3">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（2）评标报告应包括下列内容：</w:t>
      </w:r>
    </w:p>
    <w:p w14:paraId="69612B1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①招标公告刊登的媒体名称、开标日期和地点；</w:t>
      </w:r>
    </w:p>
    <w:p w14:paraId="480D7B4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②投标人名单和评标委员会成员名单；</w:t>
      </w:r>
    </w:p>
    <w:p w14:paraId="5D619258">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③评标方法和标准；</w:t>
      </w:r>
    </w:p>
    <w:p w14:paraId="12BBB0BB">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④开标记录和评标情况及说明，包括无效投标人名单及原因；</w:t>
      </w:r>
    </w:p>
    <w:p w14:paraId="070914F1">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⑤评标结果，包括中标候选人名单或确定的中标人；</w:t>
      </w:r>
    </w:p>
    <w:p w14:paraId="2C003DBC">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⑥其他需要说明的情况，包括但不限于：评标过程中投标人的澄清、说明或补正，评委更换等。</w:t>
      </w:r>
    </w:p>
    <w:p w14:paraId="57843602">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w:t>
      </w:r>
      <w:r>
        <w:rPr>
          <w:rStyle w:val="34"/>
          <w:rFonts w:hint="eastAsia" w:ascii="宋体" w:hAnsi="宋体" w:cs="宋体"/>
          <w:highlight w:val="none"/>
        </w:rPr>
        <w:t>投标无效</w:t>
      </w:r>
      <w:r>
        <w:rPr>
          <w:rFonts w:hint="eastAsia" w:ascii="宋体" w:hAnsi="宋体" w:cs="宋体"/>
          <w:highlight w:val="none"/>
        </w:rPr>
        <w:t>处理。</w:t>
      </w:r>
    </w:p>
    <w:p w14:paraId="2A1813AC">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6.8评委对需要共同认定的事项存在争议的，应按照少数服从多数的原则进行认定。</w:t>
      </w:r>
      <w:r>
        <w:rPr>
          <w:rStyle w:val="34"/>
          <w:rFonts w:hint="eastAsia" w:ascii="宋体" w:hAnsi="宋体" w:cs="宋体"/>
          <w:highlight w:val="none"/>
        </w:rPr>
        <w:t>持不同意见的评委应在评标报告上签署不同意见及理由，否则视为同意评标报告。</w:t>
      </w:r>
    </w:p>
    <w:p w14:paraId="7C1BB58B">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6.9在评标过程中发现投标人有下列情形之一的，评标委员会应认定其</w:t>
      </w:r>
      <w:r>
        <w:rPr>
          <w:rStyle w:val="34"/>
          <w:rFonts w:hint="eastAsia" w:ascii="宋体" w:hAnsi="宋体" w:cs="宋体"/>
          <w:highlight w:val="none"/>
        </w:rPr>
        <w:t>投标无效</w:t>
      </w:r>
      <w:r>
        <w:rPr>
          <w:rFonts w:hint="eastAsia" w:ascii="宋体" w:hAnsi="宋体" w:cs="宋体"/>
          <w:highlight w:val="none"/>
        </w:rPr>
        <w:t>，并书面报告本项目监督管理部门：</w:t>
      </w:r>
    </w:p>
    <w:p w14:paraId="6E62433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（1）恶意串通（包括但不限于招标文件第三章第9.7条规定情形）；</w:t>
      </w:r>
    </w:p>
    <w:p w14:paraId="41352E1A">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（2）妨碍其他投标人的竞争行为；</w:t>
      </w:r>
    </w:p>
    <w:p w14:paraId="3A107E31">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（3）损害采购人或其他投标人的合法权益</w:t>
      </w:r>
      <w:r>
        <w:rPr>
          <w:rFonts w:hint="eastAsia" w:ascii="宋体" w:hAnsi="宋体" w:cs="宋体"/>
          <w:highlight w:val="none"/>
          <w:lang w:eastAsia="zh-CN"/>
        </w:rPr>
        <w:t>；</w:t>
      </w:r>
    </w:p>
    <w:p w14:paraId="1B47006A">
      <w:pPr>
        <w:pStyle w:val="10"/>
        <w:spacing w:before="0" w:beforeAutospacing="0" w:after="0" w:afterAutospacing="0" w:line="420" w:lineRule="exact"/>
        <w:ind w:firstLine="380"/>
        <w:rPr>
          <w:rFonts w:hint="eastAsia" w:ascii="宋体" w:hAnsi="宋体" w:cs="宋体"/>
          <w:highlight w:val="none"/>
          <w:lang w:eastAsia="zh-CN"/>
        </w:rPr>
      </w:pPr>
      <w:r>
        <w:rPr>
          <w:rFonts w:hint="eastAsia" w:ascii="宋体" w:hAnsi="宋体" w:cs="宋体"/>
          <w:highlight w:val="none"/>
        </w:rPr>
        <w:t>（</w:t>
      </w:r>
      <w:r>
        <w:rPr>
          <w:rFonts w:hint="eastAsia" w:ascii="宋体" w:hAnsi="宋体" w:cs="宋体"/>
          <w:highlight w:val="none"/>
          <w:lang w:val="en-US" w:eastAsia="zh-CN"/>
        </w:rPr>
        <w:t>4</w:t>
      </w:r>
      <w:r>
        <w:rPr>
          <w:rFonts w:hint="eastAsia" w:ascii="宋体" w:hAnsi="宋体" w:cs="宋体"/>
          <w:highlight w:val="none"/>
        </w:rPr>
        <w:t>）投标活动异常关联</w:t>
      </w:r>
      <w:r>
        <w:rPr>
          <w:rFonts w:hint="eastAsia" w:ascii="宋体" w:hAnsi="宋体" w:cs="宋体"/>
          <w:highlight w:val="none"/>
          <w:lang w:eastAsia="zh-CN"/>
        </w:rPr>
        <w:t>；</w:t>
      </w:r>
    </w:p>
    <w:p w14:paraId="7C4FD1FA">
      <w:pPr>
        <w:pStyle w:val="10"/>
        <w:spacing w:before="0" w:beforeAutospacing="0" w:after="0" w:afterAutospacing="0" w:line="420" w:lineRule="exact"/>
        <w:ind w:firstLine="380"/>
        <w:rPr>
          <w:rFonts w:hint="eastAsia" w:ascii="宋体" w:hAnsi="宋体" w:cs="宋体"/>
          <w:highlight w:val="none"/>
        </w:rPr>
      </w:pPr>
      <w:r>
        <w:rPr>
          <w:rFonts w:hint="eastAsia" w:ascii="宋体" w:hAnsi="宋体" w:cs="宋体"/>
          <w:highlight w:val="none"/>
        </w:rPr>
        <w:t>（</w:t>
      </w:r>
      <w:r>
        <w:rPr>
          <w:rFonts w:hint="eastAsia" w:ascii="宋体" w:hAnsi="宋体" w:cs="宋体"/>
          <w:highlight w:val="none"/>
          <w:lang w:val="en-US" w:eastAsia="zh-CN"/>
        </w:rPr>
        <w:t>5</w:t>
      </w:r>
      <w:r>
        <w:rPr>
          <w:rFonts w:hint="eastAsia" w:ascii="宋体" w:hAnsi="宋体" w:cs="宋体"/>
          <w:highlight w:val="none"/>
        </w:rPr>
        <w:t>）通过受让、租借、挂靠资质投标，伪造、变造资质、资格证书或者其他许可证件，提供虚假业绩、奖项、项目负责人等材料。</w:t>
      </w:r>
    </w:p>
    <w:p w14:paraId="1767D1FF">
      <w:pPr>
        <w:pStyle w:val="10"/>
        <w:spacing w:before="0" w:beforeAutospacing="0" w:after="0" w:afterAutospacing="0" w:line="420" w:lineRule="exact"/>
        <w:ind w:firstLine="480" w:firstLineChars="200"/>
        <w:rPr>
          <w:rFonts w:hint="eastAsia" w:ascii="宋体" w:hAnsi="宋体" w:eastAsia="宋体" w:cs="宋体"/>
          <w:highlight w:val="none"/>
          <w:lang w:val="en-US" w:eastAsia="zh-CN"/>
        </w:rPr>
      </w:pPr>
      <w:r>
        <w:rPr>
          <w:rFonts w:hint="eastAsia" w:ascii="宋体" w:hAnsi="宋体" w:cs="宋体"/>
          <w:highlight w:val="none"/>
          <w:lang w:val="en-US" w:eastAsia="zh-CN"/>
        </w:rPr>
        <w:t>若投标人出现第（1）项情形</w:t>
      </w:r>
      <w:r>
        <w:rPr>
          <w:rFonts w:hint="eastAsia" w:ascii="宋体" w:hAnsi="宋体" w:cs="宋体"/>
          <w:highlight w:val="none"/>
        </w:rPr>
        <w:t>不予退还投标保证金</w:t>
      </w:r>
      <w:r>
        <w:rPr>
          <w:rFonts w:hint="eastAsia" w:ascii="宋体" w:hAnsi="宋体" w:cs="宋体"/>
          <w:highlight w:val="none"/>
          <w:lang w:eastAsia="zh-CN"/>
        </w:rPr>
        <w:t>。</w:t>
      </w:r>
      <w:r>
        <w:rPr>
          <w:rFonts w:hint="eastAsia" w:ascii="宋体" w:hAnsi="宋体" w:cs="宋体"/>
          <w:highlight w:val="none"/>
          <w:lang w:val="en-US" w:eastAsia="zh-CN"/>
        </w:rPr>
        <w:t>若投标人出现第（4）项的具体情形</w:t>
      </w:r>
      <w:r>
        <w:rPr>
          <w:rFonts w:hint="eastAsia" w:ascii="宋体" w:hAnsi="宋体" w:cs="宋体"/>
          <w:highlight w:val="none"/>
        </w:rPr>
        <w:t>应当允许投标人向评标委员会、</w:t>
      </w:r>
      <w:r>
        <w:rPr>
          <w:rFonts w:hint="eastAsia" w:ascii="宋体" w:hAnsi="宋体" w:cs="宋体"/>
          <w:highlight w:val="none"/>
          <w:lang w:eastAsia="zh-CN"/>
        </w:rPr>
        <w:t>采购人</w:t>
      </w:r>
      <w:r>
        <w:rPr>
          <w:rFonts w:hint="eastAsia" w:ascii="宋体" w:hAnsi="宋体" w:cs="宋体"/>
          <w:highlight w:val="none"/>
        </w:rPr>
        <w:t>作出解释说明。评标委员会、</w:t>
      </w:r>
      <w:r>
        <w:rPr>
          <w:rFonts w:hint="eastAsia" w:ascii="宋体" w:hAnsi="宋体" w:cs="宋体"/>
          <w:highlight w:val="none"/>
          <w:lang w:eastAsia="zh-CN"/>
        </w:rPr>
        <w:t>采购人</w:t>
      </w:r>
      <w:r>
        <w:rPr>
          <w:rFonts w:hint="eastAsia" w:ascii="宋体" w:hAnsi="宋体" w:cs="宋体"/>
          <w:highlight w:val="none"/>
        </w:rPr>
        <w:t>经核查发现投标人存在串通投标、弄虚作假等违法行为的，按照法律法规规定进行处理。</w:t>
      </w:r>
    </w:p>
    <w:p w14:paraId="0A64CA02">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6.10评标过程中，有下列情形之一的，应予废标：</w:t>
      </w:r>
    </w:p>
    <w:p w14:paraId="7889F4ED">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（1）符合性审查合格的投标人不足三家的；</w:t>
      </w:r>
    </w:p>
    <w:p w14:paraId="5596452A">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（2）有关</w:t>
      </w:r>
      <w:r>
        <w:rPr>
          <w:rFonts w:hint="eastAsia" w:ascii="宋体" w:hAnsi="宋体" w:cs="宋体"/>
          <w:highlight w:val="none"/>
          <w:lang w:eastAsia="zh-CN"/>
        </w:rPr>
        <w:t>法律法规</w:t>
      </w:r>
      <w:r>
        <w:rPr>
          <w:rFonts w:hint="eastAsia" w:ascii="宋体" w:hAnsi="宋体" w:cs="宋体"/>
          <w:highlight w:val="none"/>
        </w:rPr>
        <w:t>和规章规定废标的情形。</w:t>
      </w:r>
    </w:p>
    <w:p w14:paraId="324A8D9C">
      <w:pPr>
        <w:pStyle w:val="10"/>
        <w:spacing w:before="0" w:beforeAutospacing="0" w:after="0" w:afterAutospacing="0" w:line="420" w:lineRule="exact"/>
        <w:ind w:firstLine="378"/>
        <w:rPr>
          <w:rFonts w:hint="eastAsia" w:ascii="宋体" w:hAnsi="宋体" w:cs="宋体"/>
          <w:highlight w:val="none"/>
        </w:rPr>
      </w:pPr>
      <w:r>
        <w:rPr>
          <w:rStyle w:val="34"/>
          <w:rFonts w:hint="eastAsia" w:ascii="宋体" w:hAnsi="宋体" w:cs="宋体"/>
          <w:highlight w:val="none"/>
        </w:rPr>
        <w:t>※若废标，则本次采购活动结束，</w:t>
      </w:r>
      <w:r>
        <w:rPr>
          <w:rFonts w:hint="eastAsia" w:ascii="宋体" w:hAnsi="宋体" w:cs="宋体"/>
          <w:highlight w:val="none"/>
          <w:u w:val="single"/>
        </w:rPr>
        <w:t>福建省智信招标有限公司</w:t>
      </w:r>
      <w:r>
        <w:rPr>
          <w:rStyle w:val="34"/>
          <w:rFonts w:hint="eastAsia" w:ascii="宋体" w:hAnsi="宋体" w:cs="宋体"/>
          <w:highlight w:val="none"/>
        </w:rPr>
        <w:t>将依法组织后续采购活动（包括但不限于：重新招标、采用其他方式采购等）。</w:t>
      </w:r>
    </w:p>
    <w:p w14:paraId="64373C61">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7.</w:t>
      </w:r>
      <w:r>
        <w:rPr>
          <w:rFonts w:hint="eastAsia" w:ascii="宋体" w:hAnsi="宋体" w:cs="宋体"/>
          <w:highlight w:val="none"/>
        </w:rPr>
        <w:t>评标方法和标准</w:t>
      </w:r>
    </w:p>
    <w:p w14:paraId="149F65A0">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7.1评标方法：采购包1采用综合评分法。</w:t>
      </w:r>
    </w:p>
    <w:p w14:paraId="34B1EB9E">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7.2评标标准</w:t>
      </w:r>
    </w:p>
    <w:p w14:paraId="6C84338F">
      <w:pPr>
        <w:pStyle w:val="10"/>
        <w:shd w:val="clear" w:color="auto" w:fill="FFFFFF"/>
        <w:spacing w:before="0" w:beforeAutospacing="0" w:after="0" w:afterAutospacing="0" w:line="420" w:lineRule="exact"/>
        <w:rPr>
          <w:rFonts w:hint="eastAsia" w:ascii="宋体" w:hAnsi="宋体" w:cs="宋体"/>
          <w:highlight w:val="none"/>
        </w:rPr>
      </w:pPr>
      <w:r>
        <w:rPr>
          <w:rFonts w:hint="eastAsia" w:ascii="宋体" w:hAnsi="宋体" w:cs="宋体"/>
          <w:b/>
          <w:highlight w:val="none"/>
        </w:rPr>
        <w:t>采购</w:t>
      </w:r>
      <w:r>
        <w:rPr>
          <w:rStyle w:val="34"/>
          <w:rFonts w:hint="eastAsia" w:ascii="宋体" w:hAnsi="宋体" w:cs="宋体"/>
          <w:highlight w:val="none"/>
        </w:rPr>
        <w:t>包1采用综合评分法</w:t>
      </w:r>
      <w:r>
        <w:rPr>
          <w:rFonts w:hint="eastAsia" w:ascii="宋体" w:hAnsi="宋体" w:cs="宋体"/>
          <w:highlight w:val="none"/>
        </w:rPr>
        <w:t xml:space="preserve">： </w:t>
      </w:r>
    </w:p>
    <w:p w14:paraId="16DB56F8">
      <w:pPr>
        <w:pStyle w:val="10"/>
        <w:spacing w:before="0" w:beforeAutospacing="0" w:after="0" w:afterAutospacing="0" w:line="420" w:lineRule="exact"/>
        <w:ind w:firstLine="384"/>
        <w:rPr>
          <w:rFonts w:hint="eastAsia" w:ascii="宋体" w:hAnsi="宋体" w:cs="宋体"/>
          <w:highlight w:val="none"/>
        </w:rPr>
      </w:pPr>
      <w:r>
        <w:rPr>
          <w:rFonts w:hint="eastAsia" w:ascii="宋体" w:hAnsi="宋体" w:cs="宋体"/>
          <w:highlight w:val="none"/>
        </w:rPr>
        <w:t xml:space="preserve">（1）投标文件满足招标文件全部实质性要求，且按照评审因素的量化指标评审得分（即评标总得分）最高的投标人为中标候选人。 </w:t>
      </w:r>
    </w:p>
    <w:p w14:paraId="7968ADBC">
      <w:pPr>
        <w:pStyle w:val="10"/>
        <w:spacing w:before="0" w:beforeAutospacing="0" w:after="0" w:afterAutospacing="0" w:line="420" w:lineRule="exact"/>
        <w:ind w:firstLine="384"/>
        <w:rPr>
          <w:rFonts w:hint="eastAsia" w:ascii="宋体" w:hAnsi="宋体" w:cs="宋体"/>
          <w:highlight w:val="none"/>
        </w:rPr>
      </w:pPr>
      <w:r>
        <w:rPr>
          <w:rFonts w:hint="eastAsia" w:ascii="宋体" w:hAnsi="宋体" w:cs="宋体"/>
          <w:highlight w:val="none"/>
        </w:rPr>
        <w:t xml:space="preserve">（2）每个投标人的评标总得分FA＝F1＋F2＋F3，其中：F1指价格项评审因素得分、F2指技术项评审因素得分、F3指商务项评审因素得分。 </w:t>
      </w:r>
    </w:p>
    <w:p w14:paraId="199EE451">
      <w:pPr>
        <w:pStyle w:val="10"/>
        <w:spacing w:before="0" w:beforeAutospacing="0" w:after="0" w:afterAutospacing="0" w:line="420" w:lineRule="exact"/>
        <w:ind w:firstLine="384"/>
        <w:rPr>
          <w:rFonts w:hint="eastAsia" w:ascii="宋体" w:hAnsi="宋体" w:cs="宋体"/>
          <w:highlight w:val="none"/>
        </w:rPr>
      </w:pPr>
      <w:r>
        <w:rPr>
          <w:rFonts w:hint="eastAsia" w:ascii="宋体" w:hAnsi="宋体" w:cs="宋体"/>
          <w:highlight w:val="none"/>
        </w:rPr>
        <w:t xml:space="preserve">（3）各项评审因素的设置如下： </w:t>
      </w:r>
    </w:p>
    <w:p w14:paraId="5B7A0905">
      <w:pPr>
        <w:pStyle w:val="10"/>
        <w:spacing w:before="0" w:beforeAutospacing="0" w:after="0" w:afterAutospacing="0" w:line="420" w:lineRule="exact"/>
        <w:ind w:firstLine="384"/>
        <w:rPr>
          <w:rFonts w:hint="eastAsia" w:ascii="宋体" w:hAnsi="宋体" w:cs="宋体"/>
          <w:highlight w:val="none"/>
        </w:rPr>
      </w:pPr>
      <w:r>
        <w:rPr>
          <w:rFonts w:hint="eastAsia" w:ascii="宋体" w:hAnsi="宋体" w:cs="宋体"/>
          <w:highlight w:val="none"/>
        </w:rPr>
        <w:t>①价格项（F1）满分为</w:t>
      </w:r>
      <w:r>
        <w:rPr>
          <w:rFonts w:hint="eastAsia" w:ascii="宋体" w:hAnsi="宋体" w:cs="宋体"/>
          <w:highlight w:val="none"/>
          <w:u w:val="single"/>
        </w:rPr>
        <w:t>10</w:t>
      </w:r>
      <w:r>
        <w:rPr>
          <w:rFonts w:hint="eastAsia" w:ascii="宋体" w:hAnsi="宋体" w:cs="宋体"/>
          <w:highlight w:val="none"/>
        </w:rPr>
        <w:t>分。</w:t>
      </w:r>
    </w:p>
    <w:p w14:paraId="1C8B7008">
      <w:pPr>
        <w:pStyle w:val="10"/>
        <w:spacing w:before="0" w:beforeAutospacing="0" w:after="0" w:afterAutospacing="0" w:line="420" w:lineRule="exact"/>
        <w:ind w:firstLine="384"/>
        <w:rPr>
          <w:rFonts w:hint="eastAsia" w:ascii="宋体" w:hAnsi="宋体" w:cs="宋体"/>
          <w:highlight w:val="none"/>
        </w:rPr>
      </w:pPr>
      <w:r>
        <w:rPr>
          <w:rFonts w:hint="eastAsia" w:ascii="宋体" w:hAnsi="宋体" w:cs="宋体"/>
          <w:highlight w:val="none"/>
        </w:rPr>
        <w:t>a.价格分采用低价优先法计算，即满足招标文件要求且投标价格最低的投标报价为评标基准价，其价格分为满分。其他投标人的价格分统一按照下列公式计算：投标报价得分=（评标基准价／投标报价）×价格项分值。因落实政府采购政策需进行价格扣除的，以扣除后的价格计算评标基准价和投标报价。</w:t>
      </w:r>
    </w:p>
    <w:p w14:paraId="7865DEAD">
      <w:pPr>
        <w:pStyle w:val="10"/>
        <w:spacing w:before="0" w:beforeAutospacing="0" w:after="0" w:afterAutospacing="0" w:line="420" w:lineRule="exact"/>
        <w:ind w:firstLine="384"/>
        <w:rPr>
          <w:rFonts w:hint="eastAsia" w:ascii="宋体" w:hAnsi="宋体" w:cs="宋体"/>
          <w:highlight w:val="none"/>
        </w:rPr>
      </w:pPr>
      <w:r>
        <w:rPr>
          <w:rFonts w:hint="eastAsia" w:ascii="宋体" w:hAnsi="宋体" w:cs="宋体"/>
          <w:highlight w:val="none"/>
        </w:rPr>
        <w:t>b.价格扣除的规则：</w:t>
      </w:r>
    </w:p>
    <w:tbl>
      <w:tblPr>
        <w:tblStyle w:val="31"/>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265"/>
        <w:gridCol w:w="8373"/>
      </w:tblGrid>
      <w:tr w14:paraId="561C0B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265" w:type="dxa"/>
            <w:vAlign w:val="center"/>
          </w:tcPr>
          <w:p w14:paraId="15757209">
            <w:pPr>
              <w:widowControl/>
              <w:adjustRightInd w:val="0"/>
              <w:snapToGrid w:val="0"/>
              <w:spacing w:line="380" w:lineRule="exact"/>
              <w:jc w:val="center"/>
              <w:rPr>
                <w:rFonts w:hint="eastAsia" w:ascii="宋体" w:hAnsi="宋体" w:cs="宋体"/>
                <w:b/>
                <w:bCs/>
                <w:color w:val="000000"/>
                <w:kern w:val="0"/>
                <w:sz w:val="24"/>
                <w:highlight w:val="none"/>
              </w:rPr>
            </w:pPr>
            <w:r>
              <w:rPr>
                <w:rFonts w:hint="eastAsia" w:ascii="宋体" w:hAnsi="宋体" w:cs="宋体"/>
                <w:b/>
                <w:bCs/>
                <w:color w:val="000000"/>
                <w:kern w:val="0"/>
                <w:sz w:val="24"/>
                <w:highlight w:val="none"/>
              </w:rPr>
              <w:t>评标项目</w:t>
            </w:r>
          </w:p>
        </w:tc>
        <w:tc>
          <w:tcPr>
            <w:tcW w:w="8373" w:type="dxa"/>
            <w:vAlign w:val="center"/>
          </w:tcPr>
          <w:p w14:paraId="2BF6EC19">
            <w:pPr>
              <w:widowControl/>
              <w:adjustRightInd w:val="0"/>
              <w:snapToGrid w:val="0"/>
              <w:spacing w:line="380" w:lineRule="exact"/>
              <w:jc w:val="center"/>
              <w:rPr>
                <w:rFonts w:hint="eastAsia" w:ascii="宋体" w:hAnsi="宋体" w:cs="宋体"/>
                <w:b/>
                <w:bCs/>
                <w:color w:val="000000"/>
                <w:sz w:val="24"/>
                <w:highlight w:val="none"/>
              </w:rPr>
            </w:pPr>
            <w:r>
              <w:rPr>
                <w:rFonts w:hint="eastAsia" w:ascii="宋体" w:hAnsi="宋体" w:cs="宋体"/>
                <w:b/>
                <w:bCs/>
                <w:color w:val="000000"/>
                <w:kern w:val="0"/>
                <w:sz w:val="24"/>
                <w:highlight w:val="none"/>
              </w:rPr>
              <w:t>评标方法</w:t>
            </w:r>
          </w:p>
        </w:tc>
      </w:tr>
      <w:tr w14:paraId="677CCA9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265" w:type="dxa"/>
            <w:vAlign w:val="center"/>
          </w:tcPr>
          <w:p w14:paraId="073A1228">
            <w:pPr>
              <w:widowControl/>
              <w:adjustRightInd w:val="0"/>
              <w:snapToGrid w:val="0"/>
              <w:spacing w:line="380" w:lineRule="exact"/>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小型、微型企业，监狱企业，残疾人福利性单位</w:t>
            </w:r>
          </w:p>
        </w:tc>
        <w:tc>
          <w:tcPr>
            <w:tcW w:w="8373" w:type="dxa"/>
          </w:tcPr>
          <w:p w14:paraId="5022A81C">
            <w:pPr>
              <w:pStyle w:val="70"/>
              <w:spacing w:line="38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lang w:eastAsia="zh-CN"/>
              </w:rPr>
              <w:t>1.</w:t>
            </w:r>
            <w:r>
              <w:rPr>
                <w:rFonts w:hint="eastAsia" w:ascii="宋体" w:hAnsi="宋体" w:cs="宋体"/>
                <w:color w:val="000000"/>
                <w:sz w:val="24"/>
                <w:szCs w:val="24"/>
                <w:highlight w:val="none"/>
              </w:rPr>
              <w:t>评审时，对符合《政府采购促进中小企业发展管理办法》（财库﹝2020﹞46号）及《福建省财政厅关于进一步加大政府采购支持中小企业力度的通知》（闽财规〔2022〕13号）规定的小微企业报价给予价格扣除【货物和服务项目：为15%】，用扣除后的价格参加评审。投标人须提供合格的中小企业声明函（服务类）（格式详见第七章），否则不予价格扣除。 2、根据财政部、司法部联合印发《关于政府采购支持监狱企业发展有关问题的通知》（财库</w:t>
            </w:r>
            <w:r>
              <w:rPr>
                <w:rFonts w:hint="eastAsia" w:ascii="宋体" w:hAnsi="宋体" w:cs="宋体"/>
                <w:color w:val="000000"/>
                <w:sz w:val="24"/>
                <w:szCs w:val="24"/>
                <w:highlight w:val="none"/>
                <w:lang w:eastAsia="zh-CN"/>
              </w:rPr>
              <w:t>〔2014〕68号</w:t>
            </w:r>
            <w:r>
              <w:rPr>
                <w:rFonts w:hint="eastAsia" w:ascii="宋体" w:hAnsi="宋体" w:cs="宋体"/>
                <w:color w:val="000000"/>
                <w:sz w:val="24"/>
                <w:szCs w:val="24"/>
                <w:highlight w:val="none"/>
              </w:rPr>
              <w:t>）文件规定，凡监狱企业参加政府采购活动视同小型、微型企业，享受评审价格扣除的政府采购优惠政策。此次若有监狱企业参加投标的其报价享受小微企业同等比例的价格扣除，但必须提供由省级以上监狱管理局、戒毒管理局（含新疆生产建设兵团）出具的属于监狱企业的证明文件，否则评审时不予价格扣除优惠。 3、根据财政部、民政部、中国残联文件（财库</w:t>
            </w:r>
            <w:r>
              <w:rPr>
                <w:rFonts w:hint="eastAsia" w:ascii="宋体" w:hAnsi="宋体" w:cs="宋体"/>
                <w:color w:val="000000"/>
                <w:sz w:val="24"/>
                <w:szCs w:val="24"/>
                <w:highlight w:val="none"/>
                <w:lang w:eastAsia="zh-CN"/>
              </w:rPr>
              <w:t>〔2017〕141号</w:t>
            </w:r>
            <w:r>
              <w:rPr>
                <w:rFonts w:hint="eastAsia" w:ascii="宋体" w:hAnsi="宋体" w:cs="宋体"/>
                <w:color w:val="000000"/>
                <w:sz w:val="24"/>
                <w:szCs w:val="24"/>
                <w:highlight w:val="none"/>
              </w:rPr>
              <w:t>）及福建省财政厅《关于残疾人福利性单位参加政府采购活动价格扣除的通知》，凡符合上述文件要求条件的残疾人福利性单位在参加政府采购活动时视同小型、微型企业，享受预留份额、评审中价格扣除等促进中小企业发展的政府采购政策。此次若有参加投标的对残疾人福利性单位报价部分给予小微企业同等比例的扣除，但必须提供《残疾人福利性单位声明函》（格式详见第七章），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 4、具体详见招标文件第三章、第七章规定，上述规定与政府采购相关</w:t>
            </w:r>
            <w:r>
              <w:rPr>
                <w:rFonts w:hint="eastAsia" w:ascii="宋体" w:hAnsi="宋体" w:cs="宋体"/>
                <w:color w:val="000000"/>
                <w:sz w:val="24"/>
                <w:szCs w:val="24"/>
                <w:highlight w:val="none"/>
                <w:lang w:eastAsia="zh-CN"/>
              </w:rPr>
              <w:t>法律法规</w:t>
            </w:r>
            <w:r>
              <w:rPr>
                <w:rFonts w:hint="eastAsia" w:ascii="宋体" w:hAnsi="宋体" w:cs="宋体"/>
                <w:color w:val="000000"/>
                <w:sz w:val="24"/>
                <w:szCs w:val="24"/>
                <w:highlight w:val="none"/>
              </w:rPr>
              <w:t>、制度等有冲突的，以现行</w:t>
            </w:r>
            <w:r>
              <w:rPr>
                <w:rFonts w:hint="eastAsia" w:ascii="宋体" w:hAnsi="宋体" w:cs="宋体"/>
                <w:color w:val="000000"/>
                <w:sz w:val="24"/>
                <w:szCs w:val="24"/>
                <w:highlight w:val="none"/>
                <w:lang w:eastAsia="zh-CN"/>
              </w:rPr>
              <w:t>法律法规</w:t>
            </w:r>
            <w:r>
              <w:rPr>
                <w:rFonts w:hint="eastAsia" w:ascii="宋体" w:hAnsi="宋体" w:cs="宋体"/>
                <w:color w:val="000000"/>
                <w:sz w:val="24"/>
                <w:szCs w:val="24"/>
                <w:highlight w:val="none"/>
              </w:rPr>
              <w:t>、制度等执行。 5、经采购人确认本采购包为非专门面向中小企业采购服务类项目，采购标的对应的中小企业划分标准所属行业为“软件和信息技术服务业”。</w:t>
            </w:r>
          </w:p>
        </w:tc>
      </w:tr>
      <w:tr w14:paraId="6F4E5D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265" w:type="dxa"/>
            <w:vAlign w:val="center"/>
          </w:tcPr>
          <w:p w14:paraId="48C9C73A">
            <w:pPr>
              <w:widowControl/>
              <w:adjustRightInd w:val="0"/>
              <w:snapToGrid w:val="0"/>
              <w:spacing w:line="380" w:lineRule="exact"/>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节能、环境标志产品</w:t>
            </w:r>
          </w:p>
        </w:tc>
        <w:tc>
          <w:tcPr>
            <w:tcW w:w="8373" w:type="dxa"/>
          </w:tcPr>
          <w:p w14:paraId="0CB32C3C">
            <w:pPr>
              <w:pStyle w:val="70"/>
              <w:spacing w:line="38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根据《财政部 发展改革委 生态环境部 市场监管总局关于调整优化节能产品、环境标志产品政府采购执行机制的通知》（财库〔2019〕9号）、《关于印发环境标志产品政府采购品目清单的通知》（财库〔2019〕18号）、《关于印发节能产品政府采购品目清单的通知》</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财库〔2019〕19号</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市场监管总局关于发布参与实施政府采购节能产品、环境标志产品认证机构名录的公告》（2019年第16号）、《福建省财政厅关于加强政府绿色采购工作的通知》（闽财规〔2024〕3号）文件，本采购包给予节能、环境标志产品每个单项报价10%的价格扣除。注：①节能产品是指财政部、发展改革委最新公布的《节能产品政府采购品目清单》内且获得国家确定的认证机构出具的、处于有效期之内的产品认证证书的产品；环境标志产品是指生态环境部和财政部最新公布的《环境标志产品政府采购品目清单》内且获得国家确定的认证机构出具的、处于有效期之内的产品认证证书的产品；②同一采购包内的节能、环境标志产品部分价格扣除只对属于清单内的非强制类产品进行价格扣除，强制类产品不给予价格扣除。③若同一采购包内的节能、环境标志产品仅是构成报价产品的部件、组件或零件的，则不给予价格扣除。获得上述认证的产品在报价时应提供有效证明材料）。同一品目中各认证证书不重复计算价格扣除。属于政府强制采购的节能产品不享受价格扣除。④投标人在报价时必须对节能（非强制类产品）、环境标志产品单独分项报价，并于投标文件中提供属于节能（非强制类产品）、环境标志产品的证明资料（国家确定的认证机构出具的、处于有效期之内的产品认证证书复印件）。</w:t>
            </w:r>
          </w:p>
        </w:tc>
      </w:tr>
      <w:tr w14:paraId="4C47DD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265" w:type="dxa"/>
            <w:vAlign w:val="center"/>
          </w:tcPr>
          <w:p w14:paraId="173D6EAF">
            <w:pPr>
              <w:widowControl/>
              <w:adjustRightInd w:val="0"/>
              <w:snapToGrid w:val="0"/>
              <w:spacing w:line="380" w:lineRule="exact"/>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本国产品</w:t>
            </w:r>
          </w:p>
        </w:tc>
        <w:tc>
          <w:tcPr>
            <w:tcW w:w="8373" w:type="dxa"/>
            <w:vAlign w:val="center"/>
          </w:tcPr>
          <w:p w14:paraId="5CC99CD2">
            <w:pPr>
              <w:pStyle w:val="70"/>
              <w:spacing w:line="38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lang w:eastAsia="zh-CN"/>
              </w:rPr>
              <w:t>1.</w:t>
            </w:r>
            <w:r>
              <w:rPr>
                <w:rFonts w:hint="eastAsia" w:ascii="宋体" w:hAnsi="宋体" w:cs="宋体"/>
                <w:color w:val="000000"/>
                <w:sz w:val="24"/>
                <w:szCs w:val="24"/>
                <w:highlight w:val="none"/>
              </w:rPr>
              <w:t xml:space="preserve">根据《国务院办公厅关于在政府采购中实施本国产品标准及相关政策的通知》（国办发〔2025〕34号）、关于贯彻落实《国务院办公厅关于在政府采购中实施本国产品标准及相关政策的通知》的意见（财库〔2025〕30号）文件通知，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 </w:t>
            </w:r>
          </w:p>
          <w:p w14:paraId="50FAD8F1">
            <w:pPr>
              <w:pStyle w:val="70"/>
              <w:spacing w:line="38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lang w:eastAsia="zh-CN"/>
              </w:rPr>
              <w:t>2.</w:t>
            </w:r>
            <w:r>
              <w:rPr>
                <w:rFonts w:hint="eastAsia" w:ascii="宋体" w:hAnsi="宋体" w:cs="宋体"/>
                <w:color w:val="000000"/>
                <w:sz w:val="24"/>
                <w:szCs w:val="24"/>
                <w:highlight w:val="none"/>
              </w:rPr>
              <w:t xml:space="preserve">供应商提供的产品符合本国产品标准的，应在投标文件报价部分中对其提供的产品出具《关于符合本国产品标准的声明函》（格式见附件，以下简称《声明函》）或财政部会同有关部门规定的有关证明文件，供应商须提供“《声明函》或财政部会同有关部门规定的有关证明文件”。出具符合要求的《声明函》或财政部会同有关部门规定的有关证明文件的，该产品视为本国产品。 </w:t>
            </w:r>
          </w:p>
          <w:p w14:paraId="1DA12641">
            <w:pPr>
              <w:pStyle w:val="70"/>
              <w:spacing w:line="38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lang w:eastAsia="zh-CN"/>
              </w:rPr>
              <w:t>3.</w:t>
            </w:r>
            <w:r>
              <w:rPr>
                <w:rFonts w:hint="eastAsia" w:ascii="宋体" w:hAnsi="宋体" w:cs="宋体"/>
                <w:color w:val="000000"/>
                <w:sz w:val="24"/>
                <w:szCs w:val="24"/>
                <w:highlight w:val="none"/>
              </w:rPr>
              <w:t>当采购项目或者采购包中含有多种产品，供应商为该采购项目或者采购包提供的符合本国产品标准的产品成本之和占该供应商提供的全部产品成本之和的比例达到80%以上时，供应商除需按照第2条规定提供《关于符合本国产品标准的声明函》外，还需提供《关于符合本国产品标准的成本占比的承诺函》（样式见附件），否则不给予价格扣除。</w:t>
            </w:r>
          </w:p>
          <w:p w14:paraId="7B89C568">
            <w:pPr>
              <w:pStyle w:val="70"/>
              <w:spacing w:line="38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lang w:eastAsia="zh-CN"/>
              </w:rPr>
              <w:t>4.</w:t>
            </w:r>
            <w:r>
              <w:rPr>
                <w:rFonts w:hint="eastAsia" w:ascii="宋体" w:hAnsi="宋体" w:cs="宋体"/>
                <w:color w:val="000000"/>
                <w:sz w:val="24"/>
                <w:szCs w:val="24"/>
                <w:highlight w:val="none"/>
              </w:rPr>
              <w:t>供应商提供虚假《声明函》、虚假证明文件谋取中标、成交的，依照《中华人民共和国政府采购法》等法律法规规定追究相应责任。供应商未提供《声明函》的，不享受本国产品价格评审扣除优惠。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tc>
      </w:tr>
    </w:tbl>
    <w:p w14:paraId="2D826701">
      <w:pPr>
        <w:pStyle w:val="10"/>
        <w:spacing w:before="0" w:beforeAutospacing="0" w:after="0" w:afterAutospacing="0" w:line="420" w:lineRule="exact"/>
        <w:ind w:firstLine="384"/>
        <w:rPr>
          <w:rFonts w:hint="eastAsia" w:ascii="宋体" w:hAnsi="宋体" w:cs="宋体"/>
          <w:highlight w:val="none"/>
        </w:rPr>
      </w:pPr>
      <w:r>
        <w:rPr>
          <w:rFonts w:hint="eastAsia" w:ascii="宋体" w:hAnsi="宋体" w:cs="宋体"/>
          <w:highlight w:val="none"/>
        </w:rPr>
        <w:t>②技术项（F2）满分为</w:t>
      </w:r>
      <w:r>
        <w:rPr>
          <w:rFonts w:hint="eastAsia" w:ascii="宋体" w:hAnsi="宋体" w:cs="宋体"/>
          <w:highlight w:val="none"/>
          <w:u w:val="single"/>
        </w:rPr>
        <w:t>70</w:t>
      </w:r>
      <w:r>
        <w:rPr>
          <w:rFonts w:hint="eastAsia" w:ascii="宋体" w:hAnsi="宋体" w:cs="宋体"/>
          <w:highlight w:val="none"/>
        </w:rPr>
        <w:t>分。</w:t>
      </w:r>
    </w:p>
    <w:tbl>
      <w:tblPr>
        <w:tblStyle w:val="31"/>
        <w:tblW w:w="4982"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72"/>
        <w:gridCol w:w="735"/>
        <w:gridCol w:w="8112"/>
      </w:tblGrid>
      <w:tr w14:paraId="2382B3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pct"/>
            <w:vAlign w:val="center"/>
          </w:tcPr>
          <w:p w14:paraId="221D0B51">
            <w:pPr>
              <w:pStyle w:val="70"/>
              <w:spacing w:line="340" w:lineRule="exact"/>
              <w:jc w:val="center"/>
              <w:rPr>
                <w:rFonts w:hint="eastAsia" w:ascii="宋体" w:hAnsi="宋体" w:cs="宋体"/>
                <w:sz w:val="24"/>
                <w:szCs w:val="24"/>
                <w:highlight w:val="none"/>
              </w:rPr>
            </w:pPr>
            <w:r>
              <w:rPr>
                <w:rFonts w:hint="eastAsia" w:ascii="宋体" w:hAnsi="宋体" w:cs="宋体"/>
                <w:sz w:val="24"/>
                <w:szCs w:val="24"/>
                <w:highlight w:val="none"/>
              </w:rPr>
              <w:t>项目</w:t>
            </w:r>
          </w:p>
        </w:tc>
        <w:tc>
          <w:tcPr>
            <w:tcW w:w="374" w:type="pct"/>
            <w:vAlign w:val="center"/>
          </w:tcPr>
          <w:p w14:paraId="79286DA4">
            <w:pPr>
              <w:pStyle w:val="70"/>
              <w:spacing w:line="340" w:lineRule="exact"/>
              <w:jc w:val="center"/>
              <w:rPr>
                <w:rFonts w:hint="eastAsia" w:ascii="宋体" w:hAnsi="宋体" w:cs="宋体"/>
                <w:sz w:val="24"/>
                <w:szCs w:val="24"/>
                <w:highlight w:val="none"/>
              </w:rPr>
            </w:pPr>
            <w:r>
              <w:rPr>
                <w:rFonts w:hint="eastAsia" w:ascii="宋体" w:hAnsi="宋体" w:cs="宋体"/>
                <w:sz w:val="24"/>
                <w:szCs w:val="24"/>
                <w:highlight w:val="none"/>
              </w:rPr>
              <w:t>分值</w:t>
            </w:r>
          </w:p>
        </w:tc>
        <w:tc>
          <w:tcPr>
            <w:tcW w:w="4130" w:type="pct"/>
          </w:tcPr>
          <w:p w14:paraId="5E8340A6">
            <w:pPr>
              <w:pStyle w:val="70"/>
              <w:spacing w:line="340" w:lineRule="exact"/>
              <w:jc w:val="both"/>
              <w:rPr>
                <w:rFonts w:hint="eastAsia" w:ascii="宋体" w:hAnsi="宋体" w:cs="宋体"/>
                <w:sz w:val="24"/>
                <w:szCs w:val="24"/>
                <w:highlight w:val="none"/>
              </w:rPr>
            </w:pPr>
            <w:r>
              <w:rPr>
                <w:rFonts w:hint="eastAsia" w:ascii="宋体" w:hAnsi="宋体" w:cs="宋体"/>
                <w:sz w:val="24"/>
                <w:szCs w:val="24"/>
                <w:highlight w:val="none"/>
              </w:rPr>
              <w:t xml:space="preserve"> 描述</w:t>
            </w:r>
          </w:p>
        </w:tc>
      </w:tr>
      <w:tr w14:paraId="27AB70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pct"/>
            <w:vAlign w:val="center"/>
          </w:tcPr>
          <w:p w14:paraId="16EC62E0">
            <w:pPr>
              <w:widowControl/>
              <w:spacing w:line="340" w:lineRule="exact"/>
              <w:jc w:val="center"/>
              <w:textAlignment w:val="center"/>
              <w:rPr>
                <w:rStyle w:val="79"/>
                <w:rFonts w:hint="default" w:ascii="宋体" w:hAnsi="宋体" w:eastAsia="宋体" w:cs="宋体"/>
                <w:color w:val="auto"/>
                <w:highlight w:val="none"/>
                <w:lang w:bidi="ar"/>
              </w:rPr>
            </w:pPr>
            <w:r>
              <w:rPr>
                <w:rFonts w:hint="eastAsia" w:ascii="宋体" w:hAnsi="宋体" w:cs="宋体"/>
                <w:color w:val="000000"/>
                <w:kern w:val="0"/>
                <w:sz w:val="24"/>
                <w:highlight w:val="none"/>
                <w:lang w:bidi="ar"/>
              </w:rPr>
              <w:t>1.技术和服务响应情况</w:t>
            </w:r>
          </w:p>
        </w:tc>
        <w:tc>
          <w:tcPr>
            <w:tcW w:w="374" w:type="pct"/>
            <w:vAlign w:val="center"/>
          </w:tcPr>
          <w:p w14:paraId="4B456248">
            <w:pPr>
              <w:widowControl/>
              <w:spacing w:line="340" w:lineRule="exact"/>
              <w:jc w:val="center"/>
              <w:textAlignment w:val="center"/>
              <w:rPr>
                <w:rFonts w:hint="eastAsia" w:ascii="宋体" w:hAnsi="宋体" w:cs="宋体"/>
                <w:kern w:val="0"/>
                <w:sz w:val="24"/>
                <w:highlight w:val="none"/>
                <w:lang w:bidi="ar"/>
              </w:rPr>
            </w:pPr>
            <w:r>
              <w:rPr>
                <w:rFonts w:hint="eastAsia" w:ascii="宋体" w:hAnsi="宋体" w:cs="宋体"/>
                <w:color w:val="000000"/>
                <w:kern w:val="0"/>
                <w:sz w:val="24"/>
                <w:highlight w:val="none"/>
                <w:lang w:bidi="ar"/>
              </w:rPr>
              <w:t>58</w:t>
            </w:r>
          </w:p>
        </w:tc>
        <w:tc>
          <w:tcPr>
            <w:tcW w:w="4130" w:type="pct"/>
            <w:vAlign w:val="center"/>
          </w:tcPr>
          <w:p w14:paraId="756B78D9">
            <w:pPr>
              <w:widowControl/>
              <w:spacing w:line="340" w:lineRule="exact"/>
              <w:jc w:val="left"/>
              <w:textAlignment w:val="center"/>
              <w:rPr>
                <w:rFonts w:hint="eastAsia" w:ascii="宋体" w:hAnsi="宋体" w:cs="宋体"/>
                <w:kern w:val="0"/>
                <w:sz w:val="24"/>
                <w:highlight w:val="none"/>
                <w:lang w:bidi="ar"/>
              </w:rPr>
            </w:pPr>
            <w:r>
              <w:rPr>
                <w:rFonts w:hint="eastAsia" w:ascii="宋体" w:hAnsi="宋体" w:cs="宋体"/>
                <w:kern w:val="0"/>
                <w:sz w:val="24"/>
                <w:highlight w:val="none"/>
                <w:lang w:bidi="ar"/>
              </w:rPr>
              <w:t>评委根据各投标人投标文件《技术和服务要求响应表》对照招标文件第五章招标内容及要求“二、技术和服务要求”逐项响应承诺等方面情况进行评分。《技术和服务要求响应表》中“技术和服务要求”列表内容应与公开招标文件第五章招标内容及要求“二、技术和服务要求”中的有关内容保持一致。投标响应应对照招标文件“二、技术和服务要求”的正、负、无偏离均应在《技术和服务要求响应表》中详细列出并说明。评分标准如下：以“★”标示的内容为不可负偏离的实质性要求（共8项），若有负偏离视为无效投标；以“▲”标示的内容（共12项）每负偏离一项扣2分；无符号标示的内容（共40项）每负偏离一项扣0.85分，扣完为止，正偏离不加分。</w:t>
            </w:r>
          </w:p>
        </w:tc>
      </w:tr>
      <w:tr w14:paraId="38B967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pct"/>
            <w:vAlign w:val="center"/>
          </w:tcPr>
          <w:p w14:paraId="05E67D07">
            <w:pPr>
              <w:widowControl/>
              <w:spacing w:line="340" w:lineRule="exact"/>
              <w:jc w:val="center"/>
              <w:textAlignment w:val="center"/>
              <w:rPr>
                <w:rStyle w:val="79"/>
                <w:rFonts w:hint="default" w:ascii="宋体" w:hAnsi="宋体" w:eastAsia="宋体" w:cs="宋体"/>
                <w:color w:val="auto"/>
                <w:highlight w:val="none"/>
                <w:lang w:bidi="ar"/>
              </w:rPr>
            </w:pPr>
            <w:r>
              <w:rPr>
                <w:rFonts w:hint="eastAsia" w:ascii="宋体" w:hAnsi="宋体" w:cs="宋体"/>
                <w:color w:val="000000"/>
                <w:kern w:val="0"/>
                <w:sz w:val="24"/>
                <w:highlight w:val="none"/>
                <w:lang w:bidi="ar"/>
              </w:rPr>
              <w:t>2.需求分析</w:t>
            </w:r>
          </w:p>
        </w:tc>
        <w:tc>
          <w:tcPr>
            <w:tcW w:w="374" w:type="pct"/>
            <w:vAlign w:val="center"/>
          </w:tcPr>
          <w:p w14:paraId="552D98A0">
            <w:pPr>
              <w:widowControl/>
              <w:spacing w:line="340" w:lineRule="exact"/>
              <w:jc w:val="center"/>
              <w:textAlignment w:val="center"/>
              <w:rPr>
                <w:rFonts w:hint="eastAsia" w:ascii="宋体" w:hAnsi="宋体" w:cs="宋体"/>
                <w:kern w:val="0"/>
                <w:sz w:val="24"/>
                <w:highlight w:val="none"/>
                <w:lang w:bidi="ar"/>
              </w:rPr>
            </w:pPr>
            <w:r>
              <w:rPr>
                <w:rFonts w:hint="eastAsia" w:ascii="宋体" w:hAnsi="宋体" w:cs="宋体"/>
                <w:color w:val="000000"/>
                <w:kern w:val="0"/>
                <w:sz w:val="24"/>
                <w:highlight w:val="none"/>
                <w:lang w:bidi="ar"/>
              </w:rPr>
              <w:t>3</w:t>
            </w:r>
          </w:p>
        </w:tc>
        <w:tc>
          <w:tcPr>
            <w:tcW w:w="4130" w:type="pct"/>
            <w:vAlign w:val="center"/>
          </w:tcPr>
          <w:p w14:paraId="5B81931B">
            <w:pPr>
              <w:widowControl/>
              <w:spacing w:line="340" w:lineRule="exact"/>
              <w:jc w:val="left"/>
              <w:textAlignment w:val="center"/>
              <w:rPr>
                <w:rFonts w:hint="eastAsia" w:ascii="宋体" w:hAnsi="宋体" w:cs="宋体"/>
                <w:kern w:val="0"/>
                <w:sz w:val="24"/>
                <w:highlight w:val="none"/>
                <w:lang w:bidi="ar"/>
              </w:rPr>
            </w:pPr>
            <w:r>
              <w:rPr>
                <w:rFonts w:hint="eastAsia" w:ascii="宋体" w:hAnsi="宋体" w:cs="宋体"/>
                <w:color w:val="000000"/>
                <w:kern w:val="0"/>
                <w:sz w:val="24"/>
                <w:highlight w:val="none"/>
                <w:lang w:bidi="ar"/>
              </w:rPr>
              <w:t>根据</w:t>
            </w:r>
            <w:bookmarkStart w:id="52" w:name="OLE_LINK1"/>
            <w:r>
              <w:rPr>
                <w:rFonts w:hint="eastAsia" w:ascii="宋体" w:hAnsi="宋体" w:cs="宋体"/>
                <w:color w:val="000000"/>
                <w:kern w:val="0"/>
                <w:sz w:val="24"/>
                <w:highlight w:val="none"/>
                <w:lang w:bidi="ar"/>
              </w:rPr>
              <w:t>投标人</w:t>
            </w:r>
            <w:bookmarkEnd w:id="52"/>
            <w:r>
              <w:rPr>
                <w:rFonts w:hint="eastAsia" w:ascii="宋体" w:hAnsi="宋体" w:cs="宋体"/>
                <w:color w:val="000000"/>
                <w:kern w:val="0"/>
                <w:sz w:val="24"/>
                <w:highlight w:val="none"/>
                <w:lang w:bidi="ar"/>
              </w:rPr>
              <w:t>对本项目所提供的需求分析，包括但不限于：业务需求分析、功能需求分析等，由评委进行评分：①方案包含的要点齐全无缺漏项、内容与要点相符、每个要点均有展开详细的阐述、整体思路结构清晰，内容描述合理可行，细节考虑周全且能够适用于本项目的得3分；②方案所包含的要点齐全、内容与要点相符、每个要点均有展开阐述（没有特别具体）、整体思路结构较清晰，内容描述较合理可行，细节考虑较周全且基本能够适用于本项目的得2.7分；③方案所包含的要点有缺漏或内容与要点相符但仅有纲要、内容简略，未展开详细阐述但基本能够适用于本项目的得2.4分；④未提供的不得分。</w:t>
            </w:r>
          </w:p>
        </w:tc>
      </w:tr>
      <w:tr w14:paraId="3EB68B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pct"/>
            <w:vAlign w:val="center"/>
          </w:tcPr>
          <w:p w14:paraId="07409362">
            <w:pPr>
              <w:widowControl/>
              <w:spacing w:line="340" w:lineRule="exact"/>
              <w:jc w:val="center"/>
              <w:textAlignment w:val="center"/>
              <w:rPr>
                <w:rFonts w:hint="eastAsia" w:ascii="宋体" w:hAnsi="宋体" w:cs="宋体"/>
                <w:sz w:val="24"/>
                <w:highlight w:val="none"/>
              </w:rPr>
            </w:pPr>
            <w:r>
              <w:rPr>
                <w:rFonts w:hint="eastAsia" w:ascii="宋体" w:hAnsi="宋体" w:cs="宋体"/>
                <w:color w:val="000000"/>
                <w:kern w:val="0"/>
                <w:sz w:val="24"/>
                <w:highlight w:val="none"/>
                <w:lang w:bidi="ar"/>
              </w:rPr>
              <w:t>3.项目实施方案</w:t>
            </w:r>
          </w:p>
        </w:tc>
        <w:tc>
          <w:tcPr>
            <w:tcW w:w="374" w:type="pct"/>
            <w:vAlign w:val="center"/>
          </w:tcPr>
          <w:p w14:paraId="51E93325">
            <w:pPr>
              <w:widowControl/>
              <w:spacing w:line="340" w:lineRule="exact"/>
              <w:jc w:val="center"/>
              <w:textAlignment w:val="center"/>
              <w:rPr>
                <w:rFonts w:hint="eastAsia" w:ascii="宋体" w:hAnsi="宋体" w:cs="宋体"/>
                <w:sz w:val="24"/>
                <w:highlight w:val="none"/>
              </w:rPr>
            </w:pPr>
            <w:r>
              <w:rPr>
                <w:rFonts w:hint="eastAsia" w:ascii="宋体" w:hAnsi="宋体" w:cs="宋体"/>
                <w:color w:val="000000"/>
                <w:kern w:val="0"/>
                <w:sz w:val="24"/>
                <w:highlight w:val="none"/>
                <w:lang w:bidi="ar"/>
              </w:rPr>
              <w:t>3</w:t>
            </w:r>
          </w:p>
        </w:tc>
        <w:tc>
          <w:tcPr>
            <w:tcW w:w="4130" w:type="pct"/>
            <w:vAlign w:val="center"/>
          </w:tcPr>
          <w:p w14:paraId="46129AC1">
            <w:pPr>
              <w:widowControl/>
              <w:spacing w:line="340" w:lineRule="exact"/>
              <w:jc w:val="left"/>
              <w:textAlignment w:val="center"/>
              <w:rPr>
                <w:rFonts w:hint="eastAsia" w:ascii="宋体" w:hAnsi="宋体" w:cs="宋体"/>
                <w:sz w:val="24"/>
                <w:highlight w:val="none"/>
              </w:rPr>
            </w:pPr>
            <w:r>
              <w:rPr>
                <w:rFonts w:hint="eastAsia" w:ascii="宋体" w:hAnsi="宋体" w:cs="宋体"/>
                <w:color w:val="000000"/>
                <w:kern w:val="0"/>
                <w:sz w:val="24"/>
                <w:highlight w:val="none"/>
                <w:lang w:bidi="ar"/>
              </w:rPr>
              <w:t>根据投标人对本项目所提供的项目实施方案，包括但不限于：实施计划和管理、实施保障、进度管理等，由评委进行评分： ①方案包含的要点齐全无缺漏项、内容与要点相符、每个要点均有展开详细的阐述、整体思路结构清晰，内容描述合理可行，细节考虑周全且能够适用于本项目的得3分；②方案所包含的要点齐全、内容与要点相符、每个要点均有展开阐述（没有特别具体）、整体思路结构较清晰，内容描述较合理可行，细节考虑较周全且基本能够适用于本项目的得2.7分；③方案所包含的要点有缺漏或内容与要点相符但仅有纲要、内容简略，未展开详细阐述但基本能够适用于本项目的得2.4分；④未提供的不得分。</w:t>
            </w:r>
          </w:p>
        </w:tc>
      </w:tr>
      <w:tr w14:paraId="2824CE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pct"/>
            <w:vAlign w:val="center"/>
          </w:tcPr>
          <w:p w14:paraId="4FC5DA14">
            <w:pPr>
              <w:widowControl/>
              <w:spacing w:line="340" w:lineRule="exact"/>
              <w:jc w:val="center"/>
              <w:textAlignment w:val="center"/>
              <w:rPr>
                <w:rFonts w:hint="eastAsia" w:ascii="宋体" w:hAnsi="宋体" w:cs="宋体"/>
                <w:sz w:val="24"/>
                <w:highlight w:val="none"/>
              </w:rPr>
            </w:pPr>
            <w:r>
              <w:rPr>
                <w:rFonts w:hint="eastAsia" w:ascii="宋体" w:hAnsi="宋体" w:cs="宋体"/>
                <w:color w:val="000000"/>
                <w:kern w:val="0"/>
                <w:sz w:val="24"/>
                <w:highlight w:val="none"/>
                <w:lang w:bidi="ar"/>
              </w:rPr>
              <w:t>4.质量保障方案</w:t>
            </w:r>
          </w:p>
        </w:tc>
        <w:tc>
          <w:tcPr>
            <w:tcW w:w="374" w:type="pct"/>
            <w:vAlign w:val="center"/>
          </w:tcPr>
          <w:p w14:paraId="17B81408">
            <w:pPr>
              <w:widowControl/>
              <w:spacing w:line="340" w:lineRule="exact"/>
              <w:jc w:val="center"/>
              <w:textAlignment w:val="center"/>
              <w:rPr>
                <w:rFonts w:hint="eastAsia" w:ascii="宋体" w:hAnsi="宋体" w:cs="宋体"/>
                <w:sz w:val="24"/>
                <w:highlight w:val="none"/>
              </w:rPr>
            </w:pPr>
            <w:r>
              <w:rPr>
                <w:rFonts w:hint="eastAsia" w:ascii="宋体" w:hAnsi="宋体" w:cs="宋体"/>
                <w:color w:val="000000"/>
                <w:kern w:val="0"/>
                <w:sz w:val="24"/>
                <w:highlight w:val="none"/>
                <w:lang w:bidi="ar"/>
              </w:rPr>
              <w:t>3</w:t>
            </w:r>
          </w:p>
        </w:tc>
        <w:tc>
          <w:tcPr>
            <w:tcW w:w="4130" w:type="pct"/>
            <w:vAlign w:val="center"/>
          </w:tcPr>
          <w:p w14:paraId="23531FBF">
            <w:pPr>
              <w:widowControl/>
              <w:spacing w:line="340" w:lineRule="exact"/>
              <w:jc w:val="left"/>
              <w:textAlignment w:val="center"/>
              <w:rPr>
                <w:rFonts w:hint="eastAsia" w:ascii="宋体" w:hAnsi="宋体" w:cs="宋体"/>
                <w:sz w:val="24"/>
                <w:highlight w:val="none"/>
              </w:rPr>
            </w:pPr>
            <w:r>
              <w:rPr>
                <w:rFonts w:hint="eastAsia" w:ascii="宋体" w:hAnsi="宋体" w:cs="宋体"/>
                <w:color w:val="000000"/>
                <w:kern w:val="0"/>
                <w:sz w:val="24"/>
                <w:highlight w:val="none"/>
                <w:lang w:bidi="ar"/>
              </w:rPr>
              <w:t>根据投标人针对本项目所提供的质量保障措施方案，包括但不限于：质量管理体系标准、质量管理、质量控制措施、质量审计等，由评委进行评分：①方案包含的要点齐全无缺漏项、内容与要点相符、每个要点均有展开详细的阐述、整体思路结构清晰，内容描述合理可行，细节考虑周全且能够适用于本项目的得3分；②方案所包含的要点齐全、内容与要点相符、每个要点均有展开阐述（没有特别具体）、整体思路结构较清晰，内容描述较合理可行，细节考虑较周全且基本能够适用于本项目的得2.7分；③方案所包含的要点有缺漏或内容与要点相符但仅有纲要、内容简略，未展开详细阐述但基本能够适用于本项目的得2.4分；④未提供的不得分。</w:t>
            </w:r>
          </w:p>
        </w:tc>
      </w:tr>
      <w:tr w14:paraId="48B41F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pct"/>
            <w:vAlign w:val="center"/>
          </w:tcPr>
          <w:p w14:paraId="03C5429C">
            <w:pPr>
              <w:widowControl/>
              <w:spacing w:line="340" w:lineRule="exact"/>
              <w:jc w:val="center"/>
              <w:textAlignment w:val="center"/>
              <w:rPr>
                <w:rFonts w:hint="eastAsia" w:ascii="宋体" w:hAnsi="宋体" w:cs="宋体"/>
                <w:sz w:val="24"/>
                <w:highlight w:val="none"/>
              </w:rPr>
            </w:pPr>
            <w:r>
              <w:rPr>
                <w:rFonts w:hint="eastAsia" w:ascii="宋体" w:hAnsi="宋体" w:cs="宋体"/>
                <w:color w:val="000000"/>
                <w:kern w:val="0"/>
                <w:sz w:val="24"/>
                <w:highlight w:val="none"/>
                <w:lang w:bidi="ar"/>
              </w:rPr>
              <w:t>5.项目培训方案</w:t>
            </w:r>
          </w:p>
        </w:tc>
        <w:tc>
          <w:tcPr>
            <w:tcW w:w="374" w:type="pct"/>
            <w:vAlign w:val="center"/>
          </w:tcPr>
          <w:p w14:paraId="7687302B">
            <w:pPr>
              <w:widowControl/>
              <w:spacing w:line="340" w:lineRule="exact"/>
              <w:jc w:val="center"/>
              <w:textAlignment w:val="center"/>
              <w:rPr>
                <w:rFonts w:hint="eastAsia" w:ascii="宋体" w:hAnsi="宋体" w:cs="宋体"/>
                <w:sz w:val="24"/>
                <w:highlight w:val="none"/>
              </w:rPr>
            </w:pPr>
            <w:r>
              <w:rPr>
                <w:rFonts w:hint="eastAsia" w:ascii="宋体" w:hAnsi="宋体" w:cs="宋体"/>
                <w:color w:val="000000"/>
                <w:kern w:val="0"/>
                <w:sz w:val="24"/>
                <w:highlight w:val="none"/>
                <w:lang w:bidi="ar"/>
              </w:rPr>
              <w:t>3</w:t>
            </w:r>
          </w:p>
        </w:tc>
        <w:tc>
          <w:tcPr>
            <w:tcW w:w="4130" w:type="pct"/>
            <w:vAlign w:val="center"/>
          </w:tcPr>
          <w:p w14:paraId="24363B5E">
            <w:pPr>
              <w:widowControl/>
              <w:spacing w:line="340" w:lineRule="exact"/>
              <w:jc w:val="left"/>
              <w:textAlignment w:val="center"/>
              <w:rPr>
                <w:rFonts w:hint="eastAsia" w:ascii="宋体" w:hAnsi="宋体" w:cs="宋体"/>
                <w:sz w:val="24"/>
                <w:highlight w:val="none"/>
              </w:rPr>
            </w:pPr>
            <w:r>
              <w:rPr>
                <w:rFonts w:hint="eastAsia" w:ascii="宋体" w:hAnsi="宋体" w:cs="宋体"/>
                <w:color w:val="000000"/>
                <w:kern w:val="0"/>
                <w:sz w:val="24"/>
                <w:highlight w:val="none"/>
                <w:lang w:bidi="ar"/>
              </w:rPr>
              <w:t>根据投标人针对本项目所提供的培训方案，包括但不限于：培训目标、培训对象、培训方式、培训方案等，由评委进行评分：①方案包含的要点齐全无缺漏项、内容与要点相符、每个要点均有展开详细的阐述、整体思路结构清晰，内容描述合理可行，细节考虑周全且能够适用于本项目的得3分；②方案所包含的要点齐全、内容与要点相符、每个要点均有展开阐述（没有特别具体）、整体思路结构较清晰，内容描述较合理可行，细节考虑较周全且基本能够适用于本项目的得2.7分；③方案所包含的要点有缺漏或内容与要点相符但仅有纲要、内容简略，未展开详细阐述但基本能够适用于本项目的得2.4分；④未提供的不得分。</w:t>
            </w:r>
          </w:p>
        </w:tc>
      </w:tr>
    </w:tbl>
    <w:p w14:paraId="2DD784C5">
      <w:pPr>
        <w:pStyle w:val="10"/>
        <w:spacing w:before="0" w:beforeAutospacing="0" w:after="0" w:afterAutospacing="0" w:line="380" w:lineRule="exact"/>
        <w:ind w:firstLine="384"/>
        <w:rPr>
          <w:rFonts w:hint="eastAsia" w:ascii="宋体" w:hAnsi="宋体" w:cs="宋体"/>
          <w:highlight w:val="none"/>
        </w:rPr>
      </w:pPr>
      <w:r>
        <w:rPr>
          <w:rFonts w:hint="eastAsia" w:ascii="宋体" w:hAnsi="宋体" w:cs="宋体"/>
          <w:highlight w:val="none"/>
        </w:rPr>
        <w:t>③商务项（F3）满分为</w:t>
      </w:r>
      <w:r>
        <w:rPr>
          <w:rFonts w:hint="eastAsia" w:ascii="宋体" w:hAnsi="宋体" w:cs="宋体"/>
          <w:highlight w:val="none"/>
          <w:u w:val="single"/>
        </w:rPr>
        <w:t>20</w:t>
      </w:r>
      <w:r>
        <w:rPr>
          <w:rFonts w:hint="eastAsia" w:ascii="宋体" w:hAnsi="宋体" w:cs="宋体"/>
          <w:highlight w:val="none"/>
        </w:rPr>
        <w:t>分。</w:t>
      </w:r>
    </w:p>
    <w:tbl>
      <w:tblPr>
        <w:tblStyle w:val="31"/>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764"/>
        <w:gridCol w:w="8116"/>
      </w:tblGrid>
      <w:tr w14:paraId="27BD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86" w:type="pct"/>
            <w:vAlign w:val="center"/>
          </w:tcPr>
          <w:p w14:paraId="52E4C78B">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项目</w:t>
            </w:r>
          </w:p>
        </w:tc>
        <w:tc>
          <w:tcPr>
            <w:tcW w:w="388" w:type="pct"/>
            <w:vAlign w:val="center"/>
          </w:tcPr>
          <w:p w14:paraId="53FBC380">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分值</w:t>
            </w:r>
          </w:p>
        </w:tc>
        <w:tc>
          <w:tcPr>
            <w:tcW w:w="4124" w:type="pct"/>
            <w:vAlign w:val="center"/>
          </w:tcPr>
          <w:p w14:paraId="7A139FCD">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描述</w:t>
            </w:r>
          </w:p>
        </w:tc>
      </w:tr>
      <w:tr w14:paraId="78C0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486" w:type="pct"/>
            <w:vAlign w:val="center"/>
          </w:tcPr>
          <w:p w14:paraId="24209D3F">
            <w:pPr>
              <w:widowControl/>
              <w:jc w:val="center"/>
              <w:textAlignment w:val="top"/>
              <w:rPr>
                <w:rFonts w:hint="eastAsia" w:ascii="宋体" w:hAnsi="宋体" w:cs="宋体"/>
                <w:color w:val="000000"/>
                <w:sz w:val="24"/>
                <w:highlight w:val="none"/>
              </w:rPr>
            </w:pPr>
            <w:r>
              <w:rPr>
                <w:rFonts w:hint="eastAsia" w:ascii="宋体" w:hAnsi="宋体" w:cs="宋体"/>
                <w:color w:val="000000"/>
                <w:kern w:val="0"/>
                <w:sz w:val="24"/>
                <w:highlight w:val="none"/>
                <w:lang w:bidi="ar"/>
              </w:rPr>
              <w:t>1.项目经理</w:t>
            </w:r>
          </w:p>
        </w:tc>
        <w:tc>
          <w:tcPr>
            <w:tcW w:w="388" w:type="pct"/>
            <w:vAlign w:val="center"/>
          </w:tcPr>
          <w:p w14:paraId="6BD79CAE">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3</w:t>
            </w:r>
          </w:p>
        </w:tc>
        <w:tc>
          <w:tcPr>
            <w:tcW w:w="4124" w:type="pct"/>
            <w:vAlign w:val="center"/>
          </w:tcPr>
          <w:p w14:paraId="3B27BFA1">
            <w:pPr>
              <w:widowControl/>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投标人针对本项目配备项目经理1人，须具备（1）信息系统项目管理师证书；（2）网络工程师证书；（3）网络规划设计师证书；（4）信息安全工程师证书。项目经理具有上述4本有效证书的得3分，具有上述3本的得2分，具有上述2本的得1分，其余不得分。</w:t>
            </w:r>
          </w:p>
          <w:p w14:paraId="7570DFED">
            <w:pPr>
              <w:widowControl/>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须提供有效的证书复印件，以及投标人单位为其缴纳的投标截止时间前半年内任意1个月（不含投标当月）的社保缴纳证明材料复印件，未提供不得分。</w:t>
            </w:r>
          </w:p>
          <w:p w14:paraId="49EBE12B">
            <w:pPr>
              <w:widowControl/>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（注：1.项目经理、2.技术负责人、3.测试团队、4.技术团队、5.安全团队，提供同一人不得重复得分。）</w:t>
            </w:r>
          </w:p>
        </w:tc>
      </w:tr>
      <w:tr w14:paraId="0FD5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486" w:type="pct"/>
            <w:vAlign w:val="center"/>
          </w:tcPr>
          <w:p w14:paraId="447F76D1">
            <w:pPr>
              <w:widowControl/>
              <w:jc w:val="center"/>
              <w:textAlignment w:val="top"/>
              <w:rPr>
                <w:rFonts w:hint="eastAsia" w:ascii="宋体" w:hAnsi="宋体" w:cs="宋体"/>
                <w:color w:val="000000"/>
                <w:sz w:val="24"/>
                <w:highlight w:val="none"/>
              </w:rPr>
            </w:pPr>
            <w:r>
              <w:rPr>
                <w:rFonts w:hint="eastAsia" w:ascii="宋体" w:hAnsi="宋体" w:cs="宋体"/>
                <w:color w:val="000000"/>
                <w:kern w:val="0"/>
                <w:sz w:val="24"/>
                <w:highlight w:val="none"/>
                <w:lang w:bidi="ar"/>
              </w:rPr>
              <w:t>2.技术负责人</w:t>
            </w:r>
          </w:p>
        </w:tc>
        <w:tc>
          <w:tcPr>
            <w:tcW w:w="388" w:type="pct"/>
            <w:vAlign w:val="center"/>
          </w:tcPr>
          <w:p w14:paraId="49E19C6E">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3</w:t>
            </w:r>
          </w:p>
        </w:tc>
        <w:tc>
          <w:tcPr>
            <w:tcW w:w="4124" w:type="pct"/>
            <w:vAlign w:val="center"/>
          </w:tcPr>
          <w:p w14:paraId="759350B0">
            <w:pPr>
              <w:widowControl/>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投标人针对本项目配备技术负责人1人，具备（1）信息系统项目管理师证书；（2）数据库系统工程师证书；（3）软件设计师（或系统架构设计师）证书，每提供一本证书得1分，满分3分，未提供不得分。</w:t>
            </w:r>
          </w:p>
          <w:p w14:paraId="75AA9E9C">
            <w:pPr>
              <w:widowControl/>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须提供有效的证书复印件，以及投标人单位为其缴纳的投标截止时间前半年内任意1个月（不含投标当月）的社保缴纳证明材料复印件，未提供不得分。</w:t>
            </w:r>
          </w:p>
          <w:p w14:paraId="5640B295">
            <w:pPr>
              <w:widowControl/>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（注：1.项目经理、2.技术负责人、3.测试团队、4.技术团队、5.安全团队，提供同一人不得重复得分。）</w:t>
            </w:r>
          </w:p>
        </w:tc>
      </w:tr>
      <w:tr w14:paraId="255C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486" w:type="pct"/>
            <w:vAlign w:val="center"/>
          </w:tcPr>
          <w:p w14:paraId="1659A5C1">
            <w:pPr>
              <w:widowControl/>
              <w:jc w:val="center"/>
              <w:textAlignment w:val="top"/>
              <w:rPr>
                <w:rFonts w:hint="eastAsia" w:ascii="宋体" w:hAnsi="宋体" w:cs="宋体"/>
                <w:color w:val="000000"/>
                <w:sz w:val="24"/>
                <w:highlight w:val="none"/>
              </w:rPr>
            </w:pPr>
            <w:r>
              <w:rPr>
                <w:rFonts w:hint="eastAsia" w:ascii="宋体" w:hAnsi="宋体" w:cs="宋体"/>
                <w:color w:val="000000"/>
                <w:kern w:val="0"/>
                <w:sz w:val="24"/>
                <w:highlight w:val="none"/>
                <w:lang w:bidi="ar"/>
              </w:rPr>
              <w:t>3.测试团队</w:t>
            </w:r>
          </w:p>
        </w:tc>
        <w:tc>
          <w:tcPr>
            <w:tcW w:w="388" w:type="pct"/>
            <w:vAlign w:val="center"/>
          </w:tcPr>
          <w:p w14:paraId="20B4BFC8">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3</w:t>
            </w:r>
          </w:p>
        </w:tc>
        <w:tc>
          <w:tcPr>
            <w:tcW w:w="4124" w:type="pct"/>
            <w:vAlign w:val="center"/>
          </w:tcPr>
          <w:p w14:paraId="1BB078C7">
            <w:pPr>
              <w:widowControl/>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为确保本项目软件能顺利交付，根据投标人为本项目拟派的测试团队中具备软件评测师证书情况进行评分：每提供一本的得1分，满分3分，未提供不得分。</w:t>
            </w:r>
          </w:p>
          <w:p w14:paraId="2666442F">
            <w:pPr>
              <w:widowControl/>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须提供有效的证书复印件，以及投标人单位为其缴纳的投标截止时间前半年内任意1个月（不含投标当月）的社保缴纳证明材料复印件，未提供不得分。</w:t>
            </w:r>
          </w:p>
          <w:p w14:paraId="719EF0B1">
            <w:pPr>
              <w:widowControl/>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（注：1.项目经理、2.技术负责人、3.测试团队、4.技术团队、5.安全团队，提供同一人不得重复得分。）</w:t>
            </w:r>
          </w:p>
        </w:tc>
      </w:tr>
      <w:tr w14:paraId="29C68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86" w:type="pct"/>
            <w:vAlign w:val="center"/>
          </w:tcPr>
          <w:p w14:paraId="6023402A">
            <w:pPr>
              <w:widowControl/>
              <w:jc w:val="center"/>
              <w:textAlignment w:val="top"/>
              <w:rPr>
                <w:rFonts w:hint="eastAsia" w:ascii="宋体" w:hAnsi="宋体" w:cs="宋体"/>
                <w:color w:val="000000"/>
                <w:sz w:val="24"/>
                <w:highlight w:val="none"/>
              </w:rPr>
            </w:pPr>
            <w:r>
              <w:rPr>
                <w:rFonts w:hint="eastAsia" w:ascii="宋体" w:hAnsi="宋体" w:cs="宋体"/>
                <w:color w:val="000000"/>
                <w:kern w:val="0"/>
                <w:sz w:val="24"/>
                <w:highlight w:val="none"/>
                <w:lang w:bidi="ar"/>
              </w:rPr>
              <w:t>4.技术团队</w:t>
            </w:r>
          </w:p>
        </w:tc>
        <w:tc>
          <w:tcPr>
            <w:tcW w:w="388" w:type="pct"/>
            <w:vAlign w:val="center"/>
          </w:tcPr>
          <w:p w14:paraId="1E1FBBD3">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3</w:t>
            </w:r>
          </w:p>
        </w:tc>
        <w:tc>
          <w:tcPr>
            <w:tcW w:w="4124" w:type="pct"/>
            <w:vAlign w:val="center"/>
          </w:tcPr>
          <w:p w14:paraId="65F85CAF">
            <w:pPr>
              <w:widowControl/>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投标人针对本项目的技术团队中具备软件设计师（或系统架构设计师）证书的数量≥5本得3分，3本≤证书数量＜5本得2分，1本≤证书数量＜3本得1分，其他情况不得分。</w:t>
            </w:r>
          </w:p>
          <w:p w14:paraId="1291755C">
            <w:pPr>
              <w:widowControl/>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须提供有效的证书复印件，以及投标人单位为其缴纳的投标截止时间前半年内任意1个月（不含投标当月）的社保缴纳证明材料复印件，未提供不得分。</w:t>
            </w:r>
          </w:p>
          <w:p w14:paraId="65E5BEBB">
            <w:pPr>
              <w:widowControl/>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（注：1.项目经理、2.技术负责人、3.测试团队、4.技术团队、5.安全团队，提供同一人不得重复得分。）</w:t>
            </w:r>
          </w:p>
        </w:tc>
      </w:tr>
      <w:tr w14:paraId="3878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486" w:type="pct"/>
            <w:vAlign w:val="center"/>
          </w:tcPr>
          <w:p w14:paraId="4A334ADB">
            <w:pPr>
              <w:widowControl/>
              <w:jc w:val="center"/>
              <w:textAlignment w:val="top"/>
              <w:rPr>
                <w:rFonts w:hint="eastAsia" w:ascii="宋体" w:hAnsi="宋体" w:cs="宋体"/>
                <w:color w:val="000000"/>
                <w:sz w:val="24"/>
                <w:highlight w:val="none"/>
              </w:rPr>
            </w:pPr>
            <w:r>
              <w:rPr>
                <w:rFonts w:hint="eastAsia" w:ascii="宋体" w:hAnsi="宋体" w:cs="宋体"/>
                <w:color w:val="000000"/>
                <w:kern w:val="0"/>
                <w:sz w:val="24"/>
                <w:highlight w:val="none"/>
                <w:lang w:bidi="ar"/>
              </w:rPr>
              <w:t>5.安全团队</w:t>
            </w:r>
          </w:p>
        </w:tc>
        <w:tc>
          <w:tcPr>
            <w:tcW w:w="388" w:type="pct"/>
            <w:vAlign w:val="center"/>
          </w:tcPr>
          <w:p w14:paraId="4B0C8DED">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w:t>
            </w:r>
          </w:p>
        </w:tc>
        <w:tc>
          <w:tcPr>
            <w:tcW w:w="4124" w:type="pct"/>
            <w:vAlign w:val="center"/>
          </w:tcPr>
          <w:p w14:paraId="60D930D2">
            <w:pPr>
              <w:widowControl/>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为确保本项目软件安全性，根据投标人为本项目拟派的安全团队中具备注册信息安全专业人员证书情况进行评分：每提供一本的得1分，满分2分。</w:t>
            </w:r>
          </w:p>
          <w:p w14:paraId="750F8E1B">
            <w:pPr>
              <w:widowControl/>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须提供有效的证书复印件，以及投标人单位为其缴纳的投标截止时间前半年内任意1个月（不含投标当月）的社保缴纳证明材料复印件，未提供不得分。</w:t>
            </w:r>
          </w:p>
          <w:p w14:paraId="1070011B">
            <w:pPr>
              <w:widowControl/>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（注：1.项目经理、2.技术负责人、3.测试团队、4.技术团队、5.安全团队，提供同一人不得重复得分。）</w:t>
            </w:r>
          </w:p>
        </w:tc>
      </w:tr>
      <w:tr w14:paraId="4BA4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486" w:type="pct"/>
            <w:vAlign w:val="center"/>
          </w:tcPr>
          <w:p w14:paraId="551CD7C6">
            <w:pPr>
              <w:widowControl/>
              <w:jc w:val="center"/>
              <w:textAlignment w:val="top"/>
              <w:rPr>
                <w:rFonts w:hint="eastAsia" w:ascii="宋体" w:hAnsi="宋体" w:eastAsia="宋体" w:cs="宋体"/>
                <w:color w:val="000000"/>
                <w:sz w:val="24"/>
                <w:highlight w:val="none"/>
                <w:lang w:eastAsia="zh-CN"/>
              </w:rPr>
            </w:pPr>
            <w:r>
              <w:rPr>
                <w:rFonts w:hint="eastAsia" w:ascii="宋体" w:hAnsi="宋体" w:cs="宋体"/>
                <w:color w:val="000000"/>
                <w:kern w:val="0"/>
                <w:sz w:val="24"/>
                <w:highlight w:val="none"/>
                <w:lang w:bidi="ar"/>
              </w:rPr>
              <w:t>6.</w:t>
            </w:r>
            <w:r>
              <w:rPr>
                <w:rFonts w:hint="default" w:ascii="宋体" w:hAnsi="宋体" w:cs="宋体"/>
                <w:color w:val="000000"/>
                <w:kern w:val="0"/>
                <w:sz w:val="24"/>
                <w:highlight w:val="none"/>
                <w:lang w:val="en-US" w:bidi="ar"/>
              </w:rPr>
              <w:t>综合实力</w:t>
            </w:r>
          </w:p>
        </w:tc>
        <w:tc>
          <w:tcPr>
            <w:tcW w:w="388" w:type="pct"/>
            <w:vAlign w:val="center"/>
          </w:tcPr>
          <w:p w14:paraId="0FD69E77">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w:t>
            </w:r>
          </w:p>
        </w:tc>
        <w:tc>
          <w:tcPr>
            <w:tcW w:w="4124" w:type="pct"/>
            <w:vAlign w:val="center"/>
          </w:tcPr>
          <w:p w14:paraId="2CAE216D">
            <w:pPr>
              <w:widowControl/>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投标人具有有效的IT服务管理体系认证证书、信息安全管理体系认证证书的，每提供一项证书得1分，满分2分。（注：投标人须提供合格有效相关证书复印件并加盖投标人公章，未提供的不得分。）</w:t>
            </w:r>
          </w:p>
        </w:tc>
      </w:tr>
      <w:tr w14:paraId="363C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486" w:type="pct"/>
            <w:vAlign w:val="center"/>
          </w:tcPr>
          <w:p w14:paraId="2FB7646F">
            <w:pPr>
              <w:widowControl/>
              <w:jc w:val="center"/>
              <w:textAlignment w:val="top"/>
              <w:rPr>
                <w:rFonts w:hint="eastAsia" w:ascii="宋体" w:hAnsi="宋体" w:cs="宋体"/>
                <w:color w:val="000000"/>
                <w:sz w:val="24"/>
                <w:highlight w:val="none"/>
              </w:rPr>
            </w:pPr>
            <w:r>
              <w:rPr>
                <w:rFonts w:hint="eastAsia" w:ascii="宋体" w:hAnsi="宋体" w:cs="宋体"/>
                <w:color w:val="000000"/>
                <w:kern w:val="0"/>
                <w:sz w:val="24"/>
                <w:highlight w:val="none"/>
                <w:lang w:bidi="ar"/>
              </w:rPr>
              <w:t>7.售后服务方案</w:t>
            </w:r>
          </w:p>
        </w:tc>
        <w:tc>
          <w:tcPr>
            <w:tcW w:w="388" w:type="pct"/>
            <w:vAlign w:val="center"/>
          </w:tcPr>
          <w:p w14:paraId="5F74DE5D">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w:t>
            </w:r>
          </w:p>
        </w:tc>
        <w:tc>
          <w:tcPr>
            <w:tcW w:w="4124" w:type="pct"/>
            <w:vAlign w:val="center"/>
          </w:tcPr>
          <w:p w14:paraId="4C2A9A4D">
            <w:pPr>
              <w:widowControl/>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根据投标人针对本项目提供的售后服务方案（包括但不限于：①售后服务组织架构、②售后服务流程、③售后服务内容），由评委进行评分：①方案包含的要点齐全无缺漏项、内容与要点相符、每个要点均有展开详细的阐述、整体思路结构清晰，内容描述合理可行，细节考虑周全且能够适用于本项目的得2分；②方案所包含的要点齐全、内容与要点相符、每个要点均有展开阐述（没有特别具体）、整体思路结构较清晰，内容描述较合理可行，细节考虑较周全且基本能够适用于本项目的得1.7分；③方案所包含的要点有缺漏或内容与要点相符但仅有纲要、内容简略，未展开详细阐述但基本能够适用于本项目的得1.4分；④未提供的不得分。</w:t>
            </w:r>
          </w:p>
        </w:tc>
      </w:tr>
      <w:tr w14:paraId="2161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486" w:type="pct"/>
            <w:vAlign w:val="center"/>
          </w:tcPr>
          <w:p w14:paraId="135CC310">
            <w:pPr>
              <w:pStyle w:val="70"/>
              <w:spacing w:line="360" w:lineRule="auto"/>
              <w:jc w:val="center"/>
              <w:rPr>
                <w:rFonts w:hint="eastAsia" w:ascii="宋体" w:hAnsi="宋体" w:cs="宋体"/>
                <w:color w:val="000000"/>
                <w:sz w:val="24"/>
                <w:szCs w:val="24"/>
                <w:highlight w:val="none"/>
                <w:lang w:bidi="ar"/>
              </w:rPr>
            </w:pPr>
            <w:r>
              <w:rPr>
                <w:rFonts w:hint="eastAsia" w:ascii="宋体" w:hAnsi="宋体" w:cs="宋体"/>
                <w:color w:val="000000"/>
                <w:sz w:val="24"/>
                <w:szCs w:val="24"/>
                <w:highlight w:val="none"/>
                <w:lang w:eastAsia="zh-CN" w:bidi="ar"/>
              </w:rPr>
              <w:t>8.</w:t>
            </w:r>
            <w:r>
              <w:rPr>
                <w:rFonts w:hint="eastAsia" w:ascii="宋体" w:hAnsi="宋体" w:cs="宋体"/>
                <w:color w:val="000000"/>
                <w:sz w:val="24"/>
                <w:szCs w:val="24"/>
                <w:highlight w:val="none"/>
                <w:lang w:bidi="ar"/>
              </w:rPr>
              <w:t>维护响应时间</w:t>
            </w:r>
          </w:p>
        </w:tc>
        <w:tc>
          <w:tcPr>
            <w:tcW w:w="388" w:type="pct"/>
            <w:vAlign w:val="center"/>
          </w:tcPr>
          <w:p w14:paraId="56244508">
            <w:pPr>
              <w:widowControl/>
              <w:spacing w:line="360" w:lineRule="auto"/>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2</w:t>
            </w:r>
          </w:p>
        </w:tc>
        <w:tc>
          <w:tcPr>
            <w:tcW w:w="4124" w:type="pct"/>
            <w:vAlign w:val="center"/>
          </w:tcPr>
          <w:p w14:paraId="4E4B218E">
            <w:pPr>
              <w:widowControl/>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为保证采购人的使用效果，投标人在收到采购人的故障申诉后，需及时派遣技术人员到现场进行故障处理。评委根据各投标人承诺的收到采购人的故障申诉后技术人员到达现场处理时间进行评议：收到采购人的故障申诉后技术人员到达现场处理时间＜2小时的得2分；4小时＞收到采购人的故障申诉后技术人员到达现场处理时间≥2小时的得1分；6小时＞收到采购人的故障申诉后技术人员到达现场处理时间≥4小时的得0.5分；收到采购人的故障申诉后技术人员到达现场处理时间≥6小时的不得分。须提供专项承诺函（格式自拟），且承诺函中须明确到达现场的具体时间。未提供或承诺内容不符合要求的不得分。</w:t>
            </w:r>
          </w:p>
        </w:tc>
      </w:tr>
    </w:tbl>
    <w:p w14:paraId="14A2AA0A">
      <w:pPr>
        <w:pStyle w:val="10"/>
        <w:spacing w:before="0" w:beforeAutospacing="0" w:after="0" w:afterAutospacing="0" w:line="420" w:lineRule="exact"/>
        <w:ind w:firstLine="384"/>
        <w:rPr>
          <w:rFonts w:hint="eastAsia" w:ascii="宋体" w:hAnsi="宋体" w:cs="宋体"/>
          <w:highlight w:val="none"/>
        </w:rPr>
      </w:pPr>
      <w:r>
        <w:rPr>
          <w:rFonts w:hint="eastAsia" w:ascii="宋体" w:hAnsi="宋体" w:cs="宋体"/>
          <w:highlight w:val="none"/>
        </w:rPr>
        <w:t xml:space="preserve">（4）中标候选人排列规则顺序如下： </w:t>
      </w:r>
    </w:p>
    <w:p w14:paraId="4CF4CE7B">
      <w:pPr>
        <w:pStyle w:val="10"/>
        <w:spacing w:before="0" w:beforeAutospacing="0" w:after="0" w:afterAutospacing="0" w:line="420" w:lineRule="exact"/>
        <w:ind w:firstLine="384"/>
        <w:rPr>
          <w:rFonts w:hint="eastAsia" w:ascii="宋体" w:hAnsi="宋体" w:cs="宋体"/>
          <w:highlight w:val="none"/>
        </w:rPr>
      </w:pPr>
      <w:r>
        <w:rPr>
          <w:rFonts w:hint="eastAsia" w:ascii="宋体" w:hAnsi="宋体" w:cs="宋体"/>
          <w:highlight w:val="none"/>
        </w:rPr>
        <w:t>a.按照评标总得分（FA）由高到低顺序排列。</w:t>
      </w:r>
    </w:p>
    <w:p w14:paraId="0B6D5EBD">
      <w:pPr>
        <w:pStyle w:val="10"/>
        <w:spacing w:before="0" w:beforeAutospacing="0" w:after="0" w:afterAutospacing="0" w:line="420" w:lineRule="exact"/>
        <w:ind w:firstLine="384"/>
        <w:rPr>
          <w:rFonts w:hint="eastAsia" w:ascii="宋体" w:hAnsi="宋体" w:cs="宋体"/>
          <w:highlight w:val="none"/>
        </w:rPr>
      </w:pPr>
      <w:r>
        <w:rPr>
          <w:rFonts w:hint="eastAsia" w:ascii="宋体" w:hAnsi="宋体" w:cs="宋体"/>
          <w:highlight w:val="none"/>
        </w:rPr>
        <w:t xml:space="preserve">b.评标总得分（FA）相同的，按照评标价（即价格扣除后的投标报价）由低到高顺序排列。 </w:t>
      </w:r>
    </w:p>
    <w:p w14:paraId="3520758F">
      <w:pPr>
        <w:pStyle w:val="10"/>
        <w:spacing w:before="0" w:beforeAutospacing="0" w:after="0" w:afterAutospacing="0" w:line="420" w:lineRule="exact"/>
        <w:ind w:firstLine="378"/>
        <w:rPr>
          <w:rFonts w:hint="eastAsia" w:ascii="宋体" w:hAnsi="宋体" w:cs="宋体"/>
          <w:highlight w:val="none"/>
        </w:rPr>
      </w:pPr>
      <w:r>
        <w:rPr>
          <w:rFonts w:hint="eastAsia" w:ascii="宋体" w:hAnsi="宋体" w:cs="宋体"/>
          <w:highlight w:val="none"/>
        </w:rPr>
        <w:t>c.评标总得分（FA）且评标价（即价格扣除后的投标报价）相同的并列。</w:t>
      </w:r>
    </w:p>
    <w:p w14:paraId="7085FE9F">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lang w:eastAsia="zh-CN"/>
        </w:rPr>
        <w:t>8.</w:t>
      </w:r>
      <w:r>
        <w:rPr>
          <w:rFonts w:hint="eastAsia" w:ascii="宋体" w:hAnsi="宋体" w:cs="宋体"/>
          <w:highlight w:val="none"/>
        </w:rPr>
        <w:t>其他规定</w:t>
      </w:r>
    </w:p>
    <w:p w14:paraId="2689FF63">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8.1评标应全程保密且不得透露给任一投标人或与评标工作无关的人员。</w:t>
      </w:r>
    </w:p>
    <w:p w14:paraId="1C8E7C64">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8.2评标将进行全程实时录音录像，录音录像资料随采购文件一并存档。</w:t>
      </w:r>
    </w:p>
    <w:p w14:paraId="2B1F58EE">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8.3若投标人有任何试图干扰具体评标事务，影响评标委员会独立履行职责的行为，其投标无效且不予退还投标保证金或通过投标保函进行索赔。情节严重的，由财政部门列入不良行为记录。</w:t>
      </w:r>
    </w:p>
    <w:p w14:paraId="437BD487">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8.4其他：</w:t>
      </w:r>
      <w:r>
        <w:rPr>
          <w:rStyle w:val="62"/>
          <w:rFonts w:hint="eastAsia" w:ascii="宋体" w:hAnsi="宋体" w:cs="宋体"/>
          <w:highlight w:val="none"/>
        </w:rPr>
        <w:t>无。</w:t>
      </w:r>
    </w:p>
    <w:p w14:paraId="0CD3774C">
      <w:pPr>
        <w:pStyle w:val="10"/>
        <w:spacing w:before="59" w:beforeAutospacing="0" w:after="59" w:afterAutospacing="0"/>
        <w:rPr>
          <w:rFonts w:hint="eastAsia" w:ascii="宋体" w:hAnsi="宋体" w:cs="宋体"/>
          <w:b/>
          <w:highlight w:val="none"/>
        </w:rPr>
      </w:pPr>
    </w:p>
    <w:p w14:paraId="5282E52F">
      <w:pPr>
        <w:pStyle w:val="70"/>
        <w:jc w:val="center"/>
        <w:outlineLvl w:val="0"/>
        <w:rPr>
          <w:rFonts w:hint="eastAsia" w:ascii="宋体" w:hAnsi="宋体" w:cs="宋体"/>
          <w:highlight w:val="none"/>
        </w:rPr>
      </w:pPr>
      <w:r>
        <w:rPr>
          <w:rFonts w:hint="eastAsia" w:ascii="宋体" w:hAnsi="宋体" w:cs="宋体"/>
          <w:b/>
          <w:highlight w:val="none"/>
        </w:rPr>
        <w:br w:type="page"/>
      </w:r>
      <w:bookmarkStart w:id="53" w:name="_Toc28790"/>
      <w:r>
        <w:rPr>
          <w:rFonts w:hint="eastAsia" w:ascii="宋体" w:hAnsi="宋体" w:cs="宋体"/>
          <w:b/>
          <w:sz w:val="36"/>
          <w:szCs w:val="24"/>
          <w:highlight w:val="none"/>
        </w:rPr>
        <w:t>第五章 招标内容及要求</w:t>
      </w:r>
      <w:bookmarkEnd w:id="53"/>
    </w:p>
    <w:p w14:paraId="69825A2D">
      <w:pPr>
        <w:pStyle w:val="10"/>
        <w:spacing w:before="0" w:beforeAutospacing="0" w:after="0" w:afterAutospacing="0" w:line="360" w:lineRule="exact"/>
        <w:outlineLvl w:val="1"/>
        <w:rPr>
          <w:rFonts w:hint="eastAsia" w:ascii="宋体" w:hAnsi="宋体" w:cs="宋体"/>
          <w:b/>
          <w:sz w:val="21"/>
          <w:szCs w:val="21"/>
          <w:highlight w:val="none"/>
        </w:rPr>
      </w:pPr>
      <w:bookmarkStart w:id="54" w:name="_Toc5725"/>
      <w:r>
        <w:rPr>
          <w:rFonts w:hint="eastAsia" w:ascii="宋体" w:hAnsi="宋体" w:cs="宋体"/>
          <w:b/>
          <w:sz w:val="21"/>
          <w:szCs w:val="21"/>
          <w:highlight w:val="none"/>
        </w:rPr>
        <w:t>一、项目概况</w:t>
      </w:r>
      <w:bookmarkEnd w:id="54"/>
    </w:p>
    <w:p w14:paraId="455AD070">
      <w:pPr>
        <w:pStyle w:val="70"/>
        <w:spacing w:line="360" w:lineRule="exact"/>
        <w:rPr>
          <w:rFonts w:hint="eastAsia" w:ascii="宋体" w:hAnsi="宋体" w:cs="宋体"/>
          <w:b/>
          <w:sz w:val="21"/>
          <w:szCs w:val="21"/>
          <w:highlight w:val="none"/>
        </w:rPr>
      </w:pPr>
      <w:bookmarkStart w:id="55" w:name="_Toc221265480"/>
      <w:bookmarkStart w:id="56" w:name="_Toc230963331"/>
      <w:bookmarkStart w:id="57" w:name="_Toc207704783"/>
      <w:bookmarkStart w:id="58" w:name="_Toc214887384"/>
      <w:r>
        <w:rPr>
          <w:rFonts w:hint="eastAsia" w:ascii="宋体" w:hAnsi="宋体" w:cs="宋体"/>
          <w:b/>
          <w:sz w:val="21"/>
          <w:szCs w:val="21"/>
          <w:highlight w:val="none"/>
        </w:rPr>
        <w:t>（一）建设内容</w:t>
      </w:r>
      <w:bookmarkEnd w:id="55"/>
      <w:bookmarkEnd w:id="56"/>
      <w:bookmarkEnd w:id="57"/>
      <w:bookmarkEnd w:id="58"/>
    </w:p>
    <w:p w14:paraId="2F18DB1A">
      <w:pPr>
        <w:pStyle w:val="70"/>
        <w:spacing w:line="360" w:lineRule="exact"/>
        <w:ind w:firstLine="420" w:firstLineChars="200"/>
        <w:rPr>
          <w:rFonts w:hint="eastAsia" w:ascii="宋体" w:hAnsi="宋体" w:cs="宋体"/>
          <w:b/>
          <w:color w:val="auto"/>
          <w:sz w:val="21"/>
          <w:szCs w:val="21"/>
          <w:highlight w:val="none"/>
        </w:rPr>
      </w:pPr>
      <w:r>
        <w:rPr>
          <w:rFonts w:hint="eastAsia" w:ascii="宋体" w:hAnsi="宋体" w:cs="宋体"/>
          <w:sz w:val="21"/>
          <w:szCs w:val="21"/>
          <w:highlight w:val="none"/>
        </w:rPr>
        <w:t>本项目定位数据要素基础设施建设，搭建数据赋能体系，促进人工智能应用转型。主要建设内容包括数据资产全过程管理平台、可信数据空间平台以及运行所需的配套硬件设备，主要提供数据采集、治理、加工，数据资产确权、登记、流通、交付全过程管理服务。建设数据资产全过程管理平台，围绕AI算法训练、AI场景应用搭建等数据需求，规范数据资产登记、质量审核、价值评估全流程，夯实应用转型基础；打造数据流通交易枢纽，实现数据产品上架展示、供需对接、运营管理、合规管理等全流程管理，为AI应用研发迭代提供优质数据保障。建设可信</w:t>
      </w:r>
      <w:r>
        <w:rPr>
          <w:rFonts w:hint="eastAsia" w:ascii="宋体" w:hAnsi="宋体" w:cs="宋体"/>
          <w:color w:val="auto"/>
          <w:sz w:val="21"/>
          <w:szCs w:val="21"/>
          <w:highlight w:val="none"/>
        </w:rPr>
        <w:t>数据空间平台，包括可信身份认证、隐私计算、数据沙箱、区块链存证、智能合约、数据连接器等基础技术组件，构建数据可信流通技术底座。升级硬件设备，部署国产服务器、存储及网络安全设备，保障人工智能应用、数据要素流通自主可控、安全稳定。</w:t>
      </w:r>
    </w:p>
    <w:p w14:paraId="5899FB24">
      <w:pPr>
        <w:pStyle w:val="70"/>
        <w:spacing w:line="360" w:lineRule="exact"/>
        <w:rPr>
          <w:rFonts w:hint="eastAsia" w:ascii="宋体" w:hAnsi="宋体" w:cs="宋体"/>
          <w:b/>
          <w:color w:val="auto"/>
          <w:sz w:val="21"/>
          <w:szCs w:val="21"/>
          <w:highlight w:val="none"/>
        </w:rPr>
      </w:pPr>
      <w:r>
        <w:rPr>
          <w:rFonts w:hint="eastAsia" w:ascii="宋体" w:hAnsi="宋体" w:cs="宋体"/>
          <w:b/>
          <w:color w:val="auto"/>
          <w:sz w:val="21"/>
          <w:szCs w:val="21"/>
          <w:highlight w:val="none"/>
        </w:rPr>
        <w:t>（二）其他说明</w:t>
      </w:r>
    </w:p>
    <w:p w14:paraId="21418B13">
      <w:pPr>
        <w:pStyle w:val="70"/>
        <w:spacing w:line="360" w:lineRule="exact"/>
        <w:ind w:firstLine="480"/>
        <w:jc w:val="both"/>
        <w:rPr>
          <w:rFonts w:hint="eastAsia"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lang w:eastAsia="zh-CN"/>
        </w:rPr>
        <w:t>1.</w:t>
      </w:r>
      <w:r>
        <w:rPr>
          <w:rFonts w:hint="eastAsia" w:ascii="宋体" w:hAnsi="宋体" w:cs="宋体"/>
          <w:color w:val="auto"/>
          <w:sz w:val="21"/>
          <w:szCs w:val="21"/>
          <w:highlight w:val="none"/>
          <w:shd w:val="clear" w:color="auto" w:fill="FFFFFF"/>
        </w:rPr>
        <w:t>为加快推进本项目建设实施，化解项目建设资金缺口，本项目遵循“政府引导、企业运营”运作原则，采用公开招标方式择优确定项目合作单位。本项目预算金额中由</w:t>
      </w:r>
      <w:bookmarkStart w:id="59" w:name="OLE_LINK8"/>
      <w:r>
        <w:rPr>
          <w:rFonts w:hint="eastAsia" w:ascii="宋体" w:hAnsi="宋体" w:cs="宋体"/>
          <w:color w:val="auto"/>
          <w:sz w:val="21"/>
          <w:szCs w:val="21"/>
          <w:highlight w:val="none"/>
          <w:shd w:val="clear" w:color="auto" w:fill="FFFFFF"/>
        </w:rPr>
        <w:t>采购人</w:t>
      </w:r>
      <w:bookmarkEnd w:id="59"/>
      <w:r>
        <w:rPr>
          <w:rFonts w:hint="eastAsia" w:ascii="宋体" w:hAnsi="宋体" w:cs="宋体"/>
          <w:color w:val="auto"/>
          <w:sz w:val="21"/>
          <w:szCs w:val="21"/>
          <w:highlight w:val="none"/>
          <w:shd w:val="clear" w:color="auto" w:fill="FFFFFF"/>
        </w:rPr>
        <w:t>支付的金额上限（即建设金额）为775万元，中标人须自行筹措项目缺口资金人民币2200万元，按投建管服一体化模式统筹开展项目投资、建设、运营管理及配套服务全流程工作；采购人授予中标人平台为期5年的运营经营权，中标人通过平台合规运营获取收益，自负盈亏，用以回收其自筹投入资金。</w:t>
      </w:r>
    </w:p>
    <w:p w14:paraId="3E1B8413">
      <w:pPr>
        <w:pStyle w:val="70"/>
        <w:spacing w:line="360" w:lineRule="exact"/>
        <w:ind w:firstLine="480"/>
        <w:jc w:val="both"/>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lang w:eastAsia="zh-CN"/>
        </w:rPr>
        <w:t>2.</w:t>
      </w:r>
      <w:r>
        <w:rPr>
          <w:rFonts w:hint="eastAsia" w:ascii="宋体" w:hAnsi="宋体" w:cs="宋体"/>
          <w:color w:val="auto"/>
          <w:sz w:val="21"/>
          <w:szCs w:val="21"/>
          <w:highlight w:val="none"/>
          <w:shd w:val="clear" w:color="auto" w:fill="FFFFFF"/>
        </w:rPr>
        <w:t>投标人提供的所有产品应当具有在中国境内合法的使用权和用户保护权且为全新原装品牌产品，若投标人所投产品国家有强制性要求认证的，则投标人应提供通过认证的产品进行投标。投标人所提供的服务应符合国家相关法律法规，软件必须是</w:t>
      </w:r>
      <w:r>
        <w:rPr>
          <w:rFonts w:hint="eastAsia" w:ascii="宋体" w:hAnsi="宋体" w:cs="宋体"/>
          <w:color w:val="auto"/>
          <w:sz w:val="21"/>
          <w:szCs w:val="21"/>
          <w:highlight w:val="none"/>
          <w:shd w:val="clear" w:color="auto" w:fill="FFFFFF"/>
          <w:lang w:eastAsia="zh-CN"/>
        </w:rPr>
        <w:t>正版</w:t>
      </w:r>
      <w:r>
        <w:rPr>
          <w:rFonts w:hint="eastAsia" w:ascii="宋体" w:hAnsi="宋体" w:cs="宋体"/>
          <w:color w:val="auto"/>
          <w:sz w:val="21"/>
          <w:szCs w:val="21"/>
          <w:highlight w:val="none"/>
          <w:shd w:val="clear" w:color="auto" w:fill="FFFFFF"/>
        </w:rPr>
        <w:t>合法的产品。如因产品违反国家相关规定而产生的纠纷和责任，均由投标人负全责。若因此给采购人造成损失的，投标人还要负赔偿责任。投标人投标即视为默认知晓上述情况。</w:t>
      </w:r>
    </w:p>
    <w:p w14:paraId="7F8975DF">
      <w:pPr>
        <w:pStyle w:val="70"/>
        <w:spacing w:line="360" w:lineRule="exact"/>
        <w:ind w:firstLine="420" w:firstLineChars="200"/>
        <w:jc w:val="both"/>
        <w:rPr>
          <w:rFonts w:hint="eastAsia"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lang w:eastAsia="zh-CN"/>
        </w:rPr>
        <w:t>3.</w:t>
      </w:r>
      <w:r>
        <w:rPr>
          <w:rFonts w:hint="eastAsia" w:ascii="宋体" w:hAnsi="宋体" w:cs="宋体"/>
          <w:color w:val="auto"/>
          <w:sz w:val="21"/>
          <w:szCs w:val="21"/>
          <w:highlight w:val="none"/>
          <w:shd w:val="clear" w:color="auto" w:fill="FFFFFF"/>
        </w:rPr>
        <w:t>本章“二、技术和服务要求”中所有数值指标均为最低指标要求，投标人所投产品的技术参数符合或优于该指标要求的，均视为满足招标文件要求。软件系统应能部署在采购人指定的硬件设备上。技术规格要求中未作出大于、小于等幅度表述的尺寸、重量、体积的，允许在规定的数值存在±2%的偏离，且偏差范围应符合相关国家、行业标准（有不一致的，以国家、行业标准为准）。招标时如遇技术参数中涉及的标准有最新版本或替代标准颁布实行的，则执行最新版本或替代标准。</w:t>
      </w:r>
    </w:p>
    <w:p w14:paraId="552E424D">
      <w:pPr>
        <w:pStyle w:val="70"/>
        <w:spacing w:line="360" w:lineRule="exact"/>
        <w:rPr>
          <w:rFonts w:hint="eastAsia" w:ascii="宋体" w:hAnsi="宋体" w:cs="宋体"/>
          <w:b/>
          <w:color w:val="auto"/>
          <w:sz w:val="21"/>
          <w:szCs w:val="21"/>
          <w:highlight w:val="none"/>
        </w:rPr>
      </w:pPr>
      <w:bookmarkStart w:id="60" w:name="_Toc22013"/>
      <w:r>
        <w:rPr>
          <w:rFonts w:hint="eastAsia" w:ascii="宋体" w:hAnsi="宋体" w:cs="宋体"/>
          <w:b/>
          <w:color w:val="auto"/>
          <w:sz w:val="21"/>
          <w:szCs w:val="21"/>
          <w:highlight w:val="none"/>
          <w:lang w:eastAsia="zh-CN"/>
        </w:rPr>
        <w:t>（三）</w:t>
      </w:r>
      <w:r>
        <w:rPr>
          <w:rFonts w:hint="eastAsia" w:ascii="宋体" w:hAnsi="宋体" w:cs="宋体"/>
          <w:b/>
          <w:color w:val="auto"/>
          <w:sz w:val="21"/>
          <w:szCs w:val="21"/>
          <w:highlight w:val="none"/>
        </w:rPr>
        <w:t>项目总投资清单</w:t>
      </w:r>
    </w:p>
    <w:p w14:paraId="4FE9E013">
      <w:pPr>
        <w:pStyle w:val="2"/>
        <w:spacing w:line="360" w:lineRule="exact"/>
        <w:outlineLvl w:val="3"/>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1-1采购人投资</w:t>
      </w:r>
    </w:p>
    <w:tbl>
      <w:tblPr>
        <w:tblStyle w:val="31"/>
        <w:tblW w:w="4993" w:type="pct"/>
        <w:tblInd w:w="0" w:type="dxa"/>
        <w:tblLayout w:type="autofit"/>
        <w:tblCellMar>
          <w:top w:w="0" w:type="dxa"/>
          <w:left w:w="108" w:type="dxa"/>
          <w:bottom w:w="0" w:type="dxa"/>
          <w:right w:w="108" w:type="dxa"/>
        </w:tblCellMar>
      </w:tblPr>
      <w:tblGrid>
        <w:gridCol w:w="531"/>
        <w:gridCol w:w="2193"/>
        <w:gridCol w:w="1124"/>
        <w:gridCol w:w="1191"/>
        <w:gridCol w:w="1526"/>
        <w:gridCol w:w="1526"/>
        <w:gridCol w:w="1749"/>
      </w:tblGrid>
      <w:tr w14:paraId="7689BC4E">
        <w:tblPrEx>
          <w:tblCellMar>
            <w:top w:w="0" w:type="dxa"/>
            <w:left w:w="108" w:type="dxa"/>
            <w:bottom w:w="0" w:type="dxa"/>
            <w:right w:w="108" w:type="dxa"/>
          </w:tblCellMar>
        </w:tblPrEx>
        <w:trPr>
          <w:trHeight w:val="374" w:hRule="atLeast"/>
        </w:trPr>
        <w:tc>
          <w:tcPr>
            <w:tcW w:w="269"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341109B9">
            <w:pPr>
              <w:widowControl/>
              <w:spacing w:line="360" w:lineRule="exact"/>
              <w:jc w:val="center"/>
              <w:textAlignment w:val="center"/>
              <w:rPr>
                <w:rFonts w:hint="eastAsia" w:ascii="宋体" w:hAnsi="宋体" w:cs="宋体"/>
                <w:b/>
                <w:bCs/>
                <w:color w:val="auto"/>
                <w:szCs w:val="21"/>
                <w:highlight w:val="none"/>
              </w:rPr>
            </w:pPr>
            <w:r>
              <w:rPr>
                <w:rFonts w:hint="eastAsia" w:ascii="宋体" w:hAnsi="宋体" w:cs="宋体"/>
                <w:b/>
                <w:bCs/>
                <w:color w:val="auto"/>
                <w:kern w:val="0"/>
                <w:szCs w:val="21"/>
                <w:highlight w:val="none"/>
                <w:lang w:bidi="ar"/>
              </w:rPr>
              <w:t>序号</w:t>
            </w:r>
          </w:p>
        </w:tc>
        <w:tc>
          <w:tcPr>
            <w:tcW w:w="1114"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4AD82F21">
            <w:pPr>
              <w:widowControl/>
              <w:spacing w:line="360" w:lineRule="exact"/>
              <w:jc w:val="center"/>
              <w:textAlignment w:val="center"/>
              <w:rPr>
                <w:rFonts w:hint="eastAsia" w:ascii="宋体" w:hAnsi="宋体" w:cs="宋体"/>
                <w:b/>
                <w:bCs/>
                <w:color w:val="auto"/>
                <w:szCs w:val="21"/>
                <w:highlight w:val="none"/>
              </w:rPr>
            </w:pPr>
            <w:r>
              <w:rPr>
                <w:rFonts w:hint="eastAsia" w:ascii="宋体" w:hAnsi="宋体" w:cs="宋体"/>
                <w:b/>
                <w:bCs/>
                <w:color w:val="auto"/>
                <w:kern w:val="0"/>
                <w:szCs w:val="21"/>
                <w:highlight w:val="none"/>
                <w:lang w:bidi="ar"/>
              </w:rPr>
              <w:t>项目名称</w:t>
            </w:r>
          </w:p>
        </w:tc>
        <w:tc>
          <w:tcPr>
            <w:tcW w:w="571"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165E2C00">
            <w:pPr>
              <w:widowControl/>
              <w:jc w:val="center"/>
              <w:textAlignment w:val="center"/>
              <w:rPr>
                <w:rFonts w:hint="eastAsia" w:ascii="宋体" w:hAnsi="宋体" w:cs="宋体"/>
                <w:b/>
                <w:bCs/>
                <w:color w:val="auto"/>
                <w:kern w:val="0"/>
                <w:szCs w:val="21"/>
                <w:highlight w:val="none"/>
                <w:lang w:bidi="ar"/>
              </w:rPr>
            </w:pPr>
            <w:r>
              <w:rPr>
                <w:rFonts w:hint="eastAsia" w:ascii="宋体" w:hAnsi="宋体" w:cs="宋体"/>
                <w:b/>
                <w:bCs/>
                <w:color w:val="auto"/>
                <w:kern w:val="0"/>
                <w:sz w:val="22"/>
                <w:szCs w:val="22"/>
                <w:highlight w:val="none"/>
                <w:lang w:bidi="ar"/>
              </w:rPr>
              <w:t>数量</w:t>
            </w:r>
          </w:p>
        </w:tc>
        <w:tc>
          <w:tcPr>
            <w:tcW w:w="605"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7F082151">
            <w:pPr>
              <w:widowControl/>
              <w:jc w:val="center"/>
              <w:textAlignment w:val="center"/>
              <w:rPr>
                <w:rFonts w:hint="eastAsia" w:ascii="宋体" w:hAnsi="宋体" w:cs="宋体"/>
                <w:b/>
                <w:bCs/>
                <w:color w:val="auto"/>
                <w:kern w:val="0"/>
                <w:szCs w:val="21"/>
                <w:highlight w:val="none"/>
                <w:lang w:bidi="ar"/>
              </w:rPr>
            </w:pPr>
            <w:r>
              <w:rPr>
                <w:rFonts w:hint="eastAsia" w:ascii="宋体" w:hAnsi="宋体" w:cs="宋体"/>
                <w:b/>
                <w:bCs/>
                <w:color w:val="auto"/>
                <w:kern w:val="0"/>
                <w:sz w:val="22"/>
                <w:szCs w:val="22"/>
                <w:highlight w:val="none"/>
                <w:lang w:bidi="ar"/>
              </w:rPr>
              <w:t>单位</w:t>
            </w:r>
          </w:p>
        </w:tc>
        <w:tc>
          <w:tcPr>
            <w:tcW w:w="775"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20A67AF1">
            <w:pPr>
              <w:widowControl/>
              <w:jc w:val="center"/>
              <w:textAlignment w:val="center"/>
              <w:rPr>
                <w:rFonts w:hint="eastAsia" w:ascii="宋体" w:hAnsi="宋体" w:cs="宋体"/>
                <w:b/>
                <w:bCs/>
                <w:color w:val="auto"/>
                <w:kern w:val="0"/>
                <w:szCs w:val="21"/>
                <w:highlight w:val="none"/>
                <w:lang w:bidi="ar"/>
              </w:rPr>
            </w:pPr>
            <w:r>
              <w:rPr>
                <w:rFonts w:hint="eastAsia" w:ascii="宋体" w:hAnsi="宋体" w:cs="宋体"/>
                <w:b/>
                <w:bCs/>
                <w:color w:val="auto"/>
                <w:kern w:val="0"/>
                <w:sz w:val="22"/>
                <w:szCs w:val="22"/>
                <w:highlight w:val="none"/>
                <w:lang w:bidi="ar"/>
              </w:rPr>
              <w:t>单价限价（</w:t>
            </w:r>
            <w:bookmarkStart w:id="61" w:name="OLE_LINK7"/>
            <w:r>
              <w:rPr>
                <w:rFonts w:hint="eastAsia" w:ascii="宋体" w:hAnsi="宋体" w:cs="宋体"/>
                <w:b/>
                <w:bCs/>
                <w:color w:val="auto"/>
                <w:kern w:val="0"/>
                <w:sz w:val="22"/>
                <w:szCs w:val="22"/>
                <w:highlight w:val="none"/>
                <w:lang w:bidi="ar"/>
              </w:rPr>
              <w:t>含税价</w:t>
            </w:r>
            <w:bookmarkEnd w:id="61"/>
            <w:r>
              <w:rPr>
                <w:rFonts w:hint="eastAsia" w:ascii="宋体" w:hAnsi="宋体" w:cs="宋体"/>
                <w:b/>
                <w:bCs/>
                <w:color w:val="auto"/>
                <w:kern w:val="0"/>
                <w:sz w:val="22"/>
                <w:szCs w:val="22"/>
                <w:highlight w:val="none"/>
                <w:lang w:bidi="ar"/>
              </w:rPr>
              <w:t>/万元）</w:t>
            </w:r>
          </w:p>
        </w:tc>
        <w:tc>
          <w:tcPr>
            <w:tcW w:w="775"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47497A88">
            <w:pPr>
              <w:widowControl/>
              <w:jc w:val="center"/>
              <w:textAlignment w:val="center"/>
              <w:rPr>
                <w:rFonts w:hint="eastAsia" w:ascii="宋体" w:hAnsi="宋体" w:cs="宋体"/>
                <w:b/>
                <w:bCs/>
                <w:color w:val="auto"/>
                <w:szCs w:val="21"/>
                <w:highlight w:val="none"/>
              </w:rPr>
            </w:pPr>
            <w:r>
              <w:rPr>
                <w:rFonts w:hint="eastAsia" w:ascii="宋体" w:hAnsi="宋体" w:cs="宋体"/>
                <w:b/>
                <w:bCs/>
                <w:color w:val="auto"/>
                <w:kern w:val="0"/>
                <w:sz w:val="22"/>
                <w:szCs w:val="22"/>
                <w:highlight w:val="none"/>
                <w:lang w:bidi="ar"/>
              </w:rPr>
              <w:t>总价限价（含税价/万元）</w:t>
            </w:r>
          </w:p>
        </w:tc>
        <w:tc>
          <w:tcPr>
            <w:tcW w:w="888"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493E642F">
            <w:pPr>
              <w:widowControl/>
              <w:spacing w:line="360" w:lineRule="exact"/>
              <w:jc w:val="center"/>
              <w:textAlignment w:val="center"/>
              <w:rPr>
                <w:rFonts w:hint="eastAsia" w:ascii="宋体" w:hAnsi="宋体" w:cs="宋体"/>
                <w:b/>
                <w:bCs/>
                <w:color w:val="auto"/>
                <w:szCs w:val="21"/>
                <w:highlight w:val="none"/>
              </w:rPr>
            </w:pPr>
            <w:r>
              <w:rPr>
                <w:rFonts w:hint="eastAsia" w:ascii="宋体" w:hAnsi="宋体" w:cs="宋体"/>
                <w:b/>
                <w:bCs/>
                <w:color w:val="auto"/>
                <w:kern w:val="0"/>
                <w:szCs w:val="21"/>
                <w:highlight w:val="none"/>
                <w:lang w:bidi="ar"/>
              </w:rPr>
              <w:t>备注</w:t>
            </w:r>
          </w:p>
        </w:tc>
      </w:tr>
      <w:tr w14:paraId="66C552A5">
        <w:tblPrEx>
          <w:tblCellMar>
            <w:top w:w="0" w:type="dxa"/>
            <w:left w:w="108" w:type="dxa"/>
            <w:bottom w:w="0" w:type="dxa"/>
            <w:right w:w="108" w:type="dxa"/>
          </w:tblCellMar>
        </w:tblPrEx>
        <w:trPr>
          <w:trHeight w:val="316" w:hRule="atLeast"/>
        </w:trPr>
        <w:tc>
          <w:tcPr>
            <w:tcW w:w="269" w:type="pct"/>
            <w:tcBorders>
              <w:top w:val="single" w:color="000000" w:sz="4" w:space="0"/>
              <w:left w:val="single" w:color="000000" w:sz="4" w:space="0"/>
              <w:bottom w:val="single" w:color="000000" w:sz="4" w:space="0"/>
              <w:right w:val="single" w:color="000000" w:sz="4" w:space="0"/>
            </w:tcBorders>
            <w:vAlign w:val="center"/>
          </w:tcPr>
          <w:p w14:paraId="3A15BF76">
            <w:pPr>
              <w:widowControl/>
              <w:spacing w:line="360" w:lineRule="exact"/>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一</w:t>
            </w:r>
          </w:p>
        </w:tc>
        <w:tc>
          <w:tcPr>
            <w:tcW w:w="1114" w:type="pct"/>
            <w:tcBorders>
              <w:top w:val="single" w:color="000000" w:sz="4" w:space="0"/>
              <w:left w:val="single" w:color="000000" w:sz="4" w:space="0"/>
              <w:bottom w:val="single" w:color="000000" w:sz="4" w:space="0"/>
              <w:right w:val="single" w:color="000000" w:sz="4" w:space="0"/>
            </w:tcBorders>
            <w:vAlign w:val="center"/>
          </w:tcPr>
          <w:p w14:paraId="10E744C7">
            <w:pPr>
              <w:widowControl/>
              <w:spacing w:line="360" w:lineRule="exact"/>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建设费用</w:t>
            </w:r>
          </w:p>
        </w:tc>
        <w:tc>
          <w:tcPr>
            <w:tcW w:w="571" w:type="pct"/>
            <w:tcBorders>
              <w:top w:val="single" w:color="000000" w:sz="4" w:space="0"/>
              <w:left w:val="single" w:color="000000" w:sz="4" w:space="0"/>
              <w:bottom w:val="single" w:color="000000" w:sz="4" w:space="0"/>
              <w:right w:val="single" w:color="000000" w:sz="4" w:space="0"/>
            </w:tcBorders>
            <w:vAlign w:val="center"/>
          </w:tcPr>
          <w:p w14:paraId="59527D38">
            <w:pPr>
              <w:widowControl/>
              <w:spacing w:line="360" w:lineRule="exact"/>
              <w:jc w:val="center"/>
              <w:textAlignment w:val="center"/>
              <w:rPr>
                <w:rFonts w:hint="eastAsia" w:ascii="宋体" w:hAnsi="宋体" w:cs="宋体"/>
                <w:color w:val="auto"/>
                <w:kern w:val="0"/>
                <w:szCs w:val="21"/>
                <w:highlight w:val="none"/>
                <w:lang w:bidi="ar"/>
              </w:rPr>
            </w:pPr>
          </w:p>
        </w:tc>
        <w:tc>
          <w:tcPr>
            <w:tcW w:w="605" w:type="pct"/>
            <w:tcBorders>
              <w:top w:val="single" w:color="000000" w:sz="4" w:space="0"/>
              <w:left w:val="single" w:color="000000" w:sz="4" w:space="0"/>
              <w:bottom w:val="single" w:color="000000" w:sz="4" w:space="0"/>
              <w:right w:val="single" w:color="000000" w:sz="4" w:space="0"/>
            </w:tcBorders>
            <w:vAlign w:val="center"/>
          </w:tcPr>
          <w:p w14:paraId="7259671E">
            <w:pPr>
              <w:widowControl/>
              <w:spacing w:line="360" w:lineRule="exact"/>
              <w:jc w:val="center"/>
              <w:textAlignment w:val="center"/>
              <w:rPr>
                <w:rFonts w:hint="eastAsia" w:ascii="宋体" w:hAnsi="宋体" w:cs="宋体"/>
                <w:color w:val="auto"/>
                <w:kern w:val="0"/>
                <w:szCs w:val="21"/>
                <w:highlight w:val="none"/>
                <w:lang w:bidi="ar"/>
              </w:rPr>
            </w:pPr>
          </w:p>
        </w:tc>
        <w:tc>
          <w:tcPr>
            <w:tcW w:w="775" w:type="pct"/>
            <w:tcBorders>
              <w:top w:val="single" w:color="000000" w:sz="4" w:space="0"/>
              <w:left w:val="single" w:color="000000" w:sz="4" w:space="0"/>
              <w:bottom w:val="single" w:color="000000" w:sz="4" w:space="0"/>
              <w:right w:val="single" w:color="000000" w:sz="4" w:space="0"/>
            </w:tcBorders>
            <w:vAlign w:val="center"/>
          </w:tcPr>
          <w:p w14:paraId="58860258">
            <w:pPr>
              <w:widowControl/>
              <w:spacing w:line="360" w:lineRule="exact"/>
              <w:jc w:val="center"/>
              <w:textAlignment w:val="center"/>
              <w:rPr>
                <w:rFonts w:hint="eastAsia" w:ascii="宋体" w:hAnsi="宋体" w:cs="宋体"/>
                <w:color w:val="auto"/>
                <w:kern w:val="0"/>
                <w:szCs w:val="21"/>
                <w:highlight w:val="none"/>
                <w:lang w:bidi="ar"/>
              </w:rPr>
            </w:pPr>
          </w:p>
        </w:tc>
        <w:tc>
          <w:tcPr>
            <w:tcW w:w="775" w:type="pct"/>
            <w:tcBorders>
              <w:top w:val="single" w:color="000000" w:sz="4" w:space="0"/>
              <w:left w:val="single" w:color="000000" w:sz="4" w:space="0"/>
              <w:bottom w:val="single" w:color="000000" w:sz="4" w:space="0"/>
              <w:right w:val="single" w:color="000000" w:sz="4" w:space="0"/>
            </w:tcBorders>
            <w:vAlign w:val="center"/>
          </w:tcPr>
          <w:p w14:paraId="74DDC8AC">
            <w:pPr>
              <w:widowControl/>
              <w:spacing w:line="360" w:lineRule="exact"/>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775</w:t>
            </w:r>
          </w:p>
        </w:tc>
        <w:tc>
          <w:tcPr>
            <w:tcW w:w="888" w:type="pct"/>
            <w:vMerge w:val="restart"/>
            <w:tcBorders>
              <w:top w:val="single" w:color="000000" w:sz="4" w:space="0"/>
              <w:left w:val="single" w:color="000000" w:sz="4" w:space="0"/>
              <w:bottom w:val="single" w:color="000000" w:sz="4" w:space="0"/>
              <w:right w:val="single" w:color="000000" w:sz="4" w:space="0"/>
            </w:tcBorders>
            <w:vAlign w:val="center"/>
          </w:tcPr>
          <w:p w14:paraId="0F707DDE">
            <w:pPr>
              <w:widowControl/>
              <w:spacing w:line="360" w:lineRule="exact"/>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建设金额，即采购人支付的金额上限，投标人报价金额不得超过该部分总价限价。</w:t>
            </w:r>
          </w:p>
        </w:tc>
      </w:tr>
      <w:tr w14:paraId="7E2E2191">
        <w:tblPrEx>
          <w:tblCellMar>
            <w:top w:w="0" w:type="dxa"/>
            <w:left w:w="108" w:type="dxa"/>
            <w:bottom w:w="0" w:type="dxa"/>
            <w:right w:w="108" w:type="dxa"/>
          </w:tblCellMar>
        </w:tblPrEx>
        <w:trPr>
          <w:trHeight w:val="316" w:hRule="atLeast"/>
        </w:trPr>
        <w:tc>
          <w:tcPr>
            <w:tcW w:w="269" w:type="pct"/>
            <w:tcBorders>
              <w:top w:val="single" w:color="000000" w:sz="4" w:space="0"/>
              <w:left w:val="single" w:color="000000" w:sz="4" w:space="0"/>
              <w:bottom w:val="single" w:color="000000" w:sz="4" w:space="0"/>
              <w:right w:val="single" w:color="000000" w:sz="4" w:space="0"/>
            </w:tcBorders>
            <w:vAlign w:val="center"/>
          </w:tcPr>
          <w:p w14:paraId="26445557">
            <w:pPr>
              <w:widowControl/>
              <w:spacing w:line="360" w:lineRule="exact"/>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w:t>
            </w:r>
          </w:p>
        </w:tc>
        <w:tc>
          <w:tcPr>
            <w:tcW w:w="1114" w:type="pct"/>
            <w:tcBorders>
              <w:top w:val="single" w:color="000000" w:sz="4" w:space="0"/>
              <w:left w:val="single" w:color="000000" w:sz="4" w:space="0"/>
              <w:bottom w:val="single" w:color="000000" w:sz="4" w:space="0"/>
              <w:right w:val="single" w:color="000000" w:sz="4" w:space="0"/>
            </w:tcBorders>
            <w:vAlign w:val="center"/>
          </w:tcPr>
          <w:p w14:paraId="5A11858A">
            <w:pPr>
              <w:widowControl/>
              <w:spacing w:line="360" w:lineRule="exact"/>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可信数据空间平台</w:t>
            </w:r>
          </w:p>
        </w:tc>
        <w:tc>
          <w:tcPr>
            <w:tcW w:w="571" w:type="pct"/>
            <w:tcBorders>
              <w:top w:val="single" w:color="000000" w:sz="4" w:space="0"/>
              <w:left w:val="single" w:color="000000" w:sz="4" w:space="0"/>
              <w:bottom w:val="single" w:color="000000" w:sz="4" w:space="0"/>
              <w:right w:val="single" w:color="000000" w:sz="4" w:space="0"/>
            </w:tcBorders>
            <w:vAlign w:val="center"/>
          </w:tcPr>
          <w:p w14:paraId="7292EB15">
            <w:pPr>
              <w:widowControl/>
              <w:spacing w:line="360" w:lineRule="exact"/>
              <w:jc w:val="center"/>
              <w:textAlignment w:val="center"/>
              <w:rPr>
                <w:rFonts w:hint="eastAsia" w:ascii="宋体" w:hAnsi="宋体" w:cs="宋体"/>
                <w:color w:val="auto"/>
                <w:kern w:val="0"/>
                <w:szCs w:val="21"/>
                <w:highlight w:val="none"/>
                <w:lang w:bidi="ar"/>
              </w:rPr>
            </w:pPr>
          </w:p>
        </w:tc>
        <w:tc>
          <w:tcPr>
            <w:tcW w:w="605" w:type="pct"/>
            <w:tcBorders>
              <w:top w:val="single" w:color="000000" w:sz="4" w:space="0"/>
              <w:left w:val="single" w:color="000000" w:sz="4" w:space="0"/>
              <w:bottom w:val="single" w:color="000000" w:sz="4" w:space="0"/>
              <w:right w:val="single" w:color="000000" w:sz="4" w:space="0"/>
            </w:tcBorders>
            <w:vAlign w:val="center"/>
          </w:tcPr>
          <w:p w14:paraId="5B6B755D">
            <w:pPr>
              <w:widowControl/>
              <w:spacing w:line="360" w:lineRule="exact"/>
              <w:jc w:val="center"/>
              <w:textAlignment w:val="center"/>
              <w:rPr>
                <w:rFonts w:hint="eastAsia" w:ascii="宋体" w:hAnsi="宋体" w:cs="宋体"/>
                <w:color w:val="auto"/>
                <w:kern w:val="0"/>
                <w:szCs w:val="21"/>
                <w:highlight w:val="none"/>
                <w:lang w:bidi="ar"/>
              </w:rPr>
            </w:pPr>
          </w:p>
        </w:tc>
        <w:tc>
          <w:tcPr>
            <w:tcW w:w="775" w:type="pct"/>
            <w:tcBorders>
              <w:top w:val="single" w:color="000000" w:sz="4" w:space="0"/>
              <w:left w:val="single" w:color="000000" w:sz="4" w:space="0"/>
              <w:bottom w:val="single" w:color="000000" w:sz="4" w:space="0"/>
              <w:right w:val="single" w:color="000000" w:sz="4" w:space="0"/>
            </w:tcBorders>
            <w:vAlign w:val="center"/>
          </w:tcPr>
          <w:p w14:paraId="4D2AADB4">
            <w:pPr>
              <w:widowControl/>
              <w:spacing w:line="360" w:lineRule="exact"/>
              <w:jc w:val="center"/>
              <w:textAlignment w:val="center"/>
              <w:rPr>
                <w:rFonts w:hint="eastAsia" w:ascii="宋体" w:hAnsi="宋体" w:cs="宋体"/>
                <w:color w:val="auto"/>
                <w:szCs w:val="21"/>
                <w:highlight w:val="none"/>
              </w:rPr>
            </w:pPr>
          </w:p>
        </w:tc>
        <w:tc>
          <w:tcPr>
            <w:tcW w:w="775" w:type="pct"/>
            <w:tcBorders>
              <w:top w:val="single" w:color="000000" w:sz="4" w:space="0"/>
              <w:left w:val="single" w:color="000000" w:sz="4" w:space="0"/>
              <w:bottom w:val="single" w:color="000000" w:sz="4" w:space="0"/>
              <w:right w:val="single" w:color="000000" w:sz="4" w:space="0"/>
            </w:tcBorders>
            <w:vAlign w:val="center"/>
          </w:tcPr>
          <w:p w14:paraId="1888568D">
            <w:pPr>
              <w:widowControl/>
              <w:spacing w:line="360" w:lineRule="exact"/>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363</w:t>
            </w:r>
          </w:p>
        </w:tc>
        <w:tc>
          <w:tcPr>
            <w:tcW w:w="888" w:type="pct"/>
            <w:vMerge w:val="continue"/>
            <w:tcBorders>
              <w:top w:val="single" w:color="000000" w:sz="4" w:space="0"/>
              <w:left w:val="single" w:color="000000" w:sz="4" w:space="0"/>
              <w:bottom w:val="single" w:color="000000" w:sz="4" w:space="0"/>
              <w:right w:val="single" w:color="000000" w:sz="4" w:space="0"/>
            </w:tcBorders>
            <w:vAlign w:val="center"/>
          </w:tcPr>
          <w:p w14:paraId="781219FB">
            <w:pPr>
              <w:spacing w:line="360" w:lineRule="exact"/>
              <w:jc w:val="center"/>
              <w:rPr>
                <w:rFonts w:hint="eastAsia" w:ascii="宋体" w:hAnsi="宋体" w:cs="宋体"/>
                <w:color w:val="auto"/>
                <w:szCs w:val="21"/>
                <w:highlight w:val="none"/>
              </w:rPr>
            </w:pPr>
          </w:p>
        </w:tc>
      </w:tr>
      <w:tr w14:paraId="4E78AE5E">
        <w:tblPrEx>
          <w:tblCellMar>
            <w:top w:w="0" w:type="dxa"/>
            <w:left w:w="108" w:type="dxa"/>
            <w:bottom w:w="0" w:type="dxa"/>
            <w:right w:w="108" w:type="dxa"/>
          </w:tblCellMar>
        </w:tblPrEx>
        <w:trPr>
          <w:trHeight w:val="316" w:hRule="atLeast"/>
        </w:trPr>
        <w:tc>
          <w:tcPr>
            <w:tcW w:w="269" w:type="pct"/>
            <w:tcBorders>
              <w:top w:val="single" w:color="000000" w:sz="4" w:space="0"/>
              <w:left w:val="single" w:color="000000" w:sz="4" w:space="0"/>
              <w:bottom w:val="single" w:color="000000" w:sz="4" w:space="0"/>
              <w:right w:val="single" w:color="000000" w:sz="4" w:space="0"/>
            </w:tcBorders>
            <w:vAlign w:val="center"/>
          </w:tcPr>
          <w:p w14:paraId="2257A865">
            <w:pPr>
              <w:widowControl/>
              <w:spacing w:line="360" w:lineRule="exact"/>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1.1</w:t>
            </w:r>
          </w:p>
        </w:tc>
        <w:tc>
          <w:tcPr>
            <w:tcW w:w="1114" w:type="pct"/>
            <w:tcBorders>
              <w:top w:val="single" w:color="000000" w:sz="4" w:space="0"/>
              <w:left w:val="single" w:color="000000" w:sz="4" w:space="0"/>
              <w:bottom w:val="single" w:color="000000" w:sz="4" w:space="0"/>
              <w:right w:val="single" w:color="000000" w:sz="4" w:space="0"/>
            </w:tcBorders>
            <w:vAlign w:val="center"/>
          </w:tcPr>
          <w:p w14:paraId="34339A94">
            <w:pPr>
              <w:widowControl/>
              <w:spacing w:line="360" w:lineRule="exact"/>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可信身份认证</w:t>
            </w:r>
          </w:p>
        </w:tc>
        <w:tc>
          <w:tcPr>
            <w:tcW w:w="571" w:type="pct"/>
            <w:tcBorders>
              <w:top w:val="single" w:color="000000" w:sz="4" w:space="0"/>
              <w:left w:val="single" w:color="000000" w:sz="4" w:space="0"/>
              <w:bottom w:val="single" w:color="000000" w:sz="4" w:space="0"/>
              <w:right w:val="single" w:color="000000" w:sz="4" w:space="0"/>
            </w:tcBorders>
            <w:vAlign w:val="center"/>
          </w:tcPr>
          <w:p w14:paraId="08F65105">
            <w:pPr>
              <w:widowControl/>
              <w:spacing w:line="360" w:lineRule="exact"/>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605" w:type="pct"/>
            <w:tcBorders>
              <w:top w:val="single" w:color="000000" w:sz="4" w:space="0"/>
              <w:left w:val="single" w:color="000000" w:sz="4" w:space="0"/>
              <w:bottom w:val="single" w:color="000000" w:sz="4" w:space="0"/>
              <w:right w:val="single" w:color="000000" w:sz="4" w:space="0"/>
            </w:tcBorders>
            <w:vAlign w:val="center"/>
          </w:tcPr>
          <w:p w14:paraId="180942F7">
            <w:pPr>
              <w:widowControl/>
              <w:spacing w:line="360" w:lineRule="exact"/>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775" w:type="pct"/>
            <w:tcBorders>
              <w:top w:val="single" w:color="000000" w:sz="4" w:space="0"/>
              <w:left w:val="single" w:color="000000" w:sz="4" w:space="0"/>
              <w:bottom w:val="single" w:color="000000" w:sz="4" w:space="0"/>
              <w:right w:val="single" w:color="000000" w:sz="4" w:space="0"/>
            </w:tcBorders>
            <w:vAlign w:val="center"/>
          </w:tcPr>
          <w:p w14:paraId="5D042ADE">
            <w:pPr>
              <w:widowControl/>
              <w:spacing w:line="360" w:lineRule="exact"/>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21</w:t>
            </w:r>
          </w:p>
        </w:tc>
        <w:tc>
          <w:tcPr>
            <w:tcW w:w="775" w:type="pct"/>
            <w:tcBorders>
              <w:top w:val="single" w:color="000000" w:sz="4" w:space="0"/>
              <w:left w:val="single" w:color="000000" w:sz="4" w:space="0"/>
              <w:bottom w:val="single" w:color="000000" w:sz="4" w:space="0"/>
              <w:right w:val="single" w:color="000000" w:sz="4" w:space="0"/>
            </w:tcBorders>
            <w:vAlign w:val="center"/>
          </w:tcPr>
          <w:p w14:paraId="4E3B8FE9">
            <w:pPr>
              <w:widowControl/>
              <w:spacing w:line="360" w:lineRule="exact"/>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21</w:t>
            </w:r>
          </w:p>
        </w:tc>
        <w:tc>
          <w:tcPr>
            <w:tcW w:w="888" w:type="pct"/>
            <w:vMerge w:val="continue"/>
            <w:tcBorders>
              <w:top w:val="single" w:color="000000" w:sz="4" w:space="0"/>
              <w:left w:val="single" w:color="000000" w:sz="4" w:space="0"/>
              <w:bottom w:val="single" w:color="000000" w:sz="4" w:space="0"/>
              <w:right w:val="single" w:color="000000" w:sz="4" w:space="0"/>
            </w:tcBorders>
            <w:vAlign w:val="center"/>
          </w:tcPr>
          <w:p w14:paraId="18B0B2BE">
            <w:pPr>
              <w:spacing w:line="360" w:lineRule="exact"/>
              <w:jc w:val="center"/>
              <w:rPr>
                <w:rFonts w:hint="eastAsia" w:ascii="宋体" w:hAnsi="宋体" w:cs="宋体"/>
                <w:color w:val="auto"/>
                <w:szCs w:val="21"/>
                <w:highlight w:val="none"/>
              </w:rPr>
            </w:pPr>
          </w:p>
        </w:tc>
      </w:tr>
      <w:tr w14:paraId="2F3950A0">
        <w:tblPrEx>
          <w:tblCellMar>
            <w:top w:w="0" w:type="dxa"/>
            <w:left w:w="108" w:type="dxa"/>
            <w:bottom w:w="0" w:type="dxa"/>
            <w:right w:w="108" w:type="dxa"/>
          </w:tblCellMar>
        </w:tblPrEx>
        <w:trPr>
          <w:trHeight w:val="316" w:hRule="atLeast"/>
        </w:trPr>
        <w:tc>
          <w:tcPr>
            <w:tcW w:w="269" w:type="pct"/>
            <w:tcBorders>
              <w:top w:val="single" w:color="000000" w:sz="4" w:space="0"/>
              <w:left w:val="single" w:color="000000" w:sz="4" w:space="0"/>
              <w:bottom w:val="single" w:color="000000" w:sz="4" w:space="0"/>
              <w:right w:val="single" w:color="000000" w:sz="4" w:space="0"/>
            </w:tcBorders>
            <w:vAlign w:val="center"/>
          </w:tcPr>
          <w:p w14:paraId="24C57252">
            <w:pPr>
              <w:widowControl/>
              <w:spacing w:line="360" w:lineRule="exact"/>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1.2</w:t>
            </w:r>
          </w:p>
        </w:tc>
        <w:tc>
          <w:tcPr>
            <w:tcW w:w="1114" w:type="pct"/>
            <w:tcBorders>
              <w:top w:val="single" w:color="000000" w:sz="4" w:space="0"/>
              <w:left w:val="single" w:color="000000" w:sz="4" w:space="0"/>
              <w:bottom w:val="single" w:color="000000" w:sz="4" w:space="0"/>
              <w:right w:val="single" w:color="000000" w:sz="4" w:space="0"/>
            </w:tcBorders>
            <w:vAlign w:val="center"/>
          </w:tcPr>
          <w:p w14:paraId="3191DBCF">
            <w:pPr>
              <w:widowControl/>
              <w:spacing w:line="360" w:lineRule="exact"/>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隐私计算</w:t>
            </w:r>
          </w:p>
        </w:tc>
        <w:tc>
          <w:tcPr>
            <w:tcW w:w="571" w:type="pct"/>
            <w:tcBorders>
              <w:top w:val="single" w:color="000000" w:sz="4" w:space="0"/>
              <w:left w:val="single" w:color="000000" w:sz="4" w:space="0"/>
              <w:bottom w:val="single" w:color="000000" w:sz="4" w:space="0"/>
              <w:right w:val="single" w:color="000000" w:sz="4" w:space="0"/>
            </w:tcBorders>
            <w:vAlign w:val="center"/>
          </w:tcPr>
          <w:p w14:paraId="25783F38">
            <w:pPr>
              <w:widowControl/>
              <w:spacing w:line="360" w:lineRule="exact"/>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605" w:type="pct"/>
            <w:tcBorders>
              <w:top w:val="single" w:color="000000" w:sz="4" w:space="0"/>
              <w:left w:val="single" w:color="000000" w:sz="4" w:space="0"/>
              <w:bottom w:val="single" w:color="000000" w:sz="4" w:space="0"/>
              <w:right w:val="single" w:color="000000" w:sz="4" w:space="0"/>
            </w:tcBorders>
            <w:vAlign w:val="center"/>
          </w:tcPr>
          <w:p w14:paraId="11C25594">
            <w:pPr>
              <w:widowControl/>
              <w:spacing w:line="360" w:lineRule="exact"/>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775" w:type="pct"/>
            <w:tcBorders>
              <w:top w:val="single" w:color="000000" w:sz="4" w:space="0"/>
              <w:left w:val="single" w:color="000000" w:sz="4" w:space="0"/>
              <w:bottom w:val="single" w:color="000000" w:sz="4" w:space="0"/>
              <w:right w:val="single" w:color="000000" w:sz="4" w:space="0"/>
            </w:tcBorders>
            <w:vAlign w:val="center"/>
          </w:tcPr>
          <w:p w14:paraId="293E0AC6">
            <w:pPr>
              <w:widowControl/>
              <w:spacing w:line="360" w:lineRule="exact"/>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69</w:t>
            </w:r>
          </w:p>
        </w:tc>
        <w:tc>
          <w:tcPr>
            <w:tcW w:w="775" w:type="pct"/>
            <w:tcBorders>
              <w:top w:val="single" w:color="000000" w:sz="4" w:space="0"/>
              <w:left w:val="single" w:color="000000" w:sz="4" w:space="0"/>
              <w:bottom w:val="single" w:color="000000" w:sz="4" w:space="0"/>
              <w:right w:val="single" w:color="000000" w:sz="4" w:space="0"/>
            </w:tcBorders>
            <w:vAlign w:val="center"/>
          </w:tcPr>
          <w:p w14:paraId="4E295D61">
            <w:pPr>
              <w:widowControl/>
              <w:spacing w:line="360" w:lineRule="exact"/>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69</w:t>
            </w:r>
          </w:p>
        </w:tc>
        <w:tc>
          <w:tcPr>
            <w:tcW w:w="888" w:type="pct"/>
            <w:vMerge w:val="continue"/>
            <w:tcBorders>
              <w:top w:val="single" w:color="000000" w:sz="4" w:space="0"/>
              <w:left w:val="single" w:color="000000" w:sz="4" w:space="0"/>
              <w:bottom w:val="single" w:color="000000" w:sz="4" w:space="0"/>
              <w:right w:val="single" w:color="000000" w:sz="4" w:space="0"/>
            </w:tcBorders>
            <w:vAlign w:val="center"/>
          </w:tcPr>
          <w:p w14:paraId="0BE3FF58">
            <w:pPr>
              <w:spacing w:line="360" w:lineRule="exact"/>
              <w:jc w:val="center"/>
              <w:rPr>
                <w:rFonts w:hint="eastAsia" w:ascii="宋体" w:hAnsi="宋体" w:cs="宋体"/>
                <w:color w:val="auto"/>
                <w:szCs w:val="21"/>
                <w:highlight w:val="none"/>
              </w:rPr>
            </w:pPr>
          </w:p>
        </w:tc>
      </w:tr>
      <w:tr w14:paraId="262809E6">
        <w:tblPrEx>
          <w:tblCellMar>
            <w:top w:w="0" w:type="dxa"/>
            <w:left w:w="108" w:type="dxa"/>
            <w:bottom w:w="0" w:type="dxa"/>
            <w:right w:w="108" w:type="dxa"/>
          </w:tblCellMar>
        </w:tblPrEx>
        <w:trPr>
          <w:trHeight w:val="316" w:hRule="atLeast"/>
        </w:trPr>
        <w:tc>
          <w:tcPr>
            <w:tcW w:w="269" w:type="pct"/>
            <w:tcBorders>
              <w:top w:val="single" w:color="000000" w:sz="4" w:space="0"/>
              <w:left w:val="single" w:color="000000" w:sz="4" w:space="0"/>
              <w:bottom w:val="single" w:color="000000" w:sz="4" w:space="0"/>
              <w:right w:val="single" w:color="000000" w:sz="4" w:space="0"/>
            </w:tcBorders>
            <w:vAlign w:val="center"/>
          </w:tcPr>
          <w:p w14:paraId="4FF3DE0B">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1.3</w:t>
            </w:r>
          </w:p>
        </w:tc>
        <w:tc>
          <w:tcPr>
            <w:tcW w:w="1114" w:type="pct"/>
            <w:tcBorders>
              <w:top w:val="single" w:color="000000" w:sz="4" w:space="0"/>
              <w:left w:val="single" w:color="000000" w:sz="4" w:space="0"/>
              <w:bottom w:val="single" w:color="000000" w:sz="4" w:space="0"/>
              <w:right w:val="single" w:color="000000" w:sz="4" w:space="0"/>
            </w:tcBorders>
            <w:vAlign w:val="center"/>
          </w:tcPr>
          <w:p w14:paraId="2DB4FB53">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数据沙箱</w:t>
            </w:r>
          </w:p>
        </w:tc>
        <w:tc>
          <w:tcPr>
            <w:tcW w:w="571" w:type="pct"/>
            <w:tcBorders>
              <w:top w:val="single" w:color="000000" w:sz="4" w:space="0"/>
              <w:left w:val="single" w:color="000000" w:sz="4" w:space="0"/>
              <w:bottom w:val="single" w:color="000000" w:sz="4" w:space="0"/>
              <w:right w:val="single" w:color="000000" w:sz="4" w:space="0"/>
            </w:tcBorders>
            <w:vAlign w:val="center"/>
          </w:tcPr>
          <w:p w14:paraId="575AD1F6">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p>
        </w:tc>
        <w:tc>
          <w:tcPr>
            <w:tcW w:w="605" w:type="pct"/>
            <w:tcBorders>
              <w:top w:val="single" w:color="000000" w:sz="4" w:space="0"/>
              <w:left w:val="single" w:color="000000" w:sz="4" w:space="0"/>
              <w:bottom w:val="single" w:color="000000" w:sz="4" w:space="0"/>
              <w:right w:val="single" w:color="000000" w:sz="4" w:space="0"/>
            </w:tcBorders>
            <w:vAlign w:val="center"/>
          </w:tcPr>
          <w:p w14:paraId="4B41632A">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套</w:t>
            </w:r>
          </w:p>
        </w:tc>
        <w:tc>
          <w:tcPr>
            <w:tcW w:w="775" w:type="pct"/>
            <w:tcBorders>
              <w:top w:val="single" w:color="000000" w:sz="4" w:space="0"/>
              <w:left w:val="single" w:color="000000" w:sz="4" w:space="0"/>
              <w:bottom w:val="single" w:color="000000" w:sz="4" w:space="0"/>
              <w:right w:val="single" w:color="000000" w:sz="4" w:space="0"/>
            </w:tcBorders>
            <w:vAlign w:val="center"/>
          </w:tcPr>
          <w:p w14:paraId="2C35AED7">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96</w:t>
            </w:r>
          </w:p>
        </w:tc>
        <w:tc>
          <w:tcPr>
            <w:tcW w:w="775" w:type="pct"/>
            <w:tcBorders>
              <w:top w:val="single" w:color="000000" w:sz="4" w:space="0"/>
              <w:left w:val="single" w:color="000000" w:sz="4" w:space="0"/>
              <w:bottom w:val="single" w:color="000000" w:sz="4" w:space="0"/>
              <w:right w:val="single" w:color="000000" w:sz="4" w:space="0"/>
            </w:tcBorders>
            <w:vAlign w:val="center"/>
          </w:tcPr>
          <w:p w14:paraId="7A6422FC">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96</w:t>
            </w:r>
          </w:p>
        </w:tc>
        <w:tc>
          <w:tcPr>
            <w:tcW w:w="888" w:type="pct"/>
            <w:vMerge w:val="continue"/>
            <w:tcBorders>
              <w:top w:val="single" w:color="000000" w:sz="4" w:space="0"/>
              <w:left w:val="single" w:color="000000" w:sz="4" w:space="0"/>
              <w:bottom w:val="single" w:color="000000" w:sz="4" w:space="0"/>
              <w:right w:val="single" w:color="000000" w:sz="4" w:space="0"/>
            </w:tcBorders>
            <w:vAlign w:val="center"/>
          </w:tcPr>
          <w:p w14:paraId="139926F6">
            <w:pPr>
              <w:spacing w:line="360" w:lineRule="exact"/>
              <w:jc w:val="center"/>
              <w:rPr>
                <w:rFonts w:hint="eastAsia" w:ascii="宋体" w:hAnsi="宋体" w:cs="宋体"/>
                <w:color w:val="0000FF"/>
                <w:szCs w:val="21"/>
                <w:highlight w:val="none"/>
              </w:rPr>
            </w:pPr>
          </w:p>
        </w:tc>
      </w:tr>
      <w:tr w14:paraId="26452B4B">
        <w:tblPrEx>
          <w:tblCellMar>
            <w:top w:w="0" w:type="dxa"/>
            <w:left w:w="108" w:type="dxa"/>
            <w:bottom w:w="0" w:type="dxa"/>
            <w:right w:w="108" w:type="dxa"/>
          </w:tblCellMar>
        </w:tblPrEx>
        <w:trPr>
          <w:trHeight w:val="316" w:hRule="atLeast"/>
        </w:trPr>
        <w:tc>
          <w:tcPr>
            <w:tcW w:w="269" w:type="pct"/>
            <w:tcBorders>
              <w:top w:val="single" w:color="000000" w:sz="4" w:space="0"/>
              <w:left w:val="single" w:color="000000" w:sz="4" w:space="0"/>
              <w:bottom w:val="single" w:color="000000" w:sz="4" w:space="0"/>
              <w:right w:val="single" w:color="000000" w:sz="4" w:space="0"/>
            </w:tcBorders>
            <w:vAlign w:val="center"/>
          </w:tcPr>
          <w:p w14:paraId="76F528E1">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1.4</w:t>
            </w:r>
          </w:p>
        </w:tc>
        <w:tc>
          <w:tcPr>
            <w:tcW w:w="1114" w:type="pct"/>
            <w:tcBorders>
              <w:top w:val="single" w:color="000000" w:sz="4" w:space="0"/>
              <w:left w:val="single" w:color="000000" w:sz="4" w:space="0"/>
              <w:bottom w:val="single" w:color="000000" w:sz="4" w:space="0"/>
              <w:right w:val="single" w:color="000000" w:sz="4" w:space="0"/>
            </w:tcBorders>
            <w:vAlign w:val="center"/>
          </w:tcPr>
          <w:p w14:paraId="61F6CDA6">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区块链存证</w:t>
            </w:r>
          </w:p>
        </w:tc>
        <w:tc>
          <w:tcPr>
            <w:tcW w:w="571" w:type="pct"/>
            <w:tcBorders>
              <w:top w:val="single" w:color="000000" w:sz="4" w:space="0"/>
              <w:left w:val="single" w:color="000000" w:sz="4" w:space="0"/>
              <w:bottom w:val="single" w:color="000000" w:sz="4" w:space="0"/>
              <w:right w:val="single" w:color="000000" w:sz="4" w:space="0"/>
            </w:tcBorders>
            <w:vAlign w:val="center"/>
          </w:tcPr>
          <w:p w14:paraId="3048178A">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p>
        </w:tc>
        <w:tc>
          <w:tcPr>
            <w:tcW w:w="605" w:type="pct"/>
            <w:tcBorders>
              <w:top w:val="single" w:color="000000" w:sz="4" w:space="0"/>
              <w:left w:val="single" w:color="000000" w:sz="4" w:space="0"/>
              <w:bottom w:val="single" w:color="000000" w:sz="4" w:space="0"/>
              <w:right w:val="single" w:color="000000" w:sz="4" w:space="0"/>
            </w:tcBorders>
            <w:vAlign w:val="center"/>
          </w:tcPr>
          <w:p w14:paraId="14C5A0B8">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套</w:t>
            </w:r>
          </w:p>
        </w:tc>
        <w:tc>
          <w:tcPr>
            <w:tcW w:w="775" w:type="pct"/>
            <w:tcBorders>
              <w:top w:val="single" w:color="000000" w:sz="4" w:space="0"/>
              <w:left w:val="single" w:color="000000" w:sz="4" w:space="0"/>
              <w:bottom w:val="single" w:color="000000" w:sz="4" w:space="0"/>
              <w:right w:val="single" w:color="000000" w:sz="4" w:space="0"/>
            </w:tcBorders>
            <w:vAlign w:val="center"/>
          </w:tcPr>
          <w:p w14:paraId="5245430A">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18</w:t>
            </w:r>
          </w:p>
        </w:tc>
        <w:tc>
          <w:tcPr>
            <w:tcW w:w="775" w:type="pct"/>
            <w:tcBorders>
              <w:top w:val="single" w:color="000000" w:sz="4" w:space="0"/>
              <w:left w:val="single" w:color="000000" w:sz="4" w:space="0"/>
              <w:bottom w:val="single" w:color="000000" w:sz="4" w:space="0"/>
              <w:right w:val="single" w:color="000000" w:sz="4" w:space="0"/>
            </w:tcBorders>
            <w:vAlign w:val="center"/>
          </w:tcPr>
          <w:p w14:paraId="3B923289">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18</w:t>
            </w:r>
          </w:p>
        </w:tc>
        <w:tc>
          <w:tcPr>
            <w:tcW w:w="888" w:type="pct"/>
            <w:vMerge w:val="continue"/>
            <w:tcBorders>
              <w:top w:val="single" w:color="000000" w:sz="4" w:space="0"/>
              <w:left w:val="single" w:color="000000" w:sz="4" w:space="0"/>
              <w:bottom w:val="single" w:color="000000" w:sz="4" w:space="0"/>
              <w:right w:val="single" w:color="000000" w:sz="4" w:space="0"/>
            </w:tcBorders>
            <w:vAlign w:val="center"/>
          </w:tcPr>
          <w:p w14:paraId="16C18226">
            <w:pPr>
              <w:spacing w:line="360" w:lineRule="exact"/>
              <w:jc w:val="center"/>
              <w:rPr>
                <w:rFonts w:hint="eastAsia" w:ascii="宋体" w:hAnsi="宋体" w:cs="宋体"/>
                <w:color w:val="0000FF"/>
                <w:szCs w:val="21"/>
                <w:highlight w:val="none"/>
              </w:rPr>
            </w:pPr>
          </w:p>
        </w:tc>
      </w:tr>
      <w:tr w14:paraId="45CFB4DD">
        <w:tblPrEx>
          <w:tblCellMar>
            <w:top w:w="0" w:type="dxa"/>
            <w:left w:w="108" w:type="dxa"/>
            <w:bottom w:w="0" w:type="dxa"/>
            <w:right w:w="108" w:type="dxa"/>
          </w:tblCellMar>
        </w:tblPrEx>
        <w:trPr>
          <w:trHeight w:val="316" w:hRule="atLeast"/>
        </w:trPr>
        <w:tc>
          <w:tcPr>
            <w:tcW w:w="269" w:type="pct"/>
            <w:tcBorders>
              <w:top w:val="single" w:color="000000" w:sz="4" w:space="0"/>
              <w:left w:val="single" w:color="000000" w:sz="4" w:space="0"/>
              <w:bottom w:val="single" w:color="000000" w:sz="4" w:space="0"/>
              <w:right w:val="single" w:color="000000" w:sz="4" w:space="0"/>
            </w:tcBorders>
            <w:vAlign w:val="center"/>
          </w:tcPr>
          <w:p w14:paraId="1D78B815">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1.5</w:t>
            </w:r>
          </w:p>
        </w:tc>
        <w:tc>
          <w:tcPr>
            <w:tcW w:w="1114" w:type="pct"/>
            <w:tcBorders>
              <w:top w:val="single" w:color="000000" w:sz="4" w:space="0"/>
              <w:left w:val="single" w:color="000000" w:sz="4" w:space="0"/>
              <w:bottom w:val="single" w:color="000000" w:sz="4" w:space="0"/>
              <w:right w:val="single" w:color="000000" w:sz="4" w:space="0"/>
            </w:tcBorders>
            <w:vAlign w:val="center"/>
          </w:tcPr>
          <w:p w14:paraId="13639F03">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智能合约</w:t>
            </w:r>
          </w:p>
        </w:tc>
        <w:tc>
          <w:tcPr>
            <w:tcW w:w="571" w:type="pct"/>
            <w:tcBorders>
              <w:top w:val="single" w:color="000000" w:sz="4" w:space="0"/>
              <w:left w:val="single" w:color="000000" w:sz="4" w:space="0"/>
              <w:bottom w:val="single" w:color="000000" w:sz="4" w:space="0"/>
              <w:right w:val="single" w:color="000000" w:sz="4" w:space="0"/>
            </w:tcBorders>
            <w:vAlign w:val="center"/>
          </w:tcPr>
          <w:p w14:paraId="7F4DB7C8">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p>
        </w:tc>
        <w:tc>
          <w:tcPr>
            <w:tcW w:w="605" w:type="pct"/>
            <w:tcBorders>
              <w:top w:val="single" w:color="000000" w:sz="4" w:space="0"/>
              <w:left w:val="single" w:color="000000" w:sz="4" w:space="0"/>
              <w:bottom w:val="single" w:color="000000" w:sz="4" w:space="0"/>
              <w:right w:val="single" w:color="000000" w:sz="4" w:space="0"/>
            </w:tcBorders>
            <w:vAlign w:val="center"/>
          </w:tcPr>
          <w:p w14:paraId="4ACA6784">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套</w:t>
            </w:r>
          </w:p>
        </w:tc>
        <w:tc>
          <w:tcPr>
            <w:tcW w:w="775" w:type="pct"/>
            <w:tcBorders>
              <w:top w:val="single" w:color="000000" w:sz="4" w:space="0"/>
              <w:left w:val="single" w:color="000000" w:sz="4" w:space="0"/>
              <w:bottom w:val="single" w:color="000000" w:sz="4" w:space="0"/>
              <w:right w:val="single" w:color="000000" w:sz="4" w:space="0"/>
            </w:tcBorders>
            <w:vAlign w:val="center"/>
          </w:tcPr>
          <w:p w14:paraId="61773B0F">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66</w:t>
            </w:r>
          </w:p>
        </w:tc>
        <w:tc>
          <w:tcPr>
            <w:tcW w:w="775" w:type="pct"/>
            <w:tcBorders>
              <w:top w:val="single" w:color="000000" w:sz="4" w:space="0"/>
              <w:left w:val="single" w:color="000000" w:sz="4" w:space="0"/>
              <w:bottom w:val="single" w:color="000000" w:sz="4" w:space="0"/>
              <w:right w:val="single" w:color="000000" w:sz="4" w:space="0"/>
            </w:tcBorders>
            <w:vAlign w:val="center"/>
          </w:tcPr>
          <w:p w14:paraId="1394806B">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66</w:t>
            </w:r>
          </w:p>
        </w:tc>
        <w:tc>
          <w:tcPr>
            <w:tcW w:w="888" w:type="pct"/>
            <w:vMerge w:val="continue"/>
            <w:tcBorders>
              <w:top w:val="single" w:color="000000" w:sz="4" w:space="0"/>
              <w:left w:val="single" w:color="000000" w:sz="4" w:space="0"/>
              <w:bottom w:val="single" w:color="000000" w:sz="4" w:space="0"/>
              <w:right w:val="single" w:color="000000" w:sz="4" w:space="0"/>
            </w:tcBorders>
            <w:vAlign w:val="center"/>
          </w:tcPr>
          <w:p w14:paraId="54069ACF">
            <w:pPr>
              <w:spacing w:line="360" w:lineRule="exact"/>
              <w:jc w:val="center"/>
              <w:rPr>
                <w:rFonts w:hint="eastAsia" w:ascii="宋体" w:hAnsi="宋体" w:cs="宋体"/>
                <w:color w:val="0000FF"/>
                <w:szCs w:val="21"/>
                <w:highlight w:val="none"/>
              </w:rPr>
            </w:pPr>
          </w:p>
        </w:tc>
      </w:tr>
      <w:tr w14:paraId="15F89A46">
        <w:tblPrEx>
          <w:tblCellMar>
            <w:top w:w="0" w:type="dxa"/>
            <w:left w:w="108" w:type="dxa"/>
            <w:bottom w:w="0" w:type="dxa"/>
            <w:right w:w="108" w:type="dxa"/>
          </w:tblCellMar>
        </w:tblPrEx>
        <w:trPr>
          <w:trHeight w:val="316" w:hRule="atLeast"/>
        </w:trPr>
        <w:tc>
          <w:tcPr>
            <w:tcW w:w="269" w:type="pct"/>
            <w:tcBorders>
              <w:top w:val="single" w:color="000000" w:sz="4" w:space="0"/>
              <w:left w:val="single" w:color="000000" w:sz="4" w:space="0"/>
              <w:bottom w:val="single" w:color="000000" w:sz="4" w:space="0"/>
              <w:right w:val="single" w:color="000000" w:sz="4" w:space="0"/>
            </w:tcBorders>
            <w:vAlign w:val="center"/>
          </w:tcPr>
          <w:p w14:paraId="56B91E9B">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1.6</w:t>
            </w:r>
          </w:p>
        </w:tc>
        <w:tc>
          <w:tcPr>
            <w:tcW w:w="1114" w:type="pct"/>
            <w:tcBorders>
              <w:top w:val="single" w:color="000000" w:sz="4" w:space="0"/>
              <w:left w:val="single" w:color="000000" w:sz="4" w:space="0"/>
              <w:bottom w:val="single" w:color="000000" w:sz="4" w:space="0"/>
              <w:right w:val="single" w:color="000000" w:sz="4" w:space="0"/>
            </w:tcBorders>
            <w:vAlign w:val="center"/>
          </w:tcPr>
          <w:p w14:paraId="66954732">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数据连接器</w:t>
            </w:r>
          </w:p>
        </w:tc>
        <w:tc>
          <w:tcPr>
            <w:tcW w:w="571" w:type="pct"/>
            <w:tcBorders>
              <w:top w:val="single" w:color="000000" w:sz="4" w:space="0"/>
              <w:left w:val="single" w:color="000000" w:sz="4" w:space="0"/>
              <w:bottom w:val="single" w:color="000000" w:sz="4" w:space="0"/>
              <w:right w:val="single" w:color="000000" w:sz="4" w:space="0"/>
            </w:tcBorders>
            <w:vAlign w:val="center"/>
          </w:tcPr>
          <w:p w14:paraId="3611DDB4">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p>
        </w:tc>
        <w:tc>
          <w:tcPr>
            <w:tcW w:w="605" w:type="pct"/>
            <w:tcBorders>
              <w:top w:val="single" w:color="000000" w:sz="4" w:space="0"/>
              <w:left w:val="single" w:color="000000" w:sz="4" w:space="0"/>
              <w:bottom w:val="single" w:color="000000" w:sz="4" w:space="0"/>
              <w:right w:val="single" w:color="000000" w:sz="4" w:space="0"/>
            </w:tcBorders>
            <w:vAlign w:val="center"/>
          </w:tcPr>
          <w:p w14:paraId="77F2669F">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套</w:t>
            </w:r>
          </w:p>
        </w:tc>
        <w:tc>
          <w:tcPr>
            <w:tcW w:w="775" w:type="pct"/>
            <w:tcBorders>
              <w:top w:val="single" w:color="000000" w:sz="4" w:space="0"/>
              <w:left w:val="single" w:color="000000" w:sz="4" w:space="0"/>
              <w:bottom w:val="single" w:color="000000" w:sz="4" w:space="0"/>
              <w:right w:val="single" w:color="000000" w:sz="4" w:space="0"/>
            </w:tcBorders>
            <w:vAlign w:val="center"/>
          </w:tcPr>
          <w:p w14:paraId="27E13687">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93</w:t>
            </w:r>
          </w:p>
        </w:tc>
        <w:tc>
          <w:tcPr>
            <w:tcW w:w="775" w:type="pct"/>
            <w:tcBorders>
              <w:top w:val="single" w:color="000000" w:sz="4" w:space="0"/>
              <w:left w:val="single" w:color="000000" w:sz="4" w:space="0"/>
              <w:bottom w:val="single" w:color="000000" w:sz="4" w:space="0"/>
              <w:right w:val="single" w:color="000000" w:sz="4" w:space="0"/>
            </w:tcBorders>
            <w:vAlign w:val="center"/>
          </w:tcPr>
          <w:p w14:paraId="464E3506">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93</w:t>
            </w:r>
          </w:p>
        </w:tc>
        <w:tc>
          <w:tcPr>
            <w:tcW w:w="888" w:type="pct"/>
            <w:vMerge w:val="continue"/>
            <w:tcBorders>
              <w:top w:val="single" w:color="000000" w:sz="4" w:space="0"/>
              <w:left w:val="single" w:color="000000" w:sz="4" w:space="0"/>
              <w:bottom w:val="single" w:color="000000" w:sz="4" w:space="0"/>
              <w:right w:val="single" w:color="000000" w:sz="4" w:space="0"/>
            </w:tcBorders>
            <w:vAlign w:val="center"/>
          </w:tcPr>
          <w:p w14:paraId="497635C9">
            <w:pPr>
              <w:spacing w:line="360" w:lineRule="exact"/>
              <w:jc w:val="center"/>
              <w:rPr>
                <w:rFonts w:hint="eastAsia" w:ascii="宋体" w:hAnsi="宋体" w:cs="宋体"/>
                <w:color w:val="0000FF"/>
                <w:szCs w:val="21"/>
                <w:highlight w:val="none"/>
              </w:rPr>
            </w:pPr>
          </w:p>
        </w:tc>
      </w:tr>
      <w:tr w14:paraId="2C3CED60">
        <w:tblPrEx>
          <w:tblCellMar>
            <w:top w:w="0" w:type="dxa"/>
            <w:left w:w="108" w:type="dxa"/>
            <w:bottom w:w="0" w:type="dxa"/>
            <w:right w:w="108" w:type="dxa"/>
          </w:tblCellMar>
        </w:tblPrEx>
        <w:trPr>
          <w:trHeight w:val="316" w:hRule="atLeast"/>
        </w:trPr>
        <w:tc>
          <w:tcPr>
            <w:tcW w:w="269" w:type="pct"/>
            <w:tcBorders>
              <w:top w:val="single" w:color="000000" w:sz="4" w:space="0"/>
              <w:left w:val="single" w:color="000000" w:sz="4" w:space="0"/>
              <w:bottom w:val="single" w:color="000000" w:sz="4" w:space="0"/>
              <w:right w:val="single" w:color="000000" w:sz="4" w:space="0"/>
            </w:tcBorders>
            <w:vAlign w:val="center"/>
          </w:tcPr>
          <w:p w14:paraId="7FF0BED8">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w:t>
            </w:r>
          </w:p>
        </w:tc>
        <w:tc>
          <w:tcPr>
            <w:tcW w:w="1114" w:type="pct"/>
            <w:tcBorders>
              <w:top w:val="single" w:color="000000" w:sz="4" w:space="0"/>
              <w:left w:val="single" w:color="000000" w:sz="4" w:space="0"/>
              <w:bottom w:val="single" w:color="000000" w:sz="4" w:space="0"/>
              <w:right w:val="single" w:color="000000" w:sz="4" w:space="0"/>
            </w:tcBorders>
            <w:vAlign w:val="center"/>
          </w:tcPr>
          <w:p w14:paraId="76D1C4D8">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配套硬件设备建设</w:t>
            </w:r>
          </w:p>
        </w:tc>
        <w:tc>
          <w:tcPr>
            <w:tcW w:w="571" w:type="pct"/>
            <w:tcBorders>
              <w:top w:val="single" w:color="000000" w:sz="4" w:space="0"/>
              <w:left w:val="single" w:color="000000" w:sz="4" w:space="0"/>
              <w:bottom w:val="single" w:color="000000" w:sz="4" w:space="0"/>
              <w:right w:val="single" w:color="000000" w:sz="4" w:space="0"/>
            </w:tcBorders>
            <w:vAlign w:val="center"/>
          </w:tcPr>
          <w:p w14:paraId="0F70F4D6">
            <w:pPr>
              <w:widowControl/>
              <w:spacing w:line="360" w:lineRule="exact"/>
              <w:jc w:val="center"/>
              <w:textAlignment w:val="center"/>
              <w:rPr>
                <w:rFonts w:hint="eastAsia" w:ascii="宋体" w:hAnsi="宋体" w:cs="宋体"/>
                <w:color w:val="000000"/>
                <w:kern w:val="0"/>
                <w:szCs w:val="21"/>
                <w:highlight w:val="none"/>
                <w:lang w:bidi="ar"/>
              </w:rPr>
            </w:pPr>
          </w:p>
        </w:tc>
        <w:tc>
          <w:tcPr>
            <w:tcW w:w="605" w:type="pct"/>
            <w:tcBorders>
              <w:top w:val="single" w:color="000000" w:sz="4" w:space="0"/>
              <w:left w:val="single" w:color="000000" w:sz="4" w:space="0"/>
              <w:bottom w:val="single" w:color="000000" w:sz="4" w:space="0"/>
              <w:right w:val="single" w:color="000000" w:sz="4" w:space="0"/>
            </w:tcBorders>
            <w:vAlign w:val="center"/>
          </w:tcPr>
          <w:p w14:paraId="58A5849A">
            <w:pPr>
              <w:widowControl/>
              <w:spacing w:line="360" w:lineRule="exact"/>
              <w:jc w:val="center"/>
              <w:textAlignment w:val="center"/>
              <w:rPr>
                <w:rFonts w:hint="eastAsia" w:ascii="宋体" w:hAnsi="宋体" w:cs="宋体"/>
                <w:color w:val="000000"/>
                <w:kern w:val="0"/>
                <w:szCs w:val="21"/>
                <w:highlight w:val="none"/>
                <w:lang w:bidi="ar"/>
              </w:rPr>
            </w:pPr>
          </w:p>
        </w:tc>
        <w:tc>
          <w:tcPr>
            <w:tcW w:w="775" w:type="pct"/>
            <w:tcBorders>
              <w:top w:val="single" w:color="000000" w:sz="4" w:space="0"/>
              <w:left w:val="single" w:color="000000" w:sz="4" w:space="0"/>
              <w:bottom w:val="single" w:color="000000" w:sz="4" w:space="0"/>
              <w:right w:val="single" w:color="000000" w:sz="4" w:space="0"/>
            </w:tcBorders>
            <w:vAlign w:val="center"/>
          </w:tcPr>
          <w:p w14:paraId="28415E36">
            <w:pPr>
              <w:widowControl/>
              <w:spacing w:line="360" w:lineRule="exact"/>
              <w:jc w:val="center"/>
              <w:textAlignment w:val="center"/>
              <w:rPr>
                <w:rFonts w:hint="eastAsia" w:ascii="宋体" w:hAnsi="宋体" w:cs="宋体"/>
                <w:color w:val="000000"/>
                <w:kern w:val="0"/>
                <w:szCs w:val="21"/>
                <w:highlight w:val="none"/>
                <w:lang w:bidi="ar"/>
              </w:rPr>
            </w:pPr>
          </w:p>
        </w:tc>
        <w:tc>
          <w:tcPr>
            <w:tcW w:w="775" w:type="pct"/>
            <w:tcBorders>
              <w:top w:val="single" w:color="000000" w:sz="4" w:space="0"/>
              <w:left w:val="single" w:color="000000" w:sz="4" w:space="0"/>
              <w:bottom w:val="single" w:color="000000" w:sz="4" w:space="0"/>
              <w:right w:val="single" w:color="000000" w:sz="4" w:space="0"/>
            </w:tcBorders>
            <w:vAlign w:val="center"/>
          </w:tcPr>
          <w:p w14:paraId="5C00363C">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412</w:t>
            </w:r>
          </w:p>
        </w:tc>
        <w:tc>
          <w:tcPr>
            <w:tcW w:w="888" w:type="pct"/>
            <w:vMerge w:val="continue"/>
            <w:tcBorders>
              <w:top w:val="single" w:color="000000" w:sz="4" w:space="0"/>
              <w:left w:val="single" w:color="000000" w:sz="4" w:space="0"/>
              <w:bottom w:val="single" w:color="000000" w:sz="4" w:space="0"/>
              <w:right w:val="single" w:color="000000" w:sz="4" w:space="0"/>
            </w:tcBorders>
            <w:vAlign w:val="center"/>
          </w:tcPr>
          <w:p w14:paraId="1AF7C5CD">
            <w:pPr>
              <w:spacing w:line="360" w:lineRule="exact"/>
              <w:jc w:val="center"/>
              <w:rPr>
                <w:rFonts w:hint="eastAsia" w:ascii="宋体" w:hAnsi="宋体" w:cs="宋体"/>
                <w:color w:val="0000FF"/>
                <w:szCs w:val="21"/>
                <w:highlight w:val="none"/>
              </w:rPr>
            </w:pPr>
          </w:p>
        </w:tc>
      </w:tr>
      <w:tr w14:paraId="34F0378D">
        <w:tblPrEx>
          <w:tblCellMar>
            <w:top w:w="0" w:type="dxa"/>
            <w:left w:w="108" w:type="dxa"/>
            <w:bottom w:w="0" w:type="dxa"/>
            <w:right w:w="108" w:type="dxa"/>
          </w:tblCellMar>
        </w:tblPrEx>
        <w:trPr>
          <w:trHeight w:val="316" w:hRule="atLeast"/>
        </w:trPr>
        <w:tc>
          <w:tcPr>
            <w:tcW w:w="269" w:type="pct"/>
            <w:tcBorders>
              <w:top w:val="single" w:color="000000" w:sz="4" w:space="0"/>
              <w:left w:val="single" w:color="000000" w:sz="4" w:space="0"/>
              <w:bottom w:val="single" w:color="000000" w:sz="4" w:space="0"/>
              <w:right w:val="single" w:color="000000" w:sz="4" w:space="0"/>
            </w:tcBorders>
            <w:vAlign w:val="center"/>
          </w:tcPr>
          <w:p w14:paraId="4D650E71">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2.1</w:t>
            </w:r>
          </w:p>
        </w:tc>
        <w:tc>
          <w:tcPr>
            <w:tcW w:w="1114" w:type="pct"/>
            <w:tcBorders>
              <w:top w:val="single" w:color="000000" w:sz="4" w:space="0"/>
              <w:left w:val="single" w:color="000000" w:sz="4" w:space="0"/>
              <w:bottom w:val="single" w:color="000000" w:sz="4" w:space="0"/>
              <w:right w:val="single" w:color="000000" w:sz="4" w:space="0"/>
            </w:tcBorders>
            <w:vAlign w:val="center"/>
          </w:tcPr>
          <w:p w14:paraId="484DDE49">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核心防火墙</w:t>
            </w:r>
          </w:p>
        </w:tc>
        <w:tc>
          <w:tcPr>
            <w:tcW w:w="571" w:type="pct"/>
            <w:tcBorders>
              <w:top w:val="single" w:color="000000" w:sz="4" w:space="0"/>
              <w:left w:val="single" w:color="000000" w:sz="4" w:space="0"/>
              <w:bottom w:val="single" w:color="000000" w:sz="4" w:space="0"/>
              <w:right w:val="single" w:color="000000" w:sz="4" w:space="0"/>
            </w:tcBorders>
            <w:vAlign w:val="center"/>
          </w:tcPr>
          <w:p w14:paraId="27E5B6DF">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2</w:t>
            </w:r>
          </w:p>
        </w:tc>
        <w:tc>
          <w:tcPr>
            <w:tcW w:w="605" w:type="pct"/>
            <w:tcBorders>
              <w:top w:val="single" w:color="000000" w:sz="4" w:space="0"/>
              <w:left w:val="single" w:color="000000" w:sz="4" w:space="0"/>
              <w:bottom w:val="single" w:color="000000" w:sz="4" w:space="0"/>
              <w:right w:val="single" w:color="000000" w:sz="4" w:space="0"/>
            </w:tcBorders>
            <w:vAlign w:val="center"/>
          </w:tcPr>
          <w:p w14:paraId="5455448F">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台</w:t>
            </w:r>
          </w:p>
        </w:tc>
        <w:tc>
          <w:tcPr>
            <w:tcW w:w="775" w:type="pct"/>
            <w:tcBorders>
              <w:top w:val="single" w:color="000000" w:sz="4" w:space="0"/>
              <w:left w:val="single" w:color="000000" w:sz="4" w:space="0"/>
              <w:bottom w:val="single" w:color="000000" w:sz="4" w:space="0"/>
              <w:right w:val="single" w:color="000000" w:sz="4" w:space="0"/>
            </w:tcBorders>
            <w:vAlign w:val="center"/>
          </w:tcPr>
          <w:p w14:paraId="29A7FCE3">
            <w:pPr>
              <w:widowControl/>
              <w:spacing w:line="360" w:lineRule="exact"/>
              <w:jc w:val="center"/>
              <w:textAlignment w:val="center"/>
              <w:rPr>
                <w:rFonts w:hint="eastAsia" w:ascii="宋体" w:hAnsi="宋体" w:cs="宋体"/>
                <w:color w:val="000000"/>
                <w:kern w:val="0"/>
                <w:szCs w:val="21"/>
                <w:highlight w:val="none"/>
                <w:lang w:bidi="ar"/>
              </w:rPr>
            </w:pPr>
            <w:r>
              <w:rPr>
                <w:highlight w:val="none"/>
              </w:rPr>
              <w:t>17</w:t>
            </w:r>
          </w:p>
        </w:tc>
        <w:tc>
          <w:tcPr>
            <w:tcW w:w="775" w:type="pct"/>
            <w:tcBorders>
              <w:top w:val="single" w:color="000000" w:sz="4" w:space="0"/>
              <w:left w:val="single" w:color="000000" w:sz="4" w:space="0"/>
              <w:bottom w:val="single" w:color="000000" w:sz="4" w:space="0"/>
              <w:right w:val="single" w:color="000000" w:sz="4" w:space="0"/>
            </w:tcBorders>
            <w:vAlign w:val="center"/>
          </w:tcPr>
          <w:p w14:paraId="0F264166">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34</w:t>
            </w:r>
          </w:p>
        </w:tc>
        <w:tc>
          <w:tcPr>
            <w:tcW w:w="888" w:type="pct"/>
            <w:vMerge w:val="continue"/>
            <w:tcBorders>
              <w:top w:val="single" w:color="000000" w:sz="4" w:space="0"/>
              <w:left w:val="single" w:color="000000" w:sz="4" w:space="0"/>
              <w:bottom w:val="single" w:color="000000" w:sz="4" w:space="0"/>
              <w:right w:val="single" w:color="000000" w:sz="4" w:space="0"/>
            </w:tcBorders>
            <w:vAlign w:val="center"/>
          </w:tcPr>
          <w:p w14:paraId="476AC027">
            <w:pPr>
              <w:spacing w:line="360" w:lineRule="exact"/>
              <w:jc w:val="center"/>
              <w:rPr>
                <w:rFonts w:hint="eastAsia" w:ascii="宋体" w:hAnsi="宋体" w:cs="宋体"/>
                <w:color w:val="0000FF"/>
                <w:szCs w:val="21"/>
                <w:highlight w:val="none"/>
              </w:rPr>
            </w:pPr>
          </w:p>
        </w:tc>
      </w:tr>
      <w:tr w14:paraId="7A911468">
        <w:tblPrEx>
          <w:tblCellMar>
            <w:top w:w="0" w:type="dxa"/>
            <w:left w:w="108" w:type="dxa"/>
            <w:bottom w:w="0" w:type="dxa"/>
            <w:right w:w="108" w:type="dxa"/>
          </w:tblCellMar>
        </w:tblPrEx>
        <w:trPr>
          <w:trHeight w:val="316" w:hRule="atLeast"/>
        </w:trPr>
        <w:tc>
          <w:tcPr>
            <w:tcW w:w="269" w:type="pct"/>
            <w:tcBorders>
              <w:top w:val="single" w:color="000000" w:sz="4" w:space="0"/>
              <w:left w:val="single" w:color="000000" w:sz="4" w:space="0"/>
              <w:bottom w:val="single" w:color="000000" w:sz="4" w:space="0"/>
              <w:right w:val="single" w:color="000000" w:sz="4" w:space="0"/>
            </w:tcBorders>
            <w:vAlign w:val="center"/>
          </w:tcPr>
          <w:p w14:paraId="6A0BC46C">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2.2</w:t>
            </w:r>
          </w:p>
        </w:tc>
        <w:tc>
          <w:tcPr>
            <w:tcW w:w="1114" w:type="pct"/>
            <w:tcBorders>
              <w:top w:val="single" w:color="000000" w:sz="4" w:space="0"/>
              <w:left w:val="single" w:color="000000" w:sz="4" w:space="0"/>
              <w:bottom w:val="single" w:color="000000" w:sz="4" w:space="0"/>
              <w:right w:val="single" w:color="000000" w:sz="4" w:space="0"/>
            </w:tcBorders>
            <w:vAlign w:val="center"/>
          </w:tcPr>
          <w:p w14:paraId="7CAB633F">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Web应用防火墙</w:t>
            </w:r>
          </w:p>
        </w:tc>
        <w:tc>
          <w:tcPr>
            <w:tcW w:w="571" w:type="pct"/>
            <w:tcBorders>
              <w:top w:val="single" w:color="000000" w:sz="4" w:space="0"/>
              <w:left w:val="single" w:color="000000" w:sz="4" w:space="0"/>
              <w:bottom w:val="single" w:color="000000" w:sz="4" w:space="0"/>
              <w:right w:val="single" w:color="000000" w:sz="4" w:space="0"/>
            </w:tcBorders>
            <w:vAlign w:val="center"/>
          </w:tcPr>
          <w:p w14:paraId="59153048">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2</w:t>
            </w:r>
          </w:p>
        </w:tc>
        <w:tc>
          <w:tcPr>
            <w:tcW w:w="605" w:type="pct"/>
            <w:tcBorders>
              <w:top w:val="single" w:color="000000" w:sz="4" w:space="0"/>
              <w:left w:val="single" w:color="000000" w:sz="4" w:space="0"/>
              <w:bottom w:val="single" w:color="000000" w:sz="4" w:space="0"/>
              <w:right w:val="single" w:color="000000" w:sz="4" w:space="0"/>
            </w:tcBorders>
            <w:vAlign w:val="center"/>
          </w:tcPr>
          <w:p w14:paraId="5005EA7F">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台</w:t>
            </w:r>
          </w:p>
        </w:tc>
        <w:tc>
          <w:tcPr>
            <w:tcW w:w="775" w:type="pct"/>
            <w:tcBorders>
              <w:top w:val="single" w:color="000000" w:sz="4" w:space="0"/>
              <w:left w:val="single" w:color="000000" w:sz="4" w:space="0"/>
              <w:bottom w:val="single" w:color="000000" w:sz="4" w:space="0"/>
              <w:right w:val="single" w:color="000000" w:sz="4" w:space="0"/>
            </w:tcBorders>
            <w:vAlign w:val="center"/>
          </w:tcPr>
          <w:p w14:paraId="5ADBE5CB">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8</w:t>
            </w:r>
          </w:p>
        </w:tc>
        <w:tc>
          <w:tcPr>
            <w:tcW w:w="775" w:type="pct"/>
            <w:tcBorders>
              <w:top w:val="single" w:color="000000" w:sz="4" w:space="0"/>
              <w:left w:val="single" w:color="000000" w:sz="4" w:space="0"/>
              <w:bottom w:val="single" w:color="000000" w:sz="4" w:space="0"/>
              <w:right w:val="single" w:color="000000" w:sz="4" w:space="0"/>
            </w:tcBorders>
            <w:vAlign w:val="center"/>
          </w:tcPr>
          <w:p w14:paraId="646BFE35">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16</w:t>
            </w:r>
          </w:p>
        </w:tc>
        <w:tc>
          <w:tcPr>
            <w:tcW w:w="888" w:type="pct"/>
            <w:vMerge w:val="continue"/>
            <w:tcBorders>
              <w:top w:val="single" w:color="000000" w:sz="4" w:space="0"/>
              <w:left w:val="single" w:color="000000" w:sz="4" w:space="0"/>
              <w:bottom w:val="single" w:color="000000" w:sz="4" w:space="0"/>
              <w:right w:val="single" w:color="000000" w:sz="4" w:space="0"/>
            </w:tcBorders>
            <w:vAlign w:val="center"/>
          </w:tcPr>
          <w:p w14:paraId="2FED176F">
            <w:pPr>
              <w:spacing w:line="360" w:lineRule="exact"/>
              <w:jc w:val="center"/>
              <w:rPr>
                <w:rFonts w:hint="eastAsia" w:ascii="宋体" w:hAnsi="宋体" w:cs="宋体"/>
                <w:color w:val="0000FF"/>
                <w:szCs w:val="21"/>
                <w:highlight w:val="none"/>
              </w:rPr>
            </w:pPr>
          </w:p>
        </w:tc>
      </w:tr>
      <w:tr w14:paraId="70113741">
        <w:tblPrEx>
          <w:tblCellMar>
            <w:top w:w="0" w:type="dxa"/>
            <w:left w:w="108" w:type="dxa"/>
            <w:bottom w:w="0" w:type="dxa"/>
            <w:right w:w="108" w:type="dxa"/>
          </w:tblCellMar>
        </w:tblPrEx>
        <w:trPr>
          <w:trHeight w:val="316" w:hRule="atLeast"/>
        </w:trPr>
        <w:tc>
          <w:tcPr>
            <w:tcW w:w="269" w:type="pct"/>
            <w:tcBorders>
              <w:top w:val="single" w:color="000000" w:sz="4" w:space="0"/>
              <w:left w:val="single" w:color="000000" w:sz="4" w:space="0"/>
              <w:bottom w:val="single" w:color="000000" w:sz="4" w:space="0"/>
              <w:right w:val="single" w:color="000000" w:sz="4" w:space="0"/>
            </w:tcBorders>
            <w:vAlign w:val="center"/>
          </w:tcPr>
          <w:p w14:paraId="242BA008">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2.3</w:t>
            </w:r>
          </w:p>
        </w:tc>
        <w:tc>
          <w:tcPr>
            <w:tcW w:w="1114" w:type="pct"/>
            <w:tcBorders>
              <w:top w:val="single" w:color="000000" w:sz="4" w:space="0"/>
              <w:left w:val="single" w:color="000000" w:sz="4" w:space="0"/>
              <w:bottom w:val="single" w:color="000000" w:sz="4" w:space="0"/>
              <w:right w:val="single" w:color="000000" w:sz="4" w:space="0"/>
            </w:tcBorders>
            <w:vAlign w:val="center"/>
          </w:tcPr>
          <w:p w14:paraId="3F1F8B5A">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核心交换机</w:t>
            </w:r>
          </w:p>
        </w:tc>
        <w:tc>
          <w:tcPr>
            <w:tcW w:w="571" w:type="pct"/>
            <w:tcBorders>
              <w:top w:val="single" w:color="000000" w:sz="4" w:space="0"/>
              <w:left w:val="single" w:color="000000" w:sz="4" w:space="0"/>
              <w:bottom w:val="single" w:color="000000" w:sz="4" w:space="0"/>
              <w:right w:val="single" w:color="000000" w:sz="4" w:space="0"/>
            </w:tcBorders>
            <w:vAlign w:val="center"/>
          </w:tcPr>
          <w:p w14:paraId="6E83844C">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2</w:t>
            </w:r>
          </w:p>
        </w:tc>
        <w:tc>
          <w:tcPr>
            <w:tcW w:w="605" w:type="pct"/>
            <w:tcBorders>
              <w:top w:val="single" w:color="000000" w:sz="4" w:space="0"/>
              <w:left w:val="single" w:color="000000" w:sz="4" w:space="0"/>
              <w:bottom w:val="single" w:color="000000" w:sz="4" w:space="0"/>
              <w:right w:val="single" w:color="000000" w:sz="4" w:space="0"/>
            </w:tcBorders>
            <w:vAlign w:val="center"/>
          </w:tcPr>
          <w:p w14:paraId="7ADD98B7">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台</w:t>
            </w:r>
          </w:p>
        </w:tc>
        <w:tc>
          <w:tcPr>
            <w:tcW w:w="775" w:type="pct"/>
            <w:tcBorders>
              <w:top w:val="single" w:color="000000" w:sz="4" w:space="0"/>
              <w:left w:val="single" w:color="000000" w:sz="4" w:space="0"/>
              <w:bottom w:val="single" w:color="000000" w:sz="4" w:space="0"/>
              <w:right w:val="single" w:color="000000" w:sz="4" w:space="0"/>
            </w:tcBorders>
            <w:vAlign w:val="center"/>
          </w:tcPr>
          <w:p w14:paraId="32C15FC0">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28.5</w:t>
            </w:r>
          </w:p>
        </w:tc>
        <w:tc>
          <w:tcPr>
            <w:tcW w:w="775" w:type="pct"/>
            <w:tcBorders>
              <w:top w:val="single" w:color="000000" w:sz="4" w:space="0"/>
              <w:left w:val="single" w:color="000000" w:sz="4" w:space="0"/>
              <w:bottom w:val="single" w:color="000000" w:sz="4" w:space="0"/>
              <w:right w:val="single" w:color="000000" w:sz="4" w:space="0"/>
            </w:tcBorders>
            <w:vAlign w:val="center"/>
          </w:tcPr>
          <w:p w14:paraId="34AE266F">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57</w:t>
            </w:r>
          </w:p>
        </w:tc>
        <w:tc>
          <w:tcPr>
            <w:tcW w:w="888" w:type="pct"/>
            <w:vMerge w:val="continue"/>
            <w:tcBorders>
              <w:top w:val="single" w:color="000000" w:sz="4" w:space="0"/>
              <w:left w:val="single" w:color="000000" w:sz="4" w:space="0"/>
              <w:bottom w:val="single" w:color="000000" w:sz="4" w:space="0"/>
              <w:right w:val="single" w:color="000000" w:sz="4" w:space="0"/>
            </w:tcBorders>
            <w:vAlign w:val="center"/>
          </w:tcPr>
          <w:p w14:paraId="1AA88D58">
            <w:pPr>
              <w:spacing w:line="360" w:lineRule="exact"/>
              <w:jc w:val="center"/>
              <w:rPr>
                <w:rFonts w:hint="eastAsia" w:ascii="宋体" w:hAnsi="宋体" w:cs="宋体"/>
                <w:color w:val="0000FF"/>
                <w:szCs w:val="21"/>
                <w:highlight w:val="none"/>
              </w:rPr>
            </w:pPr>
          </w:p>
        </w:tc>
      </w:tr>
      <w:tr w14:paraId="53F45F19">
        <w:tblPrEx>
          <w:tblCellMar>
            <w:top w:w="0" w:type="dxa"/>
            <w:left w:w="108" w:type="dxa"/>
            <w:bottom w:w="0" w:type="dxa"/>
            <w:right w:w="108" w:type="dxa"/>
          </w:tblCellMar>
        </w:tblPrEx>
        <w:trPr>
          <w:trHeight w:val="316" w:hRule="atLeast"/>
        </w:trPr>
        <w:tc>
          <w:tcPr>
            <w:tcW w:w="269" w:type="pct"/>
            <w:tcBorders>
              <w:top w:val="single" w:color="000000" w:sz="4" w:space="0"/>
              <w:left w:val="single" w:color="000000" w:sz="4" w:space="0"/>
              <w:bottom w:val="single" w:color="000000" w:sz="4" w:space="0"/>
              <w:right w:val="single" w:color="000000" w:sz="4" w:space="0"/>
            </w:tcBorders>
            <w:vAlign w:val="center"/>
          </w:tcPr>
          <w:p w14:paraId="24E7FD89">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2.4</w:t>
            </w:r>
          </w:p>
        </w:tc>
        <w:tc>
          <w:tcPr>
            <w:tcW w:w="1114" w:type="pct"/>
            <w:tcBorders>
              <w:top w:val="single" w:color="000000" w:sz="4" w:space="0"/>
              <w:left w:val="single" w:color="000000" w:sz="4" w:space="0"/>
              <w:bottom w:val="single" w:color="000000" w:sz="4" w:space="0"/>
              <w:right w:val="single" w:color="000000" w:sz="4" w:space="0"/>
            </w:tcBorders>
            <w:vAlign w:val="center"/>
          </w:tcPr>
          <w:p w14:paraId="54ED849C">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接入交换机</w:t>
            </w:r>
          </w:p>
        </w:tc>
        <w:tc>
          <w:tcPr>
            <w:tcW w:w="571" w:type="pct"/>
            <w:tcBorders>
              <w:top w:val="single" w:color="000000" w:sz="4" w:space="0"/>
              <w:left w:val="single" w:color="000000" w:sz="4" w:space="0"/>
              <w:bottom w:val="single" w:color="000000" w:sz="4" w:space="0"/>
              <w:right w:val="single" w:color="000000" w:sz="4" w:space="0"/>
            </w:tcBorders>
            <w:vAlign w:val="center"/>
          </w:tcPr>
          <w:p w14:paraId="1723C02F">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4</w:t>
            </w:r>
          </w:p>
        </w:tc>
        <w:tc>
          <w:tcPr>
            <w:tcW w:w="605" w:type="pct"/>
            <w:tcBorders>
              <w:top w:val="single" w:color="000000" w:sz="4" w:space="0"/>
              <w:left w:val="single" w:color="000000" w:sz="4" w:space="0"/>
              <w:bottom w:val="single" w:color="000000" w:sz="4" w:space="0"/>
              <w:right w:val="single" w:color="000000" w:sz="4" w:space="0"/>
            </w:tcBorders>
            <w:vAlign w:val="center"/>
          </w:tcPr>
          <w:p w14:paraId="24C564C8">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台</w:t>
            </w:r>
          </w:p>
        </w:tc>
        <w:tc>
          <w:tcPr>
            <w:tcW w:w="775" w:type="pct"/>
            <w:tcBorders>
              <w:top w:val="single" w:color="000000" w:sz="4" w:space="0"/>
              <w:left w:val="single" w:color="000000" w:sz="4" w:space="0"/>
              <w:bottom w:val="single" w:color="000000" w:sz="4" w:space="0"/>
              <w:right w:val="single" w:color="000000" w:sz="4" w:space="0"/>
            </w:tcBorders>
            <w:vAlign w:val="center"/>
          </w:tcPr>
          <w:p w14:paraId="52692F37">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7</w:t>
            </w:r>
          </w:p>
        </w:tc>
        <w:tc>
          <w:tcPr>
            <w:tcW w:w="775" w:type="pct"/>
            <w:tcBorders>
              <w:top w:val="single" w:color="000000" w:sz="4" w:space="0"/>
              <w:left w:val="single" w:color="000000" w:sz="4" w:space="0"/>
              <w:bottom w:val="single" w:color="000000" w:sz="4" w:space="0"/>
              <w:right w:val="single" w:color="000000" w:sz="4" w:space="0"/>
            </w:tcBorders>
            <w:vAlign w:val="center"/>
          </w:tcPr>
          <w:p w14:paraId="54B8F680">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28</w:t>
            </w:r>
          </w:p>
        </w:tc>
        <w:tc>
          <w:tcPr>
            <w:tcW w:w="888" w:type="pct"/>
            <w:vMerge w:val="continue"/>
            <w:tcBorders>
              <w:top w:val="single" w:color="000000" w:sz="4" w:space="0"/>
              <w:left w:val="single" w:color="000000" w:sz="4" w:space="0"/>
              <w:bottom w:val="single" w:color="000000" w:sz="4" w:space="0"/>
              <w:right w:val="single" w:color="000000" w:sz="4" w:space="0"/>
            </w:tcBorders>
            <w:vAlign w:val="center"/>
          </w:tcPr>
          <w:p w14:paraId="1046BE73">
            <w:pPr>
              <w:spacing w:line="360" w:lineRule="exact"/>
              <w:jc w:val="center"/>
              <w:rPr>
                <w:rFonts w:hint="eastAsia" w:ascii="宋体" w:hAnsi="宋体" w:cs="宋体"/>
                <w:color w:val="0000FF"/>
                <w:szCs w:val="21"/>
                <w:highlight w:val="none"/>
              </w:rPr>
            </w:pPr>
          </w:p>
        </w:tc>
      </w:tr>
      <w:tr w14:paraId="6B90D0E1">
        <w:tblPrEx>
          <w:tblCellMar>
            <w:top w:w="0" w:type="dxa"/>
            <w:left w:w="108" w:type="dxa"/>
            <w:bottom w:w="0" w:type="dxa"/>
            <w:right w:w="108" w:type="dxa"/>
          </w:tblCellMar>
        </w:tblPrEx>
        <w:trPr>
          <w:trHeight w:val="316" w:hRule="atLeast"/>
        </w:trPr>
        <w:tc>
          <w:tcPr>
            <w:tcW w:w="269" w:type="pct"/>
            <w:tcBorders>
              <w:top w:val="single" w:color="000000" w:sz="4" w:space="0"/>
              <w:left w:val="single" w:color="000000" w:sz="4" w:space="0"/>
              <w:bottom w:val="single" w:color="000000" w:sz="4" w:space="0"/>
              <w:right w:val="single" w:color="000000" w:sz="4" w:space="0"/>
            </w:tcBorders>
            <w:vAlign w:val="center"/>
          </w:tcPr>
          <w:p w14:paraId="3533B536">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2.5</w:t>
            </w:r>
          </w:p>
        </w:tc>
        <w:tc>
          <w:tcPr>
            <w:tcW w:w="1114" w:type="pct"/>
            <w:tcBorders>
              <w:top w:val="single" w:color="000000" w:sz="4" w:space="0"/>
              <w:left w:val="single" w:color="000000" w:sz="4" w:space="0"/>
              <w:bottom w:val="single" w:color="000000" w:sz="4" w:space="0"/>
              <w:right w:val="single" w:color="000000" w:sz="4" w:space="0"/>
            </w:tcBorders>
            <w:vAlign w:val="center"/>
          </w:tcPr>
          <w:p w14:paraId="59DCA9C2">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计算节点</w:t>
            </w:r>
          </w:p>
        </w:tc>
        <w:tc>
          <w:tcPr>
            <w:tcW w:w="571" w:type="pct"/>
            <w:tcBorders>
              <w:top w:val="single" w:color="000000" w:sz="4" w:space="0"/>
              <w:left w:val="single" w:color="000000" w:sz="4" w:space="0"/>
              <w:bottom w:val="single" w:color="000000" w:sz="4" w:space="0"/>
              <w:right w:val="single" w:color="000000" w:sz="4" w:space="0"/>
            </w:tcBorders>
            <w:vAlign w:val="center"/>
          </w:tcPr>
          <w:p w14:paraId="5AC9F8C9">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3</w:t>
            </w:r>
          </w:p>
        </w:tc>
        <w:tc>
          <w:tcPr>
            <w:tcW w:w="605" w:type="pct"/>
            <w:tcBorders>
              <w:top w:val="single" w:color="000000" w:sz="4" w:space="0"/>
              <w:left w:val="single" w:color="000000" w:sz="4" w:space="0"/>
              <w:bottom w:val="single" w:color="000000" w:sz="4" w:space="0"/>
              <w:right w:val="single" w:color="000000" w:sz="4" w:space="0"/>
            </w:tcBorders>
            <w:vAlign w:val="center"/>
          </w:tcPr>
          <w:p w14:paraId="6B5675A4">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台</w:t>
            </w:r>
          </w:p>
        </w:tc>
        <w:tc>
          <w:tcPr>
            <w:tcW w:w="775" w:type="pct"/>
            <w:tcBorders>
              <w:top w:val="single" w:color="000000" w:sz="4" w:space="0"/>
              <w:left w:val="single" w:color="000000" w:sz="4" w:space="0"/>
              <w:bottom w:val="single" w:color="000000" w:sz="4" w:space="0"/>
              <w:right w:val="single" w:color="000000" w:sz="4" w:space="0"/>
            </w:tcBorders>
            <w:vAlign w:val="center"/>
          </w:tcPr>
          <w:p w14:paraId="08230774">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34</w:t>
            </w:r>
          </w:p>
        </w:tc>
        <w:tc>
          <w:tcPr>
            <w:tcW w:w="775" w:type="pct"/>
            <w:tcBorders>
              <w:top w:val="single" w:color="000000" w:sz="4" w:space="0"/>
              <w:left w:val="single" w:color="000000" w:sz="4" w:space="0"/>
              <w:bottom w:val="single" w:color="000000" w:sz="4" w:space="0"/>
              <w:right w:val="single" w:color="000000" w:sz="4" w:space="0"/>
            </w:tcBorders>
            <w:vAlign w:val="center"/>
          </w:tcPr>
          <w:p w14:paraId="06D6ABDD">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102</w:t>
            </w:r>
          </w:p>
        </w:tc>
        <w:tc>
          <w:tcPr>
            <w:tcW w:w="888" w:type="pct"/>
            <w:vMerge w:val="continue"/>
            <w:tcBorders>
              <w:top w:val="single" w:color="000000" w:sz="4" w:space="0"/>
              <w:left w:val="single" w:color="000000" w:sz="4" w:space="0"/>
              <w:bottom w:val="single" w:color="000000" w:sz="4" w:space="0"/>
              <w:right w:val="single" w:color="000000" w:sz="4" w:space="0"/>
            </w:tcBorders>
            <w:vAlign w:val="center"/>
          </w:tcPr>
          <w:p w14:paraId="4FB88BBA">
            <w:pPr>
              <w:spacing w:line="360" w:lineRule="exact"/>
              <w:jc w:val="center"/>
              <w:rPr>
                <w:rFonts w:hint="eastAsia" w:ascii="宋体" w:hAnsi="宋体" w:cs="宋体"/>
                <w:color w:val="0000FF"/>
                <w:szCs w:val="21"/>
                <w:highlight w:val="none"/>
              </w:rPr>
            </w:pPr>
          </w:p>
        </w:tc>
      </w:tr>
      <w:tr w14:paraId="3FF348F9">
        <w:tblPrEx>
          <w:tblCellMar>
            <w:top w:w="0" w:type="dxa"/>
            <w:left w:w="108" w:type="dxa"/>
            <w:bottom w:w="0" w:type="dxa"/>
            <w:right w:w="108" w:type="dxa"/>
          </w:tblCellMar>
        </w:tblPrEx>
        <w:trPr>
          <w:trHeight w:val="316" w:hRule="atLeast"/>
        </w:trPr>
        <w:tc>
          <w:tcPr>
            <w:tcW w:w="269" w:type="pct"/>
            <w:tcBorders>
              <w:top w:val="single" w:color="000000" w:sz="4" w:space="0"/>
              <w:left w:val="single" w:color="000000" w:sz="4" w:space="0"/>
              <w:bottom w:val="single" w:color="000000" w:sz="4" w:space="0"/>
              <w:right w:val="single" w:color="000000" w:sz="4" w:space="0"/>
            </w:tcBorders>
            <w:vAlign w:val="center"/>
          </w:tcPr>
          <w:p w14:paraId="70F0C2FD">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2.6</w:t>
            </w:r>
          </w:p>
        </w:tc>
        <w:tc>
          <w:tcPr>
            <w:tcW w:w="1114" w:type="pct"/>
            <w:tcBorders>
              <w:top w:val="single" w:color="000000" w:sz="4" w:space="0"/>
              <w:left w:val="single" w:color="000000" w:sz="4" w:space="0"/>
              <w:bottom w:val="single" w:color="000000" w:sz="4" w:space="0"/>
              <w:right w:val="single" w:color="000000" w:sz="4" w:space="0"/>
            </w:tcBorders>
            <w:vAlign w:val="center"/>
          </w:tcPr>
          <w:p w14:paraId="1205B239">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管理节点</w:t>
            </w:r>
          </w:p>
        </w:tc>
        <w:tc>
          <w:tcPr>
            <w:tcW w:w="571" w:type="pct"/>
            <w:tcBorders>
              <w:top w:val="single" w:color="000000" w:sz="4" w:space="0"/>
              <w:left w:val="single" w:color="000000" w:sz="4" w:space="0"/>
              <w:bottom w:val="single" w:color="000000" w:sz="4" w:space="0"/>
              <w:right w:val="single" w:color="000000" w:sz="4" w:space="0"/>
            </w:tcBorders>
            <w:vAlign w:val="center"/>
          </w:tcPr>
          <w:p w14:paraId="7CCF5B15">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3</w:t>
            </w:r>
          </w:p>
        </w:tc>
        <w:tc>
          <w:tcPr>
            <w:tcW w:w="605" w:type="pct"/>
            <w:tcBorders>
              <w:top w:val="single" w:color="000000" w:sz="4" w:space="0"/>
              <w:left w:val="single" w:color="000000" w:sz="4" w:space="0"/>
              <w:bottom w:val="single" w:color="000000" w:sz="4" w:space="0"/>
              <w:right w:val="single" w:color="000000" w:sz="4" w:space="0"/>
            </w:tcBorders>
            <w:vAlign w:val="center"/>
          </w:tcPr>
          <w:p w14:paraId="1B4BE37C">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台</w:t>
            </w:r>
          </w:p>
        </w:tc>
        <w:tc>
          <w:tcPr>
            <w:tcW w:w="775" w:type="pct"/>
            <w:tcBorders>
              <w:top w:val="single" w:color="000000" w:sz="4" w:space="0"/>
              <w:left w:val="single" w:color="000000" w:sz="4" w:space="0"/>
              <w:bottom w:val="single" w:color="000000" w:sz="4" w:space="0"/>
              <w:right w:val="single" w:color="000000" w:sz="4" w:space="0"/>
            </w:tcBorders>
            <w:vAlign w:val="center"/>
          </w:tcPr>
          <w:p w14:paraId="3FB1AA39">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25</w:t>
            </w:r>
          </w:p>
        </w:tc>
        <w:tc>
          <w:tcPr>
            <w:tcW w:w="775" w:type="pct"/>
            <w:tcBorders>
              <w:top w:val="single" w:color="000000" w:sz="4" w:space="0"/>
              <w:left w:val="single" w:color="000000" w:sz="4" w:space="0"/>
              <w:bottom w:val="single" w:color="000000" w:sz="4" w:space="0"/>
              <w:right w:val="single" w:color="000000" w:sz="4" w:space="0"/>
            </w:tcBorders>
            <w:vAlign w:val="center"/>
          </w:tcPr>
          <w:p w14:paraId="6CE091AA">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75</w:t>
            </w:r>
          </w:p>
        </w:tc>
        <w:tc>
          <w:tcPr>
            <w:tcW w:w="888" w:type="pct"/>
            <w:vMerge w:val="continue"/>
            <w:tcBorders>
              <w:top w:val="single" w:color="000000" w:sz="4" w:space="0"/>
              <w:left w:val="single" w:color="000000" w:sz="4" w:space="0"/>
              <w:bottom w:val="single" w:color="000000" w:sz="4" w:space="0"/>
              <w:right w:val="single" w:color="000000" w:sz="4" w:space="0"/>
            </w:tcBorders>
            <w:vAlign w:val="center"/>
          </w:tcPr>
          <w:p w14:paraId="49889018">
            <w:pPr>
              <w:spacing w:line="360" w:lineRule="exact"/>
              <w:jc w:val="center"/>
              <w:rPr>
                <w:rFonts w:hint="eastAsia" w:ascii="宋体" w:hAnsi="宋体" w:cs="宋体"/>
                <w:color w:val="0000FF"/>
                <w:szCs w:val="21"/>
                <w:highlight w:val="none"/>
              </w:rPr>
            </w:pPr>
          </w:p>
        </w:tc>
      </w:tr>
      <w:tr w14:paraId="6CB41D3A">
        <w:tblPrEx>
          <w:tblCellMar>
            <w:top w:w="0" w:type="dxa"/>
            <w:left w:w="108" w:type="dxa"/>
            <w:bottom w:w="0" w:type="dxa"/>
            <w:right w:w="108" w:type="dxa"/>
          </w:tblCellMar>
        </w:tblPrEx>
        <w:trPr>
          <w:trHeight w:val="316" w:hRule="atLeast"/>
        </w:trPr>
        <w:tc>
          <w:tcPr>
            <w:tcW w:w="269" w:type="pct"/>
            <w:tcBorders>
              <w:top w:val="single" w:color="000000" w:sz="4" w:space="0"/>
              <w:left w:val="single" w:color="000000" w:sz="4" w:space="0"/>
              <w:bottom w:val="single" w:color="000000" w:sz="4" w:space="0"/>
              <w:right w:val="single" w:color="000000" w:sz="4" w:space="0"/>
            </w:tcBorders>
            <w:vAlign w:val="center"/>
          </w:tcPr>
          <w:p w14:paraId="6BB85A48">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2.7</w:t>
            </w:r>
          </w:p>
        </w:tc>
        <w:tc>
          <w:tcPr>
            <w:tcW w:w="1114" w:type="pct"/>
            <w:tcBorders>
              <w:top w:val="single" w:color="000000" w:sz="4" w:space="0"/>
              <w:left w:val="single" w:color="000000" w:sz="4" w:space="0"/>
              <w:bottom w:val="single" w:color="000000" w:sz="4" w:space="0"/>
              <w:right w:val="single" w:color="000000" w:sz="4" w:space="0"/>
            </w:tcBorders>
            <w:vAlign w:val="center"/>
          </w:tcPr>
          <w:p w14:paraId="26E9897E">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云管理平台软件</w:t>
            </w:r>
          </w:p>
        </w:tc>
        <w:tc>
          <w:tcPr>
            <w:tcW w:w="571" w:type="pct"/>
            <w:tcBorders>
              <w:top w:val="single" w:color="000000" w:sz="4" w:space="0"/>
              <w:left w:val="single" w:color="000000" w:sz="4" w:space="0"/>
              <w:bottom w:val="single" w:color="000000" w:sz="4" w:space="0"/>
              <w:right w:val="single" w:color="000000" w:sz="4" w:space="0"/>
            </w:tcBorders>
            <w:vAlign w:val="center"/>
          </w:tcPr>
          <w:p w14:paraId="4C6CD33B">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p>
        </w:tc>
        <w:tc>
          <w:tcPr>
            <w:tcW w:w="605" w:type="pct"/>
            <w:tcBorders>
              <w:top w:val="single" w:color="000000" w:sz="4" w:space="0"/>
              <w:left w:val="single" w:color="000000" w:sz="4" w:space="0"/>
              <w:bottom w:val="single" w:color="000000" w:sz="4" w:space="0"/>
              <w:right w:val="single" w:color="000000" w:sz="4" w:space="0"/>
            </w:tcBorders>
            <w:vAlign w:val="center"/>
          </w:tcPr>
          <w:p w14:paraId="153BBFF7">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套</w:t>
            </w:r>
          </w:p>
        </w:tc>
        <w:tc>
          <w:tcPr>
            <w:tcW w:w="775" w:type="pct"/>
            <w:tcBorders>
              <w:top w:val="single" w:color="000000" w:sz="4" w:space="0"/>
              <w:left w:val="single" w:color="000000" w:sz="4" w:space="0"/>
              <w:bottom w:val="single" w:color="000000" w:sz="4" w:space="0"/>
              <w:right w:val="single" w:color="000000" w:sz="4" w:space="0"/>
            </w:tcBorders>
            <w:vAlign w:val="center"/>
          </w:tcPr>
          <w:p w14:paraId="693A28BD">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100</w:t>
            </w:r>
          </w:p>
        </w:tc>
        <w:tc>
          <w:tcPr>
            <w:tcW w:w="775" w:type="pct"/>
            <w:tcBorders>
              <w:top w:val="single" w:color="000000" w:sz="4" w:space="0"/>
              <w:left w:val="single" w:color="000000" w:sz="4" w:space="0"/>
              <w:bottom w:val="single" w:color="000000" w:sz="4" w:space="0"/>
              <w:right w:val="single" w:color="000000" w:sz="4" w:space="0"/>
            </w:tcBorders>
            <w:vAlign w:val="center"/>
          </w:tcPr>
          <w:p w14:paraId="1F6AA09B">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100</w:t>
            </w:r>
          </w:p>
        </w:tc>
        <w:tc>
          <w:tcPr>
            <w:tcW w:w="888" w:type="pct"/>
            <w:vMerge w:val="continue"/>
            <w:tcBorders>
              <w:top w:val="single" w:color="000000" w:sz="4" w:space="0"/>
              <w:left w:val="single" w:color="000000" w:sz="4" w:space="0"/>
              <w:bottom w:val="single" w:color="000000" w:sz="4" w:space="0"/>
              <w:right w:val="single" w:color="000000" w:sz="4" w:space="0"/>
            </w:tcBorders>
            <w:vAlign w:val="center"/>
          </w:tcPr>
          <w:p w14:paraId="341D3E07">
            <w:pPr>
              <w:spacing w:line="360" w:lineRule="exact"/>
              <w:jc w:val="center"/>
              <w:rPr>
                <w:rFonts w:hint="eastAsia" w:ascii="宋体" w:hAnsi="宋体" w:cs="宋体"/>
                <w:color w:val="0000FF"/>
                <w:szCs w:val="21"/>
                <w:highlight w:val="none"/>
              </w:rPr>
            </w:pPr>
          </w:p>
        </w:tc>
      </w:tr>
      <w:tr w14:paraId="4668FA21">
        <w:tblPrEx>
          <w:tblCellMar>
            <w:top w:w="0" w:type="dxa"/>
            <w:left w:w="108" w:type="dxa"/>
            <w:bottom w:w="0" w:type="dxa"/>
            <w:right w:w="108" w:type="dxa"/>
          </w:tblCellMar>
        </w:tblPrEx>
        <w:trPr>
          <w:trHeight w:val="325" w:hRule="atLeast"/>
        </w:trPr>
        <w:tc>
          <w:tcPr>
            <w:tcW w:w="1383" w:type="pct"/>
            <w:gridSpan w:val="2"/>
            <w:tcBorders>
              <w:top w:val="single" w:color="000000" w:sz="4" w:space="0"/>
              <w:left w:val="single" w:color="000000" w:sz="4" w:space="0"/>
              <w:bottom w:val="single" w:color="000000" w:sz="4" w:space="0"/>
              <w:right w:val="single" w:color="000000" w:sz="4" w:space="0"/>
            </w:tcBorders>
            <w:noWrap/>
            <w:vAlign w:val="center"/>
          </w:tcPr>
          <w:p w14:paraId="538AD3BF">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合计</w:t>
            </w:r>
          </w:p>
        </w:tc>
        <w:tc>
          <w:tcPr>
            <w:tcW w:w="571" w:type="pct"/>
            <w:tcBorders>
              <w:top w:val="single" w:color="000000" w:sz="4" w:space="0"/>
              <w:left w:val="single" w:color="000000" w:sz="4" w:space="0"/>
              <w:bottom w:val="single" w:color="000000" w:sz="4" w:space="0"/>
              <w:right w:val="single" w:color="000000" w:sz="4" w:space="0"/>
            </w:tcBorders>
            <w:noWrap/>
            <w:vAlign w:val="center"/>
          </w:tcPr>
          <w:p w14:paraId="1E5CD833">
            <w:pPr>
              <w:widowControl/>
              <w:spacing w:line="360" w:lineRule="exact"/>
              <w:jc w:val="center"/>
              <w:textAlignment w:val="center"/>
              <w:rPr>
                <w:rFonts w:hint="eastAsia" w:ascii="宋体" w:hAnsi="宋体" w:cs="宋体"/>
                <w:color w:val="000000"/>
                <w:kern w:val="0"/>
                <w:szCs w:val="21"/>
                <w:highlight w:val="none"/>
                <w:lang w:bidi="ar"/>
              </w:rPr>
            </w:pPr>
          </w:p>
        </w:tc>
        <w:tc>
          <w:tcPr>
            <w:tcW w:w="605" w:type="pct"/>
            <w:tcBorders>
              <w:top w:val="single" w:color="000000" w:sz="4" w:space="0"/>
              <w:left w:val="single" w:color="000000" w:sz="4" w:space="0"/>
              <w:bottom w:val="single" w:color="000000" w:sz="4" w:space="0"/>
              <w:right w:val="single" w:color="000000" w:sz="4" w:space="0"/>
            </w:tcBorders>
            <w:noWrap/>
            <w:vAlign w:val="center"/>
          </w:tcPr>
          <w:p w14:paraId="190FBD81">
            <w:pPr>
              <w:widowControl/>
              <w:spacing w:line="360" w:lineRule="exact"/>
              <w:jc w:val="center"/>
              <w:textAlignment w:val="center"/>
              <w:rPr>
                <w:rFonts w:hint="eastAsia" w:ascii="宋体" w:hAnsi="宋体" w:cs="宋体"/>
                <w:color w:val="000000"/>
                <w:kern w:val="0"/>
                <w:szCs w:val="21"/>
                <w:highlight w:val="none"/>
                <w:lang w:bidi="ar"/>
              </w:rPr>
            </w:pPr>
          </w:p>
        </w:tc>
        <w:tc>
          <w:tcPr>
            <w:tcW w:w="775" w:type="pct"/>
            <w:tcBorders>
              <w:top w:val="single" w:color="000000" w:sz="4" w:space="0"/>
              <w:left w:val="single" w:color="000000" w:sz="4" w:space="0"/>
              <w:bottom w:val="single" w:color="000000" w:sz="4" w:space="0"/>
              <w:right w:val="single" w:color="000000" w:sz="4" w:space="0"/>
            </w:tcBorders>
            <w:noWrap/>
            <w:vAlign w:val="center"/>
          </w:tcPr>
          <w:p w14:paraId="4FDB398A">
            <w:pPr>
              <w:widowControl/>
              <w:spacing w:line="360" w:lineRule="exact"/>
              <w:jc w:val="center"/>
              <w:textAlignment w:val="center"/>
              <w:rPr>
                <w:rFonts w:hint="eastAsia" w:ascii="宋体" w:hAnsi="宋体" w:cs="宋体"/>
                <w:color w:val="000000"/>
                <w:kern w:val="0"/>
                <w:szCs w:val="21"/>
                <w:highlight w:val="none"/>
                <w:lang w:bidi="ar"/>
              </w:rPr>
            </w:pPr>
          </w:p>
        </w:tc>
        <w:tc>
          <w:tcPr>
            <w:tcW w:w="775" w:type="pct"/>
            <w:tcBorders>
              <w:top w:val="single" w:color="000000" w:sz="4" w:space="0"/>
              <w:left w:val="single" w:color="000000" w:sz="4" w:space="0"/>
              <w:bottom w:val="single" w:color="000000" w:sz="4" w:space="0"/>
              <w:right w:val="single" w:color="000000" w:sz="4" w:space="0"/>
            </w:tcBorders>
            <w:noWrap/>
            <w:vAlign w:val="center"/>
          </w:tcPr>
          <w:p w14:paraId="748F256A">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775</w:t>
            </w:r>
          </w:p>
        </w:tc>
        <w:tc>
          <w:tcPr>
            <w:tcW w:w="888" w:type="pct"/>
            <w:tcBorders>
              <w:top w:val="single" w:color="000000" w:sz="4" w:space="0"/>
              <w:left w:val="single" w:color="000000" w:sz="4" w:space="0"/>
              <w:bottom w:val="single" w:color="000000" w:sz="4" w:space="0"/>
              <w:right w:val="single" w:color="000000" w:sz="4" w:space="0"/>
            </w:tcBorders>
            <w:vAlign w:val="center"/>
          </w:tcPr>
          <w:p w14:paraId="7FB2E510">
            <w:pPr>
              <w:spacing w:line="360" w:lineRule="exact"/>
              <w:rPr>
                <w:rFonts w:hint="eastAsia" w:ascii="宋体" w:hAnsi="宋体" w:cs="宋体"/>
                <w:color w:val="000000"/>
                <w:szCs w:val="21"/>
                <w:highlight w:val="none"/>
              </w:rPr>
            </w:pPr>
          </w:p>
        </w:tc>
      </w:tr>
    </w:tbl>
    <w:p w14:paraId="1EE8C482">
      <w:pPr>
        <w:spacing w:line="360" w:lineRule="exact"/>
        <w:rPr>
          <w:rFonts w:hint="eastAsia" w:ascii="宋体" w:hAnsi="宋体" w:cs="宋体"/>
          <w:szCs w:val="21"/>
          <w:highlight w:val="none"/>
        </w:rPr>
      </w:pPr>
    </w:p>
    <w:p w14:paraId="0DA88E41">
      <w:pPr>
        <w:pStyle w:val="2"/>
        <w:spacing w:line="360" w:lineRule="exact"/>
        <w:outlineLvl w:val="3"/>
        <w:rPr>
          <w:rFonts w:hint="eastAsia" w:ascii="宋体" w:hAnsi="宋体" w:eastAsia="宋体" w:cs="宋体"/>
          <w:b/>
          <w:bCs/>
          <w:sz w:val="21"/>
          <w:szCs w:val="21"/>
          <w:highlight w:val="none"/>
          <w:shd w:val="clear" w:color="auto" w:fill="auto"/>
        </w:rPr>
      </w:pPr>
      <w:r>
        <w:rPr>
          <w:rFonts w:hint="eastAsia" w:ascii="宋体" w:hAnsi="宋体" w:eastAsia="宋体" w:cs="宋体"/>
          <w:b/>
          <w:bCs/>
          <w:sz w:val="21"/>
          <w:szCs w:val="21"/>
          <w:highlight w:val="none"/>
          <w:shd w:val="clear" w:color="auto" w:fill="auto"/>
        </w:rPr>
        <w:t>1-2中标企业自筹</w:t>
      </w:r>
    </w:p>
    <w:tbl>
      <w:tblPr>
        <w:tblStyle w:val="31"/>
        <w:tblW w:w="4995" w:type="pct"/>
        <w:tblInd w:w="0" w:type="dxa"/>
        <w:tblLayout w:type="autofit"/>
        <w:tblCellMar>
          <w:top w:w="0" w:type="dxa"/>
          <w:left w:w="108" w:type="dxa"/>
          <w:bottom w:w="0" w:type="dxa"/>
          <w:right w:w="108" w:type="dxa"/>
        </w:tblCellMar>
      </w:tblPr>
      <w:tblGrid>
        <w:gridCol w:w="741"/>
        <w:gridCol w:w="2095"/>
        <w:gridCol w:w="1235"/>
        <w:gridCol w:w="1235"/>
        <w:gridCol w:w="1235"/>
        <w:gridCol w:w="1235"/>
        <w:gridCol w:w="2068"/>
      </w:tblGrid>
      <w:tr w14:paraId="31BF1299">
        <w:tblPrEx>
          <w:tblCellMar>
            <w:top w:w="0" w:type="dxa"/>
            <w:left w:w="108" w:type="dxa"/>
            <w:bottom w:w="0" w:type="dxa"/>
            <w:right w:w="108" w:type="dxa"/>
          </w:tblCellMar>
        </w:tblPrEx>
        <w:trPr>
          <w:trHeight w:val="324" w:hRule="atLeast"/>
        </w:trPr>
        <w:tc>
          <w:tcPr>
            <w:tcW w:w="376"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74A51CD2">
            <w:pPr>
              <w:widowControl/>
              <w:spacing w:line="360" w:lineRule="exact"/>
              <w:jc w:val="center"/>
              <w:textAlignment w:val="center"/>
              <w:rPr>
                <w:rFonts w:hint="eastAsia" w:ascii="宋体" w:hAnsi="宋体" w:cs="宋体"/>
                <w:b/>
                <w:bCs/>
                <w:color w:val="000000"/>
                <w:szCs w:val="21"/>
                <w:highlight w:val="none"/>
              </w:rPr>
            </w:pPr>
            <w:r>
              <w:rPr>
                <w:rFonts w:hint="eastAsia" w:ascii="宋体" w:hAnsi="宋体" w:cs="宋体"/>
                <w:b/>
                <w:bCs/>
                <w:color w:val="000000"/>
                <w:kern w:val="0"/>
                <w:szCs w:val="21"/>
                <w:highlight w:val="none"/>
                <w:lang w:bidi="ar"/>
              </w:rPr>
              <w:t>序号</w:t>
            </w:r>
          </w:p>
        </w:tc>
        <w:tc>
          <w:tcPr>
            <w:tcW w:w="1064"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2FC0F320">
            <w:pPr>
              <w:widowControl/>
              <w:spacing w:line="360" w:lineRule="exact"/>
              <w:jc w:val="center"/>
              <w:textAlignment w:val="center"/>
              <w:rPr>
                <w:rFonts w:hint="eastAsia" w:ascii="宋体" w:hAnsi="宋体" w:cs="宋体"/>
                <w:b/>
                <w:bCs/>
                <w:color w:val="000000"/>
                <w:szCs w:val="21"/>
                <w:highlight w:val="none"/>
              </w:rPr>
            </w:pPr>
            <w:r>
              <w:rPr>
                <w:rFonts w:hint="eastAsia" w:ascii="宋体" w:hAnsi="宋体" w:cs="宋体"/>
                <w:b/>
                <w:bCs/>
                <w:color w:val="000000"/>
                <w:kern w:val="0"/>
                <w:szCs w:val="21"/>
                <w:highlight w:val="none"/>
                <w:lang w:bidi="ar"/>
              </w:rPr>
              <w:t>项目名称</w:t>
            </w:r>
          </w:p>
        </w:tc>
        <w:tc>
          <w:tcPr>
            <w:tcW w:w="627"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7224280E">
            <w:pPr>
              <w:widowControl/>
              <w:jc w:val="center"/>
              <w:textAlignment w:val="center"/>
              <w:rPr>
                <w:rFonts w:hint="eastAsia" w:ascii="宋体" w:hAnsi="宋体" w:cs="宋体"/>
                <w:b/>
                <w:bCs/>
                <w:color w:val="000000"/>
                <w:kern w:val="0"/>
                <w:szCs w:val="21"/>
                <w:highlight w:val="none"/>
                <w:lang w:bidi="ar"/>
              </w:rPr>
            </w:pPr>
            <w:r>
              <w:rPr>
                <w:rFonts w:hint="eastAsia" w:ascii="宋体" w:hAnsi="宋体" w:cs="宋体"/>
                <w:b/>
                <w:bCs/>
                <w:color w:val="000000"/>
                <w:kern w:val="0"/>
                <w:sz w:val="22"/>
                <w:szCs w:val="22"/>
                <w:highlight w:val="none"/>
                <w:lang w:bidi="ar"/>
              </w:rPr>
              <w:t>数量</w:t>
            </w:r>
          </w:p>
        </w:tc>
        <w:tc>
          <w:tcPr>
            <w:tcW w:w="627"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26500264">
            <w:pPr>
              <w:widowControl/>
              <w:jc w:val="center"/>
              <w:textAlignment w:val="center"/>
              <w:rPr>
                <w:rFonts w:hint="eastAsia" w:ascii="宋体" w:hAnsi="宋体" w:cs="宋体"/>
                <w:b/>
                <w:bCs/>
                <w:color w:val="000000"/>
                <w:kern w:val="0"/>
                <w:szCs w:val="21"/>
                <w:highlight w:val="none"/>
                <w:lang w:bidi="ar"/>
              </w:rPr>
            </w:pPr>
            <w:r>
              <w:rPr>
                <w:rFonts w:hint="eastAsia" w:ascii="宋体" w:hAnsi="宋体" w:cs="宋体"/>
                <w:b/>
                <w:bCs/>
                <w:color w:val="000000"/>
                <w:kern w:val="0"/>
                <w:sz w:val="22"/>
                <w:szCs w:val="22"/>
                <w:highlight w:val="none"/>
                <w:lang w:bidi="ar"/>
              </w:rPr>
              <w:t>单位</w:t>
            </w:r>
          </w:p>
        </w:tc>
        <w:tc>
          <w:tcPr>
            <w:tcW w:w="627"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2B724049">
            <w:pPr>
              <w:widowControl/>
              <w:jc w:val="center"/>
              <w:textAlignment w:val="center"/>
              <w:rPr>
                <w:rFonts w:hint="eastAsia" w:ascii="宋体" w:hAnsi="宋体" w:cs="宋体"/>
                <w:b/>
                <w:bCs/>
                <w:color w:val="000000"/>
                <w:kern w:val="0"/>
                <w:szCs w:val="21"/>
                <w:highlight w:val="none"/>
                <w:lang w:bidi="ar"/>
              </w:rPr>
            </w:pPr>
            <w:r>
              <w:rPr>
                <w:rFonts w:hint="eastAsia" w:ascii="宋体" w:hAnsi="宋体" w:cs="宋体"/>
                <w:b/>
                <w:bCs/>
                <w:color w:val="000000"/>
                <w:kern w:val="0"/>
                <w:sz w:val="22"/>
                <w:szCs w:val="22"/>
                <w:highlight w:val="none"/>
                <w:lang w:val="en-US" w:eastAsia="zh-CN" w:bidi="ar"/>
              </w:rPr>
              <w:t>预算</w:t>
            </w:r>
            <w:r>
              <w:rPr>
                <w:rFonts w:hint="eastAsia" w:ascii="宋体" w:hAnsi="宋体" w:cs="宋体"/>
                <w:b/>
                <w:bCs/>
                <w:color w:val="000000"/>
                <w:kern w:val="0"/>
                <w:sz w:val="22"/>
                <w:szCs w:val="22"/>
                <w:highlight w:val="none"/>
                <w:lang w:bidi="ar"/>
              </w:rPr>
              <w:t>单价（含税价/万元）</w:t>
            </w:r>
          </w:p>
        </w:tc>
        <w:tc>
          <w:tcPr>
            <w:tcW w:w="627"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2F4AD8D3">
            <w:pPr>
              <w:widowControl/>
              <w:jc w:val="center"/>
              <w:textAlignment w:val="center"/>
              <w:rPr>
                <w:rFonts w:hint="eastAsia" w:ascii="宋体" w:hAnsi="宋体" w:cs="宋体"/>
                <w:b/>
                <w:bCs/>
                <w:color w:val="000000"/>
                <w:szCs w:val="21"/>
                <w:highlight w:val="none"/>
              </w:rPr>
            </w:pPr>
            <w:r>
              <w:rPr>
                <w:rFonts w:hint="eastAsia" w:ascii="宋体" w:hAnsi="宋体" w:cs="宋体"/>
                <w:b/>
                <w:bCs/>
                <w:color w:val="000000"/>
                <w:kern w:val="0"/>
                <w:sz w:val="22"/>
                <w:szCs w:val="22"/>
                <w:highlight w:val="none"/>
                <w:lang w:val="en-US" w:eastAsia="zh-CN" w:bidi="ar"/>
              </w:rPr>
              <w:t>预算</w:t>
            </w:r>
            <w:r>
              <w:rPr>
                <w:rFonts w:hint="eastAsia" w:ascii="宋体" w:hAnsi="宋体" w:cs="宋体"/>
                <w:b/>
                <w:bCs/>
                <w:color w:val="000000"/>
                <w:kern w:val="0"/>
                <w:sz w:val="22"/>
                <w:szCs w:val="22"/>
                <w:highlight w:val="none"/>
                <w:lang w:bidi="ar"/>
              </w:rPr>
              <w:t>总价（含税价/万元）</w:t>
            </w:r>
          </w:p>
        </w:tc>
        <w:tc>
          <w:tcPr>
            <w:tcW w:w="1050"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7470A48A">
            <w:pPr>
              <w:widowControl/>
              <w:spacing w:line="360" w:lineRule="exact"/>
              <w:jc w:val="center"/>
              <w:textAlignment w:val="center"/>
              <w:rPr>
                <w:rFonts w:hint="eastAsia" w:ascii="宋体" w:hAnsi="宋体" w:cs="宋体"/>
                <w:b/>
                <w:bCs/>
                <w:color w:val="000000"/>
                <w:szCs w:val="21"/>
                <w:highlight w:val="none"/>
              </w:rPr>
            </w:pPr>
            <w:r>
              <w:rPr>
                <w:rFonts w:hint="eastAsia" w:ascii="宋体" w:hAnsi="宋体" w:cs="宋体"/>
                <w:b/>
                <w:bCs/>
                <w:color w:val="000000"/>
                <w:kern w:val="0"/>
                <w:szCs w:val="21"/>
                <w:highlight w:val="none"/>
                <w:lang w:bidi="ar"/>
              </w:rPr>
              <w:t>备注</w:t>
            </w:r>
          </w:p>
        </w:tc>
      </w:tr>
      <w:tr w14:paraId="41338E3B">
        <w:tblPrEx>
          <w:tblCellMar>
            <w:top w:w="0" w:type="dxa"/>
            <w:left w:w="108" w:type="dxa"/>
            <w:bottom w:w="0" w:type="dxa"/>
            <w:right w:w="108" w:type="dxa"/>
          </w:tblCellMar>
        </w:tblPrEx>
        <w:trPr>
          <w:trHeight w:val="312" w:hRule="atLeast"/>
        </w:trPr>
        <w:tc>
          <w:tcPr>
            <w:tcW w:w="376" w:type="pct"/>
            <w:tcBorders>
              <w:top w:val="single" w:color="000000" w:sz="4" w:space="0"/>
              <w:left w:val="single" w:color="000000" w:sz="4" w:space="0"/>
              <w:bottom w:val="single" w:color="000000" w:sz="4" w:space="0"/>
              <w:right w:val="single" w:color="000000" w:sz="4" w:space="0"/>
            </w:tcBorders>
            <w:vAlign w:val="center"/>
          </w:tcPr>
          <w:p w14:paraId="71C0A146">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一</w:t>
            </w:r>
          </w:p>
        </w:tc>
        <w:tc>
          <w:tcPr>
            <w:tcW w:w="1064" w:type="pct"/>
            <w:tcBorders>
              <w:top w:val="single" w:color="000000" w:sz="4" w:space="0"/>
              <w:left w:val="single" w:color="000000" w:sz="4" w:space="0"/>
              <w:bottom w:val="single" w:color="000000" w:sz="4" w:space="0"/>
              <w:right w:val="single" w:color="000000" w:sz="4" w:space="0"/>
            </w:tcBorders>
            <w:vAlign w:val="center"/>
          </w:tcPr>
          <w:p w14:paraId="0563DE00">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建设费用</w:t>
            </w:r>
          </w:p>
        </w:tc>
        <w:tc>
          <w:tcPr>
            <w:tcW w:w="627" w:type="pct"/>
            <w:tcBorders>
              <w:top w:val="single" w:color="000000" w:sz="4" w:space="0"/>
              <w:left w:val="single" w:color="000000" w:sz="4" w:space="0"/>
              <w:bottom w:val="single" w:color="000000" w:sz="4" w:space="0"/>
              <w:right w:val="single" w:color="000000" w:sz="4" w:space="0"/>
            </w:tcBorders>
            <w:vAlign w:val="center"/>
          </w:tcPr>
          <w:p w14:paraId="41C35805">
            <w:pPr>
              <w:widowControl/>
              <w:spacing w:line="360" w:lineRule="exact"/>
              <w:jc w:val="center"/>
              <w:textAlignment w:val="center"/>
              <w:rPr>
                <w:rFonts w:hint="eastAsia" w:ascii="宋体" w:hAnsi="宋体" w:cs="宋体"/>
                <w:color w:val="000000"/>
                <w:kern w:val="0"/>
                <w:szCs w:val="21"/>
                <w:highlight w:val="none"/>
                <w:lang w:bidi="ar"/>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149C93D4">
            <w:pPr>
              <w:widowControl/>
              <w:spacing w:line="360" w:lineRule="exact"/>
              <w:jc w:val="center"/>
              <w:textAlignment w:val="center"/>
              <w:rPr>
                <w:rFonts w:hint="eastAsia" w:ascii="宋体" w:hAnsi="宋体" w:cs="宋体"/>
                <w:color w:val="000000"/>
                <w:kern w:val="0"/>
                <w:szCs w:val="21"/>
                <w:highlight w:val="none"/>
                <w:lang w:bidi="ar"/>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0FCE43F5">
            <w:pPr>
              <w:widowControl/>
              <w:spacing w:line="360" w:lineRule="exact"/>
              <w:jc w:val="center"/>
              <w:textAlignment w:val="center"/>
              <w:rPr>
                <w:rFonts w:hint="eastAsia" w:ascii="宋体" w:hAnsi="宋体" w:cs="宋体"/>
                <w:color w:val="000000"/>
                <w:kern w:val="0"/>
                <w:szCs w:val="21"/>
                <w:highlight w:val="none"/>
                <w:lang w:bidi="ar"/>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78B93D1E">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2114</w:t>
            </w:r>
          </w:p>
        </w:tc>
        <w:tc>
          <w:tcPr>
            <w:tcW w:w="1050" w:type="pct"/>
            <w:vMerge w:val="restart"/>
            <w:tcBorders>
              <w:top w:val="single" w:color="000000" w:sz="4" w:space="0"/>
              <w:left w:val="single" w:color="000000" w:sz="4" w:space="0"/>
              <w:right w:val="single" w:color="000000" w:sz="4" w:space="0"/>
            </w:tcBorders>
            <w:vAlign w:val="center"/>
          </w:tcPr>
          <w:p w14:paraId="4EFC5104">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该部分金额为项目投资概算金额，中标人须自筹，采购人授予中标人平台为期5年的运营经营权，中标人通过平台合规运营获取收益，自负盈亏，用以回收其自筹投入资金。不作为竞争费用，报价时不作调整。</w:t>
            </w:r>
          </w:p>
        </w:tc>
      </w:tr>
      <w:tr w14:paraId="3D1611E9">
        <w:tblPrEx>
          <w:tblCellMar>
            <w:top w:w="0" w:type="dxa"/>
            <w:left w:w="108" w:type="dxa"/>
            <w:bottom w:w="0" w:type="dxa"/>
            <w:right w:w="108" w:type="dxa"/>
          </w:tblCellMar>
        </w:tblPrEx>
        <w:trPr>
          <w:trHeight w:val="312" w:hRule="atLeast"/>
        </w:trPr>
        <w:tc>
          <w:tcPr>
            <w:tcW w:w="376" w:type="pct"/>
            <w:tcBorders>
              <w:top w:val="single" w:color="000000" w:sz="4" w:space="0"/>
              <w:left w:val="single" w:color="000000" w:sz="4" w:space="0"/>
              <w:bottom w:val="single" w:color="000000" w:sz="4" w:space="0"/>
              <w:right w:val="single" w:color="000000" w:sz="4" w:space="0"/>
            </w:tcBorders>
            <w:vAlign w:val="center"/>
          </w:tcPr>
          <w:p w14:paraId="2C5CC7D8">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w:t>
            </w:r>
          </w:p>
        </w:tc>
        <w:tc>
          <w:tcPr>
            <w:tcW w:w="1064" w:type="pct"/>
            <w:tcBorders>
              <w:top w:val="single" w:color="000000" w:sz="4" w:space="0"/>
              <w:left w:val="single" w:color="000000" w:sz="4" w:space="0"/>
              <w:bottom w:val="single" w:color="000000" w:sz="4" w:space="0"/>
              <w:right w:val="single" w:color="000000" w:sz="4" w:space="0"/>
            </w:tcBorders>
            <w:vAlign w:val="center"/>
          </w:tcPr>
          <w:p w14:paraId="6AC9BE8B">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数据资产全过程管理平台</w:t>
            </w:r>
          </w:p>
        </w:tc>
        <w:tc>
          <w:tcPr>
            <w:tcW w:w="627" w:type="pct"/>
            <w:tcBorders>
              <w:top w:val="single" w:color="000000" w:sz="4" w:space="0"/>
              <w:left w:val="single" w:color="000000" w:sz="4" w:space="0"/>
              <w:bottom w:val="single" w:color="000000" w:sz="4" w:space="0"/>
              <w:right w:val="single" w:color="000000" w:sz="4" w:space="0"/>
            </w:tcBorders>
            <w:vAlign w:val="center"/>
          </w:tcPr>
          <w:p w14:paraId="615ECD29">
            <w:pPr>
              <w:widowControl/>
              <w:spacing w:line="360" w:lineRule="exact"/>
              <w:jc w:val="center"/>
              <w:textAlignment w:val="center"/>
              <w:rPr>
                <w:rFonts w:hint="eastAsia" w:ascii="宋体" w:hAnsi="宋体" w:cs="宋体"/>
                <w:color w:val="000000"/>
                <w:kern w:val="0"/>
                <w:szCs w:val="21"/>
                <w:highlight w:val="none"/>
                <w:lang w:bidi="ar"/>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54AD6F39">
            <w:pPr>
              <w:widowControl/>
              <w:spacing w:line="360" w:lineRule="exact"/>
              <w:jc w:val="center"/>
              <w:textAlignment w:val="center"/>
              <w:rPr>
                <w:rFonts w:hint="eastAsia" w:ascii="宋体" w:hAnsi="宋体" w:cs="宋体"/>
                <w:color w:val="000000"/>
                <w:kern w:val="0"/>
                <w:szCs w:val="21"/>
                <w:highlight w:val="none"/>
                <w:lang w:bidi="ar"/>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17DF18CB">
            <w:pPr>
              <w:widowControl/>
              <w:spacing w:line="360" w:lineRule="exact"/>
              <w:jc w:val="center"/>
              <w:textAlignment w:val="center"/>
              <w:rPr>
                <w:rFonts w:hint="eastAsia" w:ascii="宋体" w:hAnsi="宋体" w:cs="宋体"/>
                <w:color w:val="000000"/>
                <w:kern w:val="0"/>
                <w:szCs w:val="21"/>
                <w:highlight w:val="none"/>
                <w:lang w:bidi="ar"/>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46AAAEF0">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2114</w:t>
            </w:r>
          </w:p>
        </w:tc>
        <w:tc>
          <w:tcPr>
            <w:tcW w:w="1050" w:type="pct"/>
            <w:vMerge w:val="continue"/>
            <w:tcBorders>
              <w:left w:val="single" w:color="000000" w:sz="4" w:space="0"/>
              <w:right w:val="single" w:color="000000" w:sz="4" w:space="0"/>
            </w:tcBorders>
            <w:vAlign w:val="center"/>
          </w:tcPr>
          <w:p w14:paraId="5D0C985A">
            <w:pPr>
              <w:widowControl/>
              <w:spacing w:line="360" w:lineRule="exact"/>
              <w:jc w:val="center"/>
              <w:textAlignment w:val="center"/>
              <w:rPr>
                <w:rFonts w:hint="eastAsia" w:ascii="宋体" w:hAnsi="宋体" w:cs="宋体"/>
                <w:color w:val="000000"/>
                <w:szCs w:val="21"/>
                <w:highlight w:val="none"/>
              </w:rPr>
            </w:pPr>
          </w:p>
        </w:tc>
      </w:tr>
      <w:tr w14:paraId="23C1B553">
        <w:tblPrEx>
          <w:tblCellMar>
            <w:top w:w="0" w:type="dxa"/>
            <w:left w:w="108" w:type="dxa"/>
            <w:bottom w:w="0" w:type="dxa"/>
            <w:right w:w="108" w:type="dxa"/>
          </w:tblCellMar>
        </w:tblPrEx>
        <w:trPr>
          <w:trHeight w:val="312" w:hRule="atLeast"/>
        </w:trPr>
        <w:tc>
          <w:tcPr>
            <w:tcW w:w="376" w:type="pct"/>
            <w:tcBorders>
              <w:top w:val="single" w:color="000000" w:sz="4" w:space="0"/>
              <w:left w:val="single" w:color="000000" w:sz="4" w:space="0"/>
              <w:bottom w:val="single" w:color="000000" w:sz="4" w:space="0"/>
              <w:right w:val="single" w:color="000000" w:sz="4" w:space="0"/>
            </w:tcBorders>
            <w:vAlign w:val="center"/>
          </w:tcPr>
          <w:p w14:paraId="046E2F15">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1.1</w:t>
            </w:r>
          </w:p>
        </w:tc>
        <w:tc>
          <w:tcPr>
            <w:tcW w:w="1064" w:type="pct"/>
            <w:tcBorders>
              <w:top w:val="single" w:color="000000" w:sz="4" w:space="0"/>
              <w:left w:val="single" w:color="000000" w:sz="4" w:space="0"/>
              <w:bottom w:val="single" w:color="000000" w:sz="4" w:space="0"/>
              <w:right w:val="single" w:color="000000" w:sz="4" w:space="0"/>
            </w:tcBorders>
            <w:vAlign w:val="center"/>
          </w:tcPr>
          <w:p w14:paraId="34396980">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数据资产管理系统</w:t>
            </w:r>
          </w:p>
        </w:tc>
        <w:tc>
          <w:tcPr>
            <w:tcW w:w="627" w:type="pct"/>
            <w:tcBorders>
              <w:top w:val="single" w:color="000000" w:sz="4" w:space="0"/>
              <w:left w:val="single" w:color="000000" w:sz="4" w:space="0"/>
              <w:bottom w:val="single" w:color="000000" w:sz="4" w:space="0"/>
              <w:right w:val="single" w:color="000000" w:sz="4" w:space="0"/>
            </w:tcBorders>
            <w:vAlign w:val="center"/>
          </w:tcPr>
          <w:p w14:paraId="4E421FF7">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p>
        </w:tc>
        <w:tc>
          <w:tcPr>
            <w:tcW w:w="627" w:type="pct"/>
            <w:tcBorders>
              <w:top w:val="single" w:color="000000" w:sz="4" w:space="0"/>
              <w:left w:val="single" w:color="000000" w:sz="4" w:space="0"/>
              <w:bottom w:val="single" w:color="000000" w:sz="4" w:space="0"/>
              <w:right w:val="single" w:color="000000" w:sz="4" w:space="0"/>
            </w:tcBorders>
            <w:vAlign w:val="center"/>
          </w:tcPr>
          <w:p w14:paraId="70C88611">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套</w:t>
            </w:r>
          </w:p>
        </w:tc>
        <w:tc>
          <w:tcPr>
            <w:tcW w:w="627" w:type="pct"/>
            <w:tcBorders>
              <w:top w:val="single" w:color="000000" w:sz="4" w:space="0"/>
              <w:left w:val="single" w:color="000000" w:sz="4" w:space="0"/>
              <w:bottom w:val="single" w:color="000000" w:sz="4" w:space="0"/>
              <w:right w:val="single" w:color="000000" w:sz="4" w:space="0"/>
            </w:tcBorders>
            <w:vAlign w:val="center"/>
          </w:tcPr>
          <w:p w14:paraId="6875174D">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213</w:t>
            </w:r>
          </w:p>
        </w:tc>
        <w:tc>
          <w:tcPr>
            <w:tcW w:w="627" w:type="pct"/>
            <w:tcBorders>
              <w:top w:val="single" w:color="000000" w:sz="4" w:space="0"/>
              <w:left w:val="single" w:color="000000" w:sz="4" w:space="0"/>
              <w:bottom w:val="single" w:color="000000" w:sz="4" w:space="0"/>
              <w:right w:val="single" w:color="000000" w:sz="4" w:space="0"/>
            </w:tcBorders>
            <w:vAlign w:val="center"/>
          </w:tcPr>
          <w:p w14:paraId="331DEBE4">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213</w:t>
            </w:r>
          </w:p>
        </w:tc>
        <w:tc>
          <w:tcPr>
            <w:tcW w:w="1050" w:type="pct"/>
            <w:vMerge w:val="continue"/>
            <w:tcBorders>
              <w:left w:val="single" w:color="000000" w:sz="4" w:space="0"/>
              <w:right w:val="single" w:color="000000" w:sz="4" w:space="0"/>
            </w:tcBorders>
            <w:vAlign w:val="center"/>
          </w:tcPr>
          <w:p w14:paraId="3757B062">
            <w:pPr>
              <w:spacing w:line="360" w:lineRule="exact"/>
              <w:jc w:val="center"/>
              <w:rPr>
                <w:rFonts w:hint="eastAsia" w:ascii="宋体" w:hAnsi="宋体" w:cs="宋体"/>
                <w:color w:val="000000"/>
                <w:szCs w:val="21"/>
                <w:highlight w:val="none"/>
              </w:rPr>
            </w:pPr>
          </w:p>
        </w:tc>
      </w:tr>
      <w:tr w14:paraId="515154FA">
        <w:tblPrEx>
          <w:tblCellMar>
            <w:top w:w="0" w:type="dxa"/>
            <w:left w:w="108" w:type="dxa"/>
            <w:bottom w:w="0" w:type="dxa"/>
            <w:right w:w="108" w:type="dxa"/>
          </w:tblCellMar>
        </w:tblPrEx>
        <w:trPr>
          <w:trHeight w:val="312" w:hRule="atLeast"/>
        </w:trPr>
        <w:tc>
          <w:tcPr>
            <w:tcW w:w="376" w:type="pct"/>
            <w:tcBorders>
              <w:top w:val="single" w:color="000000" w:sz="4" w:space="0"/>
              <w:left w:val="single" w:color="000000" w:sz="4" w:space="0"/>
              <w:bottom w:val="single" w:color="000000" w:sz="4" w:space="0"/>
              <w:right w:val="single" w:color="000000" w:sz="4" w:space="0"/>
            </w:tcBorders>
            <w:vAlign w:val="center"/>
          </w:tcPr>
          <w:p w14:paraId="4E1607B9">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1.2</w:t>
            </w:r>
          </w:p>
        </w:tc>
        <w:tc>
          <w:tcPr>
            <w:tcW w:w="1064" w:type="pct"/>
            <w:tcBorders>
              <w:top w:val="single" w:color="000000" w:sz="4" w:space="0"/>
              <w:left w:val="single" w:color="000000" w:sz="4" w:space="0"/>
              <w:bottom w:val="single" w:color="000000" w:sz="4" w:space="0"/>
              <w:right w:val="single" w:color="000000" w:sz="4" w:space="0"/>
            </w:tcBorders>
            <w:vAlign w:val="center"/>
          </w:tcPr>
          <w:p w14:paraId="05684F9E">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AI数据开发利用系统</w:t>
            </w:r>
          </w:p>
        </w:tc>
        <w:tc>
          <w:tcPr>
            <w:tcW w:w="627" w:type="pct"/>
            <w:tcBorders>
              <w:top w:val="single" w:color="000000" w:sz="4" w:space="0"/>
              <w:left w:val="single" w:color="000000" w:sz="4" w:space="0"/>
              <w:bottom w:val="single" w:color="000000" w:sz="4" w:space="0"/>
              <w:right w:val="single" w:color="000000" w:sz="4" w:space="0"/>
            </w:tcBorders>
            <w:vAlign w:val="center"/>
          </w:tcPr>
          <w:p w14:paraId="1A855EDD">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p>
        </w:tc>
        <w:tc>
          <w:tcPr>
            <w:tcW w:w="627" w:type="pct"/>
            <w:tcBorders>
              <w:top w:val="single" w:color="000000" w:sz="4" w:space="0"/>
              <w:left w:val="single" w:color="000000" w:sz="4" w:space="0"/>
              <w:bottom w:val="single" w:color="000000" w:sz="4" w:space="0"/>
              <w:right w:val="single" w:color="000000" w:sz="4" w:space="0"/>
            </w:tcBorders>
            <w:vAlign w:val="center"/>
          </w:tcPr>
          <w:p w14:paraId="2BC9F286">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套</w:t>
            </w:r>
          </w:p>
        </w:tc>
        <w:tc>
          <w:tcPr>
            <w:tcW w:w="627" w:type="pct"/>
            <w:tcBorders>
              <w:top w:val="single" w:color="000000" w:sz="4" w:space="0"/>
              <w:left w:val="single" w:color="000000" w:sz="4" w:space="0"/>
              <w:bottom w:val="single" w:color="000000" w:sz="4" w:space="0"/>
              <w:right w:val="single" w:color="000000" w:sz="4" w:space="0"/>
            </w:tcBorders>
            <w:vAlign w:val="center"/>
          </w:tcPr>
          <w:p w14:paraId="7EC7FC96">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150</w:t>
            </w:r>
          </w:p>
        </w:tc>
        <w:tc>
          <w:tcPr>
            <w:tcW w:w="627" w:type="pct"/>
            <w:tcBorders>
              <w:top w:val="single" w:color="000000" w:sz="4" w:space="0"/>
              <w:left w:val="single" w:color="000000" w:sz="4" w:space="0"/>
              <w:bottom w:val="single" w:color="000000" w:sz="4" w:space="0"/>
              <w:right w:val="single" w:color="000000" w:sz="4" w:space="0"/>
            </w:tcBorders>
            <w:vAlign w:val="center"/>
          </w:tcPr>
          <w:p w14:paraId="4051DC66">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150</w:t>
            </w:r>
          </w:p>
        </w:tc>
        <w:tc>
          <w:tcPr>
            <w:tcW w:w="1050" w:type="pct"/>
            <w:vMerge w:val="continue"/>
            <w:tcBorders>
              <w:left w:val="single" w:color="000000" w:sz="4" w:space="0"/>
              <w:right w:val="single" w:color="000000" w:sz="4" w:space="0"/>
            </w:tcBorders>
            <w:vAlign w:val="center"/>
          </w:tcPr>
          <w:p w14:paraId="5049E3EF">
            <w:pPr>
              <w:spacing w:line="360" w:lineRule="exact"/>
              <w:jc w:val="center"/>
              <w:rPr>
                <w:rFonts w:hint="eastAsia" w:ascii="宋体" w:hAnsi="宋体" w:cs="宋体"/>
                <w:color w:val="000000"/>
                <w:szCs w:val="21"/>
                <w:highlight w:val="none"/>
              </w:rPr>
            </w:pPr>
          </w:p>
        </w:tc>
      </w:tr>
      <w:tr w14:paraId="500135C8">
        <w:tblPrEx>
          <w:tblCellMar>
            <w:top w:w="0" w:type="dxa"/>
            <w:left w:w="108" w:type="dxa"/>
            <w:bottom w:w="0" w:type="dxa"/>
            <w:right w:w="108" w:type="dxa"/>
          </w:tblCellMar>
        </w:tblPrEx>
        <w:trPr>
          <w:trHeight w:val="312" w:hRule="atLeast"/>
        </w:trPr>
        <w:tc>
          <w:tcPr>
            <w:tcW w:w="376" w:type="pct"/>
            <w:tcBorders>
              <w:top w:val="single" w:color="000000" w:sz="4" w:space="0"/>
              <w:left w:val="single" w:color="000000" w:sz="4" w:space="0"/>
              <w:bottom w:val="single" w:color="000000" w:sz="4" w:space="0"/>
              <w:right w:val="single" w:color="000000" w:sz="4" w:space="0"/>
            </w:tcBorders>
            <w:vAlign w:val="center"/>
          </w:tcPr>
          <w:p w14:paraId="1F2F6BC3">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1.3</w:t>
            </w:r>
          </w:p>
        </w:tc>
        <w:tc>
          <w:tcPr>
            <w:tcW w:w="1064" w:type="pct"/>
            <w:tcBorders>
              <w:top w:val="single" w:color="000000" w:sz="4" w:space="0"/>
              <w:left w:val="single" w:color="000000" w:sz="4" w:space="0"/>
              <w:bottom w:val="single" w:color="000000" w:sz="4" w:space="0"/>
              <w:right w:val="single" w:color="000000" w:sz="4" w:space="0"/>
            </w:tcBorders>
            <w:vAlign w:val="center"/>
          </w:tcPr>
          <w:p w14:paraId="44C1FAAD">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数据交易流通平台</w:t>
            </w:r>
          </w:p>
        </w:tc>
        <w:tc>
          <w:tcPr>
            <w:tcW w:w="627" w:type="pct"/>
            <w:tcBorders>
              <w:top w:val="single" w:color="000000" w:sz="4" w:space="0"/>
              <w:left w:val="single" w:color="000000" w:sz="4" w:space="0"/>
              <w:bottom w:val="single" w:color="000000" w:sz="4" w:space="0"/>
              <w:right w:val="single" w:color="000000" w:sz="4" w:space="0"/>
            </w:tcBorders>
            <w:vAlign w:val="center"/>
          </w:tcPr>
          <w:p w14:paraId="24C5C8C3">
            <w:pPr>
              <w:widowControl/>
              <w:spacing w:line="360" w:lineRule="exact"/>
              <w:jc w:val="center"/>
              <w:textAlignment w:val="center"/>
              <w:rPr>
                <w:rFonts w:hint="eastAsia" w:ascii="宋体" w:hAnsi="宋体" w:cs="宋体"/>
                <w:color w:val="000000"/>
                <w:kern w:val="0"/>
                <w:szCs w:val="21"/>
                <w:highlight w:val="none"/>
                <w:lang w:bidi="ar"/>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60742880">
            <w:pPr>
              <w:widowControl/>
              <w:spacing w:line="360" w:lineRule="exact"/>
              <w:jc w:val="center"/>
              <w:textAlignment w:val="center"/>
              <w:rPr>
                <w:rFonts w:hint="eastAsia" w:ascii="宋体" w:hAnsi="宋体" w:cs="宋体"/>
                <w:color w:val="000000"/>
                <w:kern w:val="0"/>
                <w:szCs w:val="21"/>
                <w:highlight w:val="none"/>
                <w:lang w:bidi="ar"/>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271034D6">
            <w:pPr>
              <w:widowControl/>
              <w:spacing w:line="360" w:lineRule="exact"/>
              <w:jc w:val="center"/>
              <w:textAlignment w:val="center"/>
              <w:rPr>
                <w:rFonts w:hint="eastAsia" w:ascii="宋体" w:hAnsi="宋体" w:cs="宋体"/>
                <w:color w:val="000000"/>
                <w:szCs w:val="21"/>
                <w:highlight w:val="none"/>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3D35CE78">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1751</w:t>
            </w:r>
          </w:p>
        </w:tc>
        <w:tc>
          <w:tcPr>
            <w:tcW w:w="1050" w:type="pct"/>
            <w:vMerge w:val="continue"/>
            <w:tcBorders>
              <w:left w:val="single" w:color="000000" w:sz="4" w:space="0"/>
              <w:right w:val="single" w:color="000000" w:sz="4" w:space="0"/>
            </w:tcBorders>
            <w:vAlign w:val="center"/>
          </w:tcPr>
          <w:p w14:paraId="70A05761">
            <w:pPr>
              <w:spacing w:line="360" w:lineRule="exact"/>
              <w:jc w:val="center"/>
              <w:rPr>
                <w:rFonts w:hint="eastAsia" w:ascii="宋体" w:hAnsi="宋体" w:cs="宋体"/>
                <w:color w:val="000000"/>
                <w:szCs w:val="21"/>
                <w:highlight w:val="none"/>
              </w:rPr>
            </w:pPr>
          </w:p>
        </w:tc>
      </w:tr>
      <w:tr w14:paraId="4C3535EF">
        <w:tblPrEx>
          <w:tblCellMar>
            <w:top w:w="0" w:type="dxa"/>
            <w:left w:w="108" w:type="dxa"/>
            <w:bottom w:w="0" w:type="dxa"/>
            <w:right w:w="108" w:type="dxa"/>
          </w:tblCellMar>
        </w:tblPrEx>
        <w:trPr>
          <w:trHeight w:val="312" w:hRule="atLeast"/>
        </w:trPr>
        <w:tc>
          <w:tcPr>
            <w:tcW w:w="376" w:type="pct"/>
            <w:tcBorders>
              <w:top w:val="single" w:color="000000" w:sz="4" w:space="0"/>
              <w:left w:val="single" w:color="000000" w:sz="4" w:space="0"/>
              <w:bottom w:val="single" w:color="000000" w:sz="4" w:space="0"/>
              <w:right w:val="single" w:color="000000" w:sz="4" w:space="0"/>
            </w:tcBorders>
            <w:vAlign w:val="center"/>
          </w:tcPr>
          <w:p w14:paraId="3D5CD1DB">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1.3.1</w:t>
            </w:r>
          </w:p>
        </w:tc>
        <w:tc>
          <w:tcPr>
            <w:tcW w:w="1064" w:type="pct"/>
            <w:tcBorders>
              <w:top w:val="single" w:color="000000" w:sz="4" w:space="0"/>
              <w:left w:val="single" w:color="000000" w:sz="4" w:space="0"/>
              <w:bottom w:val="single" w:color="000000" w:sz="4" w:space="0"/>
              <w:right w:val="single" w:color="000000" w:sz="4" w:space="0"/>
            </w:tcBorders>
            <w:vAlign w:val="center"/>
          </w:tcPr>
          <w:p w14:paraId="12597DA2">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企业服务门户</w:t>
            </w:r>
          </w:p>
        </w:tc>
        <w:tc>
          <w:tcPr>
            <w:tcW w:w="627" w:type="pct"/>
            <w:tcBorders>
              <w:top w:val="single" w:color="000000" w:sz="4" w:space="0"/>
              <w:left w:val="single" w:color="000000" w:sz="4" w:space="0"/>
              <w:bottom w:val="single" w:color="000000" w:sz="4" w:space="0"/>
              <w:right w:val="single" w:color="000000" w:sz="4" w:space="0"/>
            </w:tcBorders>
            <w:vAlign w:val="center"/>
          </w:tcPr>
          <w:p w14:paraId="77B43159">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p>
        </w:tc>
        <w:tc>
          <w:tcPr>
            <w:tcW w:w="627" w:type="pct"/>
            <w:tcBorders>
              <w:top w:val="single" w:color="000000" w:sz="4" w:space="0"/>
              <w:left w:val="single" w:color="000000" w:sz="4" w:space="0"/>
              <w:bottom w:val="single" w:color="000000" w:sz="4" w:space="0"/>
              <w:right w:val="single" w:color="000000" w:sz="4" w:space="0"/>
            </w:tcBorders>
            <w:vAlign w:val="center"/>
          </w:tcPr>
          <w:p w14:paraId="60AE6DBD">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套</w:t>
            </w:r>
          </w:p>
        </w:tc>
        <w:tc>
          <w:tcPr>
            <w:tcW w:w="627" w:type="pct"/>
            <w:tcBorders>
              <w:top w:val="single" w:color="000000" w:sz="4" w:space="0"/>
              <w:left w:val="single" w:color="000000" w:sz="4" w:space="0"/>
              <w:bottom w:val="single" w:color="000000" w:sz="4" w:space="0"/>
              <w:right w:val="single" w:color="000000" w:sz="4" w:space="0"/>
            </w:tcBorders>
            <w:vAlign w:val="center"/>
          </w:tcPr>
          <w:p w14:paraId="6D97D2A9">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144</w:t>
            </w:r>
          </w:p>
        </w:tc>
        <w:tc>
          <w:tcPr>
            <w:tcW w:w="627" w:type="pct"/>
            <w:tcBorders>
              <w:top w:val="single" w:color="000000" w:sz="4" w:space="0"/>
              <w:left w:val="single" w:color="000000" w:sz="4" w:space="0"/>
              <w:bottom w:val="single" w:color="000000" w:sz="4" w:space="0"/>
              <w:right w:val="single" w:color="000000" w:sz="4" w:space="0"/>
            </w:tcBorders>
            <w:vAlign w:val="center"/>
          </w:tcPr>
          <w:p w14:paraId="5E7A4E16">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144</w:t>
            </w:r>
          </w:p>
        </w:tc>
        <w:tc>
          <w:tcPr>
            <w:tcW w:w="1050" w:type="pct"/>
            <w:vMerge w:val="continue"/>
            <w:tcBorders>
              <w:left w:val="single" w:color="000000" w:sz="4" w:space="0"/>
              <w:right w:val="single" w:color="000000" w:sz="4" w:space="0"/>
            </w:tcBorders>
            <w:vAlign w:val="center"/>
          </w:tcPr>
          <w:p w14:paraId="057963D9">
            <w:pPr>
              <w:spacing w:line="360" w:lineRule="exact"/>
              <w:jc w:val="center"/>
              <w:rPr>
                <w:rFonts w:hint="eastAsia" w:ascii="宋体" w:hAnsi="宋体" w:cs="宋体"/>
                <w:color w:val="000000"/>
                <w:szCs w:val="21"/>
                <w:highlight w:val="none"/>
              </w:rPr>
            </w:pPr>
          </w:p>
        </w:tc>
      </w:tr>
      <w:tr w14:paraId="52D7C6A9">
        <w:tblPrEx>
          <w:tblCellMar>
            <w:top w:w="0" w:type="dxa"/>
            <w:left w:w="108" w:type="dxa"/>
            <w:bottom w:w="0" w:type="dxa"/>
            <w:right w:w="108" w:type="dxa"/>
          </w:tblCellMar>
        </w:tblPrEx>
        <w:trPr>
          <w:trHeight w:val="312" w:hRule="atLeast"/>
        </w:trPr>
        <w:tc>
          <w:tcPr>
            <w:tcW w:w="376" w:type="pct"/>
            <w:tcBorders>
              <w:top w:val="single" w:color="000000" w:sz="4" w:space="0"/>
              <w:left w:val="single" w:color="000000" w:sz="4" w:space="0"/>
              <w:bottom w:val="single" w:color="000000" w:sz="4" w:space="0"/>
              <w:right w:val="single" w:color="000000" w:sz="4" w:space="0"/>
            </w:tcBorders>
            <w:vAlign w:val="center"/>
          </w:tcPr>
          <w:p w14:paraId="6EF16766">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1.3.2</w:t>
            </w:r>
          </w:p>
        </w:tc>
        <w:tc>
          <w:tcPr>
            <w:tcW w:w="1064" w:type="pct"/>
            <w:tcBorders>
              <w:top w:val="single" w:color="000000" w:sz="4" w:space="0"/>
              <w:left w:val="single" w:color="000000" w:sz="4" w:space="0"/>
              <w:bottom w:val="single" w:color="000000" w:sz="4" w:space="0"/>
              <w:right w:val="single" w:color="000000" w:sz="4" w:space="0"/>
            </w:tcBorders>
            <w:vAlign w:val="center"/>
          </w:tcPr>
          <w:p w14:paraId="30269D11">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资源供需对接系统</w:t>
            </w:r>
          </w:p>
        </w:tc>
        <w:tc>
          <w:tcPr>
            <w:tcW w:w="627" w:type="pct"/>
            <w:tcBorders>
              <w:top w:val="single" w:color="000000" w:sz="4" w:space="0"/>
              <w:left w:val="single" w:color="000000" w:sz="4" w:space="0"/>
              <w:bottom w:val="single" w:color="000000" w:sz="4" w:space="0"/>
              <w:right w:val="single" w:color="000000" w:sz="4" w:space="0"/>
            </w:tcBorders>
            <w:vAlign w:val="center"/>
          </w:tcPr>
          <w:p w14:paraId="34D8F30A">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p>
        </w:tc>
        <w:tc>
          <w:tcPr>
            <w:tcW w:w="627" w:type="pct"/>
            <w:tcBorders>
              <w:top w:val="single" w:color="000000" w:sz="4" w:space="0"/>
              <w:left w:val="single" w:color="000000" w:sz="4" w:space="0"/>
              <w:bottom w:val="single" w:color="000000" w:sz="4" w:space="0"/>
              <w:right w:val="single" w:color="000000" w:sz="4" w:space="0"/>
            </w:tcBorders>
            <w:vAlign w:val="center"/>
          </w:tcPr>
          <w:p w14:paraId="58B8811F">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套</w:t>
            </w:r>
          </w:p>
        </w:tc>
        <w:tc>
          <w:tcPr>
            <w:tcW w:w="627" w:type="pct"/>
            <w:tcBorders>
              <w:top w:val="single" w:color="000000" w:sz="4" w:space="0"/>
              <w:left w:val="single" w:color="000000" w:sz="4" w:space="0"/>
              <w:bottom w:val="single" w:color="000000" w:sz="4" w:space="0"/>
              <w:right w:val="single" w:color="000000" w:sz="4" w:space="0"/>
            </w:tcBorders>
            <w:vAlign w:val="center"/>
          </w:tcPr>
          <w:p w14:paraId="3737C006">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105</w:t>
            </w:r>
          </w:p>
        </w:tc>
        <w:tc>
          <w:tcPr>
            <w:tcW w:w="627" w:type="pct"/>
            <w:tcBorders>
              <w:top w:val="single" w:color="000000" w:sz="4" w:space="0"/>
              <w:left w:val="single" w:color="000000" w:sz="4" w:space="0"/>
              <w:bottom w:val="single" w:color="000000" w:sz="4" w:space="0"/>
              <w:right w:val="single" w:color="000000" w:sz="4" w:space="0"/>
            </w:tcBorders>
            <w:vAlign w:val="center"/>
          </w:tcPr>
          <w:p w14:paraId="4FA094DB">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105</w:t>
            </w:r>
          </w:p>
        </w:tc>
        <w:tc>
          <w:tcPr>
            <w:tcW w:w="1050" w:type="pct"/>
            <w:vMerge w:val="continue"/>
            <w:tcBorders>
              <w:left w:val="single" w:color="000000" w:sz="4" w:space="0"/>
              <w:right w:val="single" w:color="000000" w:sz="4" w:space="0"/>
            </w:tcBorders>
            <w:vAlign w:val="center"/>
          </w:tcPr>
          <w:p w14:paraId="7667ACE4">
            <w:pPr>
              <w:spacing w:line="360" w:lineRule="exact"/>
              <w:jc w:val="center"/>
              <w:rPr>
                <w:rFonts w:hint="eastAsia" w:ascii="宋体" w:hAnsi="宋体" w:cs="宋体"/>
                <w:color w:val="000000"/>
                <w:szCs w:val="21"/>
                <w:highlight w:val="none"/>
              </w:rPr>
            </w:pPr>
          </w:p>
        </w:tc>
      </w:tr>
      <w:tr w14:paraId="089CA27C">
        <w:tblPrEx>
          <w:tblCellMar>
            <w:top w:w="0" w:type="dxa"/>
            <w:left w:w="108" w:type="dxa"/>
            <w:bottom w:w="0" w:type="dxa"/>
            <w:right w:w="108" w:type="dxa"/>
          </w:tblCellMar>
        </w:tblPrEx>
        <w:trPr>
          <w:trHeight w:val="312" w:hRule="atLeast"/>
        </w:trPr>
        <w:tc>
          <w:tcPr>
            <w:tcW w:w="376" w:type="pct"/>
            <w:tcBorders>
              <w:top w:val="single" w:color="000000" w:sz="4" w:space="0"/>
              <w:left w:val="single" w:color="000000" w:sz="4" w:space="0"/>
              <w:bottom w:val="single" w:color="000000" w:sz="4" w:space="0"/>
              <w:right w:val="single" w:color="000000" w:sz="4" w:space="0"/>
            </w:tcBorders>
            <w:vAlign w:val="center"/>
          </w:tcPr>
          <w:p w14:paraId="74B79779">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1.3.3</w:t>
            </w:r>
          </w:p>
        </w:tc>
        <w:tc>
          <w:tcPr>
            <w:tcW w:w="1064" w:type="pct"/>
            <w:tcBorders>
              <w:top w:val="single" w:color="000000" w:sz="4" w:space="0"/>
              <w:left w:val="single" w:color="000000" w:sz="4" w:space="0"/>
              <w:bottom w:val="single" w:color="000000" w:sz="4" w:space="0"/>
              <w:right w:val="single" w:color="000000" w:sz="4" w:space="0"/>
            </w:tcBorders>
            <w:vAlign w:val="center"/>
          </w:tcPr>
          <w:p w14:paraId="64A3FBA5">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数据产品管理系统</w:t>
            </w:r>
          </w:p>
        </w:tc>
        <w:tc>
          <w:tcPr>
            <w:tcW w:w="627" w:type="pct"/>
            <w:tcBorders>
              <w:top w:val="single" w:color="000000" w:sz="4" w:space="0"/>
              <w:left w:val="single" w:color="000000" w:sz="4" w:space="0"/>
              <w:bottom w:val="single" w:color="000000" w:sz="4" w:space="0"/>
              <w:right w:val="single" w:color="000000" w:sz="4" w:space="0"/>
            </w:tcBorders>
            <w:vAlign w:val="center"/>
          </w:tcPr>
          <w:p w14:paraId="0A038D04">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p>
        </w:tc>
        <w:tc>
          <w:tcPr>
            <w:tcW w:w="627" w:type="pct"/>
            <w:tcBorders>
              <w:top w:val="single" w:color="000000" w:sz="4" w:space="0"/>
              <w:left w:val="single" w:color="000000" w:sz="4" w:space="0"/>
              <w:bottom w:val="single" w:color="000000" w:sz="4" w:space="0"/>
              <w:right w:val="single" w:color="000000" w:sz="4" w:space="0"/>
            </w:tcBorders>
            <w:vAlign w:val="center"/>
          </w:tcPr>
          <w:p w14:paraId="42A77E51">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套</w:t>
            </w:r>
          </w:p>
        </w:tc>
        <w:tc>
          <w:tcPr>
            <w:tcW w:w="627" w:type="pct"/>
            <w:tcBorders>
              <w:top w:val="single" w:color="000000" w:sz="4" w:space="0"/>
              <w:left w:val="single" w:color="000000" w:sz="4" w:space="0"/>
              <w:bottom w:val="single" w:color="000000" w:sz="4" w:space="0"/>
              <w:right w:val="single" w:color="000000" w:sz="4" w:space="0"/>
            </w:tcBorders>
            <w:vAlign w:val="center"/>
          </w:tcPr>
          <w:p w14:paraId="6FF64BD8">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440</w:t>
            </w:r>
          </w:p>
        </w:tc>
        <w:tc>
          <w:tcPr>
            <w:tcW w:w="627" w:type="pct"/>
            <w:tcBorders>
              <w:top w:val="single" w:color="000000" w:sz="4" w:space="0"/>
              <w:left w:val="single" w:color="000000" w:sz="4" w:space="0"/>
              <w:bottom w:val="single" w:color="000000" w:sz="4" w:space="0"/>
              <w:right w:val="single" w:color="000000" w:sz="4" w:space="0"/>
            </w:tcBorders>
            <w:vAlign w:val="center"/>
          </w:tcPr>
          <w:p w14:paraId="0FDB47BD">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440</w:t>
            </w:r>
          </w:p>
        </w:tc>
        <w:tc>
          <w:tcPr>
            <w:tcW w:w="1050" w:type="pct"/>
            <w:vMerge w:val="continue"/>
            <w:tcBorders>
              <w:left w:val="single" w:color="000000" w:sz="4" w:space="0"/>
              <w:right w:val="single" w:color="000000" w:sz="4" w:space="0"/>
            </w:tcBorders>
            <w:vAlign w:val="center"/>
          </w:tcPr>
          <w:p w14:paraId="72C422AC">
            <w:pPr>
              <w:spacing w:line="360" w:lineRule="exact"/>
              <w:jc w:val="center"/>
              <w:rPr>
                <w:rFonts w:hint="eastAsia" w:ascii="宋体" w:hAnsi="宋体" w:cs="宋体"/>
                <w:color w:val="000000"/>
                <w:szCs w:val="21"/>
                <w:highlight w:val="none"/>
              </w:rPr>
            </w:pPr>
          </w:p>
        </w:tc>
      </w:tr>
      <w:tr w14:paraId="02ECFB3D">
        <w:tblPrEx>
          <w:tblCellMar>
            <w:top w:w="0" w:type="dxa"/>
            <w:left w:w="108" w:type="dxa"/>
            <w:bottom w:w="0" w:type="dxa"/>
            <w:right w:w="108" w:type="dxa"/>
          </w:tblCellMar>
        </w:tblPrEx>
        <w:trPr>
          <w:trHeight w:val="312" w:hRule="atLeast"/>
        </w:trPr>
        <w:tc>
          <w:tcPr>
            <w:tcW w:w="376" w:type="pct"/>
            <w:tcBorders>
              <w:top w:val="single" w:color="000000" w:sz="4" w:space="0"/>
              <w:left w:val="single" w:color="000000" w:sz="4" w:space="0"/>
              <w:bottom w:val="single" w:color="000000" w:sz="4" w:space="0"/>
              <w:right w:val="single" w:color="000000" w:sz="4" w:space="0"/>
            </w:tcBorders>
            <w:vAlign w:val="center"/>
          </w:tcPr>
          <w:p w14:paraId="08F233AA">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1.3.4</w:t>
            </w:r>
          </w:p>
        </w:tc>
        <w:tc>
          <w:tcPr>
            <w:tcW w:w="1064" w:type="pct"/>
            <w:tcBorders>
              <w:top w:val="single" w:color="000000" w:sz="4" w:space="0"/>
              <w:left w:val="single" w:color="000000" w:sz="4" w:space="0"/>
              <w:bottom w:val="single" w:color="000000" w:sz="4" w:space="0"/>
              <w:right w:val="single" w:color="000000" w:sz="4" w:space="0"/>
            </w:tcBorders>
            <w:vAlign w:val="center"/>
          </w:tcPr>
          <w:p w14:paraId="762B42D2">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平台运营管理系统</w:t>
            </w:r>
          </w:p>
        </w:tc>
        <w:tc>
          <w:tcPr>
            <w:tcW w:w="627" w:type="pct"/>
            <w:tcBorders>
              <w:top w:val="single" w:color="000000" w:sz="4" w:space="0"/>
              <w:left w:val="single" w:color="000000" w:sz="4" w:space="0"/>
              <w:bottom w:val="single" w:color="000000" w:sz="4" w:space="0"/>
              <w:right w:val="single" w:color="000000" w:sz="4" w:space="0"/>
            </w:tcBorders>
            <w:vAlign w:val="center"/>
          </w:tcPr>
          <w:p w14:paraId="31D0475A">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p>
        </w:tc>
        <w:tc>
          <w:tcPr>
            <w:tcW w:w="627" w:type="pct"/>
            <w:tcBorders>
              <w:top w:val="single" w:color="000000" w:sz="4" w:space="0"/>
              <w:left w:val="single" w:color="000000" w:sz="4" w:space="0"/>
              <w:bottom w:val="single" w:color="000000" w:sz="4" w:space="0"/>
              <w:right w:val="single" w:color="000000" w:sz="4" w:space="0"/>
            </w:tcBorders>
            <w:vAlign w:val="center"/>
          </w:tcPr>
          <w:p w14:paraId="3AE1C376">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套</w:t>
            </w:r>
          </w:p>
        </w:tc>
        <w:tc>
          <w:tcPr>
            <w:tcW w:w="627" w:type="pct"/>
            <w:tcBorders>
              <w:top w:val="single" w:color="000000" w:sz="4" w:space="0"/>
              <w:left w:val="single" w:color="000000" w:sz="4" w:space="0"/>
              <w:bottom w:val="single" w:color="000000" w:sz="4" w:space="0"/>
              <w:right w:val="single" w:color="000000" w:sz="4" w:space="0"/>
            </w:tcBorders>
            <w:vAlign w:val="center"/>
          </w:tcPr>
          <w:p w14:paraId="2452098B">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360</w:t>
            </w:r>
          </w:p>
        </w:tc>
        <w:tc>
          <w:tcPr>
            <w:tcW w:w="627" w:type="pct"/>
            <w:tcBorders>
              <w:top w:val="single" w:color="000000" w:sz="4" w:space="0"/>
              <w:left w:val="single" w:color="000000" w:sz="4" w:space="0"/>
              <w:bottom w:val="single" w:color="000000" w:sz="4" w:space="0"/>
              <w:right w:val="single" w:color="000000" w:sz="4" w:space="0"/>
            </w:tcBorders>
            <w:vAlign w:val="center"/>
          </w:tcPr>
          <w:p w14:paraId="06D5635D">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360</w:t>
            </w:r>
          </w:p>
        </w:tc>
        <w:tc>
          <w:tcPr>
            <w:tcW w:w="1050" w:type="pct"/>
            <w:vMerge w:val="continue"/>
            <w:tcBorders>
              <w:left w:val="single" w:color="000000" w:sz="4" w:space="0"/>
              <w:right w:val="single" w:color="000000" w:sz="4" w:space="0"/>
            </w:tcBorders>
            <w:vAlign w:val="center"/>
          </w:tcPr>
          <w:p w14:paraId="572C8A05">
            <w:pPr>
              <w:spacing w:line="360" w:lineRule="exact"/>
              <w:jc w:val="center"/>
              <w:rPr>
                <w:rFonts w:hint="eastAsia" w:ascii="宋体" w:hAnsi="宋体" w:cs="宋体"/>
                <w:color w:val="000000"/>
                <w:szCs w:val="21"/>
                <w:highlight w:val="none"/>
              </w:rPr>
            </w:pPr>
          </w:p>
        </w:tc>
      </w:tr>
      <w:tr w14:paraId="3286C16B">
        <w:tblPrEx>
          <w:tblCellMar>
            <w:top w:w="0" w:type="dxa"/>
            <w:left w:w="108" w:type="dxa"/>
            <w:bottom w:w="0" w:type="dxa"/>
            <w:right w:w="108" w:type="dxa"/>
          </w:tblCellMar>
        </w:tblPrEx>
        <w:trPr>
          <w:trHeight w:val="312" w:hRule="atLeast"/>
        </w:trPr>
        <w:tc>
          <w:tcPr>
            <w:tcW w:w="376" w:type="pct"/>
            <w:tcBorders>
              <w:top w:val="single" w:color="000000" w:sz="4" w:space="0"/>
              <w:left w:val="single" w:color="000000" w:sz="4" w:space="0"/>
              <w:bottom w:val="single" w:color="000000" w:sz="4" w:space="0"/>
              <w:right w:val="single" w:color="000000" w:sz="4" w:space="0"/>
            </w:tcBorders>
            <w:vAlign w:val="center"/>
          </w:tcPr>
          <w:p w14:paraId="23DEA821">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1.3.5</w:t>
            </w:r>
          </w:p>
        </w:tc>
        <w:tc>
          <w:tcPr>
            <w:tcW w:w="1064" w:type="pct"/>
            <w:tcBorders>
              <w:top w:val="single" w:color="000000" w:sz="4" w:space="0"/>
              <w:left w:val="single" w:color="000000" w:sz="4" w:space="0"/>
              <w:bottom w:val="single" w:color="000000" w:sz="4" w:space="0"/>
              <w:right w:val="single" w:color="000000" w:sz="4" w:space="0"/>
            </w:tcBorders>
            <w:vAlign w:val="center"/>
          </w:tcPr>
          <w:p w14:paraId="4426B8AB">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平台基础支撑系统</w:t>
            </w:r>
          </w:p>
        </w:tc>
        <w:tc>
          <w:tcPr>
            <w:tcW w:w="627" w:type="pct"/>
            <w:tcBorders>
              <w:top w:val="single" w:color="000000" w:sz="4" w:space="0"/>
              <w:left w:val="single" w:color="000000" w:sz="4" w:space="0"/>
              <w:bottom w:val="single" w:color="000000" w:sz="4" w:space="0"/>
              <w:right w:val="single" w:color="000000" w:sz="4" w:space="0"/>
            </w:tcBorders>
            <w:vAlign w:val="center"/>
          </w:tcPr>
          <w:p w14:paraId="22BB9FAE">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p>
        </w:tc>
        <w:tc>
          <w:tcPr>
            <w:tcW w:w="627" w:type="pct"/>
            <w:tcBorders>
              <w:top w:val="single" w:color="000000" w:sz="4" w:space="0"/>
              <w:left w:val="single" w:color="000000" w:sz="4" w:space="0"/>
              <w:bottom w:val="single" w:color="000000" w:sz="4" w:space="0"/>
              <w:right w:val="single" w:color="000000" w:sz="4" w:space="0"/>
            </w:tcBorders>
            <w:vAlign w:val="center"/>
          </w:tcPr>
          <w:p w14:paraId="7A99E812">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套</w:t>
            </w:r>
          </w:p>
        </w:tc>
        <w:tc>
          <w:tcPr>
            <w:tcW w:w="627" w:type="pct"/>
            <w:tcBorders>
              <w:top w:val="single" w:color="000000" w:sz="4" w:space="0"/>
              <w:left w:val="single" w:color="000000" w:sz="4" w:space="0"/>
              <w:bottom w:val="single" w:color="000000" w:sz="4" w:space="0"/>
              <w:right w:val="single" w:color="000000" w:sz="4" w:space="0"/>
            </w:tcBorders>
            <w:vAlign w:val="center"/>
          </w:tcPr>
          <w:p w14:paraId="231C01C4">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180</w:t>
            </w:r>
          </w:p>
        </w:tc>
        <w:tc>
          <w:tcPr>
            <w:tcW w:w="627" w:type="pct"/>
            <w:tcBorders>
              <w:top w:val="single" w:color="000000" w:sz="4" w:space="0"/>
              <w:left w:val="single" w:color="000000" w:sz="4" w:space="0"/>
              <w:bottom w:val="single" w:color="000000" w:sz="4" w:space="0"/>
              <w:right w:val="single" w:color="000000" w:sz="4" w:space="0"/>
            </w:tcBorders>
            <w:vAlign w:val="center"/>
          </w:tcPr>
          <w:p w14:paraId="1163879A">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180</w:t>
            </w:r>
          </w:p>
        </w:tc>
        <w:tc>
          <w:tcPr>
            <w:tcW w:w="1050" w:type="pct"/>
            <w:vMerge w:val="continue"/>
            <w:tcBorders>
              <w:left w:val="single" w:color="000000" w:sz="4" w:space="0"/>
              <w:right w:val="single" w:color="000000" w:sz="4" w:space="0"/>
            </w:tcBorders>
            <w:vAlign w:val="center"/>
          </w:tcPr>
          <w:p w14:paraId="7E222FF6">
            <w:pPr>
              <w:spacing w:line="360" w:lineRule="exact"/>
              <w:jc w:val="center"/>
              <w:rPr>
                <w:rFonts w:hint="eastAsia" w:ascii="宋体" w:hAnsi="宋体" w:cs="宋体"/>
                <w:color w:val="000000"/>
                <w:szCs w:val="21"/>
                <w:highlight w:val="none"/>
              </w:rPr>
            </w:pPr>
          </w:p>
        </w:tc>
      </w:tr>
      <w:tr w14:paraId="27525702">
        <w:tblPrEx>
          <w:tblCellMar>
            <w:top w:w="0" w:type="dxa"/>
            <w:left w:w="108" w:type="dxa"/>
            <w:bottom w:w="0" w:type="dxa"/>
            <w:right w:w="108" w:type="dxa"/>
          </w:tblCellMar>
        </w:tblPrEx>
        <w:trPr>
          <w:trHeight w:val="312" w:hRule="atLeast"/>
        </w:trPr>
        <w:tc>
          <w:tcPr>
            <w:tcW w:w="376" w:type="pct"/>
            <w:tcBorders>
              <w:top w:val="single" w:color="000000" w:sz="4" w:space="0"/>
              <w:left w:val="single" w:color="000000" w:sz="4" w:space="0"/>
              <w:bottom w:val="single" w:color="000000" w:sz="4" w:space="0"/>
              <w:right w:val="single" w:color="000000" w:sz="4" w:space="0"/>
            </w:tcBorders>
            <w:vAlign w:val="center"/>
          </w:tcPr>
          <w:p w14:paraId="7680B3E1">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1.3.6</w:t>
            </w:r>
          </w:p>
        </w:tc>
        <w:tc>
          <w:tcPr>
            <w:tcW w:w="1064" w:type="pct"/>
            <w:tcBorders>
              <w:top w:val="single" w:color="000000" w:sz="4" w:space="0"/>
              <w:left w:val="single" w:color="000000" w:sz="4" w:space="0"/>
              <w:bottom w:val="single" w:color="000000" w:sz="4" w:space="0"/>
              <w:right w:val="single" w:color="000000" w:sz="4" w:space="0"/>
            </w:tcBorders>
            <w:vAlign w:val="center"/>
          </w:tcPr>
          <w:p w14:paraId="72A568B5">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合规管理系统</w:t>
            </w:r>
          </w:p>
        </w:tc>
        <w:tc>
          <w:tcPr>
            <w:tcW w:w="627" w:type="pct"/>
            <w:tcBorders>
              <w:top w:val="single" w:color="000000" w:sz="4" w:space="0"/>
              <w:left w:val="single" w:color="000000" w:sz="4" w:space="0"/>
              <w:bottom w:val="single" w:color="000000" w:sz="4" w:space="0"/>
              <w:right w:val="single" w:color="000000" w:sz="4" w:space="0"/>
            </w:tcBorders>
            <w:vAlign w:val="center"/>
          </w:tcPr>
          <w:p w14:paraId="6E386E5D">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p>
        </w:tc>
        <w:tc>
          <w:tcPr>
            <w:tcW w:w="627" w:type="pct"/>
            <w:tcBorders>
              <w:top w:val="single" w:color="000000" w:sz="4" w:space="0"/>
              <w:left w:val="single" w:color="000000" w:sz="4" w:space="0"/>
              <w:bottom w:val="single" w:color="000000" w:sz="4" w:space="0"/>
              <w:right w:val="single" w:color="000000" w:sz="4" w:space="0"/>
            </w:tcBorders>
            <w:vAlign w:val="center"/>
          </w:tcPr>
          <w:p w14:paraId="5B8266F7">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套</w:t>
            </w:r>
          </w:p>
        </w:tc>
        <w:tc>
          <w:tcPr>
            <w:tcW w:w="627" w:type="pct"/>
            <w:tcBorders>
              <w:top w:val="single" w:color="000000" w:sz="4" w:space="0"/>
              <w:left w:val="single" w:color="000000" w:sz="4" w:space="0"/>
              <w:bottom w:val="single" w:color="000000" w:sz="4" w:space="0"/>
              <w:right w:val="single" w:color="000000" w:sz="4" w:space="0"/>
            </w:tcBorders>
            <w:vAlign w:val="center"/>
          </w:tcPr>
          <w:p w14:paraId="348731EF">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240</w:t>
            </w:r>
          </w:p>
        </w:tc>
        <w:tc>
          <w:tcPr>
            <w:tcW w:w="627" w:type="pct"/>
            <w:tcBorders>
              <w:top w:val="single" w:color="000000" w:sz="4" w:space="0"/>
              <w:left w:val="single" w:color="000000" w:sz="4" w:space="0"/>
              <w:bottom w:val="single" w:color="000000" w:sz="4" w:space="0"/>
              <w:right w:val="single" w:color="000000" w:sz="4" w:space="0"/>
            </w:tcBorders>
            <w:vAlign w:val="center"/>
          </w:tcPr>
          <w:p w14:paraId="6262DB11">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240</w:t>
            </w:r>
          </w:p>
        </w:tc>
        <w:tc>
          <w:tcPr>
            <w:tcW w:w="1050" w:type="pct"/>
            <w:vMerge w:val="continue"/>
            <w:tcBorders>
              <w:left w:val="single" w:color="000000" w:sz="4" w:space="0"/>
              <w:right w:val="single" w:color="000000" w:sz="4" w:space="0"/>
            </w:tcBorders>
            <w:vAlign w:val="center"/>
          </w:tcPr>
          <w:p w14:paraId="1AE8941F">
            <w:pPr>
              <w:spacing w:line="360" w:lineRule="exact"/>
              <w:jc w:val="center"/>
              <w:rPr>
                <w:rFonts w:hint="eastAsia" w:ascii="宋体" w:hAnsi="宋体" w:cs="宋体"/>
                <w:color w:val="000000"/>
                <w:szCs w:val="21"/>
                <w:highlight w:val="none"/>
              </w:rPr>
            </w:pPr>
          </w:p>
        </w:tc>
      </w:tr>
      <w:tr w14:paraId="7D6303AE">
        <w:tblPrEx>
          <w:tblCellMar>
            <w:top w:w="0" w:type="dxa"/>
            <w:left w:w="108" w:type="dxa"/>
            <w:bottom w:w="0" w:type="dxa"/>
            <w:right w:w="108" w:type="dxa"/>
          </w:tblCellMar>
        </w:tblPrEx>
        <w:trPr>
          <w:trHeight w:val="312" w:hRule="atLeast"/>
        </w:trPr>
        <w:tc>
          <w:tcPr>
            <w:tcW w:w="376" w:type="pct"/>
            <w:tcBorders>
              <w:top w:val="single" w:color="000000" w:sz="4" w:space="0"/>
              <w:left w:val="single" w:color="000000" w:sz="4" w:space="0"/>
              <w:bottom w:val="single" w:color="000000" w:sz="4" w:space="0"/>
              <w:right w:val="single" w:color="000000" w:sz="4" w:space="0"/>
            </w:tcBorders>
            <w:vAlign w:val="center"/>
          </w:tcPr>
          <w:p w14:paraId="7DC1A556">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1.3.7</w:t>
            </w:r>
          </w:p>
        </w:tc>
        <w:tc>
          <w:tcPr>
            <w:tcW w:w="1064" w:type="pct"/>
            <w:tcBorders>
              <w:top w:val="single" w:color="000000" w:sz="4" w:space="0"/>
              <w:left w:val="single" w:color="000000" w:sz="4" w:space="0"/>
              <w:bottom w:val="single" w:color="000000" w:sz="4" w:space="0"/>
              <w:right w:val="single" w:color="000000" w:sz="4" w:space="0"/>
            </w:tcBorders>
            <w:vAlign w:val="center"/>
          </w:tcPr>
          <w:p w14:paraId="288DAE7C">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数据接入应用</w:t>
            </w:r>
          </w:p>
        </w:tc>
        <w:tc>
          <w:tcPr>
            <w:tcW w:w="627" w:type="pct"/>
            <w:tcBorders>
              <w:top w:val="single" w:color="000000" w:sz="4" w:space="0"/>
              <w:left w:val="single" w:color="000000" w:sz="4" w:space="0"/>
              <w:bottom w:val="single" w:color="000000" w:sz="4" w:space="0"/>
              <w:right w:val="single" w:color="000000" w:sz="4" w:space="0"/>
            </w:tcBorders>
            <w:vAlign w:val="center"/>
          </w:tcPr>
          <w:p w14:paraId="75313FC7">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p>
        </w:tc>
        <w:tc>
          <w:tcPr>
            <w:tcW w:w="627" w:type="pct"/>
            <w:tcBorders>
              <w:top w:val="single" w:color="000000" w:sz="4" w:space="0"/>
              <w:left w:val="single" w:color="000000" w:sz="4" w:space="0"/>
              <w:bottom w:val="single" w:color="000000" w:sz="4" w:space="0"/>
              <w:right w:val="single" w:color="000000" w:sz="4" w:space="0"/>
            </w:tcBorders>
            <w:vAlign w:val="center"/>
          </w:tcPr>
          <w:p w14:paraId="14AF12DD">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套</w:t>
            </w:r>
          </w:p>
        </w:tc>
        <w:tc>
          <w:tcPr>
            <w:tcW w:w="627" w:type="pct"/>
            <w:tcBorders>
              <w:top w:val="single" w:color="000000" w:sz="4" w:space="0"/>
              <w:left w:val="single" w:color="000000" w:sz="4" w:space="0"/>
              <w:bottom w:val="single" w:color="000000" w:sz="4" w:space="0"/>
              <w:right w:val="single" w:color="000000" w:sz="4" w:space="0"/>
            </w:tcBorders>
            <w:vAlign w:val="center"/>
          </w:tcPr>
          <w:p w14:paraId="39E746AE">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282</w:t>
            </w:r>
          </w:p>
        </w:tc>
        <w:tc>
          <w:tcPr>
            <w:tcW w:w="627" w:type="pct"/>
            <w:tcBorders>
              <w:top w:val="single" w:color="000000" w:sz="4" w:space="0"/>
              <w:left w:val="single" w:color="000000" w:sz="4" w:space="0"/>
              <w:bottom w:val="single" w:color="000000" w:sz="4" w:space="0"/>
              <w:right w:val="single" w:color="000000" w:sz="4" w:space="0"/>
            </w:tcBorders>
            <w:vAlign w:val="center"/>
          </w:tcPr>
          <w:p w14:paraId="5EFE6729">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282</w:t>
            </w:r>
          </w:p>
        </w:tc>
        <w:tc>
          <w:tcPr>
            <w:tcW w:w="1050" w:type="pct"/>
            <w:vMerge w:val="continue"/>
            <w:tcBorders>
              <w:left w:val="single" w:color="000000" w:sz="4" w:space="0"/>
              <w:bottom w:val="single" w:color="000000" w:sz="4" w:space="0"/>
              <w:right w:val="single" w:color="000000" w:sz="4" w:space="0"/>
            </w:tcBorders>
            <w:vAlign w:val="center"/>
          </w:tcPr>
          <w:p w14:paraId="42CE16D4">
            <w:pPr>
              <w:spacing w:line="360" w:lineRule="exact"/>
              <w:jc w:val="center"/>
              <w:rPr>
                <w:rFonts w:hint="eastAsia" w:ascii="宋体" w:hAnsi="宋体" w:cs="宋体"/>
                <w:color w:val="000000"/>
                <w:szCs w:val="21"/>
                <w:highlight w:val="none"/>
              </w:rPr>
            </w:pPr>
          </w:p>
        </w:tc>
      </w:tr>
      <w:tr w14:paraId="1D57A1B8">
        <w:tblPrEx>
          <w:tblCellMar>
            <w:top w:w="0" w:type="dxa"/>
            <w:left w:w="108" w:type="dxa"/>
            <w:bottom w:w="0" w:type="dxa"/>
            <w:right w:w="108" w:type="dxa"/>
          </w:tblCellMar>
        </w:tblPrEx>
        <w:trPr>
          <w:trHeight w:val="312" w:hRule="atLeast"/>
        </w:trPr>
        <w:tc>
          <w:tcPr>
            <w:tcW w:w="376" w:type="pct"/>
            <w:tcBorders>
              <w:top w:val="single" w:color="000000" w:sz="4" w:space="0"/>
              <w:left w:val="single" w:color="000000" w:sz="4" w:space="0"/>
              <w:bottom w:val="single" w:color="000000" w:sz="4" w:space="0"/>
              <w:right w:val="single" w:color="000000" w:sz="4" w:space="0"/>
            </w:tcBorders>
            <w:vAlign w:val="center"/>
          </w:tcPr>
          <w:p w14:paraId="761C1C9F">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二</w:t>
            </w:r>
          </w:p>
        </w:tc>
        <w:tc>
          <w:tcPr>
            <w:tcW w:w="1064" w:type="pct"/>
            <w:tcBorders>
              <w:top w:val="single" w:color="000000" w:sz="4" w:space="0"/>
              <w:left w:val="single" w:color="000000" w:sz="4" w:space="0"/>
              <w:bottom w:val="single" w:color="000000" w:sz="4" w:space="0"/>
              <w:right w:val="single" w:color="000000" w:sz="4" w:space="0"/>
            </w:tcBorders>
            <w:vAlign w:val="center"/>
          </w:tcPr>
          <w:p w14:paraId="5F18FA37">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其他费用</w:t>
            </w:r>
          </w:p>
        </w:tc>
        <w:tc>
          <w:tcPr>
            <w:tcW w:w="627" w:type="pct"/>
            <w:tcBorders>
              <w:top w:val="single" w:color="000000" w:sz="4" w:space="0"/>
              <w:left w:val="single" w:color="000000" w:sz="4" w:space="0"/>
              <w:bottom w:val="single" w:color="000000" w:sz="4" w:space="0"/>
              <w:right w:val="single" w:color="000000" w:sz="4" w:space="0"/>
            </w:tcBorders>
            <w:vAlign w:val="center"/>
          </w:tcPr>
          <w:p w14:paraId="526A1649">
            <w:pPr>
              <w:widowControl/>
              <w:spacing w:line="360" w:lineRule="exact"/>
              <w:jc w:val="center"/>
              <w:textAlignment w:val="center"/>
              <w:rPr>
                <w:rFonts w:hint="eastAsia" w:ascii="宋体" w:hAnsi="宋体" w:cs="宋体"/>
                <w:color w:val="000000"/>
                <w:kern w:val="0"/>
                <w:szCs w:val="21"/>
                <w:highlight w:val="none"/>
                <w:lang w:bidi="ar"/>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13A3D938">
            <w:pPr>
              <w:widowControl/>
              <w:spacing w:line="360" w:lineRule="exact"/>
              <w:jc w:val="center"/>
              <w:textAlignment w:val="center"/>
              <w:rPr>
                <w:rFonts w:hint="eastAsia" w:ascii="宋体" w:hAnsi="宋体" w:cs="宋体"/>
                <w:color w:val="000000"/>
                <w:kern w:val="0"/>
                <w:szCs w:val="21"/>
                <w:highlight w:val="none"/>
                <w:lang w:bidi="ar"/>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72323459">
            <w:pPr>
              <w:widowControl/>
              <w:spacing w:line="360" w:lineRule="exact"/>
              <w:jc w:val="center"/>
              <w:textAlignment w:val="center"/>
              <w:rPr>
                <w:rFonts w:hint="eastAsia" w:ascii="宋体" w:hAnsi="宋体" w:cs="宋体"/>
                <w:color w:val="000000"/>
                <w:kern w:val="0"/>
                <w:szCs w:val="21"/>
                <w:highlight w:val="none"/>
                <w:lang w:bidi="ar"/>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26340B46">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86</w:t>
            </w:r>
          </w:p>
        </w:tc>
        <w:tc>
          <w:tcPr>
            <w:tcW w:w="1050" w:type="pct"/>
            <w:vMerge w:val="restart"/>
            <w:tcBorders>
              <w:top w:val="single" w:color="000000" w:sz="4" w:space="0"/>
              <w:left w:val="single" w:color="000000" w:sz="4" w:space="0"/>
              <w:bottom w:val="single" w:color="000000" w:sz="4" w:space="0"/>
              <w:right w:val="single" w:color="000000" w:sz="4" w:space="0"/>
            </w:tcBorders>
            <w:vAlign w:val="center"/>
          </w:tcPr>
          <w:p w14:paraId="37D2251E">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中标人须自筹，不作为竞争费用，报价时不作调整。</w:t>
            </w:r>
          </w:p>
        </w:tc>
      </w:tr>
      <w:tr w14:paraId="4919B845">
        <w:tblPrEx>
          <w:tblCellMar>
            <w:top w:w="0" w:type="dxa"/>
            <w:left w:w="108" w:type="dxa"/>
            <w:bottom w:w="0" w:type="dxa"/>
            <w:right w:w="108" w:type="dxa"/>
          </w:tblCellMar>
        </w:tblPrEx>
        <w:trPr>
          <w:trHeight w:val="312" w:hRule="atLeast"/>
        </w:trPr>
        <w:tc>
          <w:tcPr>
            <w:tcW w:w="376" w:type="pct"/>
            <w:tcBorders>
              <w:top w:val="single" w:color="000000" w:sz="4" w:space="0"/>
              <w:left w:val="single" w:color="000000" w:sz="4" w:space="0"/>
              <w:bottom w:val="single" w:color="000000" w:sz="4" w:space="0"/>
              <w:right w:val="single" w:color="000000" w:sz="4" w:space="0"/>
            </w:tcBorders>
            <w:vAlign w:val="center"/>
          </w:tcPr>
          <w:p w14:paraId="1B37F439">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2</w:t>
            </w:r>
          </w:p>
        </w:tc>
        <w:tc>
          <w:tcPr>
            <w:tcW w:w="1064" w:type="pct"/>
            <w:tcBorders>
              <w:top w:val="single" w:color="000000" w:sz="4" w:space="0"/>
              <w:left w:val="single" w:color="000000" w:sz="4" w:space="0"/>
              <w:bottom w:val="single" w:color="000000" w:sz="4" w:space="0"/>
              <w:right w:val="single" w:color="000000" w:sz="4" w:space="0"/>
            </w:tcBorders>
            <w:vAlign w:val="center"/>
          </w:tcPr>
          <w:p w14:paraId="01E7A5AE">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项目运营、系统集成与培训</w:t>
            </w:r>
          </w:p>
        </w:tc>
        <w:tc>
          <w:tcPr>
            <w:tcW w:w="627" w:type="pct"/>
            <w:tcBorders>
              <w:top w:val="single" w:color="000000" w:sz="4" w:space="0"/>
              <w:left w:val="single" w:color="000000" w:sz="4" w:space="0"/>
              <w:bottom w:val="single" w:color="000000" w:sz="4" w:space="0"/>
              <w:right w:val="single" w:color="000000" w:sz="4" w:space="0"/>
            </w:tcBorders>
            <w:vAlign w:val="center"/>
          </w:tcPr>
          <w:p w14:paraId="51EA9416">
            <w:pPr>
              <w:widowControl/>
              <w:spacing w:line="360" w:lineRule="exact"/>
              <w:jc w:val="center"/>
              <w:textAlignment w:val="center"/>
              <w:rPr>
                <w:rFonts w:hint="eastAsia" w:ascii="宋体" w:hAnsi="宋体" w:cs="宋体"/>
                <w:color w:val="000000"/>
                <w:kern w:val="0"/>
                <w:szCs w:val="21"/>
                <w:highlight w:val="none"/>
                <w:lang w:bidi="ar"/>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6E47AA74">
            <w:pPr>
              <w:widowControl/>
              <w:spacing w:line="360" w:lineRule="exact"/>
              <w:jc w:val="center"/>
              <w:textAlignment w:val="center"/>
              <w:rPr>
                <w:rFonts w:hint="eastAsia" w:ascii="宋体" w:hAnsi="宋体" w:cs="宋体"/>
                <w:color w:val="000000"/>
                <w:kern w:val="0"/>
                <w:szCs w:val="21"/>
                <w:highlight w:val="none"/>
                <w:lang w:bidi="ar"/>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106279A5">
            <w:pPr>
              <w:widowControl/>
              <w:spacing w:line="360" w:lineRule="exact"/>
              <w:jc w:val="center"/>
              <w:textAlignment w:val="center"/>
              <w:rPr>
                <w:rFonts w:hint="eastAsia" w:ascii="宋体" w:hAnsi="宋体" w:cs="宋体"/>
                <w:color w:val="000000"/>
                <w:kern w:val="0"/>
                <w:szCs w:val="21"/>
                <w:highlight w:val="none"/>
                <w:lang w:bidi="ar"/>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162F79B5">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86</w:t>
            </w:r>
          </w:p>
        </w:tc>
        <w:tc>
          <w:tcPr>
            <w:tcW w:w="1050" w:type="pct"/>
            <w:vMerge w:val="continue"/>
            <w:tcBorders>
              <w:left w:val="single" w:color="000000" w:sz="4" w:space="0"/>
              <w:right w:val="single" w:color="000000" w:sz="4" w:space="0"/>
            </w:tcBorders>
            <w:vAlign w:val="center"/>
          </w:tcPr>
          <w:p w14:paraId="6ED47A84">
            <w:pPr>
              <w:widowControl/>
              <w:spacing w:line="360" w:lineRule="exact"/>
              <w:jc w:val="center"/>
              <w:textAlignment w:val="center"/>
              <w:rPr>
                <w:rFonts w:hint="eastAsia" w:ascii="宋体" w:hAnsi="宋体" w:cs="宋体"/>
                <w:color w:val="000000"/>
                <w:kern w:val="0"/>
                <w:szCs w:val="21"/>
                <w:highlight w:val="none"/>
                <w:lang w:bidi="ar"/>
              </w:rPr>
            </w:pPr>
          </w:p>
        </w:tc>
      </w:tr>
      <w:tr w14:paraId="52463332">
        <w:tblPrEx>
          <w:tblCellMar>
            <w:top w:w="0" w:type="dxa"/>
            <w:left w:w="108" w:type="dxa"/>
            <w:bottom w:w="0" w:type="dxa"/>
            <w:right w:w="108" w:type="dxa"/>
          </w:tblCellMar>
        </w:tblPrEx>
        <w:trPr>
          <w:trHeight w:val="312" w:hRule="atLeast"/>
        </w:trPr>
        <w:tc>
          <w:tcPr>
            <w:tcW w:w="376" w:type="pct"/>
            <w:tcBorders>
              <w:top w:val="single" w:color="000000" w:sz="4" w:space="0"/>
              <w:left w:val="single" w:color="000000" w:sz="4" w:space="0"/>
              <w:bottom w:val="single" w:color="000000" w:sz="4" w:space="0"/>
              <w:right w:val="single" w:color="000000" w:sz="4" w:space="0"/>
            </w:tcBorders>
            <w:vAlign w:val="center"/>
          </w:tcPr>
          <w:p w14:paraId="5F0561D9">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2.1</w:t>
            </w:r>
          </w:p>
        </w:tc>
        <w:tc>
          <w:tcPr>
            <w:tcW w:w="1064" w:type="pct"/>
            <w:tcBorders>
              <w:top w:val="single" w:color="000000" w:sz="4" w:space="0"/>
              <w:left w:val="single" w:color="000000" w:sz="4" w:space="0"/>
              <w:bottom w:val="single" w:color="000000" w:sz="4" w:space="0"/>
              <w:right w:val="single" w:color="000000" w:sz="4" w:space="0"/>
            </w:tcBorders>
            <w:vAlign w:val="center"/>
          </w:tcPr>
          <w:p w14:paraId="11348407">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项目运营</w:t>
            </w:r>
          </w:p>
        </w:tc>
        <w:tc>
          <w:tcPr>
            <w:tcW w:w="627" w:type="pct"/>
            <w:tcBorders>
              <w:top w:val="single" w:color="000000" w:sz="4" w:space="0"/>
              <w:left w:val="single" w:color="000000" w:sz="4" w:space="0"/>
              <w:bottom w:val="single" w:color="000000" w:sz="4" w:space="0"/>
              <w:right w:val="single" w:color="000000" w:sz="4" w:space="0"/>
            </w:tcBorders>
            <w:vAlign w:val="center"/>
          </w:tcPr>
          <w:p w14:paraId="73868ED7">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p>
        </w:tc>
        <w:tc>
          <w:tcPr>
            <w:tcW w:w="627" w:type="pct"/>
            <w:tcBorders>
              <w:top w:val="single" w:color="000000" w:sz="4" w:space="0"/>
              <w:left w:val="single" w:color="000000" w:sz="4" w:space="0"/>
              <w:bottom w:val="single" w:color="000000" w:sz="4" w:space="0"/>
              <w:right w:val="single" w:color="000000" w:sz="4" w:space="0"/>
            </w:tcBorders>
            <w:vAlign w:val="center"/>
          </w:tcPr>
          <w:p w14:paraId="613FA09C">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项</w:t>
            </w:r>
          </w:p>
        </w:tc>
        <w:tc>
          <w:tcPr>
            <w:tcW w:w="627" w:type="pct"/>
            <w:tcBorders>
              <w:top w:val="single" w:color="000000" w:sz="4" w:space="0"/>
              <w:left w:val="single" w:color="000000" w:sz="4" w:space="0"/>
              <w:bottom w:val="single" w:color="000000" w:sz="4" w:space="0"/>
              <w:right w:val="single" w:color="000000" w:sz="4" w:space="0"/>
            </w:tcBorders>
            <w:vAlign w:val="center"/>
          </w:tcPr>
          <w:p w14:paraId="1D1361C5">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w:t>
            </w:r>
          </w:p>
        </w:tc>
        <w:tc>
          <w:tcPr>
            <w:tcW w:w="627" w:type="pct"/>
            <w:tcBorders>
              <w:top w:val="single" w:color="000000" w:sz="4" w:space="0"/>
              <w:left w:val="single" w:color="000000" w:sz="4" w:space="0"/>
              <w:bottom w:val="single" w:color="000000" w:sz="4" w:space="0"/>
              <w:right w:val="single" w:color="000000" w:sz="4" w:space="0"/>
            </w:tcBorders>
            <w:vAlign w:val="center"/>
          </w:tcPr>
          <w:p w14:paraId="647B446C">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w:t>
            </w:r>
          </w:p>
        </w:tc>
        <w:tc>
          <w:tcPr>
            <w:tcW w:w="1050" w:type="pct"/>
            <w:vMerge w:val="continue"/>
            <w:tcBorders>
              <w:top w:val="single" w:color="000000" w:sz="4" w:space="0"/>
              <w:left w:val="single" w:color="000000" w:sz="4" w:space="0"/>
              <w:bottom w:val="single" w:color="000000" w:sz="4" w:space="0"/>
              <w:right w:val="single" w:color="000000" w:sz="4" w:space="0"/>
            </w:tcBorders>
            <w:vAlign w:val="center"/>
          </w:tcPr>
          <w:p w14:paraId="5C3F3484">
            <w:pPr>
              <w:spacing w:line="360" w:lineRule="exact"/>
              <w:jc w:val="center"/>
              <w:rPr>
                <w:rFonts w:hint="eastAsia" w:ascii="宋体" w:hAnsi="宋体" w:cs="宋体"/>
                <w:color w:val="000000"/>
                <w:szCs w:val="21"/>
                <w:highlight w:val="none"/>
              </w:rPr>
            </w:pPr>
          </w:p>
        </w:tc>
      </w:tr>
      <w:tr w14:paraId="492F8D08">
        <w:tblPrEx>
          <w:tblCellMar>
            <w:top w:w="0" w:type="dxa"/>
            <w:left w:w="108" w:type="dxa"/>
            <w:bottom w:w="0" w:type="dxa"/>
            <w:right w:w="108" w:type="dxa"/>
          </w:tblCellMar>
        </w:tblPrEx>
        <w:trPr>
          <w:trHeight w:val="312" w:hRule="atLeast"/>
        </w:trPr>
        <w:tc>
          <w:tcPr>
            <w:tcW w:w="376" w:type="pct"/>
            <w:tcBorders>
              <w:top w:val="single" w:color="000000" w:sz="4" w:space="0"/>
              <w:left w:val="single" w:color="000000" w:sz="4" w:space="0"/>
              <w:bottom w:val="single" w:color="000000" w:sz="4" w:space="0"/>
              <w:right w:val="single" w:color="000000" w:sz="4" w:space="0"/>
            </w:tcBorders>
            <w:vAlign w:val="center"/>
          </w:tcPr>
          <w:p w14:paraId="67BEA2DE">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2.2</w:t>
            </w:r>
          </w:p>
        </w:tc>
        <w:tc>
          <w:tcPr>
            <w:tcW w:w="1064" w:type="pct"/>
            <w:tcBorders>
              <w:top w:val="single" w:color="000000" w:sz="4" w:space="0"/>
              <w:left w:val="single" w:color="000000" w:sz="4" w:space="0"/>
              <w:bottom w:val="single" w:color="000000" w:sz="4" w:space="0"/>
              <w:right w:val="single" w:color="000000" w:sz="4" w:space="0"/>
            </w:tcBorders>
            <w:vAlign w:val="center"/>
          </w:tcPr>
          <w:p w14:paraId="2AF5A89B">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系统集成费</w:t>
            </w:r>
          </w:p>
        </w:tc>
        <w:tc>
          <w:tcPr>
            <w:tcW w:w="627" w:type="pct"/>
            <w:tcBorders>
              <w:top w:val="single" w:color="000000" w:sz="4" w:space="0"/>
              <w:left w:val="single" w:color="000000" w:sz="4" w:space="0"/>
              <w:bottom w:val="single" w:color="000000" w:sz="4" w:space="0"/>
              <w:right w:val="single" w:color="000000" w:sz="4" w:space="0"/>
            </w:tcBorders>
            <w:vAlign w:val="center"/>
          </w:tcPr>
          <w:p w14:paraId="1F7D4DCE">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p>
        </w:tc>
        <w:tc>
          <w:tcPr>
            <w:tcW w:w="627" w:type="pct"/>
            <w:tcBorders>
              <w:top w:val="single" w:color="000000" w:sz="4" w:space="0"/>
              <w:left w:val="single" w:color="000000" w:sz="4" w:space="0"/>
              <w:bottom w:val="single" w:color="000000" w:sz="4" w:space="0"/>
              <w:right w:val="single" w:color="000000" w:sz="4" w:space="0"/>
            </w:tcBorders>
            <w:vAlign w:val="center"/>
          </w:tcPr>
          <w:p w14:paraId="3E30D22C">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项</w:t>
            </w:r>
          </w:p>
        </w:tc>
        <w:tc>
          <w:tcPr>
            <w:tcW w:w="627" w:type="pct"/>
            <w:tcBorders>
              <w:top w:val="single" w:color="000000" w:sz="4" w:space="0"/>
              <w:left w:val="single" w:color="000000" w:sz="4" w:space="0"/>
              <w:bottom w:val="single" w:color="000000" w:sz="4" w:space="0"/>
              <w:right w:val="single" w:color="000000" w:sz="4" w:space="0"/>
            </w:tcBorders>
            <w:vAlign w:val="center"/>
          </w:tcPr>
          <w:p w14:paraId="6CD82B35">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80</w:t>
            </w:r>
          </w:p>
        </w:tc>
        <w:tc>
          <w:tcPr>
            <w:tcW w:w="627" w:type="pct"/>
            <w:tcBorders>
              <w:top w:val="single" w:color="000000" w:sz="4" w:space="0"/>
              <w:left w:val="single" w:color="000000" w:sz="4" w:space="0"/>
              <w:bottom w:val="single" w:color="000000" w:sz="4" w:space="0"/>
              <w:right w:val="single" w:color="000000" w:sz="4" w:space="0"/>
            </w:tcBorders>
            <w:vAlign w:val="center"/>
          </w:tcPr>
          <w:p w14:paraId="486975DA">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80</w:t>
            </w:r>
          </w:p>
        </w:tc>
        <w:tc>
          <w:tcPr>
            <w:tcW w:w="1050" w:type="pct"/>
            <w:vMerge w:val="continue"/>
            <w:tcBorders>
              <w:top w:val="single" w:color="000000" w:sz="4" w:space="0"/>
              <w:left w:val="single" w:color="000000" w:sz="4" w:space="0"/>
              <w:bottom w:val="single" w:color="000000" w:sz="4" w:space="0"/>
              <w:right w:val="single" w:color="000000" w:sz="4" w:space="0"/>
            </w:tcBorders>
            <w:vAlign w:val="center"/>
          </w:tcPr>
          <w:p w14:paraId="101A853A">
            <w:pPr>
              <w:spacing w:line="360" w:lineRule="exact"/>
              <w:jc w:val="center"/>
              <w:rPr>
                <w:rFonts w:hint="eastAsia" w:ascii="宋体" w:hAnsi="宋体" w:cs="宋体"/>
                <w:color w:val="000000"/>
                <w:szCs w:val="21"/>
                <w:highlight w:val="none"/>
              </w:rPr>
            </w:pPr>
          </w:p>
        </w:tc>
      </w:tr>
      <w:tr w14:paraId="4E12DFBF">
        <w:tblPrEx>
          <w:tblCellMar>
            <w:top w:w="0" w:type="dxa"/>
            <w:left w:w="108" w:type="dxa"/>
            <w:bottom w:w="0" w:type="dxa"/>
            <w:right w:w="108" w:type="dxa"/>
          </w:tblCellMar>
        </w:tblPrEx>
        <w:trPr>
          <w:trHeight w:val="312" w:hRule="atLeast"/>
        </w:trPr>
        <w:tc>
          <w:tcPr>
            <w:tcW w:w="376" w:type="pct"/>
            <w:tcBorders>
              <w:top w:val="single" w:color="000000" w:sz="4" w:space="0"/>
              <w:left w:val="single" w:color="000000" w:sz="4" w:space="0"/>
              <w:bottom w:val="single" w:color="000000" w:sz="4" w:space="0"/>
              <w:right w:val="single" w:color="000000" w:sz="4" w:space="0"/>
            </w:tcBorders>
            <w:vAlign w:val="center"/>
          </w:tcPr>
          <w:p w14:paraId="28A3B321">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2.3</w:t>
            </w:r>
          </w:p>
        </w:tc>
        <w:tc>
          <w:tcPr>
            <w:tcW w:w="1064" w:type="pct"/>
            <w:tcBorders>
              <w:top w:val="single" w:color="000000" w:sz="4" w:space="0"/>
              <w:left w:val="single" w:color="000000" w:sz="4" w:space="0"/>
              <w:bottom w:val="single" w:color="000000" w:sz="4" w:space="0"/>
              <w:right w:val="single" w:color="000000" w:sz="4" w:space="0"/>
            </w:tcBorders>
            <w:vAlign w:val="center"/>
          </w:tcPr>
          <w:p w14:paraId="4CF80738">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培训费</w:t>
            </w:r>
          </w:p>
        </w:tc>
        <w:tc>
          <w:tcPr>
            <w:tcW w:w="627" w:type="pct"/>
            <w:tcBorders>
              <w:top w:val="single" w:color="000000" w:sz="4" w:space="0"/>
              <w:left w:val="single" w:color="000000" w:sz="4" w:space="0"/>
              <w:bottom w:val="single" w:color="000000" w:sz="4" w:space="0"/>
              <w:right w:val="single" w:color="000000" w:sz="4" w:space="0"/>
            </w:tcBorders>
            <w:vAlign w:val="center"/>
          </w:tcPr>
          <w:p w14:paraId="0B9A4B47">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1</w:t>
            </w:r>
          </w:p>
        </w:tc>
        <w:tc>
          <w:tcPr>
            <w:tcW w:w="627" w:type="pct"/>
            <w:tcBorders>
              <w:top w:val="single" w:color="000000" w:sz="4" w:space="0"/>
              <w:left w:val="single" w:color="000000" w:sz="4" w:space="0"/>
              <w:bottom w:val="single" w:color="000000" w:sz="4" w:space="0"/>
              <w:right w:val="single" w:color="000000" w:sz="4" w:space="0"/>
            </w:tcBorders>
            <w:vAlign w:val="center"/>
          </w:tcPr>
          <w:p w14:paraId="340A5445">
            <w:pPr>
              <w:widowControl/>
              <w:spacing w:line="360" w:lineRule="exact"/>
              <w:jc w:val="center"/>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项</w:t>
            </w:r>
          </w:p>
        </w:tc>
        <w:tc>
          <w:tcPr>
            <w:tcW w:w="627" w:type="pct"/>
            <w:tcBorders>
              <w:top w:val="single" w:color="000000" w:sz="4" w:space="0"/>
              <w:left w:val="single" w:color="000000" w:sz="4" w:space="0"/>
              <w:bottom w:val="single" w:color="000000" w:sz="4" w:space="0"/>
              <w:right w:val="single" w:color="000000" w:sz="4" w:space="0"/>
            </w:tcBorders>
            <w:vAlign w:val="center"/>
          </w:tcPr>
          <w:p w14:paraId="5EBB5175">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6</w:t>
            </w:r>
          </w:p>
        </w:tc>
        <w:tc>
          <w:tcPr>
            <w:tcW w:w="627" w:type="pct"/>
            <w:tcBorders>
              <w:top w:val="single" w:color="000000" w:sz="4" w:space="0"/>
              <w:left w:val="single" w:color="000000" w:sz="4" w:space="0"/>
              <w:bottom w:val="single" w:color="000000" w:sz="4" w:space="0"/>
              <w:right w:val="single" w:color="000000" w:sz="4" w:space="0"/>
            </w:tcBorders>
            <w:vAlign w:val="center"/>
          </w:tcPr>
          <w:p w14:paraId="57A93E50">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6</w:t>
            </w:r>
          </w:p>
        </w:tc>
        <w:tc>
          <w:tcPr>
            <w:tcW w:w="1050" w:type="pct"/>
            <w:vMerge w:val="continue"/>
            <w:tcBorders>
              <w:top w:val="single" w:color="000000" w:sz="4" w:space="0"/>
              <w:left w:val="single" w:color="000000" w:sz="4" w:space="0"/>
              <w:bottom w:val="single" w:color="000000" w:sz="4" w:space="0"/>
              <w:right w:val="single" w:color="000000" w:sz="4" w:space="0"/>
            </w:tcBorders>
            <w:vAlign w:val="center"/>
          </w:tcPr>
          <w:p w14:paraId="20CAD434">
            <w:pPr>
              <w:spacing w:line="360" w:lineRule="exact"/>
              <w:jc w:val="center"/>
              <w:rPr>
                <w:rFonts w:hint="eastAsia" w:ascii="宋体" w:hAnsi="宋体" w:cs="宋体"/>
                <w:color w:val="000000"/>
                <w:szCs w:val="21"/>
                <w:highlight w:val="none"/>
              </w:rPr>
            </w:pPr>
          </w:p>
        </w:tc>
      </w:tr>
      <w:tr w14:paraId="530A2325">
        <w:tblPrEx>
          <w:tblCellMar>
            <w:top w:w="0" w:type="dxa"/>
            <w:left w:w="108" w:type="dxa"/>
            <w:bottom w:w="0" w:type="dxa"/>
            <w:right w:w="108" w:type="dxa"/>
          </w:tblCellMar>
        </w:tblPrEx>
        <w:trPr>
          <w:trHeight w:val="312" w:hRule="atLeast"/>
        </w:trPr>
        <w:tc>
          <w:tcPr>
            <w:tcW w:w="1440" w:type="pct"/>
            <w:gridSpan w:val="2"/>
            <w:tcBorders>
              <w:top w:val="single" w:color="000000" w:sz="4" w:space="0"/>
              <w:left w:val="single" w:color="000000" w:sz="4" w:space="0"/>
              <w:bottom w:val="single" w:color="000000" w:sz="4" w:space="0"/>
              <w:right w:val="single" w:color="000000" w:sz="4" w:space="0"/>
            </w:tcBorders>
            <w:noWrap/>
            <w:vAlign w:val="center"/>
          </w:tcPr>
          <w:p w14:paraId="355EF60B">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合计</w:t>
            </w:r>
          </w:p>
        </w:tc>
        <w:tc>
          <w:tcPr>
            <w:tcW w:w="627" w:type="pct"/>
            <w:tcBorders>
              <w:top w:val="single" w:color="000000" w:sz="4" w:space="0"/>
              <w:left w:val="single" w:color="000000" w:sz="4" w:space="0"/>
              <w:bottom w:val="single" w:color="000000" w:sz="4" w:space="0"/>
              <w:right w:val="single" w:color="000000" w:sz="4" w:space="0"/>
            </w:tcBorders>
            <w:noWrap/>
            <w:vAlign w:val="center"/>
          </w:tcPr>
          <w:p w14:paraId="2E59EFB7">
            <w:pPr>
              <w:widowControl/>
              <w:spacing w:line="360" w:lineRule="exact"/>
              <w:jc w:val="center"/>
              <w:textAlignment w:val="center"/>
              <w:rPr>
                <w:rFonts w:hint="eastAsia" w:ascii="宋体" w:hAnsi="宋体" w:cs="宋体"/>
                <w:color w:val="000000"/>
                <w:kern w:val="0"/>
                <w:szCs w:val="21"/>
                <w:highlight w:val="none"/>
                <w:lang w:bidi="ar"/>
              </w:rPr>
            </w:pPr>
          </w:p>
        </w:tc>
        <w:tc>
          <w:tcPr>
            <w:tcW w:w="627" w:type="pct"/>
            <w:tcBorders>
              <w:top w:val="single" w:color="000000" w:sz="4" w:space="0"/>
              <w:left w:val="single" w:color="000000" w:sz="4" w:space="0"/>
              <w:bottom w:val="single" w:color="000000" w:sz="4" w:space="0"/>
              <w:right w:val="single" w:color="000000" w:sz="4" w:space="0"/>
            </w:tcBorders>
            <w:noWrap/>
            <w:vAlign w:val="center"/>
          </w:tcPr>
          <w:p w14:paraId="2BE7BFFB">
            <w:pPr>
              <w:widowControl/>
              <w:spacing w:line="360" w:lineRule="exact"/>
              <w:jc w:val="center"/>
              <w:textAlignment w:val="center"/>
              <w:rPr>
                <w:rFonts w:hint="eastAsia" w:ascii="宋体" w:hAnsi="宋体" w:cs="宋体"/>
                <w:color w:val="000000"/>
                <w:kern w:val="0"/>
                <w:szCs w:val="21"/>
                <w:highlight w:val="none"/>
                <w:lang w:bidi="ar"/>
              </w:rPr>
            </w:pPr>
          </w:p>
        </w:tc>
        <w:tc>
          <w:tcPr>
            <w:tcW w:w="627" w:type="pct"/>
            <w:tcBorders>
              <w:top w:val="single" w:color="000000" w:sz="4" w:space="0"/>
              <w:left w:val="single" w:color="000000" w:sz="4" w:space="0"/>
              <w:bottom w:val="single" w:color="000000" w:sz="4" w:space="0"/>
              <w:right w:val="single" w:color="000000" w:sz="4" w:space="0"/>
            </w:tcBorders>
            <w:noWrap/>
            <w:vAlign w:val="center"/>
          </w:tcPr>
          <w:p w14:paraId="675FA1B1">
            <w:pPr>
              <w:widowControl/>
              <w:spacing w:line="360" w:lineRule="exact"/>
              <w:jc w:val="center"/>
              <w:textAlignment w:val="center"/>
              <w:rPr>
                <w:rFonts w:hint="eastAsia" w:ascii="宋体" w:hAnsi="宋体" w:cs="宋体"/>
                <w:color w:val="000000"/>
                <w:kern w:val="0"/>
                <w:szCs w:val="21"/>
                <w:highlight w:val="none"/>
                <w:lang w:bidi="ar"/>
              </w:rPr>
            </w:pPr>
          </w:p>
        </w:tc>
        <w:tc>
          <w:tcPr>
            <w:tcW w:w="627" w:type="pct"/>
            <w:tcBorders>
              <w:top w:val="single" w:color="000000" w:sz="4" w:space="0"/>
              <w:left w:val="single" w:color="000000" w:sz="4" w:space="0"/>
              <w:bottom w:val="single" w:color="000000" w:sz="4" w:space="0"/>
              <w:right w:val="single" w:color="000000" w:sz="4" w:space="0"/>
            </w:tcBorders>
            <w:noWrap/>
            <w:vAlign w:val="center"/>
          </w:tcPr>
          <w:p w14:paraId="7AD9A85E">
            <w:pPr>
              <w:widowControl/>
              <w:spacing w:line="360" w:lineRule="exact"/>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2200</w:t>
            </w:r>
          </w:p>
        </w:tc>
        <w:tc>
          <w:tcPr>
            <w:tcW w:w="1050" w:type="pct"/>
            <w:tcBorders>
              <w:top w:val="single" w:color="000000" w:sz="4" w:space="0"/>
              <w:left w:val="single" w:color="000000" w:sz="4" w:space="0"/>
              <w:bottom w:val="single" w:color="000000" w:sz="4" w:space="0"/>
              <w:right w:val="single" w:color="000000" w:sz="4" w:space="0"/>
            </w:tcBorders>
            <w:vAlign w:val="center"/>
          </w:tcPr>
          <w:p w14:paraId="256D04D0">
            <w:pPr>
              <w:spacing w:line="360" w:lineRule="exact"/>
              <w:rPr>
                <w:rFonts w:hint="eastAsia" w:ascii="宋体" w:hAnsi="宋体" w:cs="宋体"/>
                <w:color w:val="000000"/>
                <w:szCs w:val="21"/>
                <w:highlight w:val="none"/>
              </w:rPr>
            </w:pPr>
          </w:p>
        </w:tc>
      </w:tr>
    </w:tbl>
    <w:p w14:paraId="081DE0C6">
      <w:pPr>
        <w:spacing w:line="360" w:lineRule="exact"/>
        <w:ind w:firstLine="422" w:firstLineChars="200"/>
        <w:rPr>
          <w:rFonts w:hint="eastAsia" w:ascii="宋体" w:hAnsi="宋体" w:cs="宋体"/>
          <w:b/>
          <w:bCs/>
          <w:szCs w:val="21"/>
          <w:highlight w:val="none"/>
        </w:rPr>
      </w:pPr>
      <w:r>
        <w:rPr>
          <w:rFonts w:hint="eastAsia" w:ascii="宋体" w:hAnsi="宋体" w:cs="宋体"/>
          <w:b/>
          <w:bCs/>
          <w:szCs w:val="21"/>
          <w:highlight w:val="none"/>
        </w:rPr>
        <w:t>注：</w:t>
      </w:r>
      <w:r>
        <w:rPr>
          <w:rFonts w:hint="eastAsia" w:ascii="宋体" w:hAnsi="宋体" w:cs="宋体"/>
          <w:b/>
          <w:bCs/>
          <w:szCs w:val="21"/>
          <w:highlight w:val="none"/>
          <w:lang w:val="en-US" w:eastAsia="zh-CN"/>
        </w:rPr>
        <w:t>①投标人须承诺中标后在项目建设期内自筹资金需达到2200万元，并提供相关投资资金证明；须提供书面承诺，格式自拟，否则视为无效投标。②</w:t>
      </w:r>
      <w:r>
        <w:rPr>
          <w:rFonts w:hint="eastAsia" w:ascii="宋体" w:hAnsi="宋体" w:cs="宋体"/>
          <w:b/>
          <w:bCs/>
          <w:szCs w:val="21"/>
          <w:highlight w:val="none"/>
        </w:rPr>
        <w:t>投标人须在投标文件报价部分按照上述</w:t>
      </w:r>
      <w:r>
        <w:rPr>
          <w:rFonts w:hint="eastAsia" w:ascii="宋体" w:hAnsi="宋体" w:cs="宋体"/>
          <w:b/>
          <w:szCs w:val="21"/>
          <w:highlight w:val="none"/>
        </w:rPr>
        <w:t>项目总投资清单要求提供分项报价表</w:t>
      </w:r>
      <w:r>
        <w:rPr>
          <w:rFonts w:hint="eastAsia" w:ascii="宋体" w:hAnsi="宋体" w:cs="宋体"/>
          <w:b/>
          <w:bCs/>
          <w:szCs w:val="21"/>
          <w:highlight w:val="none"/>
        </w:rPr>
        <w:t>，其中“中标企业自筹”部分属于不可竞争项，投标报价不得调整</w:t>
      </w:r>
      <w:r>
        <w:rPr>
          <w:rFonts w:hint="eastAsia" w:ascii="宋体" w:hAnsi="宋体" w:cs="宋体"/>
          <w:b/>
          <w:bCs/>
          <w:szCs w:val="21"/>
          <w:highlight w:val="none"/>
          <w:lang w:eastAsia="zh-CN"/>
        </w:rPr>
        <w:t>（</w:t>
      </w:r>
      <w:r>
        <w:rPr>
          <w:rFonts w:hint="eastAsia" w:ascii="宋体" w:hAnsi="宋体" w:cs="宋体"/>
          <w:b/>
          <w:bCs/>
          <w:szCs w:val="21"/>
          <w:highlight w:val="none"/>
        </w:rPr>
        <w:t>即投标报价须等于该部分预算金额</w:t>
      </w:r>
      <w:r>
        <w:rPr>
          <w:rFonts w:hint="eastAsia" w:ascii="宋体" w:hAnsi="宋体" w:cs="宋体"/>
          <w:b/>
          <w:bCs/>
          <w:szCs w:val="21"/>
          <w:highlight w:val="none"/>
          <w:lang w:eastAsia="zh-CN"/>
        </w:rPr>
        <w:t>）</w:t>
      </w:r>
      <w:r>
        <w:rPr>
          <w:rFonts w:hint="eastAsia" w:ascii="宋体" w:hAnsi="宋体" w:cs="宋体"/>
          <w:b/>
          <w:bCs/>
          <w:szCs w:val="21"/>
          <w:highlight w:val="none"/>
        </w:rPr>
        <w:t>，否则视为无效投标。</w:t>
      </w:r>
    </w:p>
    <w:p w14:paraId="67D9BB5B">
      <w:pPr>
        <w:pStyle w:val="70"/>
        <w:spacing w:line="360" w:lineRule="exact"/>
        <w:rPr>
          <w:rFonts w:hint="eastAsia" w:ascii="宋体" w:hAnsi="宋体" w:cs="宋体"/>
          <w:b/>
          <w:sz w:val="21"/>
          <w:szCs w:val="21"/>
          <w:highlight w:val="none"/>
        </w:rPr>
      </w:pPr>
    </w:p>
    <w:p w14:paraId="1ED0627A">
      <w:pPr>
        <w:pStyle w:val="10"/>
        <w:spacing w:before="0" w:beforeAutospacing="0" w:after="0" w:afterAutospacing="0" w:line="360" w:lineRule="exact"/>
        <w:outlineLvl w:val="1"/>
        <w:rPr>
          <w:rFonts w:hint="eastAsia" w:ascii="宋体" w:hAnsi="宋体" w:cs="宋体"/>
          <w:b/>
          <w:sz w:val="21"/>
          <w:szCs w:val="21"/>
          <w:highlight w:val="none"/>
        </w:rPr>
      </w:pPr>
      <w:r>
        <w:rPr>
          <w:rFonts w:hint="eastAsia" w:ascii="宋体" w:hAnsi="宋体" w:cs="宋体"/>
          <w:b/>
          <w:sz w:val="21"/>
          <w:szCs w:val="21"/>
          <w:highlight w:val="none"/>
        </w:rPr>
        <w:t>二、技术和服务要求（以“★”标示的内容为不允许负偏离的实质性要求）</w:t>
      </w:r>
      <w:bookmarkEnd w:id="60"/>
    </w:p>
    <w:p w14:paraId="1A6310C2">
      <w:pPr>
        <w:pStyle w:val="5"/>
        <w:numPr>
          <w:ilvl w:val="0"/>
          <w:numId w:val="0"/>
        </w:numPr>
        <w:spacing w:beforeAutospacing="0" w:afterAutospacing="0" w:line="360" w:lineRule="exact"/>
        <w:rPr>
          <w:rFonts w:eastAsia="宋体" w:cs="宋体"/>
          <w:sz w:val="21"/>
          <w:szCs w:val="21"/>
          <w:highlight w:val="none"/>
          <w:lang w:eastAsia="zh-Hans"/>
        </w:rPr>
      </w:pPr>
      <w:r>
        <w:rPr>
          <w:rFonts w:eastAsia="宋体" w:cs="宋体"/>
          <w:sz w:val="21"/>
          <w:szCs w:val="21"/>
          <w:highlight w:val="none"/>
        </w:rPr>
        <w:t>1-1</w:t>
      </w:r>
      <w:r>
        <w:rPr>
          <w:rFonts w:eastAsia="宋体" w:cs="宋体"/>
          <w:sz w:val="21"/>
          <w:szCs w:val="21"/>
          <w:highlight w:val="none"/>
          <w:lang w:eastAsia="zh-Hans"/>
        </w:rPr>
        <w:t>采购人投资</w:t>
      </w:r>
    </w:p>
    <w:p w14:paraId="4E5755B6">
      <w:pPr>
        <w:numPr>
          <w:ilvl w:val="0"/>
          <w:numId w:val="2"/>
        </w:numPr>
        <w:spacing w:line="360" w:lineRule="exact"/>
        <w:ind w:firstLine="420" w:firstLineChars="200"/>
        <w:outlineLvl w:val="3"/>
        <w:rPr>
          <w:rFonts w:hint="eastAsia" w:ascii="宋体" w:hAnsi="宋体" w:cs="宋体"/>
          <w:b/>
          <w:bCs/>
          <w:kern w:val="44"/>
          <w:szCs w:val="21"/>
          <w:highlight w:val="none"/>
        </w:rPr>
      </w:pPr>
      <w:bookmarkStart w:id="62" w:name="_Toc233191520"/>
      <w:r>
        <w:rPr>
          <w:rFonts w:hint="eastAsia" w:ascii="宋体" w:hAnsi="宋体" w:cs="宋体"/>
          <w:szCs w:val="21"/>
          <w:highlight w:val="none"/>
        </w:rPr>
        <w:t>★</w:t>
      </w:r>
      <w:r>
        <w:rPr>
          <w:rFonts w:hint="eastAsia" w:ascii="宋体" w:hAnsi="宋体" w:cs="宋体"/>
          <w:b/>
          <w:bCs/>
          <w:kern w:val="44"/>
          <w:szCs w:val="21"/>
          <w:highlight w:val="none"/>
        </w:rPr>
        <w:t>可信数据空间平台</w:t>
      </w:r>
      <w:bookmarkEnd w:id="62"/>
      <w:r>
        <w:rPr>
          <w:rFonts w:hint="eastAsia" w:ascii="宋体" w:hAnsi="宋体" w:cs="宋体"/>
          <w:b/>
          <w:bCs/>
          <w:kern w:val="44"/>
          <w:szCs w:val="21"/>
          <w:highlight w:val="none"/>
        </w:rPr>
        <w:t>（1套）</w:t>
      </w:r>
    </w:p>
    <w:p w14:paraId="13A700A5">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投标人须依据国家数据基础设施相关标准构建一套一体化可信数据安全底座，集成统一访问门户、集中安全管控能力，为跨主体数据流通提供互信、可控、可追溯的协同运行环境。平台需实现精细化权限管控、行为全程留痕、流通安全监管，严格落实数据“可用不可见、可用可计量、操作留痕、风险可控”管控要求，全面保障数据流通合规性、安全性，筑牢区域数据要素流通安全防线。平台包含可信身份认证、隐私计算、数据沙箱、区块链存证、智能合约、数据连接器六大功能模块。</w:t>
      </w:r>
    </w:p>
    <w:p w14:paraId="36763CF4">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具体功能要求如下：</w:t>
      </w:r>
    </w:p>
    <w:p w14:paraId="74AF212D">
      <w:pPr>
        <w:numPr>
          <w:ilvl w:val="1"/>
          <w:numId w:val="2"/>
        </w:numPr>
        <w:spacing w:line="360" w:lineRule="exact"/>
        <w:ind w:firstLine="422" w:firstLineChars="200"/>
        <w:outlineLvl w:val="4"/>
        <w:rPr>
          <w:rFonts w:hint="eastAsia" w:ascii="宋体" w:hAnsi="宋体" w:cs="宋体"/>
          <w:b/>
          <w:kern w:val="44"/>
          <w:szCs w:val="21"/>
          <w:highlight w:val="none"/>
        </w:rPr>
      </w:pPr>
      <w:bookmarkStart w:id="63" w:name="_Toc233191521"/>
      <w:r>
        <w:rPr>
          <w:rFonts w:hint="eastAsia" w:ascii="宋体" w:hAnsi="宋体" w:cs="宋体"/>
          <w:b/>
          <w:kern w:val="44"/>
          <w:szCs w:val="21"/>
          <w:highlight w:val="none"/>
        </w:rPr>
        <w:t>可信身份认证</w:t>
      </w:r>
      <w:bookmarkEnd w:id="63"/>
      <w:r>
        <w:rPr>
          <w:rFonts w:hint="eastAsia" w:ascii="宋体" w:hAnsi="宋体" w:cs="宋体"/>
          <w:b/>
          <w:kern w:val="44"/>
          <w:szCs w:val="21"/>
          <w:highlight w:val="none"/>
        </w:rPr>
        <w:t>（1套）</w:t>
      </w:r>
    </w:p>
    <w:p w14:paraId="4F7B655B">
      <w:pPr>
        <w:numPr>
          <w:ilvl w:val="2"/>
          <w:numId w:val="2"/>
        </w:numPr>
        <w:spacing w:line="360" w:lineRule="exact"/>
        <w:ind w:firstLine="422" w:firstLineChars="200"/>
        <w:outlineLvl w:val="5"/>
        <w:rPr>
          <w:rFonts w:hint="eastAsia" w:ascii="宋体" w:hAnsi="宋体" w:cs="宋体"/>
          <w:b/>
          <w:bCs/>
          <w:kern w:val="44"/>
          <w:szCs w:val="21"/>
          <w:highlight w:val="none"/>
        </w:rPr>
      </w:pPr>
      <w:bookmarkStart w:id="64" w:name="_Toc233191522"/>
      <w:r>
        <w:rPr>
          <w:rFonts w:hint="eastAsia" w:ascii="宋体" w:hAnsi="宋体" w:cs="宋体"/>
          <w:b/>
          <w:bCs/>
          <w:kern w:val="44"/>
          <w:szCs w:val="21"/>
          <w:highlight w:val="none"/>
        </w:rPr>
        <w:t>跟省统一身份认证平台对接</w:t>
      </w:r>
      <w:bookmarkEnd w:id="64"/>
    </w:p>
    <w:p w14:paraId="742D861D">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支持基于 OAuth2.0、OIDC、SAML2.0 协议完成省级统一身份认证平台对接，可配置对接地址、密钥、回调地址等参数，实现参数加密存储、自动校验与连通性检测；实时监控对接服务状态，出现异常自动告警、超时重试并启用降级策略；支持配置省平台与本平台账号的映射规则，实现身份互通。</w:t>
      </w:r>
    </w:p>
    <w:p w14:paraId="64394E75">
      <w:pPr>
        <w:numPr>
          <w:ilvl w:val="2"/>
          <w:numId w:val="2"/>
        </w:numPr>
        <w:spacing w:line="360" w:lineRule="exact"/>
        <w:ind w:firstLine="422" w:firstLineChars="200"/>
        <w:outlineLvl w:val="5"/>
        <w:rPr>
          <w:rFonts w:hint="eastAsia" w:ascii="宋体" w:hAnsi="宋体" w:cs="宋体"/>
          <w:b/>
          <w:bCs/>
          <w:kern w:val="44"/>
          <w:szCs w:val="21"/>
          <w:highlight w:val="none"/>
        </w:rPr>
      </w:pPr>
      <w:bookmarkStart w:id="65" w:name="_Toc233191523"/>
      <w:r>
        <w:rPr>
          <w:rFonts w:hint="eastAsia" w:ascii="宋体" w:hAnsi="宋体" w:cs="宋体"/>
          <w:b/>
          <w:bCs/>
          <w:kern w:val="44"/>
          <w:szCs w:val="21"/>
          <w:highlight w:val="none"/>
        </w:rPr>
        <w:t>登录注册</w:t>
      </w:r>
      <w:bookmarkEnd w:id="65"/>
    </w:p>
    <w:p w14:paraId="4750993F">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采用手机号作为核心验证方式，集成图片验证码、短信验证码双重安全校验，短信由自有短信平台提供；支持账号密码登录，限制密码错误尝试次数，超时自动锁定账号；管控账号异地登录、签约状态，平台协议、隐私政策更新时主动提醒用户重新确认，全面保障账号访问安全与合规。</w:t>
      </w:r>
    </w:p>
    <w:p w14:paraId="2FE8A641">
      <w:pPr>
        <w:numPr>
          <w:ilvl w:val="1"/>
          <w:numId w:val="2"/>
        </w:numPr>
        <w:spacing w:line="360" w:lineRule="exact"/>
        <w:ind w:firstLine="422" w:firstLineChars="200"/>
        <w:outlineLvl w:val="4"/>
        <w:rPr>
          <w:rFonts w:hint="eastAsia" w:ascii="宋体" w:hAnsi="宋体" w:cs="宋体"/>
          <w:b/>
          <w:kern w:val="44"/>
          <w:szCs w:val="21"/>
          <w:highlight w:val="none"/>
        </w:rPr>
      </w:pPr>
      <w:bookmarkStart w:id="66" w:name="_Toc233191524"/>
      <w:r>
        <w:rPr>
          <w:rFonts w:hint="eastAsia" w:ascii="宋体" w:hAnsi="宋体" w:cs="宋体"/>
          <w:b/>
          <w:kern w:val="44"/>
          <w:szCs w:val="21"/>
          <w:highlight w:val="none"/>
        </w:rPr>
        <w:t>隐私计算</w:t>
      </w:r>
      <w:bookmarkEnd w:id="66"/>
      <w:r>
        <w:rPr>
          <w:rFonts w:hint="eastAsia" w:ascii="宋体" w:hAnsi="宋体" w:cs="宋体"/>
          <w:b/>
          <w:kern w:val="44"/>
          <w:szCs w:val="21"/>
          <w:highlight w:val="none"/>
        </w:rPr>
        <w:t>（1套）</w:t>
      </w:r>
    </w:p>
    <w:p w14:paraId="60B22568">
      <w:pPr>
        <w:numPr>
          <w:ilvl w:val="2"/>
          <w:numId w:val="2"/>
        </w:numPr>
        <w:spacing w:line="360" w:lineRule="exact"/>
        <w:ind w:firstLine="422" w:firstLineChars="200"/>
        <w:outlineLvl w:val="5"/>
        <w:rPr>
          <w:rFonts w:hint="eastAsia" w:ascii="宋体" w:hAnsi="宋体" w:cs="宋体"/>
          <w:b/>
          <w:bCs/>
          <w:kern w:val="44"/>
          <w:szCs w:val="21"/>
          <w:highlight w:val="none"/>
        </w:rPr>
      </w:pPr>
      <w:bookmarkStart w:id="67" w:name="_Toc233191525"/>
      <w:r>
        <w:rPr>
          <w:rFonts w:hint="eastAsia" w:ascii="宋体" w:hAnsi="宋体" w:cs="宋体"/>
          <w:b/>
          <w:bCs/>
          <w:kern w:val="44"/>
          <w:szCs w:val="21"/>
          <w:highlight w:val="none"/>
        </w:rPr>
        <w:t>联盟与成员管理</w:t>
      </w:r>
      <w:bookmarkEnd w:id="67"/>
    </w:p>
    <w:p w14:paraId="6B20BBC3">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支持展示联邦学习联盟内所有成员单位信息；提供节点信息、平台注册用户信息查询功能，完整记录用户登录、操作日志；可设置黑名单，对指定用户进行拦截，拒绝其发起的计算任务及合作建模请求。</w:t>
      </w:r>
    </w:p>
    <w:p w14:paraId="273ACCAA">
      <w:pPr>
        <w:numPr>
          <w:ilvl w:val="2"/>
          <w:numId w:val="2"/>
        </w:numPr>
        <w:spacing w:line="360" w:lineRule="exact"/>
        <w:ind w:firstLine="422" w:firstLineChars="200"/>
        <w:outlineLvl w:val="5"/>
        <w:rPr>
          <w:rFonts w:hint="eastAsia" w:ascii="宋体" w:hAnsi="宋体" w:cs="宋体"/>
          <w:b/>
          <w:bCs/>
          <w:kern w:val="44"/>
          <w:szCs w:val="21"/>
          <w:highlight w:val="none"/>
        </w:rPr>
      </w:pPr>
      <w:bookmarkStart w:id="68" w:name="_Toc233191526"/>
      <w:r>
        <w:rPr>
          <w:rFonts w:hint="eastAsia" w:ascii="宋体" w:hAnsi="宋体" w:cs="宋体"/>
          <w:b/>
          <w:bCs/>
          <w:kern w:val="44"/>
          <w:szCs w:val="21"/>
          <w:highlight w:val="none"/>
        </w:rPr>
        <w:t>数据集管理</w:t>
      </w:r>
      <w:bookmarkEnd w:id="68"/>
    </w:p>
    <w:p w14:paraId="34786CAE">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支持联邦数据集查询、元数据查看，可对数据集进行多机构授权；针对匿踪查询类任务提供审核能力，支持按使用次数、使用时长两种方式配置查询授权规则。</w:t>
      </w:r>
    </w:p>
    <w:p w14:paraId="5730E4CA">
      <w:pPr>
        <w:numPr>
          <w:ilvl w:val="2"/>
          <w:numId w:val="2"/>
        </w:numPr>
        <w:spacing w:line="360" w:lineRule="exact"/>
        <w:ind w:firstLine="422" w:firstLineChars="200"/>
        <w:outlineLvl w:val="5"/>
        <w:rPr>
          <w:rFonts w:hint="eastAsia" w:ascii="宋体" w:hAnsi="宋体" w:cs="宋体"/>
          <w:b/>
          <w:bCs/>
          <w:kern w:val="44"/>
          <w:szCs w:val="21"/>
          <w:highlight w:val="none"/>
        </w:rPr>
      </w:pPr>
      <w:bookmarkStart w:id="69" w:name="_Toc233191527"/>
      <w:r>
        <w:rPr>
          <w:rFonts w:hint="eastAsia" w:ascii="宋体" w:hAnsi="宋体" w:cs="宋体"/>
          <w:b/>
          <w:bCs/>
          <w:kern w:val="44"/>
          <w:szCs w:val="21"/>
          <w:highlight w:val="none"/>
        </w:rPr>
        <w:t>任务调度管理</w:t>
      </w:r>
      <w:bookmarkEnd w:id="69"/>
    </w:p>
    <w:p w14:paraId="634A75B3">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完整记录隐私计算服务调用日志，包含流水号、模型、耗时等全量信息；支持配置任务执行优先级、执行顺序等调度策略，实现计算资源统一池化管理与并发控制。</w:t>
      </w:r>
    </w:p>
    <w:p w14:paraId="29142DAB">
      <w:pPr>
        <w:numPr>
          <w:ilvl w:val="2"/>
          <w:numId w:val="2"/>
        </w:numPr>
        <w:spacing w:line="360" w:lineRule="exact"/>
        <w:ind w:firstLine="422" w:firstLineChars="200"/>
        <w:outlineLvl w:val="5"/>
        <w:rPr>
          <w:rFonts w:hint="eastAsia" w:ascii="宋体" w:hAnsi="宋体" w:cs="宋体"/>
          <w:b/>
          <w:bCs/>
          <w:kern w:val="44"/>
          <w:szCs w:val="21"/>
          <w:highlight w:val="none"/>
        </w:rPr>
      </w:pPr>
      <w:bookmarkStart w:id="70" w:name="_Toc233191528"/>
      <w:r>
        <w:rPr>
          <w:rFonts w:hint="eastAsia" w:ascii="宋体" w:hAnsi="宋体" w:cs="宋体"/>
          <w:b/>
          <w:bCs/>
          <w:kern w:val="44"/>
          <w:szCs w:val="21"/>
          <w:highlight w:val="none"/>
        </w:rPr>
        <w:t>节点管理</w:t>
      </w:r>
      <w:bookmarkEnd w:id="70"/>
    </w:p>
    <w:p w14:paraId="58FE60A9">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系统应展示已注册的机构节点信息。</w:t>
      </w:r>
    </w:p>
    <w:p w14:paraId="3619A663">
      <w:pPr>
        <w:numPr>
          <w:ilvl w:val="2"/>
          <w:numId w:val="2"/>
        </w:numPr>
        <w:spacing w:line="360" w:lineRule="exact"/>
        <w:ind w:firstLine="422" w:firstLineChars="200"/>
        <w:outlineLvl w:val="5"/>
        <w:rPr>
          <w:rFonts w:hint="eastAsia" w:ascii="宋体" w:hAnsi="宋体" w:cs="宋体"/>
          <w:b/>
          <w:bCs/>
          <w:kern w:val="44"/>
          <w:szCs w:val="21"/>
          <w:highlight w:val="none"/>
        </w:rPr>
      </w:pPr>
      <w:bookmarkStart w:id="71" w:name="_Toc233191529"/>
      <w:r>
        <w:rPr>
          <w:rFonts w:hint="eastAsia" w:ascii="宋体" w:hAnsi="宋体" w:cs="宋体"/>
          <w:b/>
          <w:bCs/>
          <w:kern w:val="44"/>
          <w:szCs w:val="21"/>
          <w:highlight w:val="none"/>
        </w:rPr>
        <w:t>用户管理</w:t>
      </w:r>
      <w:bookmarkEnd w:id="71"/>
    </w:p>
    <w:p w14:paraId="165BCF76">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系统应展示所有注册用户的信息。展示用户使用信息。提供修改密码的功能。支持对数据源配置信息进行有效性校验。</w:t>
      </w:r>
    </w:p>
    <w:p w14:paraId="0873EF8F">
      <w:pPr>
        <w:numPr>
          <w:ilvl w:val="2"/>
          <w:numId w:val="2"/>
        </w:numPr>
        <w:spacing w:line="360" w:lineRule="exact"/>
        <w:ind w:firstLine="422" w:firstLineChars="200"/>
        <w:outlineLvl w:val="5"/>
        <w:rPr>
          <w:rFonts w:hint="eastAsia" w:ascii="宋体" w:hAnsi="宋体" w:cs="宋体"/>
          <w:b/>
          <w:bCs/>
          <w:kern w:val="44"/>
          <w:szCs w:val="21"/>
          <w:highlight w:val="none"/>
        </w:rPr>
      </w:pPr>
      <w:bookmarkStart w:id="72" w:name="_Toc233191530"/>
      <w:r>
        <w:rPr>
          <w:rFonts w:hint="eastAsia" w:ascii="宋体" w:hAnsi="宋体" w:cs="宋体"/>
          <w:b/>
          <w:bCs/>
          <w:kern w:val="44"/>
          <w:szCs w:val="21"/>
          <w:highlight w:val="none"/>
        </w:rPr>
        <w:t>黑名单管理</w:t>
      </w:r>
      <w:bookmarkEnd w:id="72"/>
    </w:p>
    <w:p w14:paraId="58938A1D">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系统应提供参与者拉黑用户功能，拉黑后双方不能进行建模，系统自动拒绝拉黑用户发送的任务。</w:t>
      </w:r>
    </w:p>
    <w:p w14:paraId="49B86EA6">
      <w:pPr>
        <w:numPr>
          <w:ilvl w:val="2"/>
          <w:numId w:val="2"/>
        </w:numPr>
        <w:spacing w:line="360" w:lineRule="exact"/>
        <w:ind w:firstLine="422" w:firstLineChars="200"/>
        <w:outlineLvl w:val="5"/>
        <w:rPr>
          <w:rFonts w:hint="eastAsia" w:ascii="宋体" w:hAnsi="宋体" w:cs="宋体"/>
          <w:b/>
          <w:bCs/>
          <w:kern w:val="44"/>
          <w:szCs w:val="21"/>
          <w:highlight w:val="none"/>
        </w:rPr>
      </w:pPr>
      <w:bookmarkStart w:id="73" w:name="_Toc233191531"/>
      <w:r>
        <w:rPr>
          <w:rFonts w:hint="eastAsia" w:ascii="宋体" w:hAnsi="宋体" w:cs="宋体"/>
          <w:b/>
          <w:bCs/>
          <w:kern w:val="44"/>
          <w:szCs w:val="21"/>
          <w:highlight w:val="none"/>
        </w:rPr>
        <w:t>系统配置</w:t>
      </w:r>
      <w:bookmarkEnd w:id="73"/>
    </w:p>
    <w:p w14:paraId="60925FB5">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系统应支持针对board域名、board端口、Gateway、Flow、Serving、提醒和邮件服务器进行配置。</w:t>
      </w:r>
    </w:p>
    <w:p w14:paraId="29F39E95">
      <w:pPr>
        <w:numPr>
          <w:ilvl w:val="2"/>
          <w:numId w:val="2"/>
        </w:numPr>
        <w:spacing w:line="360" w:lineRule="exact"/>
        <w:ind w:firstLine="422" w:firstLineChars="200"/>
        <w:outlineLvl w:val="5"/>
        <w:rPr>
          <w:rFonts w:hint="eastAsia" w:ascii="宋体" w:hAnsi="宋体" w:cs="宋体"/>
          <w:b/>
          <w:bCs/>
          <w:kern w:val="44"/>
          <w:szCs w:val="21"/>
          <w:highlight w:val="none"/>
        </w:rPr>
      </w:pPr>
      <w:bookmarkStart w:id="74" w:name="_Toc233191532"/>
      <w:r>
        <w:rPr>
          <w:rFonts w:hint="eastAsia" w:ascii="宋体" w:hAnsi="宋体" w:cs="宋体"/>
          <w:b/>
          <w:bCs/>
          <w:kern w:val="44"/>
          <w:szCs w:val="21"/>
          <w:highlight w:val="none"/>
        </w:rPr>
        <w:t>隐私计算引擎</w:t>
      </w:r>
      <w:bookmarkEnd w:id="74"/>
    </w:p>
    <w:p w14:paraId="261A141B">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在系统操作和任务执行过程中对成员权限进行实时校验。提供多方安全计算协议执行能力，支持多参与方协同完成计算任务。在联邦训练过程中协调多方参数的安全传输与聚合。对模型训练过程中产生的梯度信息进行加密处理，防止敏感信息泄露。</w:t>
      </w:r>
    </w:p>
    <w:p w14:paraId="01705A6C">
      <w:pPr>
        <w:numPr>
          <w:ilvl w:val="2"/>
          <w:numId w:val="2"/>
        </w:numPr>
        <w:spacing w:line="360" w:lineRule="exact"/>
        <w:ind w:firstLine="422" w:firstLineChars="200"/>
        <w:outlineLvl w:val="5"/>
        <w:rPr>
          <w:rFonts w:hint="eastAsia" w:ascii="宋体" w:hAnsi="宋体" w:cs="宋体"/>
          <w:b/>
          <w:bCs/>
          <w:kern w:val="44"/>
          <w:szCs w:val="21"/>
          <w:highlight w:val="none"/>
        </w:rPr>
      </w:pPr>
      <w:bookmarkStart w:id="75" w:name="_Toc233191533"/>
      <w:r>
        <w:rPr>
          <w:rFonts w:hint="eastAsia" w:ascii="宋体" w:hAnsi="宋体" w:cs="宋体"/>
          <w:b/>
          <w:bCs/>
          <w:kern w:val="44"/>
          <w:szCs w:val="21"/>
          <w:highlight w:val="none"/>
        </w:rPr>
        <w:t>隐私计算任务调度</w:t>
      </w:r>
      <w:bookmarkEnd w:id="75"/>
    </w:p>
    <w:p w14:paraId="22380922">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系统应提供任务调度策略配置能力，控制任务执行优先级与顺序。</w:t>
      </w:r>
    </w:p>
    <w:p w14:paraId="45B9ADCD">
      <w:pPr>
        <w:numPr>
          <w:ilvl w:val="2"/>
          <w:numId w:val="2"/>
        </w:numPr>
        <w:spacing w:line="360" w:lineRule="exact"/>
        <w:ind w:firstLine="422" w:firstLineChars="200"/>
        <w:outlineLvl w:val="5"/>
        <w:rPr>
          <w:rFonts w:hint="eastAsia" w:ascii="宋体" w:hAnsi="宋体" w:cs="宋体"/>
          <w:b/>
          <w:bCs/>
          <w:kern w:val="44"/>
          <w:szCs w:val="21"/>
          <w:highlight w:val="none"/>
        </w:rPr>
      </w:pPr>
      <w:bookmarkStart w:id="76" w:name="_Toc233191534"/>
      <w:r>
        <w:rPr>
          <w:rFonts w:hint="eastAsia" w:ascii="宋体" w:hAnsi="宋体" w:cs="宋体"/>
          <w:b/>
          <w:bCs/>
          <w:kern w:val="44"/>
          <w:szCs w:val="21"/>
          <w:highlight w:val="none"/>
        </w:rPr>
        <w:t>隐私计算资源管理服务</w:t>
      </w:r>
      <w:bookmarkEnd w:id="76"/>
    </w:p>
    <w:p w14:paraId="22423977">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系统应对计算资源进行建模与登记，形成可调度的资源池。控制任务并发数量，避免资源争用影响系统稳定性。</w:t>
      </w:r>
    </w:p>
    <w:p w14:paraId="22997055">
      <w:pPr>
        <w:numPr>
          <w:ilvl w:val="2"/>
          <w:numId w:val="2"/>
        </w:numPr>
        <w:spacing w:line="360" w:lineRule="exact"/>
        <w:ind w:firstLine="422" w:firstLineChars="200"/>
        <w:outlineLvl w:val="5"/>
        <w:rPr>
          <w:rFonts w:hint="eastAsia" w:ascii="宋体" w:hAnsi="宋体" w:cs="宋体"/>
          <w:b/>
          <w:bCs/>
          <w:kern w:val="44"/>
          <w:szCs w:val="21"/>
          <w:highlight w:val="none"/>
        </w:rPr>
      </w:pPr>
      <w:bookmarkStart w:id="77" w:name="_Toc233191535"/>
      <w:r>
        <w:rPr>
          <w:rFonts w:hint="eastAsia" w:ascii="宋体" w:hAnsi="宋体" w:cs="宋体"/>
          <w:b/>
          <w:bCs/>
          <w:kern w:val="44"/>
          <w:szCs w:val="21"/>
          <w:highlight w:val="none"/>
        </w:rPr>
        <w:t>隐私计算日志审计服务</w:t>
      </w:r>
      <w:bookmarkEnd w:id="77"/>
    </w:p>
    <w:p w14:paraId="2BCBB3C4">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系统应对用户操作行为进行记录，形成可查询的操作日志。对隐私计算任务执行过程进行日志记录，支撑问题定位与审计。</w:t>
      </w:r>
    </w:p>
    <w:p w14:paraId="07C60A73">
      <w:pPr>
        <w:numPr>
          <w:ilvl w:val="2"/>
          <w:numId w:val="2"/>
        </w:numPr>
        <w:spacing w:line="360" w:lineRule="exact"/>
        <w:ind w:firstLine="422" w:firstLineChars="200"/>
        <w:outlineLvl w:val="5"/>
        <w:rPr>
          <w:rFonts w:hint="eastAsia" w:ascii="宋体" w:hAnsi="宋体" w:cs="宋体"/>
          <w:b/>
          <w:bCs/>
          <w:kern w:val="44"/>
          <w:szCs w:val="21"/>
          <w:highlight w:val="none"/>
        </w:rPr>
      </w:pPr>
      <w:bookmarkStart w:id="78" w:name="_Toc233191536"/>
      <w:r>
        <w:rPr>
          <w:rFonts w:hint="eastAsia" w:ascii="宋体" w:hAnsi="宋体" w:cs="宋体"/>
          <w:b/>
          <w:bCs/>
          <w:kern w:val="44"/>
          <w:szCs w:val="21"/>
          <w:highlight w:val="none"/>
        </w:rPr>
        <w:t>隐私计算安全服务</w:t>
      </w:r>
      <w:bookmarkEnd w:id="78"/>
    </w:p>
    <w:p w14:paraId="66B4A354">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系统应确保系统内部与跨节点通信过程的安全加密。对系统接口调用进行鉴权和访问控制，防止非法访问。</w:t>
      </w:r>
    </w:p>
    <w:p w14:paraId="55307893">
      <w:pPr>
        <w:numPr>
          <w:ilvl w:val="1"/>
          <w:numId w:val="2"/>
        </w:numPr>
        <w:spacing w:line="360" w:lineRule="exact"/>
        <w:ind w:firstLine="422" w:firstLineChars="200"/>
        <w:outlineLvl w:val="4"/>
        <w:rPr>
          <w:rFonts w:hint="eastAsia" w:ascii="宋体" w:hAnsi="宋体" w:cs="宋体"/>
          <w:b/>
          <w:kern w:val="44"/>
          <w:szCs w:val="21"/>
          <w:highlight w:val="none"/>
        </w:rPr>
      </w:pPr>
      <w:bookmarkStart w:id="79" w:name="_Toc233191537"/>
      <w:r>
        <w:rPr>
          <w:rFonts w:hint="eastAsia" w:ascii="宋体" w:hAnsi="宋体" w:cs="宋体"/>
          <w:b/>
          <w:kern w:val="44"/>
          <w:szCs w:val="21"/>
          <w:highlight w:val="none"/>
        </w:rPr>
        <w:t>数据沙箱</w:t>
      </w:r>
      <w:bookmarkEnd w:id="79"/>
      <w:r>
        <w:rPr>
          <w:rFonts w:hint="eastAsia" w:ascii="宋体" w:hAnsi="宋体" w:cs="宋体"/>
          <w:b/>
          <w:kern w:val="44"/>
          <w:szCs w:val="21"/>
          <w:highlight w:val="none"/>
        </w:rPr>
        <w:t>（1套）</w:t>
      </w:r>
    </w:p>
    <w:p w14:paraId="533F6DD5">
      <w:pPr>
        <w:numPr>
          <w:ilvl w:val="2"/>
          <w:numId w:val="2"/>
        </w:numPr>
        <w:spacing w:line="360" w:lineRule="exact"/>
        <w:ind w:firstLine="422" w:firstLineChars="200"/>
        <w:outlineLvl w:val="5"/>
        <w:rPr>
          <w:rFonts w:hint="eastAsia" w:ascii="宋体" w:hAnsi="宋体" w:cs="宋体"/>
          <w:b/>
          <w:bCs/>
          <w:kern w:val="44"/>
          <w:szCs w:val="21"/>
          <w:highlight w:val="none"/>
        </w:rPr>
      </w:pPr>
      <w:bookmarkStart w:id="80" w:name="_Toc233191538"/>
      <w:r>
        <w:rPr>
          <w:rFonts w:hint="eastAsia" w:ascii="宋体" w:hAnsi="宋体" w:cs="宋体"/>
          <w:b/>
          <w:bCs/>
          <w:kern w:val="44"/>
          <w:szCs w:val="21"/>
          <w:highlight w:val="none"/>
        </w:rPr>
        <w:t>沙箱镜像管理-基础镜像管理</w:t>
      </w:r>
      <w:bookmarkEnd w:id="80"/>
    </w:p>
    <w:p w14:paraId="3E464303">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系统应对沙箱运行所需的基础环境镜像提供创建管理能力，支持配置镜像名称、描述、适用运行环境等基础信息。</w:t>
      </w:r>
    </w:p>
    <w:p w14:paraId="16EA5318">
      <w:pPr>
        <w:numPr>
          <w:ilvl w:val="2"/>
          <w:numId w:val="2"/>
        </w:numPr>
        <w:spacing w:line="360" w:lineRule="exact"/>
        <w:ind w:firstLine="422" w:firstLineChars="200"/>
        <w:outlineLvl w:val="5"/>
        <w:rPr>
          <w:rFonts w:hint="eastAsia" w:ascii="宋体" w:hAnsi="宋体" w:cs="宋体"/>
          <w:b/>
          <w:bCs/>
          <w:kern w:val="44"/>
          <w:szCs w:val="21"/>
          <w:highlight w:val="none"/>
        </w:rPr>
      </w:pPr>
      <w:bookmarkStart w:id="81" w:name="_Toc233191539"/>
      <w:r>
        <w:rPr>
          <w:rFonts w:hint="eastAsia" w:ascii="宋体" w:hAnsi="宋体" w:cs="宋体"/>
          <w:b/>
          <w:bCs/>
          <w:kern w:val="44"/>
          <w:szCs w:val="21"/>
          <w:highlight w:val="none"/>
        </w:rPr>
        <w:t>沙箱镜像管理-镜像商店管理</w:t>
      </w:r>
      <w:bookmarkEnd w:id="81"/>
    </w:p>
    <w:p w14:paraId="1AAF3C6B">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系统应对可供用户使用的沙箱镜像提供创建能力，支持配置镜像基础信息及发布属性。</w:t>
      </w:r>
    </w:p>
    <w:p w14:paraId="5E29976D">
      <w:pPr>
        <w:numPr>
          <w:ilvl w:val="2"/>
          <w:numId w:val="2"/>
        </w:numPr>
        <w:spacing w:line="360" w:lineRule="exact"/>
        <w:ind w:firstLine="422" w:firstLineChars="200"/>
        <w:outlineLvl w:val="5"/>
        <w:rPr>
          <w:rFonts w:hint="eastAsia" w:ascii="宋体" w:hAnsi="宋体" w:cs="宋体"/>
          <w:b/>
          <w:bCs/>
          <w:kern w:val="44"/>
          <w:szCs w:val="21"/>
          <w:highlight w:val="none"/>
        </w:rPr>
      </w:pPr>
      <w:bookmarkStart w:id="82" w:name="_Toc233191540"/>
      <w:r>
        <w:rPr>
          <w:rFonts w:hint="eastAsia" w:ascii="宋体" w:hAnsi="宋体" w:cs="宋体"/>
          <w:b/>
          <w:bCs/>
          <w:kern w:val="44"/>
          <w:szCs w:val="21"/>
          <w:highlight w:val="none"/>
        </w:rPr>
        <w:t>容器资源配置管理</w:t>
      </w:r>
      <w:bookmarkEnd w:id="82"/>
    </w:p>
    <w:p w14:paraId="68115A88">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系统应支持对沙箱可使用的CPU资源上限进行配置管理，并可绑定到指定对象。支持对沙箱可使用的内存资源上限进行配置。支持配置沙箱可使用的存储空间上限。提供资源配额配置查询能力。</w:t>
      </w:r>
    </w:p>
    <w:p w14:paraId="7D6A8161">
      <w:pPr>
        <w:numPr>
          <w:ilvl w:val="2"/>
          <w:numId w:val="2"/>
        </w:numPr>
        <w:spacing w:line="360" w:lineRule="exact"/>
        <w:ind w:firstLine="422" w:firstLineChars="200"/>
        <w:outlineLvl w:val="5"/>
        <w:rPr>
          <w:rFonts w:hint="eastAsia" w:ascii="宋体" w:hAnsi="宋体" w:cs="宋体"/>
          <w:b/>
          <w:bCs/>
          <w:kern w:val="44"/>
          <w:szCs w:val="21"/>
          <w:highlight w:val="none"/>
        </w:rPr>
      </w:pPr>
      <w:bookmarkStart w:id="83" w:name="_Toc233191541"/>
      <w:r>
        <w:rPr>
          <w:rFonts w:hint="eastAsia" w:ascii="宋体" w:hAnsi="宋体" w:cs="宋体"/>
          <w:b/>
          <w:bCs/>
          <w:kern w:val="44"/>
          <w:szCs w:val="21"/>
          <w:highlight w:val="none"/>
        </w:rPr>
        <w:t>沙箱代码安全-安全规则配置</w:t>
      </w:r>
      <w:bookmarkEnd w:id="83"/>
    </w:p>
    <w:p w14:paraId="4A149B1E">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系统应支持定义代码执行的限制条件和控制策略。支持将已配置的代码安全规则设置为生效或停用状态。提供代码安全规则清单查询能力。</w:t>
      </w:r>
    </w:p>
    <w:p w14:paraId="6EB8E422">
      <w:pPr>
        <w:numPr>
          <w:ilvl w:val="2"/>
          <w:numId w:val="2"/>
        </w:numPr>
        <w:spacing w:line="360" w:lineRule="exact"/>
        <w:ind w:firstLine="422" w:firstLineChars="200"/>
        <w:outlineLvl w:val="5"/>
        <w:rPr>
          <w:rFonts w:hint="eastAsia" w:ascii="宋体" w:hAnsi="宋体" w:cs="宋体"/>
          <w:b/>
          <w:bCs/>
          <w:kern w:val="44"/>
          <w:szCs w:val="21"/>
          <w:highlight w:val="none"/>
        </w:rPr>
      </w:pPr>
      <w:bookmarkStart w:id="84" w:name="_Toc233191542"/>
      <w:r>
        <w:rPr>
          <w:rFonts w:hint="eastAsia" w:ascii="宋体" w:hAnsi="宋体" w:cs="宋体"/>
          <w:b/>
          <w:bCs/>
          <w:kern w:val="44"/>
          <w:szCs w:val="21"/>
          <w:highlight w:val="none"/>
        </w:rPr>
        <w:t>沙箱用户管理</w:t>
      </w:r>
      <w:bookmarkEnd w:id="84"/>
    </w:p>
    <w:p w14:paraId="41E92D76">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系统应支持沙箱用户注册审核、角色分配、权限配置，可对账号进行启用、禁用操作，提供用户清单查询能力。</w:t>
      </w:r>
    </w:p>
    <w:p w14:paraId="530FA3B7">
      <w:pPr>
        <w:numPr>
          <w:ilvl w:val="2"/>
          <w:numId w:val="2"/>
        </w:numPr>
        <w:spacing w:line="360" w:lineRule="exact"/>
        <w:ind w:firstLine="422" w:firstLineChars="200"/>
        <w:outlineLvl w:val="5"/>
        <w:rPr>
          <w:rFonts w:hint="eastAsia" w:ascii="宋体" w:hAnsi="宋体" w:cs="宋体"/>
          <w:b/>
          <w:bCs/>
          <w:kern w:val="44"/>
          <w:szCs w:val="21"/>
          <w:highlight w:val="none"/>
        </w:rPr>
      </w:pPr>
      <w:bookmarkStart w:id="85" w:name="_Toc233191543"/>
      <w:r>
        <w:rPr>
          <w:rFonts w:hint="eastAsia" w:ascii="宋体" w:hAnsi="宋体" w:cs="宋体"/>
          <w:b/>
          <w:bCs/>
          <w:kern w:val="44"/>
          <w:szCs w:val="21"/>
          <w:highlight w:val="none"/>
        </w:rPr>
        <w:t>沙箱数据开发</w:t>
      </w:r>
      <w:bookmarkEnd w:id="85"/>
    </w:p>
    <w:p w14:paraId="58FA15DC">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系统应支持开发人员访问已授权的沙箱实例，在受控环境中开展数据或模型开发工作。</w:t>
      </w:r>
    </w:p>
    <w:p w14:paraId="5124FC72">
      <w:pPr>
        <w:numPr>
          <w:ilvl w:val="2"/>
          <w:numId w:val="2"/>
        </w:numPr>
        <w:spacing w:line="360" w:lineRule="exact"/>
        <w:ind w:firstLine="422" w:firstLineChars="200"/>
        <w:outlineLvl w:val="5"/>
        <w:rPr>
          <w:rFonts w:hint="eastAsia" w:ascii="宋体" w:hAnsi="宋体" w:cs="宋体"/>
          <w:b/>
          <w:bCs/>
          <w:kern w:val="44"/>
          <w:szCs w:val="21"/>
          <w:highlight w:val="none"/>
        </w:rPr>
      </w:pPr>
      <w:bookmarkStart w:id="86" w:name="_Toc233191544"/>
      <w:r>
        <w:rPr>
          <w:rFonts w:hint="eastAsia" w:ascii="宋体" w:hAnsi="宋体" w:cs="宋体"/>
          <w:b/>
          <w:bCs/>
          <w:kern w:val="44"/>
          <w:szCs w:val="21"/>
          <w:highlight w:val="none"/>
        </w:rPr>
        <w:t>沙箱运行管理</w:t>
      </w:r>
      <w:bookmarkEnd w:id="86"/>
    </w:p>
    <w:p w14:paraId="20F26F6C">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系统应支持运维人员按授权执行沙箱实例的启动或停止操作。</w:t>
      </w:r>
    </w:p>
    <w:p w14:paraId="3C11D3B6">
      <w:pPr>
        <w:numPr>
          <w:ilvl w:val="1"/>
          <w:numId w:val="2"/>
        </w:numPr>
        <w:spacing w:line="360" w:lineRule="exact"/>
        <w:ind w:firstLine="422" w:firstLineChars="200"/>
        <w:outlineLvl w:val="4"/>
        <w:rPr>
          <w:rFonts w:hint="eastAsia" w:ascii="宋体" w:hAnsi="宋体" w:cs="宋体"/>
          <w:b/>
          <w:kern w:val="44"/>
          <w:szCs w:val="21"/>
          <w:highlight w:val="none"/>
        </w:rPr>
      </w:pPr>
      <w:bookmarkStart w:id="87" w:name="_Toc233191545"/>
      <w:r>
        <w:rPr>
          <w:rFonts w:hint="eastAsia" w:ascii="宋体" w:hAnsi="宋体" w:cs="宋体"/>
          <w:b/>
          <w:kern w:val="44"/>
          <w:szCs w:val="21"/>
          <w:highlight w:val="none"/>
        </w:rPr>
        <w:t>区块链存证</w:t>
      </w:r>
      <w:bookmarkEnd w:id="87"/>
      <w:r>
        <w:rPr>
          <w:rFonts w:hint="eastAsia" w:ascii="宋体" w:hAnsi="宋体" w:cs="宋体"/>
          <w:b/>
          <w:kern w:val="44"/>
          <w:szCs w:val="21"/>
          <w:highlight w:val="none"/>
        </w:rPr>
        <w:t>（1套）</w:t>
      </w:r>
    </w:p>
    <w:p w14:paraId="0CD6B3CE">
      <w:pPr>
        <w:numPr>
          <w:ilvl w:val="2"/>
          <w:numId w:val="2"/>
        </w:numPr>
        <w:spacing w:line="360" w:lineRule="exact"/>
        <w:ind w:firstLine="422" w:firstLineChars="200"/>
        <w:outlineLvl w:val="5"/>
        <w:rPr>
          <w:rFonts w:hint="eastAsia" w:ascii="宋体" w:hAnsi="宋体" w:cs="宋体"/>
          <w:b/>
          <w:bCs/>
          <w:kern w:val="44"/>
          <w:szCs w:val="21"/>
          <w:highlight w:val="none"/>
        </w:rPr>
      </w:pPr>
      <w:bookmarkStart w:id="88" w:name="_Toc233191546"/>
      <w:r>
        <w:rPr>
          <w:rFonts w:hint="eastAsia" w:ascii="宋体" w:hAnsi="宋体" w:cs="宋体"/>
          <w:b/>
          <w:bCs/>
          <w:kern w:val="44"/>
          <w:szCs w:val="21"/>
          <w:highlight w:val="none"/>
        </w:rPr>
        <w:t>授权数据归集</w:t>
      </w:r>
      <w:bookmarkEnd w:id="88"/>
    </w:p>
    <w:p w14:paraId="0371BE0F">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系统应收集和整理平台中所有供数授权的相关信息，结构化存储。归集所有产品授权的信息，标准化处理后上链存证。收集参与数据交换的实体信息，确保数据交换的透明性和可追溯性。</w:t>
      </w:r>
    </w:p>
    <w:p w14:paraId="29F2F0F2">
      <w:pPr>
        <w:numPr>
          <w:ilvl w:val="1"/>
          <w:numId w:val="2"/>
        </w:numPr>
        <w:spacing w:line="360" w:lineRule="exact"/>
        <w:ind w:firstLine="422" w:firstLineChars="200"/>
        <w:outlineLvl w:val="4"/>
        <w:rPr>
          <w:rFonts w:hint="eastAsia" w:ascii="宋体" w:hAnsi="宋体" w:cs="宋体"/>
          <w:b/>
          <w:kern w:val="44"/>
          <w:szCs w:val="21"/>
          <w:highlight w:val="none"/>
        </w:rPr>
      </w:pPr>
      <w:bookmarkStart w:id="89" w:name="_Toc233191547"/>
      <w:r>
        <w:rPr>
          <w:rFonts w:hint="eastAsia" w:ascii="宋体" w:hAnsi="宋体" w:cs="宋体"/>
          <w:b/>
          <w:kern w:val="44"/>
          <w:szCs w:val="21"/>
          <w:highlight w:val="none"/>
        </w:rPr>
        <w:t>智能合约</w:t>
      </w:r>
      <w:bookmarkEnd w:id="89"/>
      <w:r>
        <w:rPr>
          <w:rFonts w:hint="eastAsia" w:ascii="宋体" w:hAnsi="宋体" w:cs="宋体"/>
          <w:b/>
          <w:kern w:val="44"/>
          <w:szCs w:val="21"/>
          <w:highlight w:val="none"/>
        </w:rPr>
        <w:t>（1套）</w:t>
      </w:r>
    </w:p>
    <w:p w14:paraId="28D87971">
      <w:pPr>
        <w:numPr>
          <w:ilvl w:val="2"/>
          <w:numId w:val="2"/>
        </w:numPr>
        <w:spacing w:line="360" w:lineRule="exact"/>
        <w:ind w:firstLine="422" w:firstLineChars="200"/>
        <w:outlineLvl w:val="5"/>
        <w:rPr>
          <w:rFonts w:hint="eastAsia" w:ascii="宋体" w:hAnsi="宋体" w:cs="宋体"/>
          <w:b/>
          <w:bCs/>
          <w:kern w:val="44"/>
          <w:szCs w:val="21"/>
          <w:highlight w:val="none"/>
        </w:rPr>
      </w:pPr>
      <w:bookmarkStart w:id="90" w:name="_Toc233191548"/>
      <w:r>
        <w:rPr>
          <w:rFonts w:hint="eastAsia" w:ascii="宋体" w:hAnsi="宋体" w:cs="宋体"/>
          <w:b/>
          <w:bCs/>
          <w:kern w:val="44"/>
          <w:szCs w:val="21"/>
          <w:highlight w:val="none"/>
        </w:rPr>
        <w:t>合约定义</w:t>
      </w:r>
      <w:bookmarkEnd w:id="90"/>
    </w:p>
    <w:p w14:paraId="173D47ED">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系统应可自定义使用方身份核验、数据使用次数、加密脱敏、数据编码等各类合约规则，适配不同业务场景需求。</w:t>
      </w:r>
    </w:p>
    <w:p w14:paraId="4FBE06F3">
      <w:pPr>
        <w:numPr>
          <w:ilvl w:val="2"/>
          <w:numId w:val="2"/>
        </w:numPr>
        <w:spacing w:line="360" w:lineRule="exact"/>
        <w:ind w:firstLine="422" w:firstLineChars="200"/>
        <w:outlineLvl w:val="5"/>
        <w:rPr>
          <w:rFonts w:hint="eastAsia" w:ascii="宋体" w:hAnsi="宋体" w:cs="宋体"/>
          <w:b/>
          <w:bCs/>
          <w:kern w:val="44"/>
          <w:szCs w:val="21"/>
          <w:highlight w:val="none"/>
        </w:rPr>
      </w:pPr>
      <w:bookmarkStart w:id="91" w:name="_Toc233191549"/>
      <w:r>
        <w:rPr>
          <w:rFonts w:hint="eastAsia" w:ascii="宋体" w:hAnsi="宋体" w:cs="宋体"/>
          <w:b/>
          <w:bCs/>
          <w:kern w:val="44"/>
          <w:szCs w:val="21"/>
          <w:highlight w:val="none"/>
        </w:rPr>
        <w:t>合约监督</w:t>
      </w:r>
      <w:bookmarkEnd w:id="91"/>
    </w:p>
    <w:p w14:paraId="42800626">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实时监控数据供给规则的执行情况，分析数据操作日志快速识别异常行为并触发警报。检测数据供给过程中的违规行为，生成详细违规报告并通过邮件、短信或系统通知方式发出预警。记录每次数据操作的完整信息，存储在安全的审计日志中，支持灵活查询和导出。</w:t>
      </w:r>
    </w:p>
    <w:p w14:paraId="48DF2400">
      <w:pPr>
        <w:numPr>
          <w:ilvl w:val="2"/>
          <w:numId w:val="2"/>
        </w:numPr>
        <w:spacing w:line="360" w:lineRule="exact"/>
        <w:ind w:firstLine="422" w:firstLineChars="200"/>
        <w:outlineLvl w:val="5"/>
        <w:rPr>
          <w:rFonts w:hint="eastAsia" w:ascii="宋体" w:hAnsi="宋体" w:cs="宋体"/>
          <w:b/>
          <w:bCs/>
          <w:kern w:val="44"/>
          <w:szCs w:val="21"/>
          <w:highlight w:val="none"/>
        </w:rPr>
      </w:pPr>
      <w:bookmarkStart w:id="92" w:name="_Toc233191550"/>
      <w:r>
        <w:rPr>
          <w:rFonts w:hint="eastAsia" w:ascii="宋体" w:hAnsi="宋体" w:cs="宋体"/>
          <w:b/>
          <w:bCs/>
          <w:kern w:val="44"/>
          <w:szCs w:val="21"/>
          <w:highlight w:val="none"/>
        </w:rPr>
        <w:t>合约验证</w:t>
      </w:r>
      <w:bookmarkEnd w:id="92"/>
    </w:p>
    <w:p w14:paraId="73469C09">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在身份认证过程中自动获取相关信息。记录每次身份认证后的身份可信状态。记录每次身份验证的详细日志。在数据访问请求时验证使用方的用途描述是否符合预定义的关键词规则，匹配成功则允许访问，否则拒绝并提示修改。实时监控数据资源的使用次数，接近或超过限制时自动触发预警机制。</w:t>
      </w:r>
    </w:p>
    <w:p w14:paraId="53537FA2">
      <w:pPr>
        <w:numPr>
          <w:ilvl w:val="1"/>
          <w:numId w:val="2"/>
        </w:numPr>
        <w:spacing w:line="360" w:lineRule="exact"/>
        <w:ind w:firstLine="422" w:firstLineChars="200"/>
        <w:outlineLvl w:val="4"/>
        <w:rPr>
          <w:rFonts w:hint="eastAsia" w:ascii="宋体" w:hAnsi="宋体" w:cs="宋体"/>
          <w:b/>
          <w:kern w:val="44"/>
          <w:szCs w:val="21"/>
          <w:highlight w:val="none"/>
        </w:rPr>
      </w:pPr>
      <w:bookmarkStart w:id="93" w:name="_Toc233191551"/>
      <w:r>
        <w:rPr>
          <w:rFonts w:hint="eastAsia" w:ascii="宋体" w:hAnsi="宋体" w:cs="宋体"/>
          <w:b/>
          <w:kern w:val="44"/>
          <w:szCs w:val="21"/>
          <w:highlight w:val="none"/>
        </w:rPr>
        <w:t>数据连接器</w:t>
      </w:r>
      <w:bookmarkEnd w:id="93"/>
      <w:r>
        <w:rPr>
          <w:rFonts w:hint="eastAsia" w:ascii="宋体" w:hAnsi="宋体" w:cs="宋体"/>
          <w:b/>
          <w:kern w:val="44"/>
          <w:szCs w:val="21"/>
          <w:highlight w:val="none"/>
        </w:rPr>
        <w:t>（1套）</w:t>
      </w:r>
    </w:p>
    <w:p w14:paraId="69DF0D21">
      <w:pPr>
        <w:numPr>
          <w:ilvl w:val="2"/>
          <w:numId w:val="2"/>
        </w:numPr>
        <w:spacing w:line="360" w:lineRule="exact"/>
        <w:ind w:firstLine="422" w:firstLineChars="200"/>
        <w:outlineLvl w:val="5"/>
        <w:rPr>
          <w:rFonts w:hint="eastAsia" w:ascii="宋体" w:hAnsi="宋体" w:cs="宋体"/>
          <w:b/>
          <w:bCs/>
          <w:kern w:val="44"/>
          <w:szCs w:val="21"/>
          <w:highlight w:val="none"/>
        </w:rPr>
      </w:pPr>
      <w:bookmarkStart w:id="94" w:name="_Toc233191552"/>
      <w:r>
        <w:rPr>
          <w:rFonts w:hint="eastAsia" w:ascii="宋体" w:hAnsi="宋体" w:cs="宋体"/>
          <w:b/>
          <w:bCs/>
          <w:kern w:val="44"/>
          <w:szCs w:val="21"/>
          <w:highlight w:val="none"/>
        </w:rPr>
        <w:t>连接器注册</w:t>
      </w:r>
      <w:bookmarkEnd w:id="94"/>
    </w:p>
    <w:p w14:paraId="4E3536BE">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系统应对连接器名称、IP 等信息进行格式校验、连通性测试，校验通过后采用 AES 加密存储信息。</w:t>
      </w:r>
    </w:p>
    <w:p w14:paraId="21012502">
      <w:pPr>
        <w:numPr>
          <w:ilvl w:val="2"/>
          <w:numId w:val="2"/>
        </w:numPr>
        <w:spacing w:line="360" w:lineRule="exact"/>
        <w:ind w:firstLine="422" w:firstLineChars="200"/>
        <w:outlineLvl w:val="5"/>
        <w:rPr>
          <w:rFonts w:hint="eastAsia" w:ascii="宋体" w:hAnsi="宋体" w:cs="宋体"/>
          <w:b/>
          <w:bCs/>
          <w:kern w:val="44"/>
          <w:szCs w:val="21"/>
          <w:highlight w:val="none"/>
        </w:rPr>
      </w:pPr>
      <w:bookmarkStart w:id="95" w:name="_Toc233191553"/>
      <w:r>
        <w:rPr>
          <w:rFonts w:hint="eastAsia" w:ascii="宋体" w:hAnsi="宋体" w:cs="宋体"/>
          <w:b/>
          <w:bCs/>
          <w:kern w:val="44"/>
          <w:szCs w:val="21"/>
          <w:highlight w:val="none"/>
        </w:rPr>
        <w:t>连接器部署/回收</w:t>
      </w:r>
      <w:bookmarkEnd w:id="95"/>
    </w:p>
    <w:p w14:paraId="612AA1EE">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系统应从软件源库拉取连接器所需软件包按预设依赖顺序自动安装，校验软件完整性，遇文件损坏或版本不匹配自动从备份源重试。</w:t>
      </w:r>
    </w:p>
    <w:p w14:paraId="38D5C52C">
      <w:pPr>
        <w:numPr>
          <w:ilvl w:val="2"/>
          <w:numId w:val="2"/>
        </w:numPr>
        <w:spacing w:line="360" w:lineRule="exact"/>
        <w:ind w:firstLine="422" w:firstLineChars="200"/>
        <w:outlineLvl w:val="5"/>
        <w:rPr>
          <w:rFonts w:hint="eastAsia" w:ascii="宋体" w:hAnsi="宋体" w:cs="宋体"/>
          <w:b/>
          <w:bCs/>
          <w:kern w:val="44"/>
          <w:szCs w:val="21"/>
          <w:highlight w:val="none"/>
        </w:rPr>
      </w:pPr>
      <w:bookmarkStart w:id="96" w:name="_Toc233191554"/>
      <w:r>
        <w:rPr>
          <w:rFonts w:hint="eastAsia" w:ascii="宋体" w:hAnsi="宋体" w:cs="宋体"/>
          <w:b/>
          <w:bCs/>
          <w:kern w:val="44"/>
          <w:szCs w:val="21"/>
          <w:highlight w:val="none"/>
        </w:rPr>
        <w:t>连接器监控</w:t>
      </w:r>
      <w:bookmarkEnd w:id="96"/>
    </w:p>
    <w:p w14:paraId="7094512F">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系统应能自动探测连接器及配套软件服务运行状态，监控各项运行指标，指标异常时多渠道实时告警。</w:t>
      </w:r>
    </w:p>
    <w:p w14:paraId="6A3F9446">
      <w:pPr>
        <w:numPr>
          <w:ilvl w:val="2"/>
          <w:numId w:val="2"/>
        </w:numPr>
        <w:spacing w:line="360" w:lineRule="exact"/>
        <w:ind w:firstLine="422" w:firstLineChars="200"/>
        <w:outlineLvl w:val="5"/>
        <w:rPr>
          <w:rFonts w:hint="eastAsia" w:ascii="宋体" w:hAnsi="宋体" w:cs="宋体"/>
          <w:b/>
          <w:bCs/>
          <w:kern w:val="44"/>
          <w:szCs w:val="21"/>
          <w:highlight w:val="none"/>
        </w:rPr>
      </w:pPr>
      <w:bookmarkStart w:id="97" w:name="_Toc233191555"/>
      <w:r>
        <w:rPr>
          <w:rFonts w:hint="eastAsia" w:ascii="宋体" w:hAnsi="宋体" w:cs="宋体"/>
          <w:b/>
          <w:bCs/>
          <w:kern w:val="44"/>
          <w:szCs w:val="21"/>
          <w:highlight w:val="none"/>
        </w:rPr>
        <w:t>连接器配置</w:t>
      </w:r>
      <w:bookmarkEnd w:id="97"/>
    </w:p>
    <w:p w14:paraId="31ABCEDA">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系统应支持运营方密钥、数据库、FTP 等全局参数配置及校验；提供成员信息、邀请码、权限的综合管理功能，支持日志查询与问题排查。</w:t>
      </w:r>
    </w:p>
    <w:p w14:paraId="527F2C68">
      <w:pPr>
        <w:numPr>
          <w:ilvl w:val="0"/>
          <w:numId w:val="2"/>
        </w:numPr>
        <w:spacing w:line="360" w:lineRule="exact"/>
        <w:ind w:firstLine="422" w:firstLineChars="200"/>
        <w:outlineLvl w:val="3"/>
        <w:rPr>
          <w:rFonts w:hint="eastAsia" w:ascii="宋体" w:hAnsi="宋体" w:cs="宋体"/>
          <w:b/>
          <w:bCs/>
          <w:kern w:val="44"/>
          <w:szCs w:val="21"/>
          <w:highlight w:val="none"/>
        </w:rPr>
      </w:pPr>
      <w:bookmarkStart w:id="98" w:name="_Toc233191574"/>
      <w:r>
        <w:rPr>
          <w:rFonts w:hint="eastAsia" w:ascii="宋体" w:hAnsi="宋体" w:cs="宋体"/>
          <w:b/>
          <w:bCs/>
          <w:kern w:val="44"/>
          <w:szCs w:val="21"/>
          <w:highlight w:val="none"/>
        </w:rPr>
        <w:t>配套硬件设备技术要求</w:t>
      </w:r>
      <w:bookmarkEnd w:id="98"/>
    </w:p>
    <w:p w14:paraId="4F69FB3B">
      <w:pPr>
        <w:numPr>
          <w:ilvl w:val="1"/>
          <w:numId w:val="2"/>
        </w:numPr>
        <w:spacing w:line="360" w:lineRule="exact"/>
        <w:ind w:firstLine="422" w:firstLineChars="200"/>
        <w:outlineLvl w:val="4"/>
        <w:rPr>
          <w:rFonts w:hint="eastAsia" w:ascii="宋体" w:hAnsi="宋体" w:cs="宋体"/>
          <w:b/>
          <w:kern w:val="44"/>
          <w:szCs w:val="21"/>
          <w:highlight w:val="none"/>
          <w:lang w:val="zh-CN"/>
        </w:rPr>
      </w:pPr>
      <w:bookmarkStart w:id="99" w:name="_Toc233191576"/>
      <w:r>
        <w:rPr>
          <w:rFonts w:hint="eastAsia" w:ascii="宋体" w:hAnsi="宋体" w:cs="宋体"/>
          <w:b/>
          <w:kern w:val="44"/>
          <w:szCs w:val="21"/>
          <w:highlight w:val="none"/>
          <w:lang w:val="zh-CN"/>
        </w:rPr>
        <w:t>核心防火墙</w:t>
      </w:r>
      <w:bookmarkEnd w:id="99"/>
      <w:r>
        <w:rPr>
          <w:rFonts w:hint="eastAsia" w:ascii="宋体" w:hAnsi="宋体" w:cs="宋体"/>
          <w:b/>
          <w:kern w:val="44"/>
          <w:szCs w:val="21"/>
          <w:highlight w:val="none"/>
          <w:lang w:val="zh-CN"/>
        </w:rPr>
        <w:t>（2台）</w:t>
      </w:r>
    </w:p>
    <w:p w14:paraId="6AF8F328">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核心防火墙的技术参数指标不得低于以下参数：</w:t>
      </w:r>
    </w:p>
    <w:p w14:paraId="7739AF28">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1.★硬件：机架型≥1U，国产化CPU和操作系统，≥4个万兆光口，≥6个千兆电口，≥4个千兆光口，≥1个MGT管理口，≥1个HA口，≥2个接口扩展槽位，双电源，≥960G SSD硬盘；性能：网络层吞吐量≥50Gbps，并发连接数≥900万，每秒新建连接数≥25万，IPS吞吐量≥10Gbps，防病毒吞吐量≥7Gbps,IPSec吞吐量≥3Gbps，全威胁吞吐≥6Gbps；5年硬件保修和软件升级服务，5年应用特征库、入侵防御特征库、病毒库、URL规则库、流量控制、威胁情报。为实现统一安全运维的便利性，本项目的核心防火墙和Web应用防火墙</w:t>
      </w:r>
      <w:r>
        <w:rPr>
          <w:rFonts w:hint="eastAsia" w:ascii="宋体" w:hAnsi="宋体" w:cs="宋体"/>
          <w:szCs w:val="21"/>
          <w:highlight w:val="none"/>
          <w:lang w:val="en-US" w:eastAsia="zh-CN"/>
        </w:rPr>
        <w:t>需</w:t>
      </w:r>
      <w:r>
        <w:rPr>
          <w:rFonts w:hint="eastAsia" w:ascii="宋体" w:hAnsi="宋体" w:cs="宋体"/>
          <w:szCs w:val="21"/>
          <w:highlight w:val="none"/>
        </w:rPr>
        <w:t>为同一品牌。</w:t>
      </w:r>
    </w:p>
    <w:p w14:paraId="51E64FA3">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2.支持路由、透明、混合模式，支持NATv6、NAT444、NAT64、DS-Lite、Full-Cone-NAT等地址转换技术，包括源NAT、目的NAT转换和双向NAT转换。</w:t>
      </w:r>
    </w:p>
    <w:p w14:paraId="5CB7FEC5">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3.支持IP、ICMP、TCP、UDP、DNS、HTTP、HTTPS 协议进行DDoS防护，支持流量自学习功能，可设置自学习时间，并自动生成DDoS防范策略。</w:t>
      </w:r>
    </w:p>
    <w:p w14:paraId="7F547A96">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4.支持基于应用/角色/国家/省份及城市地理IP/的安全策略；支持防火墙策略冗余、冲突规则检测，支持选择部分/全部问题类型项（完全冗余/冲突、部分冗余/冲突）进行检测，按策略展示具体问题并处理。</w:t>
      </w:r>
    </w:p>
    <w:p w14:paraId="4EB4C3D2">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5.支持安全策略导入导出，策略导出支持一键导出策略、地址簿、服务簿维度信息，支持通过html方式查看，便于管理员线下运维查看。</w:t>
      </w:r>
    </w:p>
    <w:p w14:paraId="6BBA100B">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6.支持IP 黑名单手工导入和导出数据，以及自动更新黑名单数据的能力；导入格式应支持</w:t>
      </w:r>
      <w:r>
        <w:rPr>
          <w:rFonts w:hint="eastAsia" w:ascii="宋体" w:hAnsi="宋体" w:cs="宋体"/>
          <w:szCs w:val="21"/>
          <w:highlight w:val="none"/>
          <w:lang w:eastAsia="zh-CN"/>
        </w:rPr>
        <w:t>。</w:t>
      </w:r>
      <w:r>
        <w:rPr>
          <w:rFonts w:hint="eastAsia" w:ascii="宋体" w:hAnsi="宋体" w:cs="宋体"/>
          <w:szCs w:val="21"/>
          <w:highlight w:val="none"/>
        </w:rPr>
        <w:t>txt.csv，并允许用户自定义更新服务器地址和文件，周期性的以全量覆盖，或增量更新方式自动更新数据。</w:t>
      </w:r>
    </w:p>
    <w:p w14:paraId="634E7041">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7.</w:t>
      </w:r>
      <w:bookmarkStart w:id="100" w:name="OLE_LINK2"/>
      <w:r>
        <w:rPr>
          <w:rFonts w:hint="eastAsia" w:ascii="宋体" w:hAnsi="宋体" w:cs="宋体"/>
          <w:szCs w:val="21"/>
          <w:highlight w:val="none"/>
        </w:rPr>
        <w:t>▲</w:t>
      </w:r>
      <w:bookmarkEnd w:id="100"/>
      <w:r>
        <w:rPr>
          <w:rFonts w:hint="eastAsia" w:ascii="宋体" w:hAnsi="宋体" w:cs="宋体"/>
          <w:szCs w:val="21"/>
          <w:highlight w:val="none"/>
        </w:rPr>
        <w:t>功能要求</w:t>
      </w:r>
    </w:p>
    <w:p w14:paraId="560E980B">
      <w:pPr>
        <w:spacing w:line="360" w:lineRule="exact"/>
        <w:ind w:firstLine="480"/>
        <w:rPr>
          <w:rFonts w:hint="eastAsia" w:ascii="宋体" w:hAnsi="宋体" w:cs="宋体"/>
          <w:szCs w:val="21"/>
          <w:highlight w:val="none"/>
          <w:lang w:val="zh-CN"/>
        </w:rPr>
      </w:pPr>
      <w:r>
        <w:rPr>
          <w:rFonts w:hint="eastAsia" w:ascii="宋体" w:hAnsi="宋体" w:cs="宋体"/>
          <w:szCs w:val="21"/>
          <w:highlight w:val="none"/>
        </w:rPr>
        <w:t>支持源NAT端口扩展功能，当公网IP资源紧缺时，打开SNAT端口扩展功能，端口资源支持多倍扩展，允许发往不同目的地址的流量复用 NAT端口资源，使防火墙支持创建更多的NAT会话；SNAT支持动态探测功能，探测NAT地址池中的可用地址资源；当SNAT资源池使用率超过指定阈值时，产生利用率超高告警。</w:t>
      </w:r>
      <w:r>
        <w:rPr>
          <w:rFonts w:hint="eastAsia" w:ascii="宋体" w:hAnsi="宋体" w:cs="宋体"/>
          <w:b/>
          <w:bCs/>
          <w:snapToGrid w:val="0"/>
          <w:szCs w:val="21"/>
          <w:highlight w:val="none"/>
        </w:rPr>
        <w:t>提供第三方检测机构出具的检测报告复印件予以佐证</w:t>
      </w:r>
      <w:r>
        <w:rPr>
          <w:rFonts w:hint="eastAsia" w:ascii="宋体" w:hAnsi="宋体" w:cs="宋体"/>
          <w:snapToGrid w:val="0"/>
          <w:szCs w:val="21"/>
          <w:highlight w:val="none"/>
        </w:rPr>
        <w:t>。</w:t>
      </w:r>
    </w:p>
    <w:p w14:paraId="23936D40">
      <w:pPr>
        <w:spacing w:line="360" w:lineRule="exact"/>
        <w:ind w:firstLine="480"/>
        <w:rPr>
          <w:rFonts w:hint="eastAsia" w:ascii="宋体" w:hAnsi="宋体" w:cs="宋体"/>
          <w:szCs w:val="21"/>
          <w:highlight w:val="none"/>
          <w:lang w:val="zh-CN"/>
        </w:rPr>
      </w:pPr>
      <w:r>
        <w:rPr>
          <w:rFonts w:hint="eastAsia" w:ascii="宋体" w:hAnsi="宋体" w:cs="宋体"/>
          <w:szCs w:val="21"/>
          <w:highlight w:val="none"/>
        </w:rPr>
        <w:t>支持AI运维助手功能，AI运维助手功能支持进行知识问答，帮助用户理解专业术语或者协助用户进行防火墙配置；提供预置问题，用户可以直接点击预置问题发起提问。</w:t>
      </w:r>
      <w:r>
        <w:rPr>
          <w:rFonts w:hint="eastAsia" w:ascii="宋体" w:hAnsi="宋体" w:cs="宋体"/>
          <w:b/>
          <w:bCs/>
          <w:snapToGrid w:val="0"/>
          <w:szCs w:val="21"/>
          <w:highlight w:val="none"/>
        </w:rPr>
        <w:t>提供第三方检测机构出具的检测报告复印件予以佐证</w:t>
      </w:r>
      <w:r>
        <w:rPr>
          <w:rFonts w:hint="eastAsia" w:ascii="宋体" w:hAnsi="宋体" w:cs="宋体"/>
          <w:snapToGrid w:val="0"/>
          <w:szCs w:val="21"/>
          <w:highlight w:val="none"/>
        </w:rPr>
        <w:t>。</w:t>
      </w:r>
    </w:p>
    <w:p w14:paraId="3E509702">
      <w:pPr>
        <w:spacing w:line="360" w:lineRule="exact"/>
        <w:ind w:firstLine="480"/>
        <w:rPr>
          <w:rFonts w:hint="eastAsia" w:ascii="宋体" w:hAnsi="宋体" w:cs="宋体"/>
          <w:szCs w:val="21"/>
          <w:highlight w:val="none"/>
          <w:lang w:val="zh-CN"/>
        </w:rPr>
      </w:pPr>
      <w:r>
        <w:rPr>
          <w:rFonts w:hint="eastAsia" w:ascii="宋体" w:hAnsi="宋体" w:cs="宋体"/>
          <w:szCs w:val="21"/>
          <w:highlight w:val="none"/>
        </w:rPr>
        <w:t>支持 ZTNA 功能，实现零信任接入；支持 SPA 单包认证，支持独立于安全策略的专属 ZTNA 策略；支持对访问的应用做管理，支持配置名称、描述、IP、端口、协议、域名等维度；支持对ZTNA流量做入侵防御、病毒威胁、文件过滤、文件内容过滤等应用层检测，提升接入访问的安全性；并支持自动获取/自定义资源图标支持应用发布，客户端登录成功后，支持推送客户端被授权的应用清单；支持ZTNA客户端周期收集和上报终端信息，周期由ZTNA服务端配置给ZTNA客户端。</w:t>
      </w:r>
      <w:r>
        <w:rPr>
          <w:rFonts w:hint="eastAsia" w:ascii="宋体" w:hAnsi="宋体" w:cs="宋体"/>
          <w:b/>
          <w:bCs/>
          <w:snapToGrid w:val="0"/>
          <w:szCs w:val="21"/>
          <w:highlight w:val="none"/>
        </w:rPr>
        <w:t>提供第三方检测机构出具的检测报告复印件予以佐证</w:t>
      </w:r>
      <w:r>
        <w:rPr>
          <w:rFonts w:hint="eastAsia" w:ascii="宋体" w:hAnsi="宋体" w:cs="宋体"/>
          <w:snapToGrid w:val="0"/>
          <w:szCs w:val="21"/>
          <w:highlight w:val="none"/>
        </w:rPr>
        <w:t>。</w:t>
      </w:r>
    </w:p>
    <w:p w14:paraId="2EA9F0A5">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支持Web界面的数据包路径检测功能，支持通过模拟检测/在线检测/导入检测三种方式模拟数据包穿越设备，图形化展示数据包通过防火墙各个功能模块包括入接口、报文合法性检查、攻击防护、会话匹配、工作模式匹配（路由模式/透明模式/MAC模式）、地址转换、路由、会话限制、创建会话、策略匹配（安全策略）、ARP防护、流量管理、出接口等各个流程的处理情况，进行有效性检测和快速故障定位。（</w:t>
      </w:r>
      <w:r>
        <w:rPr>
          <w:rFonts w:hint="eastAsia" w:ascii="宋体" w:hAnsi="宋体" w:cs="宋体"/>
          <w:b/>
          <w:bCs/>
          <w:szCs w:val="21"/>
          <w:highlight w:val="none"/>
        </w:rPr>
        <w:t>提供产品界面功能操作截图予以佐证</w:t>
      </w:r>
      <w:r>
        <w:rPr>
          <w:rFonts w:hint="eastAsia" w:ascii="宋体" w:hAnsi="宋体" w:cs="宋体"/>
          <w:szCs w:val="21"/>
          <w:highlight w:val="none"/>
        </w:rPr>
        <w:t>）</w:t>
      </w:r>
    </w:p>
    <w:p w14:paraId="6B4199A9">
      <w:pPr>
        <w:spacing w:line="360" w:lineRule="exact"/>
        <w:ind w:firstLine="480"/>
        <w:rPr>
          <w:rFonts w:hint="eastAsia" w:ascii="宋体" w:hAnsi="宋体" w:cs="宋体"/>
          <w:szCs w:val="21"/>
          <w:highlight w:val="none"/>
          <w:lang w:val="zh-CN"/>
        </w:rPr>
      </w:pPr>
      <w:r>
        <w:rPr>
          <w:rFonts w:hint="eastAsia" w:ascii="宋体" w:hAnsi="宋体" w:cs="宋体"/>
          <w:szCs w:val="21"/>
          <w:highlight w:val="none"/>
        </w:rPr>
        <w:t>支持通过 SNMP 采集基于地址簿的流量和会话情况、采集基于应用监控和用户监控数据的流量和并发连接数、 采集NAT Session 数量和速率的统计信息、采集各个字节包的占比数据，包括：64字节，65-127字节、128-255 字节256-511 字节、512-1023 字节、1024-1580 字节的不同包占比统计。</w:t>
      </w:r>
      <w:r>
        <w:rPr>
          <w:rFonts w:hint="eastAsia" w:ascii="宋体" w:hAnsi="宋体" w:cs="宋体"/>
          <w:b/>
          <w:bCs/>
          <w:snapToGrid w:val="0"/>
          <w:szCs w:val="21"/>
          <w:highlight w:val="none"/>
        </w:rPr>
        <w:t>提供第三方检测机构出具的检测报告复印件予以佐证</w:t>
      </w:r>
      <w:r>
        <w:rPr>
          <w:rFonts w:hint="eastAsia" w:ascii="宋体" w:hAnsi="宋体" w:cs="宋体"/>
          <w:snapToGrid w:val="0"/>
          <w:szCs w:val="21"/>
          <w:highlight w:val="none"/>
        </w:rPr>
        <w:t>。</w:t>
      </w:r>
    </w:p>
    <w:p w14:paraId="534B84E1">
      <w:pPr>
        <w:spacing w:line="360" w:lineRule="exact"/>
        <w:ind w:firstLine="480"/>
        <w:rPr>
          <w:rFonts w:hint="eastAsia" w:ascii="宋体" w:hAnsi="宋体" w:cs="宋体"/>
          <w:szCs w:val="21"/>
          <w:highlight w:val="none"/>
          <w:lang w:val="zh-CN"/>
        </w:rPr>
      </w:pPr>
      <w:r>
        <w:rPr>
          <w:rFonts w:hint="eastAsia" w:ascii="宋体" w:hAnsi="宋体" w:cs="宋体"/>
          <w:szCs w:val="21"/>
          <w:highlight w:val="none"/>
        </w:rPr>
        <w:t>支持容器化服务能力，支持Docker的创建，支持为创建的Docker分配资源，包括CPU、Memory、接口和端口，支持第三方Docker镜像版本的导入和更新，支持第三方Docker运行信息查看，支持第三方Docker的停止、重启操作。</w:t>
      </w:r>
      <w:r>
        <w:rPr>
          <w:rFonts w:hint="eastAsia" w:ascii="宋体" w:hAnsi="宋体" w:cs="宋体"/>
          <w:b/>
          <w:bCs/>
          <w:snapToGrid w:val="0"/>
          <w:szCs w:val="21"/>
          <w:highlight w:val="none"/>
        </w:rPr>
        <w:t>提供第三方检测机构出具的检测报告复印件予以佐证</w:t>
      </w:r>
      <w:r>
        <w:rPr>
          <w:rFonts w:hint="eastAsia" w:ascii="宋体" w:hAnsi="宋体" w:cs="宋体"/>
          <w:snapToGrid w:val="0"/>
          <w:szCs w:val="21"/>
          <w:highlight w:val="none"/>
        </w:rPr>
        <w:t>。</w:t>
      </w:r>
    </w:p>
    <w:p w14:paraId="0890C5AF">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为保障日常使用的稳定性，产品应具备防雷击能力，</w:t>
      </w:r>
      <w:bookmarkStart w:id="101" w:name="OLE_LINK5"/>
      <w:r>
        <w:rPr>
          <w:rFonts w:hint="eastAsia" w:ascii="宋体" w:hAnsi="宋体" w:cs="宋体"/>
          <w:szCs w:val="21"/>
          <w:highlight w:val="none"/>
        </w:rPr>
        <w:t>必须通过浪涌（冲击）抗扰度（4KV）测试项目。（</w:t>
      </w:r>
      <w:r>
        <w:rPr>
          <w:rFonts w:hint="eastAsia" w:ascii="宋体" w:hAnsi="宋体" w:cs="宋体"/>
          <w:b/>
          <w:bCs/>
          <w:szCs w:val="21"/>
          <w:highlight w:val="none"/>
        </w:rPr>
        <w:t>提供测试报告予以佐证</w:t>
      </w:r>
      <w:r>
        <w:rPr>
          <w:rFonts w:hint="eastAsia" w:ascii="宋体" w:hAnsi="宋体" w:cs="宋体"/>
          <w:szCs w:val="21"/>
          <w:highlight w:val="none"/>
        </w:rPr>
        <w:t>）</w:t>
      </w:r>
      <w:bookmarkEnd w:id="101"/>
    </w:p>
    <w:p w14:paraId="614A9551">
      <w:pPr>
        <w:numPr>
          <w:ilvl w:val="1"/>
          <w:numId w:val="2"/>
        </w:numPr>
        <w:spacing w:line="360" w:lineRule="exact"/>
        <w:ind w:firstLine="422" w:firstLineChars="200"/>
        <w:outlineLvl w:val="4"/>
        <w:rPr>
          <w:rFonts w:hint="eastAsia" w:ascii="宋体" w:hAnsi="宋体" w:cs="宋体"/>
          <w:b/>
          <w:kern w:val="44"/>
          <w:szCs w:val="21"/>
          <w:highlight w:val="none"/>
          <w:lang w:val="zh-CN"/>
        </w:rPr>
      </w:pPr>
      <w:bookmarkStart w:id="102" w:name="_Toc233191577"/>
      <w:r>
        <w:rPr>
          <w:rFonts w:hint="eastAsia" w:ascii="宋体" w:hAnsi="宋体" w:cs="宋体"/>
          <w:b/>
          <w:kern w:val="44"/>
          <w:szCs w:val="21"/>
          <w:highlight w:val="none"/>
          <w:lang w:val="zh-CN"/>
        </w:rPr>
        <w:t>Web应用防火墙</w:t>
      </w:r>
      <w:bookmarkEnd w:id="102"/>
      <w:r>
        <w:rPr>
          <w:rFonts w:hint="eastAsia" w:ascii="宋体" w:hAnsi="宋体" w:cs="宋体"/>
          <w:b/>
          <w:kern w:val="44"/>
          <w:szCs w:val="21"/>
          <w:highlight w:val="none"/>
          <w:lang w:val="zh-CN"/>
        </w:rPr>
        <w:t>（2台）</w:t>
      </w:r>
    </w:p>
    <w:p w14:paraId="3F67C876">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Web应用防火墙的技术参数指标不得低于以下参数：</w:t>
      </w:r>
    </w:p>
    <w:p w14:paraId="481468D6">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硬件：机架型≥1U，国产化CPU和操作系统，内存≥16GB，≥4个万兆光口，≥6个千兆电口，≥4个千兆光口，≥2个MGT管理口，≥2个接口扩展槽位，双电源，≥1TB硬盘；性能：网络层吞吐量≥22Gbps，每秒新建连接数≥25万，可保护的不同IP/PORT对数量≥512个，HTTP吞吐量≥2.2Gbps，HTTPS吞吐量≥700Mbps；5年硬件保修和软件升级服务，5年WAF规则库升级服务。为实现统一安全运维的便利性，本项目的Web应用防火墙和核心防火墙</w:t>
      </w:r>
      <w:r>
        <w:rPr>
          <w:rFonts w:hint="eastAsia" w:ascii="宋体" w:hAnsi="宋体" w:cs="宋体"/>
          <w:szCs w:val="21"/>
          <w:highlight w:val="none"/>
          <w:lang w:val="en-US" w:eastAsia="zh-CN"/>
        </w:rPr>
        <w:t>需</w:t>
      </w:r>
      <w:r>
        <w:rPr>
          <w:rFonts w:hint="eastAsia" w:ascii="宋体" w:hAnsi="宋体" w:cs="宋体"/>
          <w:szCs w:val="21"/>
          <w:highlight w:val="none"/>
        </w:rPr>
        <w:t>为同一品牌。</w:t>
      </w:r>
    </w:p>
    <w:p w14:paraId="62B6066D">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2.系统具备注入攻击防御能力，可以对SQL注入、LDAP注入、SSI指令注入、Xpath注入、命令注入、远程文件包含以及其他注入进行防御。</w:t>
      </w:r>
    </w:p>
    <w:p w14:paraId="008BA473">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3.系统个人敏感信息防泄漏功能，可以检测到个人身份信息（包括中国大陆身份证号、港澳台身份证号、美国社会安全号）、银行卡号、信用卡号、邮件账号的信息泄露。</w:t>
      </w:r>
    </w:p>
    <w:p w14:paraId="272B632E">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4.支持内容改写策略，支持对请求的访问进行 URL 改写、 HTTP 头部改写、插入头部、插入cookie、删除头部、删除 cookie、 cookie 改写、永久重定向、临时重定向等操作。</w:t>
      </w:r>
    </w:p>
    <w:p w14:paraId="0203A6A1">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5.支持http/https网站自发现功能，自动发现网络中的http/https网站，包含服务器IP/端口/域名/访问次数等信息。</w:t>
      </w:r>
    </w:p>
    <w:p w14:paraId="798184D8">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6.▲功能要求：</w:t>
      </w:r>
    </w:p>
    <w:p w14:paraId="64AC870D">
      <w:pPr>
        <w:spacing w:line="360" w:lineRule="exact"/>
        <w:ind w:firstLine="480"/>
        <w:rPr>
          <w:rFonts w:hint="eastAsia" w:ascii="宋体" w:hAnsi="宋体" w:cs="宋体"/>
          <w:szCs w:val="21"/>
          <w:highlight w:val="none"/>
          <w:lang w:val="zh-CN"/>
        </w:rPr>
      </w:pPr>
      <w:r>
        <w:rPr>
          <w:rFonts w:hint="eastAsia" w:ascii="宋体" w:hAnsi="宋体" w:cs="宋体"/>
          <w:szCs w:val="21"/>
          <w:highlight w:val="none"/>
        </w:rPr>
        <w:t>支持WAF与防火墙安全联动功能，当服务器遭受攻击时，WAF上应有相应日志信息，客户端IP会被WAF列入黑名单，防火墙也会有对应的黑名单。</w:t>
      </w:r>
      <w:r>
        <w:rPr>
          <w:rFonts w:hint="eastAsia" w:ascii="宋体" w:hAnsi="宋体" w:cs="宋体"/>
          <w:b/>
          <w:bCs/>
          <w:snapToGrid w:val="0"/>
          <w:szCs w:val="21"/>
          <w:highlight w:val="none"/>
        </w:rPr>
        <w:t>提供第三方检测机构出具的检测报告复印件予以佐证</w:t>
      </w:r>
      <w:r>
        <w:rPr>
          <w:rFonts w:hint="eastAsia" w:ascii="宋体" w:hAnsi="宋体" w:cs="宋体"/>
          <w:snapToGrid w:val="0"/>
          <w:szCs w:val="21"/>
          <w:highlight w:val="none"/>
        </w:rPr>
        <w:t>。</w:t>
      </w:r>
    </w:p>
    <w:p w14:paraId="12E0F428">
      <w:pPr>
        <w:spacing w:line="360" w:lineRule="exact"/>
        <w:ind w:firstLine="480"/>
        <w:rPr>
          <w:rFonts w:hint="eastAsia" w:ascii="宋体" w:hAnsi="宋体" w:cs="宋体"/>
          <w:szCs w:val="21"/>
          <w:highlight w:val="none"/>
          <w:lang w:val="zh-CN"/>
        </w:rPr>
      </w:pPr>
      <w:r>
        <w:rPr>
          <w:rFonts w:hint="eastAsia" w:ascii="宋体" w:hAnsi="宋体" w:cs="宋体"/>
          <w:szCs w:val="21"/>
          <w:highlight w:val="none"/>
        </w:rPr>
        <w:t>支持从TCP Option获取源IP地址（TOA）功能，支持用户会话跟踪策略，支持移动运维与一键应急断网。</w:t>
      </w:r>
      <w:r>
        <w:rPr>
          <w:rFonts w:hint="eastAsia" w:ascii="宋体" w:hAnsi="宋体" w:cs="宋体"/>
          <w:b/>
          <w:bCs/>
          <w:snapToGrid w:val="0"/>
          <w:szCs w:val="21"/>
          <w:highlight w:val="none"/>
        </w:rPr>
        <w:t>提供第三方检测机构出具的检测报告复印件予以佐证</w:t>
      </w:r>
      <w:r>
        <w:rPr>
          <w:rFonts w:hint="eastAsia" w:ascii="宋体" w:hAnsi="宋体" w:cs="宋体"/>
          <w:snapToGrid w:val="0"/>
          <w:szCs w:val="21"/>
          <w:highlight w:val="none"/>
        </w:rPr>
        <w:t>。</w:t>
      </w:r>
    </w:p>
    <w:p w14:paraId="2645F047">
      <w:pPr>
        <w:spacing w:line="360" w:lineRule="exact"/>
        <w:ind w:firstLine="480"/>
        <w:rPr>
          <w:rFonts w:hint="eastAsia" w:ascii="宋体" w:hAnsi="宋体" w:cs="宋体"/>
          <w:szCs w:val="21"/>
          <w:highlight w:val="none"/>
          <w:lang w:val="zh-CN"/>
        </w:rPr>
      </w:pPr>
      <w:r>
        <w:rPr>
          <w:rFonts w:hint="eastAsia" w:ascii="宋体" w:hAnsi="宋体" w:cs="宋体"/>
          <w:szCs w:val="21"/>
          <w:highlight w:val="none"/>
        </w:rPr>
        <w:t>支持Web日志归并功能，支持Web安全日志进行回放功能，支持大屏展示威胁数据，支持对站点生成PCI-DSS合规性报表，支持默认站点的发现防护功能，支持重保模式防护策略。</w:t>
      </w:r>
      <w:bookmarkStart w:id="103" w:name="OLE_LINK3"/>
      <w:r>
        <w:rPr>
          <w:rFonts w:hint="eastAsia" w:ascii="宋体" w:hAnsi="宋体" w:cs="宋体"/>
          <w:b/>
          <w:bCs/>
          <w:snapToGrid w:val="0"/>
          <w:szCs w:val="21"/>
          <w:highlight w:val="none"/>
        </w:rPr>
        <w:t>提供第三方检测机构出具的检测报告复印件予以佐证</w:t>
      </w:r>
      <w:bookmarkEnd w:id="103"/>
      <w:r>
        <w:rPr>
          <w:rFonts w:hint="eastAsia" w:ascii="宋体" w:hAnsi="宋体" w:cs="宋体"/>
          <w:snapToGrid w:val="0"/>
          <w:szCs w:val="21"/>
          <w:highlight w:val="none"/>
        </w:rPr>
        <w:t>。</w:t>
      </w:r>
    </w:p>
    <w:p w14:paraId="7061312A">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支持策略自学习功能，策略助手能够提取命中指定策略ID的流量作为流量数据分析源，生成服务并且根据管理员设置的替换规则、聚合规则优化流量数据，最后自动生成符合管理员期望的安全策略规则。（</w:t>
      </w:r>
      <w:r>
        <w:rPr>
          <w:rFonts w:hint="eastAsia" w:ascii="宋体" w:hAnsi="宋体" w:cs="宋体"/>
          <w:b/>
          <w:bCs/>
          <w:szCs w:val="21"/>
          <w:highlight w:val="none"/>
        </w:rPr>
        <w:t>提供产品界面功能操作截图予以佐证</w:t>
      </w:r>
      <w:r>
        <w:rPr>
          <w:rFonts w:hint="eastAsia" w:ascii="宋体" w:hAnsi="宋体" w:cs="宋体"/>
          <w:szCs w:val="21"/>
          <w:highlight w:val="none"/>
        </w:rPr>
        <w:t>）</w:t>
      </w:r>
    </w:p>
    <w:p w14:paraId="58D3C8A7">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具有《电磁兼容检测报告》（</w:t>
      </w:r>
      <w:r>
        <w:rPr>
          <w:rFonts w:hint="eastAsia" w:ascii="宋体" w:hAnsi="宋体" w:cs="宋体"/>
          <w:b/>
          <w:bCs/>
          <w:szCs w:val="21"/>
          <w:highlight w:val="none"/>
        </w:rPr>
        <w:t>提供报告证明文件</w:t>
      </w:r>
      <w:r>
        <w:rPr>
          <w:rFonts w:hint="eastAsia" w:ascii="宋体" w:hAnsi="宋体" w:cs="宋体"/>
          <w:szCs w:val="21"/>
          <w:highlight w:val="none"/>
        </w:rPr>
        <w:t>）。</w:t>
      </w:r>
    </w:p>
    <w:p w14:paraId="573AE60B">
      <w:pPr>
        <w:numPr>
          <w:ilvl w:val="1"/>
          <w:numId w:val="2"/>
        </w:numPr>
        <w:spacing w:line="360" w:lineRule="exact"/>
        <w:ind w:firstLine="422" w:firstLineChars="200"/>
        <w:outlineLvl w:val="4"/>
        <w:rPr>
          <w:rFonts w:hint="eastAsia" w:ascii="宋体" w:hAnsi="宋体" w:cs="宋体"/>
          <w:b/>
          <w:kern w:val="44"/>
          <w:szCs w:val="21"/>
          <w:highlight w:val="none"/>
          <w:lang w:val="zh-CN"/>
        </w:rPr>
      </w:pPr>
      <w:bookmarkStart w:id="104" w:name="_Toc233191578"/>
      <w:r>
        <w:rPr>
          <w:rFonts w:hint="eastAsia" w:ascii="宋体" w:hAnsi="宋体" w:cs="宋体"/>
          <w:b/>
          <w:kern w:val="44"/>
          <w:szCs w:val="21"/>
          <w:highlight w:val="none"/>
          <w:lang w:val="zh-CN"/>
        </w:rPr>
        <w:t>核心交换机</w:t>
      </w:r>
      <w:bookmarkEnd w:id="104"/>
      <w:r>
        <w:rPr>
          <w:rFonts w:hint="eastAsia" w:ascii="宋体" w:hAnsi="宋体" w:cs="宋体"/>
          <w:b/>
          <w:kern w:val="44"/>
          <w:szCs w:val="21"/>
          <w:highlight w:val="none"/>
          <w:lang w:val="zh-CN"/>
        </w:rPr>
        <w:t>（2台）</w:t>
      </w:r>
    </w:p>
    <w:p w14:paraId="0CEDC38D">
      <w:pPr>
        <w:spacing w:line="360" w:lineRule="exact"/>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核心交换机的技术参数指标不得低于以下参数：</w:t>
      </w:r>
    </w:p>
    <w:p w14:paraId="38122B46">
      <w:pPr>
        <w:spacing w:line="360" w:lineRule="exact"/>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1.交换容量≥53.76Tbps，包转发率≥10080Mpps；主控槽位≥2，业务槽位≥3；</w:t>
      </w:r>
    </w:p>
    <w:p w14:paraId="6021DFA3">
      <w:pPr>
        <w:spacing w:line="360" w:lineRule="exact"/>
        <w:ind w:firstLine="420" w:firstLineChars="200"/>
        <w:jc w:val="left"/>
        <w:rPr>
          <w:rFonts w:hint="eastAsia" w:ascii="宋体" w:hAnsi="宋体" w:cs="宋体"/>
          <w:szCs w:val="21"/>
          <w:highlight w:val="none"/>
          <w:lang w:val="zh-CN"/>
        </w:rPr>
      </w:pPr>
      <w:r>
        <w:rPr>
          <w:rFonts w:hint="eastAsia" w:ascii="宋体" w:hAnsi="宋体" w:cs="宋体"/>
          <w:szCs w:val="21"/>
          <w:highlight w:val="none"/>
        </w:rPr>
        <w:t>2</w:t>
      </w:r>
      <w:r>
        <w:rPr>
          <w:rFonts w:hint="eastAsia" w:ascii="宋体" w:hAnsi="宋体" w:cs="宋体"/>
          <w:szCs w:val="21"/>
          <w:highlight w:val="none"/>
          <w:lang w:val="zh-CN"/>
        </w:rPr>
        <w:t>.整机支持≥2个电源模块；单台实配：主控板≥2块，交流电源模块≥2块，满配风扇框；万兆光口≥</w:t>
      </w:r>
      <w:r>
        <w:rPr>
          <w:rFonts w:hint="eastAsia" w:ascii="宋体" w:hAnsi="宋体" w:cs="宋体"/>
          <w:szCs w:val="21"/>
          <w:highlight w:val="none"/>
        </w:rPr>
        <w:t>96</w:t>
      </w:r>
      <w:r>
        <w:rPr>
          <w:rFonts w:hint="eastAsia" w:ascii="宋体" w:hAnsi="宋体" w:cs="宋体"/>
          <w:szCs w:val="21"/>
          <w:highlight w:val="none"/>
          <w:lang w:val="zh-CN"/>
        </w:rPr>
        <w:t>个；</w:t>
      </w:r>
    </w:p>
    <w:p w14:paraId="65BE50D6">
      <w:pPr>
        <w:spacing w:line="360" w:lineRule="exact"/>
        <w:ind w:firstLine="420" w:firstLineChars="200"/>
        <w:jc w:val="left"/>
        <w:rPr>
          <w:rFonts w:hint="eastAsia" w:ascii="宋体" w:hAnsi="宋体" w:cs="宋体"/>
          <w:szCs w:val="21"/>
          <w:highlight w:val="none"/>
          <w:lang w:val="zh-CN"/>
        </w:rPr>
      </w:pPr>
      <w:r>
        <w:rPr>
          <w:rFonts w:hint="eastAsia" w:ascii="宋体" w:hAnsi="宋体" w:cs="宋体"/>
          <w:szCs w:val="21"/>
          <w:highlight w:val="none"/>
        </w:rPr>
        <w:t>3</w:t>
      </w:r>
      <w:r>
        <w:rPr>
          <w:rFonts w:hint="eastAsia" w:ascii="宋体" w:hAnsi="宋体" w:cs="宋体"/>
          <w:szCs w:val="21"/>
          <w:highlight w:val="none"/>
          <w:lang w:val="zh-CN"/>
        </w:rPr>
        <w:t>.支持堆叠系统可视化，主备交换机同框展示，并可通过切换了解主备交换机机框板卡状态</w:t>
      </w:r>
    </w:p>
    <w:p w14:paraId="6C701B09">
      <w:pPr>
        <w:spacing w:line="360" w:lineRule="exact"/>
        <w:ind w:firstLine="420" w:firstLineChars="200"/>
        <w:jc w:val="left"/>
        <w:rPr>
          <w:rFonts w:hint="eastAsia" w:ascii="宋体" w:hAnsi="宋体" w:cs="宋体"/>
          <w:szCs w:val="21"/>
          <w:highlight w:val="none"/>
          <w:lang w:val="zh-CN"/>
        </w:rPr>
      </w:pPr>
      <w:r>
        <w:rPr>
          <w:rFonts w:hint="eastAsia" w:ascii="宋体" w:hAnsi="宋体" w:cs="宋体"/>
          <w:szCs w:val="21"/>
          <w:highlight w:val="none"/>
        </w:rPr>
        <w:t>4</w:t>
      </w:r>
      <w:r>
        <w:rPr>
          <w:rFonts w:hint="eastAsia" w:ascii="宋体" w:hAnsi="宋体" w:cs="宋体"/>
          <w:szCs w:val="21"/>
          <w:highlight w:val="none"/>
          <w:lang w:val="zh-CN"/>
        </w:rPr>
        <w:t>.支持交换机堆叠跨框双向流量可视，感知时间轴流量情况，异常流量直观可视；</w:t>
      </w:r>
    </w:p>
    <w:p w14:paraId="2088AEDC">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zh-CN"/>
        </w:rPr>
        <w:t>.▲</w:t>
      </w:r>
      <w:r>
        <w:rPr>
          <w:rFonts w:hint="eastAsia" w:ascii="宋体" w:hAnsi="宋体" w:cs="宋体"/>
          <w:szCs w:val="21"/>
          <w:highlight w:val="none"/>
        </w:rPr>
        <w:t>功能要求：</w:t>
      </w:r>
    </w:p>
    <w:p w14:paraId="20729E8D">
      <w:pPr>
        <w:spacing w:line="360" w:lineRule="exact"/>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支持扩展WAF业务插卡、负载均衡业务插卡、应用控制网关插卡、SSL VPN业务插卡等功能业务模块。（</w:t>
      </w:r>
      <w:r>
        <w:rPr>
          <w:rFonts w:hint="eastAsia" w:ascii="宋体" w:hAnsi="宋体" w:cs="宋体"/>
          <w:b/>
          <w:bCs/>
          <w:szCs w:val="21"/>
          <w:highlight w:val="none"/>
          <w:lang w:val="zh-CN"/>
        </w:rPr>
        <w:t>提供</w:t>
      </w:r>
      <w:r>
        <w:rPr>
          <w:rFonts w:hint="eastAsia" w:ascii="宋体" w:hAnsi="宋体" w:cs="宋体"/>
          <w:b/>
          <w:bCs/>
          <w:szCs w:val="21"/>
          <w:highlight w:val="none"/>
        </w:rPr>
        <w:t>厂商</w:t>
      </w:r>
      <w:r>
        <w:rPr>
          <w:rFonts w:hint="eastAsia" w:ascii="宋体" w:hAnsi="宋体" w:cs="宋体"/>
          <w:b/>
          <w:bCs/>
          <w:szCs w:val="21"/>
          <w:highlight w:val="none"/>
          <w:lang w:val="zh-CN"/>
        </w:rPr>
        <w:t>官网截图以及链接材料证明</w:t>
      </w:r>
      <w:r>
        <w:rPr>
          <w:rFonts w:hint="eastAsia" w:ascii="宋体" w:hAnsi="宋体" w:cs="宋体"/>
          <w:szCs w:val="21"/>
          <w:highlight w:val="none"/>
          <w:lang w:val="zh-CN"/>
        </w:rPr>
        <w:t>）</w:t>
      </w:r>
    </w:p>
    <w:p w14:paraId="7C26B2A1">
      <w:pPr>
        <w:spacing w:line="360" w:lineRule="exact"/>
        <w:ind w:firstLine="480"/>
        <w:rPr>
          <w:rFonts w:hint="eastAsia" w:ascii="宋体" w:hAnsi="宋体" w:cs="宋体"/>
          <w:szCs w:val="21"/>
          <w:highlight w:val="none"/>
          <w:lang w:val="zh-CN"/>
        </w:rPr>
      </w:pPr>
      <w:r>
        <w:rPr>
          <w:rFonts w:hint="eastAsia" w:ascii="宋体" w:hAnsi="宋体" w:cs="宋体"/>
          <w:szCs w:val="21"/>
          <w:highlight w:val="none"/>
          <w:lang w:val="zh-CN"/>
        </w:rPr>
        <w:t>支持内置智能图形化管理功能，实现纵向虚拟化，对于下联设备具备统一管理的功能。</w:t>
      </w:r>
      <w:r>
        <w:rPr>
          <w:rFonts w:hint="eastAsia" w:ascii="宋体" w:hAnsi="宋体" w:cs="宋体"/>
          <w:b/>
          <w:bCs/>
          <w:snapToGrid w:val="0"/>
          <w:szCs w:val="21"/>
          <w:highlight w:val="none"/>
        </w:rPr>
        <w:t>提供第三方检测机构出具的检测报告复印件予以佐证</w:t>
      </w:r>
      <w:r>
        <w:rPr>
          <w:rFonts w:hint="eastAsia" w:ascii="宋体" w:hAnsi="宋体" w:cs="宋体"/>
          <w:snapToGrid w:val="0"/>
          <w:szCs w:val="21"/>
          <w:highlight w:val="none"/>
        </w:rPr>
        <w:t>。</w:t>
      </w:r>
    </w:p>
    <w:p w14:paraId="00D26A7E">
      <w:pPr>
        <w:spacing w:line="360" w:lineRule="exact"/>
        <w:ind w:firstLine="480"/>
        <w:rPr>
          <w:rFonts w:hint="eastAsia" w:ascii="宋体" w:hAnsi="宋体" w:cs="宋体"/>
          <w:szCs w:val="21"/>
          <w:highlight w:val="none"/>
          <w:lang w:val="zh-CN"/>
        </w:rPr>
      </w:pPr>
      <w:r>
        <w:rPr>
          <w:rFonts w:hint="eastAsia" w:ascii="宋体" w:hAnsi="宋体" w:cs="宋体"/>
          <w:szCs w:val="21"/>
          <w:highlight w:val="none"/>
          <w:lang w:val="zh-CN"/>
        </w:rPr>
        <w:t>支持四虚一、统一管理（2框、3框或4框堆叠）、10G\40G\100G 堆叠链路、故障双向收敛时间分别平均为 0mms/0mms的特性。</w:t>
      </w:r>
      <w:r>
        <w:rPr>
          <w:rFonts w:hint="eastAsia" w:ascii="宋体" w:hAnsi="宋体" w:cs="宋体"/>
          <w:b/>
          <w:bCs/>
          <w:snapToGrid w:val="0"/>
          <w:szCs w:val="21"/>
          <w:highlight w:val="none"/>
        </w:rPr>
        <w:t>提供第三方检测机构出具的检测报告复印件予以佐证</w:t>
      </w:r>
      <w:r>
        <w:rPr>
          <w:rFonts w:hint="eastAsia" w:ascii="宋体" w:hAnsi="宋体" w:cs="宋体"/>
          <w:snapToGrid w:val="0"/>
          <w:szCs w:val="21"/>
          <w:highlight w:val="none"/>
        </w:rPr>
        <w:t>。</w:t>
      </w:r>
    </w:p>
    <w:p w14:paraId="5CB49FCF">
      <w:pPr>
        <w:spacing w:line="360" w:lineRule="exact"/>
        <w:ind w:firstLine="480"/>
        <w:rPr>
          <w:rFonts w:hint="eastAsia" w:ascii="宋体" w:hAnsi="宋体" w:cs="宋体"/>
          <w:szCs w:val="21"/>
          <w:highlight w:val="none"/>
          <w:lang w:val="zh-CN"/>
        </w:rPr>
      </w:pPr>
      <w:r>
        <w:rPr>
          <w:rFonts w:hint="eastAsia" w:ascii="宋体" w:hAnsi="宋体" w:cs="宋体"/>
          <w:szCs w:val="21"/>
          <w:highlight w:val="none"/>
          <w:lang w:val="zh-CN"/>
        </w:rPr>
        <w:t>支持 FW 防火墙和 IPS 业务卡。</w:t>
      </w:r>
      <w:r>
        <w:rPr>
          <w:rFonts w:hint="eastAsia" w:ascii="宋体" w:hAnsi="宋体" w:cs="宋体"/>
          <w:b/>
          <w:bCs/>
          <w:snapToGrid w:val="0"/>
          <w:szCs w:val="21"/>
          <w:highlight w:val="none"/>
        </w:rPr>
        <w:t>提供第三方检测机构出具的检测报告复印件予以佐证</w:t>
      </w:r>
      <w:r>
        <w:rPr>
          <w:rFonts w:hint="eastAsia" w:ascii="宋体" w:hAnsi="宋体" w:cs="宋体"/>
          <w:snapToGrid w:val="0"/>
          <w:szCs w:val="21"/>
          <w:highlight w:val="none"/>
        </w:rPr>
        <w:t>。</w:t>
      </w:r>
    </w:p>
    <w:p w14:paraId="424153A3">
      <w:pPr>
        <w:spacing w:line="360" w:lineRule="exact"/>
        <w:ind w:left="437" w:leftChars="208"/>
        <w:jc w:val="left"/>
        <w:rPr>
          <w:rFonts w:hint="eastAsia" w:ascii="宋体" w:hAnsi="宋体" w:cs="宋体"/>
          <w:szCs w:val="21"/>
          <w:highlight w:val="none"/>
          <w:u w:val="single" w:color="FFFFFF" w:themeColor="background1"/>
        </w:rPr>
      </w:pPr>
      <w:r>
        <w:rPr>
          <w:rFonts w:hint="eastAsia" w:ascii="宋体" w:hAnsi="宋体" w:cs="宋体"/>
          <w:szCs w:val="21"/>
          <w:highlight w:val="none"/>
        </w:rPr>
        <w:t>6.原</w:t>
      </w:r>
      <w:r>
        <w:rPr>
          <w:rFonts w:hint="eastAsia" w:ascii="宋体" w:hAnsi="宋体" w:cs="宋体"/>
          <w:szCs w:val="21"/>
          <w:highlight w:val="none"/>
          <w:u w:val="single" w:color="FFFFFF" w:themeColor="background1"/>
        </w:rPr>
        <w:t>供原厂五年质保。</w:t>
      </w:r>
    </w:p>
    <w:p w14:paraId="049733C2">
      <w:pPr>
        <w:numPr>
          <w:ilvl w:val="1"/>
          <w:numId w:val="2"/>
        </w:numPr>
        <w:spacing w:line="360" w:lineRule="exact"/>
        <w:ind w:firstLine="422" w:firstLineChars="200"/>
        <w:jc w:val="left"/>
        <w:outlineLvl w:val="4"/>
        <w:rPr>
          <w:rFonts w:hint="eastAsia" w:ascii="宋体" w:hAnsi="宋体" w:cs="宋体"/>
          <w:szCs w:val="21"/>
          <w:highlight w:val="none"/>
        </w:rPr>
      </w:pPr>
      <w:bookmarkStart w:id="105" w:name="_Toc233191579"/>
      <w:r>
        <w:rPr>
          <w:rFonts w:hint="eastAsia" w:ascii="宋体" w:hAnsi="宋体" w:cs="宋体"/>
          <w:b/>
          <w:kern w:val="44"/>
          <w:szCs w:val="21"/>
          <w:highlight w:val="none"/>
          <w:lang w:val="zh-CN"/>
        </w:rPr>
        <w:t>接入交换机</w:t>
      </w:r>
      <w:bookmarkEnd w:id="105"/>
      <w:r>
        <w:rPr>
          <w:rFonts w:hint="eastAsia" w:ascii="宋体" w:hAnsi="宋体" w:cs="宋体"/>
          <w:b/>
          <w:kern w:val="44"/>
          <w:szCs w:val="21"/>
          <w:highlight w:val="none"/>
          <w:lang w:val="zh-CN"/>
        </w:rPr>
        <w:t>（4台）</w:t>
      </w:r>
    </w:p>
    <w:p w14:paraId="436C290E">
      <w:pPr>
        <w:spacing w:line="360" w:lineRule="exact"/>
        <w:ind w:firstLine="420" w:firstLineChars="200"/>
        <w:jc w:val="left"/>
        <w:rPr>
          <w:rFonts w:hint="eastAsia" w:ascii="宋体" w:hAnsi="宋体" w:cs="宋体"/>
          <w:szCs w:val="21"/>
          <w:highlight w:val="none"/>
          <w:u w:val="single" w:color="FFFFFF" w:themeColor="background1"/>
        </w:rPr>
      </w:pPr>
      <w:r>
        <w:rPr>
          <w:rFonts w:hint="eastAsia" w:ascii="宋体" w:hAnsi="宋体" w:cs="宋体"/>
          <w:szCs w:val="21"/>
          <w:highlight w:val="none"/>
          <w:u w:val="single" w:color="FFFFFF" w:themeColor="background1"/>
        </w:rPr>
        <w:t>接入交换机技术参数指标不低于以下参数：</w:t>
      </w:r>
    </w:p>
    <w:p w14:paraId="0E924EBE">
      <w:pPr>
        <w:spacing w:line="360" w:lineRule="exact"/>
        <w:ind w:firstLine="420" w:firstLineChars="200"/>
        <w:jc w:val="left"/>
        <w:rPr>
          <w:rFonts w:hint="eastAsia" w:ascii="宋体" w:hAnsi="宋体" w:cs="宋体"/>
          <w:szCs w:val="21"/>
          <w:highlight w:val="none"/>
          <w:u w:val="single" w:color="FFFFFF" w:themeColor="background1"/>
        </w:rPr>
      </w:pPr>
      <w:r>
        <w:rPr>
          <w:rFonts w:hint="eastAsia" w:ascii="宋体" w:hAnsi="宋体" w:cs="宋体"/>
          <w:szCs w:val="21"/>
          <w:highlight w:val="none"/>
          <w:u w:val="single" w:color="FFFFFF" w:themeColor="background1"/>
        </w:rPr>
        <w:t>1.万兆SFP+光口≥24个</w:t>
      </w:r>
      <w:r>
        <w:rPr>
          <w:rFonts w:hint="eastAsia" w:ascii="宋体" w:hAnsi="宋体" w:cs="宋体"/>
          <w:szCs w:val="21"/>
          <w:highlight w:val="none"/>
          <w:u w:val="single" w:color="FFFFFF" w:themeColor="background1"/>
          <w:lang w:eastAsia="zh-CN"/>
        </w:rPr>
        <w:t>（</w:t>
      </w:r>
      <w:r>
        <w:rPr>
          <w:rFonts w:hint="eastAsia" w:ascii="宋体" w:hAnsi="宋体" w:cs="宋体"/>
          <w:szCs w:val="21"/>
          <w:highlight w:val="none"/>
          <w:u w:val="single" w:color="FFFFFF" w:themeColor="background1"/>
        </w:rPr>
        <w:t>配置24个万兆多模模块</w:t>
      </w:r>
      <w:r>
        <w:rPr>
          <w:rFonts w:hint="eastAsia" w:ascii="宋体" w:hAnsi="宋体" w:cs="宋体"/>
          <w:szCs w:val="21"/>
          <w:highlight w:val="none"/>
          <w:u w:val="single" w:color="FFFFFF" w:themeColor="background1"/>
          <w:lang w:eastAsia="zh-CN"/>
        </w:rPr>
        <w:t>）</w:t>
      </w:r>
      <w:r>
        <w:rPr>
          <w:rFonts w:hint="eastAsia" w:ascii="宋体" w:hAnsi="宋体" w:cs="宋体"/>
          <w:szCs w:val="21"/>
          <w:highlight w:val="none"/>
          <w:u w:val="single" w:color="FFFFFF" w:themeColor="background1"/>
        </w:rPr>
        <w:t>，40G /100G QSFP+光口≥8个，Console口≥1个，Manage口≥1个</w:t>
      </w:r>
    </w:p>
    <w:p w14:paraId="3C14F6A0">
      <w:pPr>
        <w:spacing w:line="360" w:lineRule="exact"/>
        <w:ind w:firstLine="420" w:firstLineChars="200"/>
        <w:jc w:val="left"/>
        <w:rPr>
          <w:rFonts w:hint="eastAsia" w:ascii="宋体" w:hAnsi="宋体" w:cs="宋体"/>
          <w:szCs w:val="21"/>
          <w:highlight w:val="none"/>
          <w:u w:val="single" w:color="FFFFFF" w:themeColor="background1"/>
        </w:rPr>
      </w:pPr>
      <w:r>
        <w:rPr>
          <w:rFonts w:hint="eastAsia" w:ascii="宋体" w:hAnsi="宋体" w:cs="宋体"/>
          <w:szCs w:val="21"/>
          <w:highlight w:val="none"/>
          <w:u w:val="single" w:color="FFFFFF" w:themeColor="background1"/>
        </w:rPr>
        <w:t>2.支持双交流电源模块1+1冗余（热插拔）；交换容量≥2.56Tbps，包转发率≥1600Mpps；</w:t>
      </w:r>
    </w:p>
    <w:p w14:paraId="582D2C9B">
      <w:pPr>
        <w:spacing w:line="360" w:lineRule="exact"/>
        <w:ind w:firstLine="420" w:firstLineChars="200"/>
        <w:jc w:val="left"/>
        <w:rPr>
          <w:rFonts w:hint="eastAsia" w:ascii="宋体" w:hAnsi="宋体" w:cs="宋体"/>
          <w:szCs w:val="21"/>
          <w:highlight w:val="none"/>
          <w:u w:val="single" w:color="FFFFFF" w:themeColor="background1"/>
        </w:rPr>
      </w:pPr>
      <w:r>
        <w:rPr>
          <w:rFonts w:hint="eastAsia" w:ascii="宋体" w:hAnsi="宋体" w:cs="宋体"/>
          <w:szCs w:val="21"/>
          <w:highlight w:val="none"/>
          <w:u w:val="single" w:color="FFFFFF" w:themeColor="background1"/>
        </w:rPr>
        <w:t>3.支持IGMP v1/v2/v3 Snooping，支持STP、RSTP、MSTP协议，支持端口聚合，支持手工和静态LACP；</w:t>
      </w:r>
    </w:p>
    <w:p w14:paraId="40E505AE">
      <w:pPr>
        <w:spacing w:line="360" w:lineRule="exact"/>
        <w:ind w:firstLine="420" w:firstLineChars="200"/>
        <w:jc w:val="left"/>
        <w:rPr>
          <w:rFonts w:hint="eastAsia" w:ascii="宋体" w:hAnsi="宋体" w:cs="宋体"/>
          <w:szCs w:val="21"/>
          <w:highlight w:val="none"/>
          <w:u w:val="single" w:color="FFFFFF" w:themeColor="background1"/>
        </w:rPr>
      </w:pPr>
      <w:r>
        <w:rPr>
          <w:rFonts w:hint="eastAsia" w:ascii="宋体" w:hAnsi="宋体" w:cs="宋体"/>
          <w:szCs w:val="21"/>
          <w:highlight w:val="none"/>
          <w:u w:val="single" w:color="FFFFFF" w:themeColor="background1"/>
        </w:rPr>
        <w:t>4.支持防网关ARP欺骗，支持端口保护、隔离、防止ARP泛洪攻击功能，支持DHCP Snooping，支持交换机端口设置为信任端口或非信任端口，非信任端口也可设置白名单相应DHCP报文。</w:t>
      </w:r>
    </w:p>
    <w:p w14:paraId="6729503F">
      <w:pPr>
        <w:spacing w:line="360" w:lineRule="exact"/>
        <w:ind w:firstLine="420" w:firstLineChars="200"/>
        <w:jc w:val="left"/>
        <w:rPr>
          <w:rFonts w:hint="eastAsia" w:ascii="宋体" w:hAnsi="宋体" w:cs="宋体"/>
          <w:szCs w:val="21"/>
          <w:highlight w:val="none"/>
          <w:u w:val="single" w:color="FFFFFF" w:themeColor="background1"/>
        </w:rPr>
      </w:pPr>
      <w:r>
        <w:rPr>
          <w:rFonts w:hint="eastAsia" w:ascii="宋体" w:hAnsi="宋体" w:cs="宋体"/>
          <w:szCs w:val="21"/>
          <w:highlight w:val="none"/>
          <w:u w:val="single" w:color="FFFFFF" w:themeColor="background1"/>
        </w:rPr>
        <w:t>5.支持M-LAG技术，要求配对的设备有独立的控制平面；</w:t>
      </w:r>
    </w:p>
    <w:p w14:paraId="310C2AAB">
      <w:pPr>
        <w:spacing w:line="360" w:lineRule="exact"/>
        <w:ind w:firstLine="420" w:firstLineChars="200"/>
        <w:jc w:val="left"/>
        <w:rPr>
          <w:rFonts w:hint="eastAsia" w:ascii="宋体" w:hAnsi="宋体" w:cs="宋体"/>
          <w:szCs w:val="21"/>
          <w:highlight w:val="none"/>
          <w:u w:val="single" w:color="FFFFFF" w:themeColor="background1"/>
        </w:rPr>
      </w:pPr>
      <w:r>
        <w:rPr>
          <w:rFonts w:hint="eastAsia" w:ascii="宋体" w:hAnsi="宋体" w:cs="宋体"/>
          <w:szCs w:val="21"/>
          <w:highlight w:val="none"/>
          <w:u w:val="single" w:color="FFFFFF" w:themeColor="background1"/>
        </w:rPr>
        <w:t>6.▲功能要求：</w:t>
      </w:r>
    </w:p>
    <w:p w14:paraId="040FA777">
      <w:pPr>
        <w:spacing w:line="360" w:lineRule="exact"/>
        <w:ind w:firstLine="480"/>
        <w:rPr>
          <w:rFonts w:hint="eastAsia" w:ascii="宋体" w:hAnsi="宋体" w:cs="宋体"/>
          <w:szCs w:val="21"/>
          <w:highlight w:val="none"/>
          <w:lang w:val="zh-CN"/>
        </w:rPr>
      </w:pPr>
      <w:r>
        <w:rPr>
          <w:rFonts w:hint="eastAsia" w:ascii="宋体" w:hAnsi="宋体" w:cs="宋体"/>
          <w:szCs w:val="21"/>
          <w:highlight w:val="none"/>
          <w:u w:val="single" w:color="FFFFFF" w:themeColor="background1"/>
        </w:rPr>
        <w:t>支持TAP功能，提供支持增加时间戳及以太网头功能，支持同源同宿功能，支持报文截断功能，支持VXLAN 隧道剥离功能。</w:t>
      </w:r>
      <w:r>
        <w:rPr>
          <w:rFonts w:hint="eastAsia" w:ascii="宋体" w:hAnsi="宋体" w:cs="宋体"/>
          <w:b/>
          <w:bCs/>
          <w:snapToGrid w:val="0"/>
          <w:szCs w:val="21"/>
          <w:highlight w:val="none"/>
        </w:rPr>
        <w:t>提供第三方检测机构出具的检测报告复印件予以佐证</w:t>
      </w:r>
      <w:r>
        <w:rPr>
          <w:rFonts w:hint="eastAsia" w:ascii="宋体" w:hAnsi="宋体" w:cs="宋体"/>
          <w:snapToGrid w:val="0"/>
          <w:szCs w:val="21"/>
          <w:highlight w:val="none"/>
        </w:rPr>
        <w:t>。</w:t>
      </w:r>
    </w:p>
    <w:p w14:paraId="0F0E2AC4">
      <w:pPr>
        <w:spacing w:line="360" w:lineRule="exact"/>
        <w:ind w:firstLine="480"/>
        <w:rPr>
          <w:rFonts w:hint="eastAsia" w:ascii="宋体" w:hAnsi="宋体" w:cs="宋体"/>
          <w:szCs w:val="21"/>
          <w:highlight w:val="none"/>
          <w:lang w:val="zh-CN"/>
        </w:rPr>
      </w:pPr>
      <w:r>
        <w:rPr>
          <w:rFonts w:hint="eastAsia" w:ascii="宋体" w:hAnsi="宋体" w:cs="宋体"/>
          <w:szCs w:val="21"/>
          <w:highlight w:val="none"/>
          <w:u w:val="single" w:color="FFFFFF" w:themeColor="background1"/>
        </w:rPr>
        <w:t>支持内置图形化网管功能，能通过TM设备对TC设备的配置进行备份，对TC设备进行故障替换、命令下发，对摄像头进行管理。</w:t>
      </w:r>
      <w:r>
        <w:rPr>
          <w:rFonts w:hint="eastAsia" w:ascii="宋体" w:hAnsi="宋体" w:cs="宋体"/>
          <w:b/>
          <w:bCs/>
          <w:snapToGrid w:val="0"/>
          <w:szCs w:val="21"/>
          <w:highlight w:val="none"/>
        </w:rPr>
        <w:t>提供第三方检测机构出具的检测报告复印件予以佐证</w:t>
      </w:r>
      <w:r>
        <w:rPr>
          <w:rFonts w:hint="eastAsia" w:ascii="宋体" w:hAnsi="宋体" w:cs="宋体"/>
          <w:snapToGrid w:val="0"/>
          <w:szCs w:val="21"/>
          <w:highlight w:val="none"/>
        </w:rPr>
        <w:t>。</w:t>
      </w:r>
    </w:p>
    <w:p w14:paraId="0B25742A">
      <w:pPr>
        <w:spacing w:line="360" w:lineRule="exact"/>
        <w:ind w:firstLine="420" w:firstLineChars="200"/>
        <w:jc w:val="left"/>
        <w:rPr>
          <w:rFonts w:hint="eastAsia" w:ascii="宋体" w:hAnsi="宋体" w:cs="宋体"/>
          <w:szCs w:val="21"/>
          <w:highlight w:val="none"/>
          <w:u w:val="single" w:color="FFFFFF" w:themeColor="background1"/>
        </w:rPr>
      </w:pPr>
      <w:r>
        <w:rPr>
          <w:rFonts w:hint="eastAsia" w:ascii="宋体" w:hAnsi="宋体" w:cs="宋体"/>
          <w:szCs w:val="21"/>
          <w:highlight w:val="none"/>
        </w:rPr>
        <w:t>7.★为保障兼容性，要求与核心交换机为同一品牌。</w:t>
      </w:r>
    </w:p>
    <w:p w14:paraId="0D50D406">
      <w:pPr>
        <w:spacing w:line="360" w:lineRule="exact"/>
        <w:ind w:firstLine="420" w:firstLineChars="200"/>
        <w:jc w:val="left"/>
        <w:rPr>
          <w:rFonts w:hint="eastAsia" w:ascii="宋体" w:hAnsi="宋体" w:cs="宋体"/>
          <w:szCs w:val="21"/>
          <w:highlight w:val="none"/>
          <w:u w:val="single" w:color="FFFFFF" w:themeColor="background1"/>
        </w:rPr>
      </w:pPr>
      <w:r>
        <w:rPr>
          <w:rFonts w:hint="eastAsia" w:ascii="宋体" w:hAnsi="宋体" w:cs="宋体"/>
          <w:szCs w:val="21"/>
          <w:highlight w:val="none"/>
          <w:u w:val="single" w:color="FFFFFF" w:themeColor="background1"/>
        </w:rPr>
        <w:t>8.提供原厂五年质保。</w:t>
      </w:r>
    </w:p>
    <w:p w14:paraId="090C2E65">
      <w:pPr>
        <w:numPr>
          <w:ilvl w:val="1"/>
          <w:numId w:val="2"/>
        </w:numPr>
        <w:spacing w:line="360" w:lineRule="exact"/>
        <w:ind w:firstLine="422" w:firstLineChars="200"/>
        <w:outlineLvl w:val="4"/>
        <w:rPr>
          <w:rFonts w:hint="eastAsia" w:ascii="宋体" w:hAnsi="宋体" w:cs="宋体"/>
          <w:b/>
          <w:kern w:val="44"/>
          <w:szCs w:val="21"/>
          <w:highlight w:val="none"/>
          <w:lang w:val="zh-CN"/>
        </w:rPr>
      </w:pPr>
      <w:bookmarkStart w:id="106" w:name="_Toc233191581"/>
      <w:r>
        <w:rPr>
          <w:rFonts w:hint="eastAsia" w:ascii="宋体" w:hAnsi="宋体" w:cs="宋体"/>
          <w:b/>
          <w:kern w:val="44"/>
          <w:szCs w:val="21"/>
          <w:highlight w:val="none"/>
        </w:rPr>
        <w:t>计算节点</w:t>
      </w:r>
      <w:bookmarkEnd w:id="106"/>
      <w:r>
        <w:rPr>
          <w:rFonts w:hint="eastAsia" w:ascii="宋体" w:hAnsi="宋体" w:cs="宋体"/>
          <w:b/>
          <w:kern w:val="44"/>
          <w:szCs w:val="21"/>
          <w:highlight w:val="none"/>
        </w:rPr>
        <w:t>（3台）</w:t>
      </w:r>
    </w:p>
    <w:p w14:paraId="0B31CF25">
      <w:pPr>
        <w:spacing w:line="360" w:lineRule="exact"/>
        <w:ind w:firstLine="420" w:firstLineChars="200"/>
        <w:jc w:val="left"/>
        <w:rPr>
          <w:rFonts w:hint="eastAsia" w:ascii="宋体" w:hAnsi="宋体" w:cs="宋体"/>
          <w:snapToGrid w:val="0"/>
          <w:szCs w:val="21"/>
          <w:highlight w:val="none"/>
        </w:rPr>
      </w:pPr>
      <w:r>
        <w:rPr>
          <w:rFonts w:hint="eastAsia" w:ascii="宋体" w:hAnsi="宋体" w:cs="宋体"/>
          <w:snapToGrid w:val="0"/>
          <w:szCs w:val="21"/>
          <w:highlight w:val="none"/>
        </w:rPr>
        <w:t>计算节点服务器的技术参数指标不得低于以下参数：</w:t>
      </w:r>
    </w:p>
    <w:p w14:paraId="425CD46B">
      <w:pPr>
        <w:numPr>
          <w:ilvl w:val="0"/>
          <w:numId w:val="3"/>
        </w:num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▲国内厂家生产的产品，非OEM产品非联合产品（</w:t>
      </w:r>
      <w:r>
        <w:rPr>
          <w:rFonts w:hint="eastAsia" w:ascii="宋体" w:hAnsi="宋体" w:cs="宋体"/>
          <w:b/>
          <w:bCs/>
          <w:szCs w:val="21"/>
          <w:highlight w:val="none"/>
        </w:rPr>
        <w:t>提供佐证材料</w:t>
      </w:r>
      <w:r>
        <w:rPr>
          <w:rFonts w:hint="eastAsia" w:ascii="宋体" w:hAnsi="宋体" w:cs="宋体"/>
          <w:szCs w:val="21"/>
          <w:highlight w:val="none"/>
        </w:rPr>
        <w:t>）；</w:t>
      </w:r>
    </w:p>
    <w:p w14:paraId="7915E364">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2.</w:t>
      </w:r>
      <w:r>
        <w:rPr>
          <w:rFonts w:hint="eastAsia" w:ascii="宋体" w:hAnsi="宋体" w:cs="宋体"/>
          <w:szCs w:val="21"/>
          <w:highlight w:val="none"/>
        </w:rPr>
        <w:t>★处理器：处理器：配置≥2颗国产ARM架构处理器，精简指令集，所采用CPU须通过中国信息安全测评中心的中央处理器（CPU）</w:t>
      </w:r>
      <w:r>
        <w:rPr>
          <w:rFonts w:hint="eastAsia" w:ascii="宋体" w:hAnsi="宋体" w:cs="宋体"/>
          <w:szCs w:val="21"/>
          <w:highlight w:val="none"/>
          <w:lang w:val="zh-CN"/>
        </w:rPr>
        <w:t>安全可靠测试评估（</w:t>
      </w:r>
      <w:r>
        <w:rPr>
          <w:rFonts w:hint="eastAsia" w:ascii="宋体" w:hAnsi="宋体" w:cs="宋体"/>
          <w:b/>
          <w:bCs/>
          <w:snapToGrid w:val="0"/>
          <w:szCs w:val="21"/>
          <w:highlight w:val="none"/>
        </w:rPr>
        <w:t>须提供中国信息安全测评中心官方网站界面截图佐证</w:t>
      </w:r>
      <w:r>
        <w:rPr>
          <w:rFonts w:hint="eastAsia" w:ascii="宋体" w:hAnsi="宋体" w:cs="宋体"/>
          <w:szCs w:val="21"/>
          <w:highlight w:val="none"/>
          <w:lang w:val="zh-CN"/>
        </w:rPr>
        <w:t>）</w:t>
      </w:r>
      <w:r>
        <w:rPr>
          <w:rFonts w:hint="eastAsia" w:ascii="宋体" w:hAnsi="宋体" w:cs="宋体"/>
          <w:szCs w:val="21"/>
          <w:highlight w:val="none"/>
        </w:rPr>
        <w:t>，单颗处理器核心数≥48核 ，单颗主频≥2.6GHz；</w:t>
      </w:r>
    </w:p>
    <w:p w14:paraId="7798E9FD">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3.</w:t>
      </w:r>
      <w:r>
        <w:rPr>
          <w:rFonts w:hint="eastAsia" w:ascii="宋体" w:hAnsi="宋体" w:cs="宋体"/>
          <w:szCs w:val="21"/>
          <w:highlight w:val="none"/>
        </w:rPr>
        <w:t>内存：配置≥DDR4 3200MHz内存，单根内存容量≥64GB，内存总容量≥768GB；</w:t>
      </w:r>
    </w:p>
    <w:p w14:paraId="4DC333BA">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4.</w:t>
      </w:r>
      <w:r>
        <w:rPr>
          <w:rFonts w:hint="eastAsia" w:ascii="宋体" w:hAnsi="宋体" w:cs="宋体"/>
          <w:szCs w:val="21"/>
          <w:highlight w:val="none"/>
        </w:rPr>
        <w:t>硬盘：配置≥2块960GB 企业级SSD系统盘；</w:t>
      </w:r>
    </w:p>
    <w:p w14:paraId="27BDE996">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5.</w:t>
      </w:r>
      <w:r>
        <w:rPr>
          <w:rFonts w:hint="eastAsia" w:ascii="宋体" w:hAnsi="宋体" w:cs="宋体"/>
          <w:szCs w:val="21"/>
          <w:highlight w:val="none"/>
        </w:rPr>
        <w:t>RAID卡：配置≥4G缓存（超级电容），支持RAID 0,1,10,5,50,6,60；</w:t>
      </w:r>
    </w:p>
    <w:p w14:paraId="20D2B110">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6.</w:t>
      </w:r>
      <w:r>
        <w:rPr>
          <w:rFonts w:hint="eastAsia" w:ascii="宋体" w:hAnsi="宋体" w:cs="宋体"/>
          <w:szCs w:val="21"/>
          <w:highlight w:val="none"/>
        </w:rPr>
        <w:t>网卡：配置≥4 * GE电口，≥2块双端口25GE网卡（含10G光模块）；</w:t>
      </w:r>
    </w:p>
    <w:p w14:paraId="790FA60A">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7.</w:t>
      </w:r>
      <w:r>
        <w:rPr>
          <w:rFonts w:hint="eastAsia" w:ascii="宋体" w:hAnsi="宋体" w:cs="宋体"/>
          <w:szCs w:val="21"/>
          <w:highlight w:val="none"/>
        </w:rPr>
        <w:t>电源：满配冗余热插拔电源，单电源额定功率≥900W；</w:t>
      </w:r>
    </w:p>
    <w:p w14:paraId="60EA2948">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8.</w:t>
      </w:r>
      <w:r>
        <w:rPr>
          <w:rFonts w:hint="eastAsia" w:ascii="宋体" w:hAnsi="宋体" w:cs="宋体"/>
          <w:szCs w:val="21"/>
          <w:highlight w:val="none"/>
        </w:rPr>
        <w:t>▲为保证服务器自主可控特性，所采用的BMC管理芯片须为在中国大陆注册生产的芯片（</w:t>
      </w:r>
      <w:r>
        <w:rPr>
          <w:rFonts w:hint="eastAsia" w:ascii="宋体" w:hAnsi="宋体" w:cs="宋体"/>
          <w:b/>
          <w:bCs/>
          <w:szCs w:val="21"/>
          <w:highlight w:val="none"/>
        </w:rPr>
        <w:t>提供佐证材料</w:t>
      </w:r>
      <w:r>
        <w:rPr>
          <w:rFonts w:hint="eastAsia" w:ascii="宋体" w:hAnsi="宋体" w:cs="宋体"/>
          <w:szCs w:val="21"/>
          <w:highlight w:val="none"/>
        </w:rPr>
        <w:t>），同时BMC管理软件须为国内厂商自主研发的产品（</w:t>
      </w:r>
      <w:r>
        <w:rPr>
          <w:rFonts w:hint="eastAsia" w:ascii="宋体" w:hAnsi="宋体" w:cs="宋体"/>
          <w:b/>
          <w:bCs/>
          <w:szCs w:val="21"/>
          <w:highlight w:val="none"/>
        </w:rPr>
        <w:t>提供软件著作权证书复印件</w:t>
      </w:r>
      <w:r>
        <w:rPr>
          <w:rFonts w:hint="eastAsia" w:ascii="宋体" w:hAnsi="宋体" w:cs="宋体"/>
          <w:szCs w:val="21"/>
          <w:highlight w:val="none"/>
        </w:rPr>
        <w:t>）。</w:t>
      </w:r>
    </w:p>
    <w:p w14:paraId="3F0B987F">
      <w:pPr>
        <w:spacing w:line="360" w:lineRule="exact"/>
        <w:ind w:firstLine="480"/>
        <w:rPr>
          <w:rFonts w:hint="eastAsia" w:ascii="宋体" w:hAnsi="宋体" w:cs="宋体"/>
          <w:szCs w:val="21"/>
          <w:highlight w:val="none"/>
          <w:lang w:val="zh-CN"/>
        </w:rPr>
      </w:pPr>
      <w:r>
        <w:rPr>
          <w:rFonts w:hint="eastAsia" w:ascii="宋体" w:hAnsi="宋体" w:cs="宋体"/>
          <w:szCs w:val="21"/>
          <w:highlight w:val="none"/>
          <w:lang w:eastAsia="zh-CN"/>
        </w:rPr>
        <w:t>9.</w:t>
      </w:r>
      <w:r>
        <w:rPr>
          <w:rFonts w:hint="eastAsia" w:ascii="宋体" w:hAnsi="宋体" w:cs="宋体"/>
          <w:szCs w:val="21"/>
          <w:highlight w:val="none"/>
        </w:rPr>
        <w:t>服务器iBMC智能管理系统具有高可靠的硬件监控及管理功能，通过完善的信息安全评估，包括传输保密性、完善性、日志可核查性、日志抗抵赖性、认证安全性、权限管理安全性、用户会话安全性、敏感信息防泄漏、信息输入输出安全等。</w:t>
      </w:r>
      <w:r>
        <w:rPr>
          <w:rFonts w:hint="eastAsia" w:ascii="宋体" w:hAnsi="宋体" w:cs="宋体"/>
          <w:b/>
          <w:bCs/>
          <w:snapToGrid w:val="0"/>
          <w:szCs w:val="21"/>
          <w:highlight w:val="none"/>
        </w:rPr>
        <w:t>提供第三方检测机构出具的检测报告复印件予以佐证</w:t>
      </w:r>
      <w:r>
        <w:rPr>
          <w:rFonts w:hint="eastAsia" w:ascii="宋体" w:hAnsi="宋体" w:cs="宋体"/>
          <w:snapToGrid w:val="0"/>
          <w:szCs w:val="21"/>
          <w:highlight w:val="none"/>
        </w:rPr>
        <w:t>。</w:t>
      </w:r>
    </w:p>
    <w:p w14:paraId="03745B61">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10.</w:t>
      </w:r>
      <w:r>
        <w:rPr>
          <w:rFonts w:hint="eastAsia" w:ascii="宋体" w:hAnsi="宋体" w:cs="宋体"/>
          <w:szCs w:val="21"/>
          <w:highlight w:val="none"/>
        </w:rPr>
        <w:t>提供5年原厂7x24x4H质保服务；</w:t>
      </w:r>
    </w:p>
    <w:p w14:paraId="225B6026">
      <w:pPr>
        <w:numPr>
          <w:ilvl w:val="1"/>
          <w:numId w:val="2"/>
        </w:numPr>
        <w:spacing w:line="360" w:lineRule="exact"/>
        <w:ind w:firstLine="422" w:firstLineChars="200"/>
        <w:outlineLvl w:val="4"/>
        <w:rPr>
          <w:rFonts w:hint="eastAsia" w:ascii="宋体" w:hAnsi="宋体" w:cs="宋体"/>
          <w:b/>
          <w:kern w:val="44"/>
          <w:szCs w:val="21"/>
          <w:highlight w:val="none"/>
          <w:lang w:val="zh-CN"/>
        </w:rPr>
      </w:pPr>
      <w:bookmarkStart w:id="107" w:name="_Toc233191582"/>
      <w:r>
        <w:rPr>
          <w:rFonts w:hint="eastAsia" w:ascii="宋体" w:hAnsi="宋体" w:cs="宋体"/>
          <w:b/>
          <w:kern w:val="44"/>
          <w:szCs w:val="21"/>
          <w:highlight w:val="none"/>
        </w:rPr>
        <w:t>管理节点</w:t>
      </w:r>
      <w:bookmarkEnd w:id="107"/>
      <w:r>
        <w:rPr>
          <w:rFonts w:hint="eastAsia" w:ascii="宋体" w:hAnsi="宋体" w:cs="宋体"/>
          <w:b/>
          <w:kern w:val="44"/>
          <w:szCs w:val="21"/>
          <w:highlight w:val="none"/>
        </w:rPr>
        <w:t>（3台）</w:t>
      </w:r>
    </w:p>
    <w:p w14:paraId="65012E66">
      <w:pPr>
        <w:spacing w:line="360" w:lineRule="exact"/>
        <w:ind w:firstLine="420" w:firstLineChars="200"/>
        <w:jc w:val="left"/>
        <w:rPr>
          <w:rFonts w:hint="eastAsia" w:ascii="宋体" w:hAnsi="宋体" w:cs="宋体"/>
          <w:snapToGrid w:val="0"/>
          <w:szCs w:val="21"/>
          <w:highlight w:val="none"/>
        </w:rPr>
      </w:pPr>
      <w:r>
        <w:rPr>
          <w:rFonts w:hint="eastAsia" w:ascii="宋体" w:hAnsi="宋体" w:cs="宋体"/>
          <w:snapToGrid w:val="0"/>
          <w:szCs w:val="21"/>
          <w:highlight w:val="none"/>
        </w:rPr>
        <w:t>管理节点的技术参数指标不得低于以下参数：</w:t>
      </w:r>
    </w:p>
    <w:p w14:paraId="21A9294B">
      <w:pPr>
        <w:numPr>
          <w:ilvl w:val="0"/>
          <w:numId w:val="4"/>
        </w:num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▲国内厂家生产的产品，非OEM产品非联合产品（</w:t>
      </w:r>
      <w:r>
        <w:rPr>
          <w:rFonts w:hint="eastAsia" w:ascii="宋体" w:hAnsi="宋体" w:cs="宋体"/>
          <w:b/>
          <w:bCs/>
          <w:szCs w:val="21"/>
          <w:highlight w:val="none"/>
        </w:rPr>
        <w:t>提供佐证材料</w:t>
      </w:r>
      <w:r>
        <w:rPr>
          <w:rFonts w:hint="eastAsia" w:ascii="宋体" w:hAnsi="宋体" w:cs="宋体"/>
          <w:szCs w:val="21"/>
          <w:highlight w:val="none"/>
        </w:rPr>
        <w:t>）；</w:t>
      </w:r>
    </w:p>
    <w:p w14:paraId="630D0D1E">
      <w:pPr>
        <w:numPr>
          <w:ilvl w:val="0"/>
          <w:numId w:val="4"/>
        </w:num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★处理器：处理器：配置≥2颗国产ARM架构处理器，精简指令集，所采用CPU须通过中国信息安全测评中心的中央处理器（CPU）</w:t>
      </w:r>
      <w:r>
        <w:rPr>
          <w:rFonts w:hint="eastAsia" w:ascii="宋体" w:hAnsi="宋体" w:cs="宋体"/>
          <w:szCs w:val="21"/>
          <w:highlight w:val="none"/>
          <w:lang w:val="zh-CN"/>
        </w:rPr>
        <w:t>安全可靠测试评估（</w:t>
      </w:r>
      <w:r>
        <w:rPr>
          <w:rFonts w:hint="eastAsia" w:ascii="宋体" w:hAnsi="宋体" w:cs="宋体"/>
          <w:b/>
          <w:bCs/>
          <w:snapToGrid w:val="0"/>
          <w:szCs w:val="21"/>
          <w:highlight w:val="none"/>
        </w:rPr>
        <w:t>须提供中国信息安全测评中心官方网站界面截图佐证</w:t>
      </w:r>
      <w:r>
        <w:rPr>
          <w:rFonts w:hint="eastAsia" w:ascii="宋体" w:hAnsi="宋体" w:cs="宋体"/>
          <w:szCs w:val="21"/>
          <w:highlight w:val="none"/>
          <w:lang w:val="zh-CN"/>
        </w:rPr>
        <w:t>）</w:t>
      </w:r>
      <w:r>
        <w:rPr>
          <w:rFonts w:hint="eastAsia" w:ascii="宋体" w:hAnsi="宋体" w:cs="宋体"/>
          <w:szCs w:val="21"/>
          <w:highlight w:val="none"/>
        </w:rPr>
        <w:t>，单颗处理器核心数≥32核 ，单颗主频≥2.6GHz；</w:t>
      </w:r>
    </w:p>
    <w:p w14:paraId="6F0708F2">
      <w:pPr>
        <w:numPr>
          <w:ilvl w:val="0"/>
          <w:numId w:val="4"/>
        </w:num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内存：配置≥8*64 DDR4内存；内存频率：≥3200MHz；</w:t>
      </w:r>
    </w:p>
    <w:p w14:paraId="016CAED4">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4.</w:t>
      </w:r>
      <w:r>
        <w:rPr>
          <w:rFonts w:hint="eastAsia" w:ascii="宋体" w:hAnsi="宋体" w:cs="宋体"/>
          <w:szCs w:val="21"/>
          <w:highlight w:val="none"/>
        </w:rPr>
        <w:t>存储：配置≥2块1.92TB SATA SSD，≥1块960GB SATA SSD</w:t>
      </w:r>
      <w:r>
        <w:rPr>
          <w:rFonts w:hint="eastAsia" w:ascii="宋体" w:hAnsi="宋体" w:cs="宋体"/>
          <w:szCs w:val="21"/>
          <w:highlight w:val="none"/>
          <w:lang w:eastAsia="zh-CN"/>
        </w:rPr>
        <w:t>，</w:t>
      </w:r>
      <w:r>
        <w:rPr>
          <w:rFonts w:hint="eastAsia" w:ascii="宋体" w:hAnsi="宋体" w:cs="宋体"/>
          <w:szCs w:val="21"/>
          <w:highlight w:val="none"/>
        </w:rPr>
        <w:t>配置≥2块3.84TB NVME SSD 热插拔硬盘；</w:t>
      </w:r>
    </w:p>
    <w:p w14:paraId="7FF9A89F">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5.</w:t>
      </w:r>
      <w:r>
        <w:rPr>
          <w:rFonts w:hint="eastAsia" w:ascii="宋体" w:hAnsi="宋体" w:cs="宋体"/>
          <w:szCs w:val="21"/>
          <w:highlight w:val="none"/>
        </w:rPr>
        <w:t>阵列卡：配置1块≥4GB缓存的独立阵列卡及配套超级电容，支持RAID 0，1，5，6，10，50，60等RAID级别；</w:t>
      </w:r>
    </w:p>
    <w:p w14:paraId="6F7D995F">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6.</w:t>
      </w:r>
      <w:r>
        <w:rPr>
          <w:rFonts w:hint="eastAsia" w:ascii="宋体" w:hAnsi="宋体" w:cs="宋体"/>
          <w:szCs w:val="21"/>
          <w:highlight w:val="none"/>
        </w:rPr>
        <w:t>网络：配置≥4 * GE电口，≥2块双端口25GE网卡（含10G光模块）；</w:t>
      </w:r>
    </w:p>
    <w:p w14:paraId="12D7453F">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7.</w:t>
      </w:r>
      <w:r>
        <w:rPr>
          <w:rFonts w:hint="eastAsia" w:ascii="宋体" w:hAnsi="宋体" w:cs="宋体"/>
          <w:szCs w:val="21"/>
          <w:highlight w:val="none"/>
        </w:rPr>
        <w:t>电源：满配冗余热插拔电源，单电源额定功率≥900W；</w:t>
      </w:r>
    </w:p>
    <w:p w14:paraId="146EF5AE">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8.</w:t>
      </w:r>
      <w:r>
        <w:rPr>
          <w:rFonts w:hint="eastAsia" w:ascii="宋体" w:hAnsi="宋体" w:cs="宋体"/>
          <w:szCs w:val="21"/>
          <w:highlight w:val="none"/>
        </w:rPr>
        <w:t>▲为保证服务器自主可控特性，所采用的BMC管理芯片须为在中国大陆注册生产的芯片（</w:t>
      </w:r>
      <w:r>
        <w:rPr>
          <w:rFonts w:hint="eastAsia" w:ascii="宋体" w:hAnsi="宋体" w:cs="宋体"/>
          <w:b/>
          <w:bCs/>
          <w:szCs w:val="21"/>
          <w:highlight w:val="none"/>
        </w:rPr>
        <w:t>提供佐证材料</w:t>
      </w:r>
      <w:r>
        <w:rPr>
          <w:rFonts w:hint="eastAsia" w:ascii="宋体" w:hAnsi="宋体" w:cs="宋体"/>
          <w:szCs w:val="21"/>
          <w:highlight w:val="none"/>
        </w:rPr>
        <w:t>），同时BMC管理软件须为国内厂商自主研发的产品（</w:t>
      </w:r>
      <w:r>
        <w:rPr>
          <w:rFonts w:hint="eastAsia" w:ascii="宋体" w:hAnsi="宋体" w:cs="宋体"/>
          <w:b/>
          <w:bCs/>
          <w:szCs w:val="21"/>
          <w:highlight w:val="none"/>
        </w:rPr>
        <w:t>提供软件著作权证书复印件</w:t>
      </w:r>
      <w:r>
        <w:rPr>
          <w:rFonts w:hint="eastAsia" w:ascii="宋体" w:hAnsi="宋体" w:cs="宋体"/>
          <w:szCs w:val="21"/>
          <w:highlight w:val="none"/>
        </w:rPr>
        <w:t>）。</w:t>
      </w:r>
    </w:p>
    <w:p w14:paraId="11EEB9F6">
      <w:pPr>
        <w:spacing w:line="360" w:lineRule="exact"/>
        <w:ind w:firstLine="480"/>
        <w:rPr>
          <w:rFonts w:hint="eastAsia" w:ascii="宋体" w:hAnsi="宋体" w:cs="宋体"/>
          <w:szCs w:val="21"/>
          <w:highlight w:val="none"/>
          <w:lang w:val="zh-CN"/>
        </w:rPr>
      </w:pPr>
      <w:r>
        <w:rPr>
          <w:rFonts w:hint="eastAsia" w:ascii="宋体" w:hAnsi="宋体" w:cs="宋体"/>
          <w:szCs w:val="21"/>
          <w:highlight w:val="none"/>
          <w:lang w:eastAsia="zh-CN"/>
        </w:rPr>
        <w:t>9.</w:t>
      </w:r>
      <w:r>
        <w:rPr>
          <w:rFonts w:hint="eastAsia" w:ascii="宋体" w:hAnsi="宋体" w:cs="宋体"/>
          <w:szCs w:val="21"/>
          <w:highlight w:val="none"/>
        </w:rPr>
        <w:t>服务器iBMC智能管理系统具有高可靠的硬件监控及管理功能，通过完善的信息安全评估，包括传输保密性、完善性、日志可核查性、日志抗抵赖性、认证安全性、权限管理安全性、用户会话安全性、敏感信息防泄漏、信息输入输出安全等。</w:t>
      </w:r>
      <w:r>
        <w:rPr>
          <w:rFonts w:hint="eastAsia" w:ascii="宋体" w:hAnsi="宋体" w:cs="宋体"/>
          <w:b/>
          <w:bCs/>
          <w:snapToGrid w:val="0"/>
          <w:szCs w:val="21"/>
          <w:highlight w:val="none"/>
        </w:rPr>
        <w:t>提供第三方检测机构出具的检测报告复印件予以佐证</w:t>
      </w:r>
      <w:r>
        <w:rPr>
          <w:rFonts w:hint="eastAsia" w:ascii="宋体" w:hAnsi="宋体" w:cs="宋体"/>
          <w:snapToGrid w:val="0"/>
          <w:szCs w:val="21"/>
          <w:highlight w:val="none"/>
        </w:rPr>
        <w:t>。</w:t>
      </w:r>
    </w:p>
    <w:p w14:paraId="59BDAFCB">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10.</w:t>
      </w:r>
      <w:r>
        <w:rPr>
          <w:rFonts w:hint="eastAsia" w:ascii="宋体" w:hAnsi="宋体" w:cs="宋体"/>
          <w:szCs w:val="21"/>
          <w:highlight w:val="none"/>
        </w:rPr>
        <w:t>提供5年原厂7x24x4H质保服务；</w:t>
      </w:r>
    </w:p>
    <w:p w14:paraId="323357C2">
      <w:pPr>
        <w:numPr>
          <w:ilvl w:val="1"/>
          <w:numId w:val="2"/>
        </w:numPr>
        <w:spacing w:line="360" w:lineRule="exact"/>
        <w:ind w:firstLine="422" w:firstLineChars="200"/>
        <w:outlineLvl w:val="4"/>
        <w:rPr>
          <w:rFonts w:hint="eastAsia" w:ascii="宋体" w:hAnsi="宋体" w:cs="宋体"/>
          <w:b/>
          <w:kern w:val="44"/>
          <w:szCs w:val="21"/>
          <w:highlight w:val="none"/>
          <w:lang w:val="zh-CN"/>
        </w:rPr>
      </w:pPr>
      <w:bookmarkStart w:id="108" w:name="_Toc233191583"/>
      <w:r>
        <w:rPr>
          <w:rFonts w:hint="eastAsia" w:ascii="宋体" w:hAnsi="宋体" w:cs="宋体"/>
          <w:b/>
          <w:kern w:val="44"/>
          <w:szCs w:val="21"/>
          <w:highlight w:val="none"/>
          <w:lang w:val="zh-CN"/>
        </w:rPr>
        <w:t>云管理平台软件</w:t>
      </w:r>
      <w:bookmarkEnd w:id="108"/>
      <w:r>
        <w:rPr>
          <w:rFonts w:hint="eastAsia" w:ascii="宋体" w:hAnsi="宋体" w:cs="宋体"/>
          <w:b/>
          <w:kern w:val="44"/>
          <w:szCs w:val="21"/>
          <w:highlight w:val="none"/>
          <w:lang w:val="zh-CN"/>
        </w:rPr>
        <w:t>（1套）</w:t>
      </w:r>
    </w:p>
    <w:p w14:paraId="6BBC53A9">
      <w:pPr>
        <w:spacing w:line="360" w:lineRule="exact"/>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云管理平台软件的技术参数指标不得低于以下参数：</w:t>
      </w:r>
    </w:p>
    <w:p w14:paraId="72CDAC16">
      <w:pPr>
        <w:spacing w:line="360" w:lineRule="exact"/>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1.具备高效统一、融合易用性，集群系统支持在统一管理界面中监控和管理计算、存储、网络、虚拟化平台。</w:t>
      </w:r>
    </w:p>
    <w:p w14:paraId="1791C605">
      <w:pPr>
        <w:spacing w:line="360" w:lineRule="exact"/>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2.为方便统一运维管理、方便及时掌握系统告警信息，平台需支持告警邮件/短信/微信/钉钉等通知，系统将自动将告警信息通过邮件/短信/微信/钉钉发送给相关人员，也可设置将告警转储到第三方服务器。支持告警屏蔽和取消屏蔽，支持通过SNMP V2/V3协议向第三方平台上报告警。</w:t>
      </w:r>
    </w:p>
    <w:p w14:paraId="16771577">
      <w:pPr>
        <w:spacing w:line="360" w:lineRule="exact"/>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3.为支持快速故障排查和硬件信息实时展示、查询功能，管理平台支持服务器的电源、风扇、CPU、内存、磁盘和网卡的硬件信息查看和监控告警，管理平台设备管理界面的硬件部件展示信息与实际一一对应。</w:t>
      </w:r>
    </w:p>
    <w:p w14:paraId="2E9447B4">
      <w:pPr>
        <w:spacing w:line="360" w:lineRule="exact"/>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4.为更好地支持如核心数据库、关键应用、高性能计算、大数据、AI等业务场景，平台支持第三方裸金属资源池管理，支持华为、浪潮、H3C、超聚变等品牌服务器，提供裸金属资源池管理功能如CPU、内存、磁盘、显卡、显存总量/余量等信息，支持裸金属资源的添加、删除、编辑、标记状态、标签、账号管理，支持裸金属性能告警和监控，包括CPU、内存、磁盘、网卡、AI加速卡相关告警。</w:t>
      </w:r>
    </w:p>
    <w:p w14:paraId="657FBE3E">
      <w:pPr>
        <w:spacing w:line="360" w:lineRule="exact"/>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5.为了提高系统主动预防故障和硬件可靠性，平台支持在线实时对设备进行故障信息采集后，支持系统内SAS/SATA机械盘、SSD硬盘进行故障诊断&amp;故障预测，可对硬盘故障提前7～30天进行预测预警。</w:t>
      </w:r>
    </w:p>
    <w:p w14:paraId="4F0E0ACC">
      <w:pPr>
        <w:spacing w:line="360" w:lineRule="exact"/>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6.为了实现对整个系统运维的远程化、自动化、智能化管理作业，支持远程运维功能，超融合管理平台能够接入远程智能运维客户端，支持将告警、日志、监控信息远程上报，提供平台信息快速查看功能。</w:t>
      </w:r>
    </w:p>
    <w:p w14:paraId="41BC54D3">
      <w:pPr>
        <w:spacing w:line="360" w:lineRule="exact"/>
        <w:ind w:firstLine="480"/>
        <w:rPr>
          <w:rFonts w:hint="eastAsia" w:ascii="宋体" w:hAnsi="宋体" w:cs="宋体"/>
          <w:szCs w:val="21"/>
          <w:highlight w:val="none"/>
          <w:lang w:val="zh-CN"/>
        </w:rPr>
      </w:pPr>
      <w:r>
        <w:rPr>
          <w:rFonts w:hint="eastAsia" w:ascii="宋体" w:hAnsi="宋体" w:cs="宋体"/>
          <w:szCs w:val="21"/>
          <w:highlight w:val="none"/>
          <w:lang w:val="zh-CN"/>
        </w:rPr>
        <w:t>7.▲为实现多云平台的异构虚拟化资源融合，更便于对现网平台的集中管理，支持第三方异构虚拟化平台纳管功能，包括主流的华为FusionCube和深信服 Sangfor HCI 平台等统一纳管。</w:t>
      </w:r>
      <w:r>
        <w:rPr>
          <w:rFonts w:hint="eastAsia" w:ascii="宋体" w:hAnsi="宋体" w:cs="宋体"/>
          <w:b/>
          <w:bCs/>
          <w:snapToGrid w:val="0"/>
          <w:szCs w:val="21"/>
          <w:highlight w:val="none"/>
        </w:rPr>
        <w:t>提供第三方检测机构出具的检测报告复印件予以佐证</w:t>
      </w:r>
      <w:r>
        <w:rPr>
          <w:rFonts w:hint="eastAsia" w:ascii="宋体" w:hAnsi="宋体" w:cs="宋体"/>
          <w:snapToGrid w:val="0"/>
          <w:szCs w:val="21"/>
          <w:highlight w:val="none"/>
        </w:rPr>
        <w:t>。</w:t>
      </w:r>
    </w:p>
    <w:p w14:paraId="7B532657">
      <w:pPr>
        <w:spacing w:line="360" w:lineRule="exact"/>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8.▲为了保证所提供的管理软件与服务器硬件底座的长期适配，所提供的管理软件应为与所提供的计算节点服务器同一厂商（含子公司）自主研发的软件产品，非OEM产品。（</w:t>
      </w:r>
      <w:r>
        <w:rPr>
          <w:rFonts w:hint="eastAsia" w:ascii="宋体" w:hAnsi="宋体" w:cs="宋体"/>
          <w:b/>
          <w:bCs/>
          <w:szCs w:val="21"/>
          <w:highlight w:val="none"/>
        </w:rPr>
        <w:t>须提供软件著作权等证明材料</w:t>
      </w:r>
      <w:r>
        <w:rPr>
          <w:rFonts w:hint="eastAsia" w:ascii="宋体" w:hAnsi="宋体" w:cs="宋体"/>
          <w:b/>
          <w:bCs/>
          <w:szCs w:val="21"/>
          <w:highlight w:val="none"/>
          <w:lang w:eastAsia="zh-CN"/>
        </w:rPr>
        <w:t>）</w:t>
      </w:r>
      <w:r>
        <w:rPr>
          <w:rFonts w:hint="eastAsia" w:ascii="宋体" w:hAnsi="宋体" w:cs="宋体"/>
          <w:szCs w:val="21"/>
          <w:highlight w:val="none"/>
          <w:lang w:val="zh-CN"/>
        </w:rPr>
        <w:t>。</w:t>
      </w:r>
    </w:p>
    <w:p w14:paraId="38AADCE3">
      <w:pPr>
        <w:spacing w:line="360" w:lineRule="exact"/>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9.▲提供20个CPU虚拟化软件授权，包含5年软件订阅与保障服务（</w:t>
      </w:r>
      <w:r>
        <w:rPr>
          <w:rFonts w:hint="eastAsia" w:ascii="宋体" w:hAnsi="宋体" w:cs="宋体"/>
          <w:b/>
          <w:bCs/>
          <w:szCs w:val="21"/>
          <w:highlight w:val="none"/>
        </w:rPr>
        <w:t>须提供专项承诺函</w:t>
      </w:r>
      <w:r>
        <w:rPr>
          <w:rFonts w:hint="eastAsia" w:ascii="宋体" w:hAnsi="宋体" w:cs="宋体"/>
          <w:b/>
          <w:bCs/>
          <w:szCs w:val="21"/>
          <w:highlight w:val="none"/>
          <w:lang w:eastAsia="zh-CN"/>
        </w:rPr>
        <w:t>）</w:t>
      </w:r>
      <w:r>
        <w:rPr>
          <w:rFonts w:hint="eastAsia" w:ascii="宋体" w:hAnsi="宋体" w:cs="宋体"/>
          <w:szCs w:val="21"/>
          <w:highlight w:val="none"/>
          <w:lang w:val="zh-CN"/>
        </w:rPr>
        <w:t>。为了保证软件适配性，所提供虚拟化软件应与所提供管理平台软件为同一厂商自主研发的软件产品，非OEM产品。（</w:t>
      </w:r>
      <w:r>
        <w:rPr>
          <w:rFonts w:hint="eastAsia" w:ascii="宋体" w:hAnsi="宋体" w:cs="宋体"/>
          <w:b/>
          <w:bCs/>
          <w:szCs w:val="21"/>
          <w:highlight w:val="none"/>
        </w:rPr>
        <w:t>须提供软件著作权等证明材料</w:t>
      </w:r>
      <w:r>
        <w:rPr>
          <w:rFonts w:hint="eastAsia" w:ascii="宋体" w:hAnsi="宋体" w:cs="宋体"/>
          <w:b/>
          <w:bCs/>
          <w:szCs w:val="21"/>
          <w:highlight w:val="none"/>
          <w:lang w:eastAsia="zh-CN"/>
        </w:rPr>
        <w:t>）</w:t>
      </w:r>
    </w:p>
    <w:p w14:paraId="4DCA84F7">
      <w:pPr>
        <w:spacing w:line="360" w:lineRule="exact"/>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10.▲配套</w:t>
      </w:r>
    </w:p>
    <w:p w14:paraId="07A4EFA9">
      <w:pPr>
        <w:spacing w:line="360" w:lineRule="exact"/>
        <w:ind w:firstLine="480"/>
        <w:jc w:val="left"/>
        <w:rPr>
          <w:rFonts w:hint="eastAsia" w:ascii="宋体" w:hAnsi="宋体" w:cs="宋体"/>
          <w:szCs w:val="21"/>
          <w:highlight w:val="none"/>
          <w:lang w:val="zh-CN"/>
        </w:rPr>
      </w:pPr>
      <w:r>
        <w:rPr>
          <w:rFonts w:hint="eastAsia" w:ascii="宋体" w:hAnsi="宋体" w:cs="宋体"/>
          <w:szCs w:val="21"/>
          <w:highlight w:val="none"/>
          <w:lang w:val="zh-CN"/>
        </w:rPr>
        <w:t>提供杀毒软件。包含网络版控制中心，≥40个服务器端软件授权，五年软件升级和病毒库更新服务。客户端支持麒麟、统信UOS、中科方德等服务器操作系统，具备在海光、兆芯、飞腾、龙芯等CPU上运行的能力，支持离线升级客户端程序和病毒库版本；支持连接网络版控制中心，将单机版客户端接入网络版控制中心；至少提供4种防病毒引擎，实现多引擎防护；支持基于脚本类型判断的病毒检测技术（</w:t>
      </w:r>
      <w:r>
        <w:rPr>
          <w:rFonts w:hint="eastAsia" w:ascii="宋体" w:hAnsi="宋体" w:cs="宋体"/>
          <w:b/>
          <w:bCs/>
          <w:snapToGrid w:val="0"/>
          <w:szCs w:val="21"/>
          <w:highlight w:val="none"/>
        </w:rPr>
        <w:t>提供第三方检测机构出具的检测报告复印件予以佐证</w:t>
      </w:r>
      <w:r>
        <w:rPr>
          <w:rFonts w:hint="eastAsia" w:ascii="宋体" w:hAnsi="宋体" w:cs="宋体"/>
          <w:szCs w:val="21"/>
          <w:highlight w:val="none"/>
          <w:lang w:val="zh-CN"/>
        </w:rPr>
        <w:t>），通过预设数量的脚本作为样本，计算特征向量建立分类模型，由此建立的分类模型可以对待测脚本的类型进行判定，根据判定结果把脚本提供给对应的脚本引擎进行处理；支持基于机器学习的程序识别方法（</w:t>
      </w:r>
      <w:r>
        <w:rPr>
          <w:rFonts w:hint="eastAsia" w:ascii="宋体" w:hAnsi="宋体" w:cs="宋体"/>
          <w:b/>
          <w:bCs/>
          <w:snapToGrid w:val="0"/>
          <w:szCs w:val="21"/>
          <w:highlight w:val="none"/>
        </w:rPr>
        <w:t>提供第三方检测机构出具的检测报告复印件予以佐证</w:t>
      </w:r>
      <w:r>
        <w:rPr>
          <w:rFonts w:hint="eastAsia" w:ascii="宋体" w:hAnsi="宋体" w:cs="宋体"/>
          <w:szCs w:val="21"/>
          <w:highlight w:val="none"/>
          <w:lang w:val="zh-CN"/>
        </w:rPr>
        <w:t>），通过对海量样本进行分析，得到识别恶意程序的模型，发现程序内在规律，对未发生的恶意程序进行预防。</w:t>
      </w:r>
    </w:p>
    <w:p w14:paraId="7EBA64D4">
      <w:pPr>
        <w:spacing w:line="360" w:lineRule="exact"/>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提供CA数字证书。包含10个UKey数字证书，所提供的UKey数字证书须包含个人电子印章并提供5年授权及服务。数字证书由第三方电子认证机构签发国密证书，配发给授权访问用户、运维人员和办公人员，用于存储个人证书、公私钥，实现登录用户的身份鉴别。</w:t>
      </w:r>
    </w:p>
    <w:p w14:paraId="73AF3E26">
      <w:pPr>
        <w:pStyle w:val="5"/>
        <w:numPr>
          <w:ilvl w:val="0"/>
          <w:numId w:val="0"/>
        </w:numPr>
        <w:spacing w:beforeAutospacing="0" w:afterAutospacing="0" w:line="360" w:lineRule="exact"/>
        <w:rPr>
          <w:rFonts w:eastAsia="宋体" w:cs="宋体"/>
          <w:sz w:val="21"/>
          <w:szCs w:val="21"/>
          <w:highlight w:val="none"/>
          <w:lang w:eastAsia="zh-Hans"/>
        </w:rPr>
      </w:pPr>
      <w:r>
        <w:rPr>
          <w:rFonts w:eastAsia="宋体" w:cs="宋体"/>
          <w:sz w:val="21"/>
          <w:szCs w:val="21"/>
          <w:highlight w:val="none"/>
        </w:rPr>
        <w:t>1-2</w:t>
      </w:r>
      <w:r>
        <w:rPr>
          <w:rFonts w:eastAsia="宋体" w:cs="宋体"/>
          <w:sz w:val="21"/>
          <w:szCs w:val="21"/>
          <w:highlight w:val="none"/>
          <w:lang w:eastAsia="zh-Hans"/>
        </w:rPr>
        <w:t>企业自筹</w:t>
      </w:r>
    </w:p>
    <w:p w14:paraId="11967023">
      <w:pPr>
        <w:numPr>
          <w:ilvl w:val="0"/>
          <w:numId w:val="5"/>
        </w:numPr>
        <w:spacing w:line="360" w:lineRule="exact"/>
        <w:ind w:firstLine="420" w:firstLineChars="200"/>
        <w:outlineLvl w:val="3"/>
        <w:rPr>
          <w:rFonts w:hint="eastAsia" w:ascii="宋体" w:hAnsi="宋体" w:cs="宋体"/>
          <w:b/>
          <w:bCs/>
          <w:kern w:val="44"/>
          <w:szCs w:val="21"/>
          <w:highlight w:val="none"/>
        </w:rPr>
      </w:pPr>
      <w:bookmarkStart w:id="109" w:name="_Toc233191495"/>
      <w:r>
        <w:rPr>
          <w:rFonts w:hint="eastAsia" w:ascii="宋体" w:hAnsi="宋体" w:cs="宋体"/>
          <w:szCs w:val="21"/>
          <w:highlight w:val="none"/>
        </w:rPr>
        <w:t>★</w:t>
      </w:r>
      <w:r>
        <w:rPr>
          <w:rFonts w:hint="eastAsia" w:ascii="宋体" w:hAnsi="宋体" w:cs="宋体"/>
          <w:b/>
          <w:bCs/>
          <w:kern w:val="44"/>
          <w:szCs w:val="21"/>
          <w:highlight w:val="none"/>
        </w:rPr>
        <w:t>数据资产全过程管理平台</w:t>
      </w:r>
      <w:bookmarkEnd w:id="109"/>
      <w:r>
        <w:rPr>
          <w:rFonts w:hint="eastAsia" w:ascii="宋体" w:hAnsi="宋体" w:cs="宋体"/>
          <w:b/>
          <w:bCs/>
          <w:kern w:val="44"/>
          <w:szCs w:val="21"/>
          <w:highlight w:val="none"/>
        </w:rPr>
        <w:t>（1套）</w:t>
      </w:r>
    </w:p>
    <w:p w14:paraId="1460CE3F">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本项目拟建设数据资产全过程服务平台，全面覆盖数据采集、存储、管理、治理、应用、运营全生命周期。平台下设数据资产管理系统、AI 数据开发利用系统、数据交易流通平台三大核心子系统，具备数据汇聚采集、治理加工、确权登记、开发利用、交易撮合、安全交付及合规运营一体化管控能力，旨在搭建标准统一、安全可控、运转高效的数据资产管控体系，助力辖区数据要素有序流转，赋能人工智能场景创新与落地应用。</w:t>
      </w:r>
    </w:p>
    <w:p w14:paraId="4034D100">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具体功能要求如下：</w:t>
      </w:r>
    </w:p>
    <w:p w14:paraId="13E4F408">
      <w:pPr>
        <w:numPr>
          <w:ilvl w:val="1"/>
          <w:numId w:val="5"/>
        </w:numPr>
        <w:spacing w:line="360" w:lineRule="exact"/>
        <w:ind w:firstLine="422" w:firstLineChars="200"/>
        <w:outlineLvl w:val="4"/>
        <w:rPr>
          <w:rFonts w:hint="eastAsia" w:ascii="宋体" w:hAnsi="宋体" w:cs="宋体"/>
          <w:b/>
          <w:kern w:val="44"/>
          <w:szCs w:val="21"/>
          <w:highlight w:val="none"/>
        </w:rPr>
      </w:pPr>
      <w:bookmarkStart w:id="110" w:name="_Toc233191496"/>
      <w:r>
        <w:rPr>
          <w:rFonts w:hint="eastAsia" w:ascii="宋体" w:hAnsi="宋体" w:cs="宋体"/>
          <w:b/>
          <w:kern w:val="44"/>
          <w:szCs w:val="21"/>
          <w:highlight w:val="none"/>
        </w:rPr>
        <w:t>数据资产管理系统</w:t>
      </w:r>
      <w:bookmarkEnd w:id="110"/>
      <w:r>
        <w:rPr>
          <w:rFonts w:hint="eastAsia" w:ascii="宋体" w:hAnsi="宋体" w:cs="宋体"/>
          <w:b/>
          <w:kern w:val="44"/>
          <w:szCs w:val="21"/>
          <w:highlight w:val="none"/>
        </w:rPr>
        <w:t>（1套）</w:t>
      </w:r>
    </w:p>
    <w:p w14:paraId="0DFEB1A2">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本系统需搭建数据采集、存储、管理、治理、应用、运营全生命周期一体化运行环境，具备数据资产盘点、评估、登记、治理、任务调度、运维监管、共享复用等全业务能力，有效破解数据底数不明、管控薄弱、数据质量不佳、流通不畅、价值难以释放等痛点问题，为数据资产登记、确权、评估、流通及价值增值提供全面技术支撑。</w:t>
      </w:r>
    </w:p>
    <w:p w14:paraId="01EEE872">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具体功能要求如下：</w:t>
      </w:r>
    </w:p>
    <w:p w14:paraId="1CAD3DAE">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11" w:name="_Toc233191497"/>
      <w:r>
        <w:rPr>
          <w:rFonts w:hint="eastAsia" w:ascii="宋体" w:hAnsi="宋体" w:cs="宋体"/>
          <w:b/>
          <w:bCs/>
          <w:kern w:val="44"/>
          <w:szCs w:val="21"/>
          <w:highlight w:val="none"/>
        </w:rPr>
        <w:t>资源权限管理</w:t>
      </w:r>
      <w:bookmarkEnd w:id="111"/>
    </w:p>
    <w:p w14:paraId="7959A6D8">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门户数据同步</w:t>
      </w:r>
    </w:p>
    <w:p w14:paraId="0C4FC853">
      <w:pPr>
        <w:ind w:firstLine="420" w:firstLineChars="200"/>
        <w:jc w:val="left"/>
        <w:rPr>
          <w:rFonts w:hint="eastAsia" w:ascii="宋体" w:hAnsi="宋体" w:cs="宋体"/>
          <w:szCs w:val="21"/>
          <w:highlight w:val="none"/>
        </w:rPr>
      </w:pPr>
      <w:r>
        <w:rPr>
          <w:rFonts w:ascii="宋体" w:hAnsi="宋体" w:cs="宋体"/>
          <w:szCs w:val="21"/>
          <w:highlight w:val="none"/>
        </w:rPr>
        <w:t>此功能是打破“身份孤岛”、实现企业级统一身份管控的起点。它建立了本系统与全区统一身份认证平台（如政务门户）之间的自动化数据通道，确保组织架构、部门信息、用户账户等基础主数据能够实时、准确地同步至资产管理系统。这一过程彻底避免了在各业务系统间手动维护用户信息导致的数据不一致、更新滞后问题，为数据资产的“责任人”归属认定、基于部门的资产划分</w:t>
      </w:r>
      <w:r>
        <w:rPr>
          <w:rFonts w:hint="eastAsia" w:ascii="宋体" w:hAnsi="宋体" w:cs="宋体"/>
          <w:szCs w:val="21"/>
          <w:highlight w:val="none"/>
          <w:lang w:eastAsia="zh-CN"/>
        </w:rPr>
        <w:t>，以及</w:t>
      </w:r>
      <w:r>
        <w:rPr>
          <w:rFonts w:ascii="宋体" w:hAnsi="宋体" w:cs="宋体"/>
          <w:szCs w:val="21"/>
          <w:highlight w:val="none"/>
        </w:rPr>
        <w:t>后续所有业务流程（如申请、审批）的自动化分派与归属判断提供了唯一、权威的数据源，是实现数据资产“权责清晰、可追溯、可审计”的管理基石</w:t>
      </w:r>
      <w:r>
        <w:rPr>
          <w:rFonts w:hint="eastAsia" w:ascii="宋体" w:hAnsi="宋体" w:cs="宋体"/>
          <w:szCs w:val="21"/>
          <w:highlight w:val="none"/>
        </w:rPr>
        <w:t>。</w:t>
      </w:r>
    </w:p>
    <w:p w14:paraId="1602119B">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统一用户管理</w:t>
      </w:r>
    </w:p>
    <w:p w14:paraId="338ADE7B">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提供用户账户的增、删、改、查、启用、停用功能；支持创建静态/动态用户组，并支持手动或按规则动态添加成员。</w:t>
      </w:r>
    </w:p>
    <w:p w14:paraId="2B36FC04">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统一访问与授权</w:t>
      </w:r>
    </w:p>
    <w:p w14:paraId="6B588681">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这是整个权限体系的策略定义中心与安全规则引擎。它将离散的、技术性的权限点，通过“角色”这一抽象概念，包装成符合业务职责的权限包，极大简化了授权逻辑。同时，它集成了企业级身份认证与账号安全策略，如多因素认证、密码复杂度控制、一次性授权码等，为系统访问构筑了纵深防御体系。特别是OTP（一次性密码）授权码，为临时性、紧急性的数据协作或第三方接入提供了既满足安全要求又不失灵活性的解决方案，平衡了安全与效率</w:t>
      </w:r>
      <w:r>
        <w:rPr>
          <w:rFonts w:hint="eastAsia" w:ascii="宋体" w:hAnsi="宋体" w:cs="宋体"/>
          <w:szCs w:val="21"/>
          <w:highlight w:val="none"/>
        </w:rPr>
        <w:t>。</w:t>
      </w:r>
    </w:p>
    <w:p w14:paraId="46FD895F">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应用访问控制</w:t>
      </w:r>
    </w:p>
    <w:p w14:paraId="5BE6DBEE">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本功能实现了系统前端菜单与操作按钮级的细粒度权限管控，是“最小权限原则”在交互层面的核心落地。系统依据用户角色或指定授权，动态渲染可视菜单范围及可执行操作（如增删改查、启停），使普通业务人员聚焦数据查询与申请，而开发人员则拥有全套开发工具，既降低了界面干扰与误操作风险，又强化了职责分离。同时，管理员可通过可视化界面灵活配置用户、角色或用户组的权限策略，并支持基于用户、子系统或菜单的多维度授权情况查询与审计，高效梳理权限关系，为新用户权限配置提供精准依据，共同构建起安全、简洁且个性化的用户工作台</w:t>
      </w:r>
      <w:r>
        <w:rPr>
          <w:rFonts w:hint="eastAsia" w:ascii="宋体" w:hAnsi="宋体" w:cs="宋体"/>
          <w:szCs w:val="21"/>
          <w:highlight w:val="none"/>
        </w:rPr>
        <w:t>。</w:t>
      </w:r>
    </w:p>
    <w:p w14:paraId="5863ABCC">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短信配置</w:t>
      </w:r>
    </w:p>
    <w:p w14:paraId="20CF86FC">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短信通道是保障系统关键事件触达、提升运营响应效率的核心组件，针对自动化场景中任务失败、审批待办、安全告警等信息易被忽视的痛点，本模块通过集成短信网关，将此类事件即时转化为短信直达责任人，大幅缩短响应时长；同时提供全方位的配置与验证能力，支持灵活管理通知模板确保内容规范，简化网关参数（地址、端口、账号密钥等）维护以降低对接成本，并内置发送测试功能可快速排查故障，全方位保障通知通道畅通，为系统可靠性与运营效率提供关键支撑</w:t>
      </w:r>
      <w:r>
        <w:rPr>
          <w:rFonts w:hint="eastAsia" w:ascii="宋体" w:hAnsi="宋体" w:cs="宋体"/>
          <w:szCs w:val="21"/>
          <w:highlight w:val="none"/>
        </w:rPr>
        <w:t>。</w:t>
      </w:r>
    </w:p>
    <w:p w14:paraId="58FA5B6D">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12" w:name="_Toc72775458"/>
      <w:bookmarkStart w:id="113" w:name="_Toc233191498"/>
      <w:r>
        <w:rPr>
          <w:rFonts w:hint="eastAsia" w:ascii="宋体" w:hAnsi="宋体" w:cs="宋体"/>
          <w:b/>
          <w:bCs/>
          <w:kern w:val="44"/>
          <w:szCs w:val="21"/>
          <w:highlight w:val="none"/>
        </w:rPr>
        <w:t>多源</w:t>
      </w:r>
      <w:bookmarkEnd w:id="112"/>
      <w:r>
        <w:rPr>
          <w:rFonts w:hint="eastAsia" w:ascii="宋体" w:hAnsi="宋体" w:cs="宋体"/>
          <w:b/>
          <w:bCs/>
          <w:kern w:val="44"/>
          <w:szCs w:val="21"/>
          <w:highlight w:val="none"/>
        </w:rPr>
        <w:t>数据采集</w:t>
      </w:r>
      <w:bookmarkEnd w:id="113"/>
    </w:p>
    <w:p w14:paraId="76F53899">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中台/智脑数据采集</w:t>
      </w:r>
    </w:p>
    <w:p w14:paraId="40F9D1DA">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本功能专注于对接组织内部已建设的统一数据中台或智慧大脑，这是全区核心数据资源的“蓄水池”。其价值在于实现对内部已整合、治理过的优质数据资产的自动发现与同步纳管。通过每日自动采集，确保本系统管理的资产目录与中台/智脑中的实际资源保持实时同步，使得针对这些核心资产的管理策略、质量要求、安全控制能够在一个统一的平台上落地执行，避免了多头管理和标准不一的问题</w:t>
      </w:r>
      <w:r>
        <w:rPr>
          <w:rFonts w:hint="eastAsia" w:ascii="宋体" w:hAnsi="宋体" w:cs="宋体"/>
          <w:szCs w:val="21"/>
          <w:highlight w:val="none"/>
        </w:rPr>
        <w:t>。</w:t>
      </w:r>
    </w:p>
    <w:p w14:paraId="6E33C2F5">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公共/外部数据采集</w:t>
      </w:r>
    </w:p>
    <w:p w14:paraId="4BCD038B">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本功能旨在将各级政府发布的数据资源，作为重要的外部数据资产纳入统一管理。其价值在于拓展了组织数据资产的边界，将权威、开放的公共数据（如法人、空间地理、社会经济统计数据）转变为可被内部业务直接发现、申请和利用的资产。通过自动化采集，确保公共数据资源变更的及时感知，为跨领域数据融合创新提供了可能</w:t>
      </w:r>
      <w:r>
        <w:rPr>
          <w:rFonts w:hint="eastAsia" w:ascii="宋体" w:hAnsi="宋体" w:cs="宋体"/>
          <w:szCs w:val="21"/>
          <w:highlight w:val="none"/>
        </w:rPr>
        <w:t>。</w:t>
      </w:r>
    </w:p>
    <w:p w14:paraId="373232FF">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各类报告采集</w:t>
      </w:r>
    </w:p>
    <w:p w14:paraId="26876460">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实现自动化采集并解析数据质量报告、合规报告、价值评估报告及交易信息报告，能从中提取关键指标并与对应数据资产关联。</w:t>
      </w:r>
    </w:p>
    <w:p w14:paraId="60E19BD9">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14" w:name="_Toc233191499"/>
      <w:r>
        <w:rPr>
          <w:rFonts w:hint="eastAsia" w:ascii="宋体" w:hAnsi="宋体" w:cs="宋体"/>
          <w:b/>
          <w:bCs/>
          <w:kern w:val="44"/>
          <w:szCs w:val="21"/>
          <w:highlight w:val="none"/>
        </w:rPr>
        <w:t>数据规范化</w:t>
      </w:r>
      <w:bookmarkEnd w:id="114"/>
    </w:p>
    <w:p w14:paraId="16E9E5D7">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数据标准管理</w:t>
      </w:r>
    </w:p>
    <w:p w14:paraId="7F3C5ABF">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数据标准是组织内部进行数据定义、交换和使用的“宪法”与“共同语言”。本模块提供了一个集中的、可执行的标准管理平台，其价值在于从源头统一业务语义和技术规范，消灭“同名不同义、同义不同名”的混乱现象。通过将散落在各类制度文档中的标准线上化、结构化，并与具体的数据资产关联，使得标准的符合性检查能够自动化执行，从而确保进入资产目录的数据在定义、格式、编码上保持一致，为数据的集成、对比分析和价值挖掘打下坚实基础</w:t>
      </w:r>
      <w:r>
        <w:rPr>
          <w:rFonts w:hint="eastAsia" w:ascii="宋体" w:hAnsi="宋体" w:cs="宋体"/>
          <w:szCs w:val="21"/>
          <w:highlight w:val="none"/>
        </w:rPr>
        <w:t>。</w:t>
      </w:r>
    </w:p>
    <w:p w14:paraId="2C5A69E3">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数据质量管理</w:t>
      </w:r>
    </w:p>
    <w:p w14:paraId="4F089C5B">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支持配置完整性、唯一性、准确性、及时性、一致性等多维度质量规则；提供编写质量检查脚本的界面；支持按调度周期自动执行质量检查，对不合格数据进行告警并自动分发工单；支持定期自动生成多维度的数据质量评估报告。</w:t>
      </w:r>
    </w:p>
    <w:p w14:paraId="113F87D2">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15" w:name="_Toc233191500"/>
      <w:r>
        <w:rPr>
          <w:rFonts w:hint="eastAsia" w:ascii="宋体" w:hAnsi="宋体" w:cs="宋体"/>
          <w:b/>
          <w:bCs/>
          <w:kern w:val="44"/>
          <w:szCs w:val="21"/>
          <w:highlight w:val="none"/>
        </w:rPr>
        <w:t>统一调度管理</w:t>
      </w:r>
      <w:bookmarkEnd w:id="115"/>
    </w:p>
    <w:p w14:paraId="7D88BAF8">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调度执行控制</w:t>
      </w:r>
    </w:p>
    <w:p w14:paraId="651AA9A7">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这是调度引擎最核心的执行与操控层，负责具体任务的启停、并发控制和参数管理。其设计直接决定了调度系统在高负载下的性能和稳定性，并为日常运维提供了极大的灵活性</w:t>
      </w:r>
      <w:r>
        <w:rPr>
          <w:rFonts w:hint="eastAsia" w:ascii="宋体" w:hAnsi="宋体" w:cs="宋体"/>
          <w:szCs w:val="21"/>
          <w:highlight w:val="none"/>
        </w:rPr>
        <w:t>。</w:t>
      </w:r>
    </w:p>
    <w:p w14:paraId="4019D3FF">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任务容错机制</w:t>
      </w:r>
    </w:p>
    <w:p w14:paraId="20D30B49">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在分布式和复杂依赖的环境中，任务因网络、资源、数据等原因偶然失败是常态。本机制旨在赋予单个任务自我恢复和抗干扰的能力，防止局部失败导致整个工作流瘫痪，从而大幅提升长流程任务的最终成功率和系统整体健壮性</w:t>
      </w:r>
      <w:r>
        <w:rPr>
          <w:rFonts w:hint="eastAsia" w:ascii="宋体" w:hAnsi="宋体" w:cs="宋体"/>
          <w:szCs w:val="21"/>
          <w:highlight w:val="none"/>
        </w:rPr>
        <w:t>。</w:t>
      </w:r>
    </w:p>
    <w:p w14:paraId="40FA734A">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调度任务配置</w:t>
      </w:r>
    </w:p>
    <w:p w14:paraId="713C7DEB">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这是定义任务基本属性和行为的“出生证明”配置阶段。它决定了任务何时运行、如何触发以及失败后如何通知，涵盖了任务调度的基础管理需求</w:t>
      </w:r>
      <w:r>
        <w:rPr>
          <w:rFonts w:hint="eastAsia" w:ascii="宋体" w:hAnsi="宋体" w:cs="宋体"/>
          <w:szCs w:val="21"/>
          <w:highlight w:val="none"/>
        </w:rPr>
        <w:t>。</w:t>
      </w:r>
    </w:p>
    <w:p w14:paraId="54DF9A63">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异常处理与恢复</w:t>
      </w:r>
    </w:p>
    <w:p w14:paraId="57FB48EC">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无论自动化程度多高，总有意料之外的异常需要人工介入。本模块提供了当自动容错机制失效后，进行人工监控、告警和干预的完整工具箱，是保障调度运维“不断片”的最后防线</w:t>
      </w:r>
      <w:r>
        <w:rPr>
          <w:rFonts w:hint="eastAsia" w:ascii="宋体" w:hAnsi="宋体" w:cs="宋体"/>
          <w:szCs w:val="21"/>
          <w:highlight w:val="none"/>
        </w:rPr>
        <w:t>。</w:t>
      </w:r>
    </w:p>
    <w:p w14:paraId="3886D473">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16" w:name="_Toc233191501"/>
      <w:r>
        <w:rPr>
          <w:rFonts w:hint="eastAsia" w:ascii="宋体" w:hAnsi="宋体" w:cs="宋体"/>
          <w:b/>
          <w:bCs/>
          <w:kern w:val="44"/>
          <w:szCs w:val="21"/>
          <w:highlight w:val="none"/>
        </w:rPr>
        <w:t>统一适配联动</w:t>
      </w:r>
      <w:bookmarkEnd w:id="116"/>
    </w:p>
    <w:p w14:paraId="1F37B6A4">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具备 ETL、消息队列、API 网关等各类异构工具统一注册、状态监控与异常告警能力。可自定义跨系统、跨任务联动规则，当前置任务完成后自动触发下游流程，打通多工具、多系统业务链路，实现全流程自动化流转。</w:t>
      </w:r>
    </w:p>
    <w:p w14:paraId="3F64C19C">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工具管理</w:t>
      </w:r>
    </w:p>
    <w:p w14:paraId="24F6B30C">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本功能实现对各类外部数据工具的“注册、发现与健康监控”，是构建一体化运维视图的基础。它将散落在各处的工具状态信息集中到一个控制台，让运维人员能够像管理本地服务一样，全局感知外部工具的存活状态和运行健康度，从而在工具链层面提前发现风险，避免因底层工具故障导致的上层数据流程瘫痪</w:t>
      </w:r>
      <w:r>
        <w:rPr>
          <w:rFonts w:hint="eastAsia" w:ascii="宋体" w:hAnsi="宋体" w:cs="宋体"/>
          <w:szCs w:val="21"/>
          <w:highlight w:val="none"/>
        </w:rPr>
        <w:t>。</w:t>
      </w:r>
    </w:p>
    <w:p w14:paraId="5F056D78">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任务自动触发</w:t>
      </w:r>
    </w:p>
    <w:p w14:paraId="484EFC15">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本功能是实现跨系统业务流程自动化的“智能触发器”。它允许基于数据资产管理系统内部发生的事件或状态，</w:t>
      </w:r>
      <w:r>
        <w:rPr>
          <w:rFonts w:hint="eastAsia" w:ascii="宋体" w:hAnsi="宋体" w:cs="宋体"/>
          <w:szCs w:val="21"/>
          <w:highlight w:val="none"/>
          <w:lang w:eastAsia="zh-CN"/>
        </w:rPr>
        <w:t>自动</w:t>
      </w:r>
      <w:r>
        <w:rPr>
          <w:rFonts w:ascii="宋体" w:hAnsi="宋体" w:cs="宋体"/>
          <w:szCs w:val="21"/>
          <w:highlight w:val="none"/>
        </w:rPr>
        <w:t>触发外部工具执行预设的任务，从而将数据治理动作与下游的业务应用流程无缝串联起来，打通数据价值交付的“最后一公里”</w:t>
      </w:r>
      <w:r>
        <w:rPr>
          <w:rFonts w:hint="eastAsia" w:ascii="宋体" w:hAnsi="宋体" w:cs="宋体"/>
          <w:szCs w:val="21"/>
          <w:highlight w:val="none"/>
        </w:rPr>
        <w:t>。</w:t>
      </w:r>
    </w:p>
    <w:p w14:paraId="5D18C676">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17" w:name="_Toc233191502"/>
      <w:r>
        <w:rPr>
          <w:rFonts w:hint="eastAsia" w:ascii="宋体" w:hAnsi="宋体" w:cs="宋体"/>
          <w:b/>
          <w:bCs/>
          <w:kern w:val="44"/>
          <w:szCs w:val="21"/>
          <w:highlight w:val="none"/>
        </w:rPr>
        <w:t>数据服务</w:t>
      </w:r>
      <w:bookmarkEnd w:id="117"/>
    </w:p>
    <w:p w14:paraId="51645B7B">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API服务管理</w:t>
      </w:r>
    </w:p>
    <w:p w14:paraId="7E41B219">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本功能提供数据API从设计、生成、测试、发布、版本控制到运行期监控的全生命周期管理能力。它致力于让数据服务化变得简单、规范且可运营。通过将数据表快速转化为标准API，并对其调用情况进行深度分析，既加速了数据服务的上线速度，又保障了服务运行的质量与稳定，为数据服务的持续优化和商业决策提供了数据支撑</w:t>
      </w:r>
      <w:r>
        <w:rPr>
          <w:rFonts w:hint="eastAsia" w:ascii="宋体" w:hAnsi="宋体" w:cs="宋体"/>
          <w:szCs w:val="21"/>
          <w:highlight w:val="none"/>
        </w:rPr>
        <w:t>。</w:t>
      </w:r>
    </w:p>
    <w:p w14:paraId="7B056F5E">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数据安全运维</w:t>
      </w:r>
    </w:p>
    <w:p w14:paraId="7DE18D32">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当数据通过API暴露在网络上，其面临的安全风险呈指数级增加。本模块是数据服务化过程中的“安全护卫舰”，专注于在数据流动过程中提供持续的安全威胁感知、合规审计与应急响应能力。它确保数据在共享和流通过程中，既能创造价值，又全程安全、可控、可追溯，满足日益严格数据安全与隐私保护法规要求</w:t>
      </w:r>
      <w:r>
        <w:rPr>
          <w:rFonts w:hint="eastAsia" w:ascii="宋体" w:hAnsi="宋体" w:cs="宋体"/>
          <w:szCs w:val="21"/>
          <w:highlight w:val="none"/>
        </w:rPr>
        <w:t>。</w:t>
      </w:r>
    </w:p>
    <w:p w14:paraId="6B98B95B">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18" w:name="_Toc233191503"/>
      <w:r>
        <w:rPr>
          <w:rFonts w:hint="eastAsia" w:ascii="宋体" w:hAnsi="宋体" w:cs="宋体"/>
          <w:b/>
          <w:bCs/>
          <w:kern w:val="44"/>
          <w:szCs w:val="21"/>
          <w:highlight w:val="none"/>
        </w:rPr>
        <w:t>数据建模与开发</w:t>
      </w:r>
      <w:bookmarkEnd w:id="118"/>
    </w:p>
    <w:p w14:paraId="522105B1">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主题库/专题库建设规划</w:t>
      </w:r>
    </w:p>
    <w:p w14:paraId="77A914FA">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本功能是数据建模“战略规划”阶段。它要求数据架构师和业务专家协同，基于全局业务战略和具体的分析需求，共同规划需要建设的核心数据域。这包括基础主题库（如围绕“人、地、事、物、组织”构建的统一客户、产品、供应商、财务主题库）和特定专题库（如针对“营商环境监测</w:t>
      </w:r>
      <w:r>
        <w:rPr>
          <w:rFonts w:hint="eastAsia" w:ascii="宋体" w:hAnsi="宋体" w:cs="宋体"/>
          <w:szCs w:val="21"/>
          <w:highlight w:val="none"/>
          <w:lang w:eastAsia="zh-CN"/>
        </w:rPr>
        <w:t>”“</w:t>
      </w:r>
      <w:r>
        <w:rPr>
          <w:rFonts w:ascii="宋体" w:hAnsi="宋体" w:cs="宋体"/>
          <w:szCs w:val="21"/>
          <w:highlight w:val="none"/>
        </w:rPr>
        <w:t>疫情防控”“风险管控”等具体场景构建的专题数据模型）。规划输出物包括主题范围、核心业务过程、关键维度</w:t>
      </w:r>
      <w:r>
        <w:rPr>
          <w:rFonts w:hint="eastAsia" w:ascii="宋体" w:hAnsi="宋体" w:cs="宋体"/>
          <w:szCs w:val="21"/>
          <w:highlight w:val="none"/>
          <w:lang w:eastAsia="zh-CN"/>
        </w:rPr>
        <w:t>，以及</w:t>
      </w:r>
      <w:r>
        <w:rPr>
          <w:rFonts w:ascii="宋体" w:hAnsi="宋体" w:cs="宋体"/>
          <w:szCs w:val="21"/>
          <w:highlight w:val="none"/>
        </w:rPr>
        <w:t>与其他主题的关联关系。良好的规划是避免数据仓库建成“数据孤岛2.0</w:t>
      </w:r>
      <w:r>
        <w:rPr>
          <w:rFonts w:hint="eastAsia" w:ascii="宋体" w:hAnsi="宋体" w:cs="宋体"/>
          <w:szCs w:val="21"/>
          <w:highlight w:val="none"/>
          <w:lang w:eastAsia="zh-CN"/>
        </w:rPr>
        <w:t>”的</w:t>
      </w:r>
      <w:r>
        <w:rPr>
          <w:rFonts w:ascii="宋体" w:hAnsi="宋体" w:cs="宋体"/>
          <w:szCs w:val="21"/>
          <w:highlight w:val="none"/>
        </w:rPr>
        <w:t>前提，确保数据模型体系能够支撑长期、灵活的业务分析需求</w:t>
      </w:r>
      <w:r>
        <w:rPr>
          <w:rFonts w:hint="eastAsia" w:ascii="宋体" w:hAnsi="宋体" w:cs="宋体"/>
          <w:szCs w:val="21"/>
          <w:highlight w:val="none"/>
        </w:rPr>
        <w:t>。</w:t>
      </w:r>
    </w:p>
    <w:p w14:paraId="3C00BCC7">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数据模型设计</w:t>
      </w:r>
    </w:p>
    <w:p w14:paraId="4256A131">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本功能是主题库建设中的“详细设计”环节。它采用维度建模等方法，具体设计事实表、维度表等数据仓库的核心逻辑模型。事实表存储可度量的业务过程（如“一笔交易”“一次点击”），维度表提供分析的上下文和视角（如“时间”“地点”“产品”“客户”）。这种星型或雪花型模型结构，为后续的即席查询、多维分析和聚合计算做了深度优化。良好的模型设计是保障数据仓库查询性能、易用性和可扩展性的基石</w:t>
      </w:r>
      <w:r>
        <w:rPr>
          <w:rFonts w:hint="eastAsia" w:ascii="宋体" w:hAnsi="宋体" w:cs="宋体"/>
          <w:szCs w:val="21"/>
          <w:highlight w:val="none"/>
        </w:rPr>
        <w:t>。</w:t>
      </w:r>
    </w:p>
    <w:p w14:paraId="2E0E2E2D">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19" w:name="_Toc233191504"/>
      <w:r>
        <w:rPr>
          <w:rFonts w:hint="eastAsia" w:ascii="宋体" w:hAnsi="宋体" w:cs="宋体"/>
          <w:b/>
          <w:bCs/>
          <w:kern w:val="44"/>
          <w:szCs w:val="21"/>
          <w:highlight w:val="none"/>
        </w:rPr>
        <w:t>数据处理与加工</w:t>
      </w:r>
      <w:bookmarkEnd w:id="119"/>
    </w:p>
    <w:p w14:paraId="1748C190">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数据清洗转换</w:t>
      </w:r>
    </w:p>
    <w:p w14:paraId="6E139B02">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本功能是数据加工的“预处理”和“安全处理”阶段，目标是解决数据的规范性、一致性和安全性问题，为后续的融合与分析打下干净、安全的基础</w:t>
      </w:r>
      <w:r>
        <w:rPr>
          <w:rFonts w:hint="eastAsia" w:ascii="宋体" w:hAnsi="宋体" w:cs="宋体"/>
          <w:szCs w:val="21"/>
          <w:highlight w:val="none"/>
        </w:rPr>
        <w:t>。</w:t>
      </w:r>
    </w:p>
    <w:p w14:paraId="5C61F342">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数据融合加工</w:t>
      </w:r>
    </w:p>
    <w:p w14:paraId="62895AB0">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本功能是数据加工的“价值创造”阶段，通过对多源数据的关联和复杂计算，生产出承载直接业务洞察的复合数据产品</w:t>
      </w:r>
      <w:r>
        <w:rPr>
          <w:rFonts w:hint="eastAsia" w:ascii="宋体" w:hAnsi="宋体" w:cs="宋体"/>
          <w:szCs w:val="21"/>
          <w:highlight w:val="none"/>
        </w:rPr>
        <w:t>。</w:t>
      </w:r>
    </w:p>
    <w:p w14:paraId="5E17ECCB">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20" w:name="_Toc233191505"/>
      <w:r>
        <w:rPr>
          <w:rFonts w:hint="eastAsia" w:ascii="宋体" w:hAnsi="宋体" w:cs="宋体"/>
          <w:b/>
          <w:bCs/>
          <w:kern w:val="44"/>
          <w:szCs w:val="21"/>
          <w:highlight w:val="none"/>
        </w:rPr>
        <w:t>资产管理</w:t>
      </w:r>
      <w:bookmarkEnd w:id="120"/>
    </w:p>
    <w:p w14:paraId="30C24D4C">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登记申请</w:t>
      </w:r>
    </w:p>
    <w:p w14:paraId="508084B6">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本功能是数据资产获得“合法身份”的入口，建立了数据资产的“出生登记”制度。任何新产生的或尚未纳入管理的数据目录或数据资产，都必须由责任人（或发现人）通过此流程正式申请，才能进入资产库并被统一管理。确保资产信息从入库伊始就是完整、准确且经过初步核验的，从源头建立了资产的权威档案</w:t>
      </w:r>
      <w:r>
        <w:rPr>
          <w:rFonts w:hint="eastAsia" w:ascii="宋体" w:hAnsi="宋体" w:cs="宋体"/>
          <w:szCs w:val="21"/>
          <w:highlight w:val="none"/>
        </w:rPr>
        <w:t>。</w:t>
      </w:r>
    </w:p>
    <w:p w14:paraId="381206EB">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信息变更申请</w:t>
      </w:r>
    </w:p>
    <w:p w14:paraId="7F7DED07">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数据资产不是一成不变的。其业务描述、安全等级、责任人、存储位置等信息都可能随着业务发展而变化。本功能为这类变更提供了规范的申请通道，任何对已发布资产核心信息的修改，都必须通过此流程申请，确保资产信息的严肃性和准确性，避免随意修改</w:t>
      </w:r>
      <w:r>
        <w:rPr>
          <w:rFonts w:hint="eastAsia" w:ascii="宋体" w:hAnsi="宋体" w:cs="宋体"/>
          <w:szCs w:val="21"/>
          <w:highlight w:val="none"/>
        </w:rPr>
        <w:t>。</w:t>
      </w:r>
    </w:p>
    <w:p w14:paraId="65F52635">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资产处置审核</w:t>
      </w:r>
    </w:p>
    <w:p w14:paraId="5C42585D">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作数据处置，特别是涉及个人信息的销毁，是高风险操作。必须经过严格审批，以防误删重要数据或未履行完合规义务。本功能确保了处置动作的审慎性</w:t>
      </w:r>
      <w:r>
        <w:rPr>
          <w:rFonts w:hint="eastAsia" w:ascii="宋体" w:hAnsi="宋体" w:cs="宋体"/>
          <w:szCs w:val="21"/>
          <w:highlight w:val="none"/>
        </w:rPr>
        <w:t>。</w:t>
      </w:r>
    </w:p>
    <w:p w14:paraId="79B4D52C">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21" w:name="_Toc233191506"/>
      <w:r>
        <w:rPr>
          <w:rFonts w:hint="eastAsia" w:ascii="宋体" w:hAnsi="宋体" w:cs="宋体"/>
          <w:b/>
          <w:bCs/>
          <w:kern w:val="44"/>
          <w:szCs w:val="21"/>
          <w:highlight w:val="none"/>
        </w:rPr>
        <w:t>资产运维管理</w:t>
      </w:r>
      <w:bookmarkEnd w:id="121"/>
    </w:p>
    <w:p w14:paraId="0295925D">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台账查询</w:t>
      </w:r>
    </w:p>
    <w:p w14:paraId="117B5919">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这是数据资产“可发现、可理解”能力的直接体现，是用户使用系统的首要入口。它提供了对全区数据资产目录和详情信息的集中、灵活、强大的检索能力，帮助用户快速从海量资产中找到所需目标</w:t>
      </w:r>
      <w:r>
        <w:rPr>
          <w:rFonts w:hint="eastAsia" w:ascii="宋体" w:hAnsi="宋体" w:cs="宋体"/>
          <w:szCs w:val="21"/>
          <w:highlight w:val="none"/>
        </w:rPr>
        <w:t>。</w:t>
      </w:r>
    </w:p>
    <w:p w14:paraId="2B1C9D04">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看板展示</w:t>
      </w:r>
    </w:p>
    <w:p w14:paraId="035DE946">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本功能通过可视化图表，将关键管理指标动态、实时、直观地呈现在大屏或领导门户上，是数据驱动运营决策和成果展示的利器。它为不同层级的管理者提供了定制化的数据资产“仪表盘”</w:t>
      </w:r>
      <w:r>
        <w:rPr>
          <w:rFonts w:hint="eastAsia" w:ascii="宋体" w:hAnsi="宋体" w:cs="宋体"/>
          <w:szCs w:val="21"/>
          <w:highlight w:val="none"/>
        </w:rPr>
        <w:t>。</w:t>
      </w:r>
    </w:p>
    <w:p w14:paraId="321BD416">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资源总览分析</w:t>
      </w:r>
    </w:p>
    <w:p w14:paraId="6B3017E2">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本功能从资源利用效率视角，为系统运维优化提供数据洞察。通过分析全局调度任务的运行时间规律，识别资源使用的峰谷，为优化任务编排、节约计算成本、提升集群整体利用率提供科学依据</w:t>
      </w:r>
      <w:r>
        <w:rPr>
          <w:rFonts w:hint="eastAsia" w:ascii="宋体" w:hAnsi="宋体" w:cs="宋体"/>
          <w:szCs w:val="21"/>
          <w:highlight w:val="none"/>
        </w:rPr>
        <w:t>。</w:t>
      </w:r>
    </w:p>
    <w:p w14:paraId="652DB837">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任务日志管理</w:t>
      </w:r>
    </w:p>
    <w:p w14:paraId="25CFEA54">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本功能是运维人员进行问题排查和根因分析的“侦探工具包”。当调度或处理任务出现异常时，详尽的执行日志是还原现场、定位故障点的唯一可靠依据</w:t>
      </w:r>
      <w:r>
        <w:rPr>
          <w:rFonts w:hint="eastAsia" w:ascii="宋体" w:hAnsi="宋体" w:cs="宋体"/>
          <w:szCs w:val="21"/>
          <w:highlight w:val="none"/>
        </w:rPr>
        <w:t>。</w:t>
      </w:r>
    </w:p>
    <w:p w14:paraId="5F4B18B6">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22" w:name="_Toc233191507"/>
      <w:r>
        <w:rPr>
          <w:rFonts w:hint="eastAsia" w:ascii="宋体" w:hAnsi="宋体" w:cs="宋体"/>
          <w:b/>
          <w:bCs/>
          <w:kern w:val="44"/>
          <w:szCs w:val="21"/>
          <w:highlight w:val="none"/>
        </w:rPr>
        <w:t>资源共享</w:t>
      </w:r>
      <w:bookmarkEnd w:id="122"/>
    </w:p>
    <w:p w14:paraId="5145D8A8">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本模块是实现数据资产价值跨组织边界（如向省、市级单位）进行安全、合规、有序流通的“服务窗口”与“审批闸口”，是数据要素市场化配置改革在操作层面的核心体现。在确保数据安全、主权和合规的前提下，推动数据在可控范围内最大程度地共享复用，是释放数据要素价值的终极路径。本模块通过将线下松散、不可控的数据共享流程，转变为线上标准化、流程化、可审计的“申请</w:t>
      </w:r>
      <w:r>
        <w:rPr>
          <w:rFonts w:hint="eastAsia" w:ascii="宋体" w:hAnsi="宋体" w:cs="宋体"/>
          <w:szCs w:val="21"/>
          <w:highlight w:val="none"/>
          <w:lang w:eastAsia="zh-CN"/>
        </w:rPr>
        <w:t>－</w:t>
      </w:r>
      <w:r>
        <w:rPr>
          <w:rFonts w:ascii="宋体" w:hAnsi="宋体" w:cs="宋体"/>
          <w:szCs w:val="21"/>
          <w:highlight w:val="none"/>
        </w:rPr>
        <w:t>审批</w:t>
      </w:r>
      <w:r>
        <w:rPr>
          <w:rFonts w:hint="eastAsia" w:ascii="宋体" w:hAnsi="宋体" w:cs="宋体"/>
          <w:szCs w:val="21"/>
          <w:highlight w:val="none"/>
          <w:lang w:eastAsia="zh-CN"/>
        </w:rPr>
        <w:t>－</w:t>
      </w:r>
      <w:r>
        <w:rPr>
          <w:rFonts w:ascii="宋体" w:hAnsi="宋体" w:cs="宋体"/>
          <w:szCs w:val="21"/>
          <w:highlight w:val="none"/>
        </w:rPr>
        <w:t>授权</w:t>
      </w:r>
      <w:r>
        <w:rPr>
          <w:rFonts w:hint="eastAsia" w:ascii="宋体" w:hAnsi="宋体" w:cs="宋体"/>
          <w:szCs w:val="21"/>
          <w:highlight w:val="none"/>
          <w:lang w:eastAsia="zh-CN"/>
        </w:rPr>
        <w:t>－</w:t>
      </w:r>
      <w:r>
        <w:rPr>
          <w:rFonts w:ascii="宋体" w:hAnsi="宋体" w:cs="宋体"/>
          <w:szCs w:val="21"/>
          <w:highlight w:val="none"/>
        </w:rPr>
        <w:t>使用</w:t>
      </w:r>
      <w:r>
        <w:rPr>
          <w:rFonts w:hint="eastAsia" w:ascii="宋体" w:hAnsi="宋体" w:cs="宋体"/>
          <w:szCs w:val="21"/>
          <w:highlight w:val="none"/>
          <w:lang w:eastAsia="zh-CN"/>
        </w:rPr>
        <w:t>－</w:t>
      </w:r>
      <w:r>
        <w:rPr>
          <w:rFonts w:ascii="宋体" w:hAnsi="宋体" w:cs="宋体"/>
          <w:szCs w:val="21"/>
          <w:highlight w:val="none"/>
        </w:rPr>
        <w:t>审计”闭环，构建了一个安全、高效、透明、合规的数据共享通道。它既充分满足了业务部门对跨域数据的需求，促进了协同创新，又通过严格的流程控制和全程留痕，有效防范了数据滥用和</w:t>
      </w:r>
      <w:r>
        <w:rPr>
          <w:rFonts w:hint="eastAsia" w:ascii="宋体" w:hAnsi="宋体" w:cs="宋体"/>
          <w:szCs w:val="21"/>
          <w:highlight w:val="none"/>
          <w:lang w:eastAsia="zh-CN"/>
        </w:rPr>
        <w:t>泄漏</w:t>
      </w:r>
      <w:r>
        <w:rPr>
          <w:rFonts w:ascii="宋体" w:hAnsi="宋体" w:cs="宋体"/>
          <w:szCs w:val="21"/>
          <w:highlight w:val="none"/>
        </w:rPr>
        <w:t>风险，是平衡数据价值释放与安全管控的关键枢纽</w:t>
      </w:r>
      <w:r>
        <w:rPr>
          <w:rFonts w:hint="eastAsia" w:ascii="宋体" w:hAnsi="宋体" w:cs="宋体"/>
          <w:szCs w:val="21"/>
          <w:highlight w:val="none"/>
        </w:rPr>
        <w:t>。</w:t>
      </w:r>
    </w:p>
    <w:p w14:paraId="2F0E07B0">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23" w:name="_Toc233191556"/>
      <w:r>
        <w:rPr>
          <w:rFonts w:hint="eastAsia" w:ascii="宋体" w:hAnsi="宋体" w:cs="宋体"/>
          <w:b/>
          <w:bCs/>
          <w:kern w:val="44"/>
          <w:szCs w:val="21"/>
          <w:highlight w:val="none"/>
        </w:rPr>
        <w:t>应用系统对接</w:t>
      </w:r>
      <w:bookmarkEnd w:id="123"/>
      <w:r>
        <w:rPr>
          <w:rFonts w:hint="eastAsia" w:ascii="宋体" w:hAnsi="宋体" w:cs="宋体"/>
          <w:b/>
          <w:bCs/>
          <w:kern w:val="44"/>
          <w:szCs w:val="21"/>
          <w:highlight w:val="none"/>
        </w:rPr>
        <w:t>（1项）</w:t>
      </w:r>
    </w:p>
    <w:p w14:paraId="328017F6">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系统</w:t>
      </w:r>
      <w:r>
        <w:rPr>
          <w:rFonts w:hint="eastAsia" w:ascii="宋体" w:hAnsi="宋体" w:cs="宋体"/>
          <w:szCs w:val="21"/>
          <w:highlight w:val="none"/>
          <w:lang w:eastAsia="zh-CN"/>
        </w:rPr>
        <w:t>须具备</w:t>
      </w:r>
      <w:r>
        <w:rPr>
          <w:rFonts w:hint="eastAsia" w:ascii="宋体" w:hAnsi="宋体" w:cs="宋体"/>
          <w:szCs w:val="21"/>
          <w:highlight w:val="none"/>
        </w:rPr>
        <w:t>与外部平台的标准对接能力，</w:t>
      </w:r>
      <w:r>
        <w:rPr>
          <w:rFonts w:hint="eastAsia" w:ascii="宋体" w:hAnsi="宋体" w:cs="宋体"/>
          <w:szCs w:val="21"/>
          <w:highlight w:val="none"/>
          <w:lang w:val="en-US" w:eastAsia="zh-CN"/>
        </w:rPr>
        <w:t>支持与鼓楼智脑、福州市数联网、福州市政务数据汇聚共享平台、福建省一体化公共数据平台、国家数据基础设施（福建）区域功能节点等平台进行</w:t>
      </w:r>
      <w:r>
        <w:rPr>
          <w:rFonts w:hint="eastAsia" w:ascii="宋体" w:hAnsi="宋体" w:cs="宋体"/>
          <w:szCs w:val="21"/>
          <w:highlight w:val="none"/>
        </w:rPr>
        <w:t>数据共享与业务协同（</w:t>
      </w:r>
      <w:r>
        <w:rPr>
          <w:rFonts w:hint="eastAsia" w:ascii="宋体" w:hAnsi="宋体" w:cs="宋体"/>
          <w:b/>
          <w:bCs/>
          <w:szCs w:val="21"/>
          <w:highlight w:val="none"/>
        </w:rPr>
        <w:t>须提供专项承诺函</w:t>
      </w:r>
      <w:r>
        <w:rPr>
          <w:rFonts w:hint="eastAsia" w:ascii="宋体" w:hAnsi="宋体" w:cs="宋体"/>
          <w:szCs w:val="21"/>
          <w:highlight w:val="none"/>
        </w:rPr>
        <w:t>）。</w:t>
      </w:r>
    </w:p>
    <w:p w14:paraId="10A1F337">
      <w:pPr>
        <w:numPr>
          <w:ilvl w:val="1"/>
          <w:numId w:val="5"/>
        </w:numPr>
        <w:spacing w:line="360" w:lineRule="exact"/>
        <w:ind w:firstLine="422" w:firstLineChars="200"/>
        <w:outlineLvl w:val="4"/>
        <w:rPr>
          <w:rFonts w:hint="eastAsia" w:ascii="宋体" w:hAnsi="宋体" w:cs="宋体"/>
          <w:b/>
          <w:kern w:val="44"/>
          <w:szCs w:val="21"/>
          <w:highlight w:val="none"/>
        </w:rPr>
      </w:pPr>
      <w:bookmarkStart w:id="124" w:name="_Toc233191508"/>
      <w:r>
        <w:rPr>
          <w:rFonts w:hint="eastAsia" w:ascii="宋体" w:hAnsi="宋体" w:cs="宋体"/>
          <w:b/>
          <w:kern w:val="44"/>
          <w:szCs w:val="21"/>
          <w:highlight w:val="none"/>
        </w:rPr>
        <w:t>AI数据开发利用系统</w:t>
      </w:r>
      <w:bookmarkEnd w:id="124"/>
      <w:r>
        <w:rPr>
          <w:rFonts w:hint="eastAsia" w:ascii="宋体" w:hAnsi="宋体" w:cs="宋体"/>
          <w:b/>
          <w:kern w:val="44"/>
          <w:szCs w:val="21"/>
          <w:highlight w:val="none"/>
        </w:rPr>
        <w:t>（1套）</w:t>
      </w:r>
    </w:p>
    <w:p w14:paraId="64C4E0EE">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本系统为数据产品开发、场景应用、流通运营一体化平台，配套数据商城、开发工作台、运营管控、后台管理等能力，支撑数据合规开发、AI 场景落地与数据要素市场化运营。</w:t>
      </w:r>
    </w:p>
    <w:p w14:paraId="6D79B567">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具体功能要求如下：</w:t>
      </w:r>
    </w:p>
    <w:p w14:paraId="2C7F2FDD">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25" w:name="_Toc233191509"/>
      <w:r>
        <w:rPr>
          <w:rFonts w:hint="eastAsia" w:ascii="宋体" w:hAnsi="宋体" w:cs="宋体"/>
          <w:b/>
          <w:bCs/>
          <w:kern w:val="44"/>
          <w:szCs w:val="21"/>
          <w:highlight w:val="none"/>
        </w:rPr>
        <w:t>数据要素商城</w:t>
      </w:r>
      <w:bookmarkEnd w:id="125"/>
    </w:p>
    <w:p w14:paraId="2C7F6C7F">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数据资产超市</w:t>
      </w:r>
    </w:p>
    <w:p w14:paraId="7E56B9A8">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数据资产超市提供数据资产目录服务，支持按照来源、领域、多级类目进行分类展示与筛选，目录列表呈现名称、来源、标签、评分、申请量等信息；区分库表型、接口型资产详情展示，可查看基础元数据、数据项、脱敏样例、接口调用文档、使用指南及评价信息；支持依据发布时间、访问量、申请量、评分进行升降序检索；支持按需选取数据项加入选数车用于场景申报，操作需完成登录与应用单位身份校验；支持资产目录收藏功能，未登录用户跳转登录后方可收藏，收藏内容可在用户中心统一查看，实现数据资产浏览、检索、甄选与收藏一体化服务</w:t>
      </w:r>
      <w:r>
        <w:rPr>
          <w:rFonts w:hint="eastAsia" w:ascii="宋体" w:hAnsi="宋体" w:cs="宋体"/>
          <w:szCs w:val="21"/>
          <w:highlight w:val="none"/>
        </w:rPr>
        <w:t>。</w:t>
      </w:r>
    </w:p>
    <w:p w14:paraId="18F67DD0">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数据资产搜索</w:t>
      </w:r>
    </w:p>
    <w:p w14:paraId="58772757">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数据资产搜索功能支持基于名称、描述、标签对数据资产目录与数据产品开展关键字模糊检索，可限定资源类型查询并展示搜索热词实现快捷检索；支持依据专区、资源类型对结果二次筛选；搜索结果分页呈现并高亮匹配关键词，展示资源名称、描述、分类等信息，默认按照访问量降序展示，便于用户快速定位目标数据资源</w:t>
      </w:r>
      <w:r>
        <w:rPr>
          <w:rFonts w:hint="eastAsia" w:ascii="宋体" w:hAnsi="宋体" w:cs="宋体"/>
          <w:szCs w:val="21"/>
          <w:highlight w:val="none"/>
        </w:rPr>
        <w:t>。</w:t>
      </w:r>
    </w:p>
    <w:p w14:paraId="6A704525">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选数车服务</w:t>
      </w:r>
    </w:p>
    <w:p w14:paraId="5108DB3E">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选数车服务可对已加入的资源进行管理，统计数据项总量，按类目分类展示资源，失效资源置灰标识，支持单项删除与一键清空；支持勾选选数车内数据资产发起场景方案申报，申报过程展示须知并要求确认相关承诺，填写场景名称、应用领域、建设目标等相关信息；同时支持针对已审核通过的场景提交扩充申请，选定新增数据资产并填报扩充理由与补充方案，实现数据资产归集、场景申报与场景扩容申请一体化办理</w:t>
      </w:r>
      <w:r>
        <w:rPr>
          <w:rFonts w:hint="eastAsia" w:ascii="宋体" w:hAnsi="宋体" w:cs="宋体"/>
          <w:szCs w:val="21"/>
          <w:highlight w:val="none"/>
        </w:rPr>
        <w:t>。</w:t>
      </w:r>
    </w:p>
    <w:p w14:paraId="56AD9306">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使用指引</w:t>
      </w:r>
    </w:p>
    <w:p w14:paraId="4040C9A0">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使用指引模块整合多元化用户支撑服务；支持运营后台维护图文、视频形式的帮助文档，提供文档分类检索；提供互动服务入口，用户可提交数据需求、分类填报意见建议、针对指定数据资产发起数据纠错并上传附件；支持常见问题分类分页展示，可灵活展开或收起问答内容；内置知识库，承载图文、文档、视频资料，支持检索查阅，文档支持下载、视频支持在线播放，全方位为平台用户提供操作指导与问题反馈渠道</w:t>
      </w:r>
      <w:r>
        <w:rPr>
          <w:rFonts w:hint="eastAsia" w:ascii="宋体" w:hAnsi="宋体" w:cs="宋体"/>
          <w:szCs w:val="21"/>
          <w:highlight w:val="none"/>
        </w:rPr>
        <w:t>。</w:t>
      </w:r>
    </w:p>
    <w:p w14:paraId="7CAF85C6">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开发者中心</w:t>
      </w:r>
    </w:p>
    <w:p w14:paraId="35695626">
      <w:pPr>
        <w:spacing w:line="360" w:lineRule="exact"/>
        <w:ind w:firstLine="420" w:firstLineChars="200"/>
        <w:jc w:val="left"/>
        <w:rPr>
          <w:rFonts w:hint="eastAsia" w:ascii="宋体" w:hAnsi="宋体" w:cs="宋体"/>
          <w:b/>
          <w:bCs/>
          <w:szCs w:val="21"/>
          <w:highlight w:val="none"/>
        </w:rPr>
      </w:pPr>
      <w:r>
        <w:rPr>
          <w:rFonts w:ascii="宋体" w:hAnsi="宋体" w:cs="宋体"/>
          <w:szCs w:val="21"/>
          <w:highlight w:val="none"/>
        </w:rPr>
        <w:t>开发者中心依托统一身份认证服务实现自然人、法人用户注册登录，不再独立建设账号体系；法人用户可提交信用报告、授权委托书等材料发起应用单位入驻申请，由平台运营方开展审核；用户基础信息从统一身份服务同步获取，平台不支持信息修改；提供我的互动功能，集中展示用户提交的数据需求、意见、数据纠错及运营方回复；我的收藏可分类展示已收藏的数据资产目录与产品，支持检索、查看详情与取消收藏操作</w:t>
      </w:r>
      <w:r>
        <w:rPr>
          <w:rFonts w:hint="eastAsia" w:ascii="宋体" w:hAnsi="宋体" w:cs="宋体"/>
          <w:b/>
          <w:bCs/>
          <w:szCs w:val="21"/>
          <w:highlight w:val="none"/>
        </w:rPr>
        <w:t>。</w:t>
      </w:r>
    </w:p>
    <w:p w14:paraId="7A78BD23">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26" w:name="_Toc233191510"/>
      <w:r>
        <w:rPr>
          <w:rFonts w:hint="eastAsia" w:ascii="宋体" w:hAnsi="宋体" w:cs="宋体"/>
          <w:b/>
          <w:bCs/>
          <w:kern w:val="44"/>
          <w:szCs w:val="21"/>
          <w:highlight w:val="none"/>
        </w:rPr>
        <w:t>场景应用开发中心</w:t>
      </w:r>
      <w:bookmarkEnd w:id="126"/>
    </w:p>
    <w:p w14:paraId="4E655973">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场景服务工作台</w:t>
      </w:r>
    </w:p>
    <w:p w14:paraId="2E96B90B">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场景服务工作台为数据应用单位整合待办事项、消息通知与业务统计看板，待办事项支持审批退回、协议签署等事项处理，通过站内信、短信推送场景审批、部署、运行相关通知，可视化展示场景、模型、数据集、算力、授权签名等统计指标；内置企业管理中心，支持查看并更新入驻企业基础资料；企业管理员可维护子账号信息，依托统一身份认证完成信息匹配，为子账号分配角色权限；支持管理员查阅全员登录日志与操作日志，完整记录操作人员、时间、IP、操作模块，实现企业内部账号、权限、行为日志一体化管控</w:t>
      </w:r>
      <w:r>
        <w:rPr>
          <w:rFonts w:hint="eastAsia" w:ascii="宋体" w:hAnsi="宋体" w:cs="宋体"/>
          <w:szCs w:val="21"/>
          <w:highlight w:val="none"/>
        </w:rPr>
        <w:t>。</w:t>
      </w:r>
    </w:p>
    <w:p w14:paraId="48E28747">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场景申报管理</w:t>
      </w:r>
    </w:p>
    <w:p w14:paraId="76B83A61">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场景申报管理模块支持场景方案清单查询、方案详情查阅，通过进度条与审批记录跟踪申报流程；申报退回后允许编辑重提，驳回方案不可再次提交；支持依托已开发模型发起场景正式申报，提供草稿保存、未审核单据撤回功能，申报退回可按需修改信息重新提交，审批通过后可通过电子签章在线签署数据使用与安全协议，同时支持不改动已审批模型前提下提交场景变更报备；内置场景模型管理功能，支持模型清单检索、查看模型接口与业务说明，未申报模型可二次确认后删除，已部署模型支持归档并回收算力；场景数据集管理支持数据集清单检索、明细查看，可针对具体数据目录开展评分评价；支持场景负责人增删团队成员、转移负责人权限，完整覆盖场景方案申报、正式上线申报、协议签署、变更报备、模型与数据集运维、项目团队协同等全流程业务管理</w:t>
      </w:r>
      <w:r>
        <w:rPr>
          <w:rFonts w:hint="eastAsia" w:ascii="宋体" w:hAnsi="宋体" w:cs="宋体"/>
          <w:szCs w:val="21"/>
          <w:highlight w:val="none"/>
        </w:rPr>
        <w:t>。</w:t>
      </w:r>
    </w:p>
    <w:p w14:paraId="79DFA024">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单位自有数据接入管理</w:t>
      </w:r>
    </w:p>
    <w:p w14:paraId="0E846DB7">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单位自有数据接入管理模块提供已登记外部数据清单检索、详情查阅与数据预览功能；应用单位接入自有数据前需完成数据集基础信息、数据项属性、数据来源等内容登记，并提交接入申请由平台运营方开展合规审核；审核通过后，支持通过合规格式数据文件将数据导入平台可信计算空间；支持对已接入数据执行移除操作，移除时可自主选择是否同步删除登记信息，实现单位自有外部数据登记、审批接入、可信存储与下线移除的全流程管控</w:t>
      </w:r>
      <w:r>
        <w:rPr>
          <w:rFonts w:hint="eastAsia" w:ascii="宋体" w:hAnsi="宋体" w:cs="宋体"/>
          <w:szCs w:val="21"/>
          <w:highlight w:val="none"/>
        </w:rPr>
        <w:t>。</w:t>
      </w:r>
    </w:p>
    <w:p w14:paraId="175D8BD8">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查询场景研发管理</w:t>
      </w:r>
    </w:p>
    <w:p w14:paraId="7244D2B9">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查询场景研发管理模块落实场景级数据隔离管控，开发过程仅允许访问本场景获批数据；提供统一取数服务，支持可视化编写 SQL 取数逻辑，具备参数配置、隐私授权校验、运行验证、版本管理、性能分析能力，已发布服务支持迭代生成新版本；支持 Docker 镜像包、多语言程序包上传，可依托平台基础镜像自动构建镜像，支持镜像更新、删除</w:t>
      </w:r>
      <w:r>
        <w:rPr>
          <w:rFonts w:hint="eastAsia" w:ascii="宋体" w:hAnsi="宋体" w:cs="宋体"/>
          <w:szCs w:val="21"/>
          <w:highlight w:val="none"/>
          <w:lang w:eastAsia="zh-CN"/>
        </w:rPr>
        <w:t>，对</w:t>
      </w:r>
      <w:r>
        <w:rPr>
          <w:rFonts w:ascii="宋体" w:hAnsi="宋体" w:cs="宋体"/>
          <w:szCs w:val="21"/>
          <w:highlight w:val="none"/>
        </w:rPr>
        <w:t>镜像运行日志实行申请审核机制；支持创建 SQL 模型、API 模型、镜像包模型，完成接口参数配置、保存与发布；全部模型支持基于样例数据开展上线前测试验证，完整支撑查询类场景从取数逻辑开发、镜像构建、模型编排到测试验证的全流程研发工作</w:t>
      </w:r>
      <w:r>
        <w:rPr>
          <w:rFonts w:hint="eastAsia" w:ascii="宋体" w:hAnsi="宋体" w:cs="宋体"/>
          <w:szCs w:val="21"/>
          <w:highlight w:val="none"/>
        </w:rPr>
        <w:t>。</w:t>
      </w:r>
    </w:p>
    <w:p w14:paraId="78396A37">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场景应用运行管理</w:t>
      </w:r>
    </w:p>
    <w:p w14:paraId="55A5989B">
      <w:pPr>
        <w:spacing w:line="360" w:lineRule="exact"/>
        <w:ind w:firstLine="420" w:firstLineChars="200"/>
        <w:jc w:val="left"/>
        <w:rPr>
          <w:rFonts w:hint="eastAsia" w:ascii="宋体" w:hAnsi="宋体" w:cs="宋体"/>
          <w:b/>
          <w:bCs/>
          <w:szCs w:val="21"/>
          <w:highlight w:val="none"/>
        </w:rPr>
      </w:pPr>
      <w:r>
        <w:rPr>
          <w:rFonts w:ascii="宋体" w:hAnsi="宋体" w:cs="宋体"/>
          <w:szCs w:val="21"/>
          <w:highlight w:val="none"/>
        </w:rPr>
        <w:t>场景应用运行管理模块具备多维度计量统计能力，可按应用单位、场景、模型维度汇总模型调用次数与数据消耗量，支持条件查询与统计结果导出；完整留存场景模型运行日志，记录调用主体、参数、状态等信息并提供检索功能；实现模型服务状态与 CPU、内存等资源实时监控，支持自定义异常阈值配置、运行异常预警推送，并提供服务重启、资源扩容等异常处置手段；支持场景下线后自动回收算力资源</w:t>
      </w:r>
      <w:r>
        <w:rPr>
          <w:rFonts w:hint="eastAsia" w:ascii="宋体" w:hAnsi="宋体" w:cs="宋体"/>
          <w:szCs w:val="21"/>
          <w:highlight w:val="none"/>
          <w:lang w:eastAsia="zh-CN"/>
        </w:rPr>
        <w:t>，在</w:t>
      </w:r>
      <w:r>
        <w:rPr>
          <w:rFonts w:ascii="宋体" w:hAnsi="宋体" w:cs="宋体"/>
          <w:szCs w:val="21"/>
          <w:highlight w:val="none"/>
        </w:rPr>
        <w:t>集群资源紧张时可手动清理闲置服务实现资源统筹调度；应用正式运行后，平台定期提醒应用单位登记场景经济与社会效益指标，覆盖场景运行计量、日志审计、实时监控、预警处置、资源调度与应用成效台账管理全过程</w:t>
      </w:r>
      <w:r>
        <w:rPr>
          <w:rFonts w:hint="eastAsia" w:ascii="宋体" w:hAnsi="宋体" w:cs="宋体"/>
          <w:b/>
          <w:bCs/>
          <w:szCs w:val="21"/>
          <w:highlight w:val="none"/>
        </w:rPr>
        <w:t>。</w:t>
      </w:r>
    </w:p>
    <w:p w14:paraId="71B1304A">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27" w:name="_Toc233191511"/>
      <w:r>
        <w:rPr>
          <w:rFonts w:hint="eastAsia" w:ascii="宋体" w:hAnsi="宋体" w:cs="宋体"/>
          <w:b/>
          <w:bCs/>
          <w:kern w:val="44"/>
          <w:szCs w:val="21"/>
          <w:highlight w:val="none"/>
        </w:rPr>
        <w:t>数据产品流通服务</w:t>
      </w:r>
      <w:bookmarkEnd w:id="127"/>
    </w:p>
    <w:p w14:paraId="7B766BE0">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运营服务工作台</w:t>
      </w:r>
    </w:p>
    <w:p w14:paraId="724D5561">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运营服务工作台为平台运营方整合运营全流程待办事项，支持办理场景方案、场景申报、数据产品、异议处理、合同签署等各类待审核业务；通过站内信、短信推送场景审核、产品审核、订单相关消息通知；集中展示平台运营核心统计指标，涵盖应用场景、模型、数据集、上架产品、订单成交量及成交额等数据，支撑运营人员统一办理业务、接收通知、掌握平台整体运营态势</w:t>
      </w:r>
      <w:r>
        <w:rPr>
          <w:rFonts w:hint="eastAsia" w:ascii="宋体" w:hAnsi="宋体" w:cs="宋体"/>
          <w:szCs w:val="21"/>
          <w:highlight w:val="none"/>
        </w:rPr>
        <w:t>。</w:t>
      </w:r>
    </w:p>
    <w:p w14:paraId="433C5408">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场景开发应用运营能力</w:t>
      </w:r>
    </w:p>
    <w:p w14:paraId="28A074EC">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场景开发应用运营能力模块支撑运营方开展场景方案、场景正式申报以及场景扩充申请全流程审核，提供审批进度跟踪，可对上线应用场景、场景模型、数据集进行统一台账管理，支持模型部署、状态管控、运行日志查询与场景效益监测；提供资源组、镜像包运维以及日志查阅申请审批功能，可跟踪应用单位自有外部数据接入申请、开展常态化合规审查与违规数据处置；支持算力套餐配置、算力启停管控、明细统计与服务争议协调；搭建多维度数据应用计量体系，支持按周期自动生成计量结算单据；支持数据资产目录通过接口推送、批量文件导入方式接入，可与数据源开展目录同步对账；具备完整的数据目录治理能力，可维护来源、领域、类目、标签、数据源等分类体系，支持分级授权规则配置、建模阶段接口代理隔离保护、目录使用指南维护、样例数据接入、自动生成、脱敏审核与敏感信息规则管理；内置目录质量检测任务、风险预警与报告输出功能，支持数据资产目录批量上下架、用户评价合规管理；同时提供单位入驻、场景申报等多维度运营统计分析，全面覆盖场景审批、资源调度、数据接入、目录治理、计量结算、运营分析等平台运营管理工作</w:t>
      </w:r>
      <w:r>
        <w:rPr>
          <w:rFonts w:hint="eastAsia" w:ascii="宋体" w:hAnsi="宋体" w:cs="宋体"/>
          <w:szCs w:val="21"/>
          <w:highlight w:val="none"/>
        </w:rPr>
        <w:t>。</w:t>
      </w:r>
    </w:p>
    <w:p w14:paraId="02F7035C">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基础授权管理能力</w:t>
      </w:r>
    </w:p>
    <w:p w14:paraId="4EB12D10">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基础授权管理能力支持运营方开展应用单位入驻申请审核、机构台账管理、账号状态管控与子账号信息查询；搭建行业专家库，具备随机遴选、专家任务应答、评审资格动态管理机制；支持平台统一标签维护，集中处理用户提交的数据需求、意见反馈与数据纠错；内置系统管理模块，实现平台运维账号、角色、菜单、按钮权限分级管控，留存完整登录与操作日志，支持系统字典、运行参数配置；支持各类平台协议、合同模板的编辑、预览、上下线管理；统一维护常见问题、帮助文档与知识库资源；可配置各审批节点审核时效、到期预警并开展审批时效统计分析；提供可视化流程设计、流程分类、部署管控与流程运行数据统计，统一管理全流程待办、已办、办结任务，构建覆盖主体准入、评审管理、权限控制、文档协议、审批流程的一体化基础管理体系</w:t>
      </w:r>
      <w:r>
        <w:rPr>
          <w:rFonts w:hint="eastAsia" w:ascii="宋体" w:hAnsi="宋体" w:cs="宋体"/>
          <w:szCs w:val="21"/>
          <w:highlight w:val="none"/>
        </w:rPr>
        <w:t>。</w:t>
      </w:r>
    </w:p>
    <w:p w14:paraId="45FB92EC">
      <w:pPr>
        <w:numPr>
          <w:ilvl w:val="1"/>
          <w:numId w:val="5"/>
        </w:numPr>
        <w:spacing w:line="360" w:lineRule="exact"/>
        <w:ind w:firstLine="422" w:firstLineChars="200"/>
        <w:outlineLvl w:val="4"/>
        <w:rPr>
          <w:rFonts w:hint="eastAsia" w:ascii="宋体" w:hAnsi="宋体" w:cs="宋体"/>
          <w:b/>
          <w:kern w:val="44"/>
          <w:szCs w:val="21"/>
          <w:highlight w:val="none"/>
        </w:rPr>
      </w:pPr>
      <w:bookmarkStart w:id="128" w:name="_Toc233191512"/>
      <w:bookmarkStart w:id="129" w:name="_Toc72775478"/>
      <w:r>
        <w:rPr>
          <w:rFonts w:hint="eastAsia" w:ascii="宋体" w:hAnsi="宋体" w:cs="宋体"/>
          <w:b/>
          <w:kern w:val="44"/>
          <w:szCs w:val="21"/>
          <w:highlight w:val="none"/>
        </w:rPr>
        <w:t>数据交易流通平台</w:t>
      </w:r>
      <w:bookmarkEnd w:id="128"/>
      <w:r>
        <w:rPr>
          <w:rFonts w:hint="eastAsia" w:ascii="宋体" w:hAnsi="宋体" w:cs="宋体"/>
          <w:b/>
          <w:kern w:val="44"/>
          <w:szCs w:val="21"/>
          <w:highlight w:val="none"/>
        </w:rPr>
        <w:t>（1套）</w:t>
      </w:r>
    </w:p>
    <w:p w14:paraId="732A7621">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本系统需提供数据产品从供给、开发到交易的全流程服务，支撑企业服务门户、资源供需对接、产品管理、平台运营及合规监管等功能。</w:t>
      </w:r>
    </w:p>
    <w:p w14:paraId="098EEF1D">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具体功能要求如下：</w:t>
      </w:r>
    </w:p>
    <w:bookmarkEnd w:id="129"/>
    <w:p w14:paraId="5BAAB682">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30" w:name="_Toc233191513"/>
      <w:r>
        <w:rPr>
          <w:rFonts w:hint="eastAsia" w:ascii="宋体" w:hAnsi="宋体" w:cs="宋体"/>
          <w:b/>
          <w:bCs/>
          <w:kern w:val="44"/>
          <w:szCs w:val="21"/>
          <w:highlight w:val="none"/>
        </w:rPr>
        <w:t>企业服务门户</w:t>
      </w:r>
      <w:bookmarkEnd w:id="130"/>
      <w:r>
        <w:rPr>
          <w:rFonts w:hint="eastAsia" w:ascii="宋体" w:hAnsi="宋体" w:cs="宋体"/>
          <w:b/>
          <w:bCs/>
          <w:kern w:val="44"/>
          <w:szCs w:val="21"/>
          <w:highlight w:val="none"/>
        </w:rPr>
        <w:t>（1套）</w:t>
      </w:r>
    </w:p>
    <w:p w14:paraId="35E65D83">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登录注册</w:t>
      </w:r>
    </w:p>
    <w:p w14:paraId="4469DD36">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登录注册模块以手机号作为核心身份标识，支持手机号注册并开展格式校验；获取短信验证码前强制进行图片验证码校验，短信通道依托业主自有短信平台；注册登录环节需确认用户协议与隐私政策，协议更新后主动提示用户重新确认；支持账号密码登录，具备登录错误次数限制、账号临时锁定等防暴力破解机制；登录过程校验用户签约状态，实时监测账号异地登录情况，全方位筑牢账户访问安全防线，保障注册、登录流程合规与账户安全</w:t>
      </w:r>
      <w:r>
        <w:rPr>
          <w:rFonts w:hint="eastAsia" w:ascii="宋体" w:hAnsi="宋体" w:cs="宋体"/>
          <w:szCs w:val="21"/>
          <w:highlight w:val="none"/>
        </w:rPr>
        <w:t>。</w:t>
      </w:r>
    </w:p>
    <w:p w14:paraId="3BDA1461">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合作中心</w:t>
      </w:r>
    </w:p>
    <w:p w14:paraId="7B4BA9A6">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合作中心模块支持企业上传资质材料完成企业认证，开展联系人信息核验，平台审核后反馈结果，认证通过账号自动授予企业超级管理员权限；支持管理员配置邀请码，个人用户凭有效邀请码申请加入企业；提供多类平台主体资格申报通道，需求方申请实行自动准入，数据服务商、运营方提交资质资料后由平台开展合规审核，专家支持由平台后台定向邀请注册，所有审核完成后统一推送审核结论，实现企业资质准入、团队成员吸纳、多元合作主体分级准入审批一体化管理</w:t>
      </w:r>
      <w:r>
        <w:rPr>
          <w:rFonts w:hint="eastAsia" w:ascii="宋体" w:hAnsi="宋体" w:cs="宋体"/>
          <w:szCs w:val="21"/>
          <w:highlight w:val="none"/>
        </w:rPr>
        <w:t>。</w:t>
      </w:r>
    </w:p>
    <w:p w14:paraId="52474C6E">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企业中心</w:t>
      </w:r>
    </w:p>
    <w:p w14:paraId="160B3D3F">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企业中心模块包含信息管理、成员管理与密码服务功能；支持企业管理员对内部人员信息进行录入、编辑与删除维护；企业主账户可生成邀请码吸纳成员，完成企业备案校验，为成员分配业务角色，支持查看成员信息、执行账号禁用与角色重新调配；提供短信验证自助密码重置能力，系统可定时推送密码修改提醒，密码加密存储，实现企业内部人员统一准入、身份管控与登录安全管理</w:t>
      </w:r>
      <w:r>
        <w:rPr>
          <w:rFonts w:hint="eastAsia" w:ascii="宋体" w:hAnsi="宋体" w:cs="宋体"/>
          <w:szCs w:val="21"/>
          <w:highlight w:val="none"/>
        </w:rPr>
        <w:t>。</w:t>
      </w:r>
    </w:p>
    <w:p w14:paraId="0F8F7DB1">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31" w:name="_Toc233191514"/>
      <w:r>
        <w:rPr>
          <w:rFonts w:hint="eastAsia" w:ascii="宋体" w:hAnsi="宋体" w:cs="宋体"/>
          <w:b/>
          <w:bCs/>
          <w:kern w:val="44"/>
          <w:szCs w:val="21"/>
          <w:highlight w:val="none"/>
        </w:rPr>
        <w:t>资源供需对接系统</w:t>
      </w:r>
      <w:bookmarkEnd w:id="131"/>
      <w:r>
        <w:rPr>
          <w:rFonts w:hint="eastAsia" w:ascii="宋体" w:hAnsi="宋体" w:cs="宋体"/>
          <w:b/>
          <w:bCs/>
          <w:kern w:val="44"/>
          <w:szCs w:val="21"/>
          <w:highlight w:val="none"/>
        </w:rPr>
        <w:t>（1套）</w:t>
      </w:r>
    </w:p>
    <w:p w14:paraId="0A86C5CE">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数据资源展厅</w:t>
      </w:r>
    </w:p>
    <w:p w14:paraId="3C5B99F6">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数据展厅展示供数企业登记的数据资源，展出的数据可供数据服务商申请使用，并通过平台的数据产品开发功能进行开发</w:t>
      </w:r>
      <w:r>
        <w:rPr>
          <w:rFonts w:hint="eastAsia" w:ascii="宋体" w:hAnsi="宋体" w:cs="宋体"/>
          <w:szCs w:val="21"/>
          <w:highlight w:val="none"/>
        </w:rPr>
        <w:t>。</w:t>
      </w:r>
    </w:p>
    <w:p w14:paraId="05FDC440">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需求方工作台</w:t>
      </w:r>
    </w:p>
    <w:p w14:paraId="4CE5BD9B">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需求方工作台支持从交易平台拉取采购订单信息，需求方可完善合同关键信息、备案数据访问 IP，IP 变更需提交申请并取得服务商许可；提供已交付数据产品信息查阅与资料下载功能；集成产品试用管理能力，支持查阅试用协议，查看试用时效、授权密钥与授权产品清单，可录入密钥开展连通性测试并展示调用结果，满足需求方订单备案、产品管理、线上试用验证等业务需求</w:t>
      </w:r>
      <w:r>
        <w:rPr>
          <w:rFonts w:hint="eastAsia" w:ascii="宋体" w:hAnsi="宋体" w:cs="宋体"/>
          <w:szCs w:val="21"/>
          <w:highlight w:val="none"/>
        </w:rPr>
        <w:t>。</w:t>
      </w:r>
    </w:p>
    <w:p w14:paraId="50E785A0">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32" w:name="_Toc233191515"/>
      <w:r>
        <w:rPr>
          <w:rFonts w:hint="eastAsia" w:ascii="宋体" w:hAnsi="宋体" w:cs="宋体"/>
          <w:b/>
          <w:bCs/>
          <w:kern w:val="44"/>
          <w:szCs w:val="21"/>
          <w:highlight w:val="none"/>
        </w:rPr>
        <w:t>数据产品管理系统</w:t>
      </w:r>
      <w:bookmarkEnd w:id="132"/>
      <w:r>
        <w:rPr>
          <w:rFonts w:hint="eastAsia" w:ascii="宋体" w:hAnsi="宋体" w:cs="宋体"/>
          <w:b/>
          <w:bCs/>
          <w:kern w:val="44"/>
          <w:szCs w:val="21"/>
          <w:highlight w:val="none"/>
        </w:rPr>
        <w:t>（1套）</w:t>
      </w:r>
    </w:p>
    <w:p w14:paraId="001DD87A">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数据服务商工作台</w:t>
      </w:r>
    </w:p>
    <w:p w14:paraId="3C0E4DA9">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数据服务商工作台支持合作场景线上登记与信息校验归档；实现数据产品创建、编辑、删除、权限配置及调用计量统计；具备产品试用全流程管理能力，支持试用参数配置、试用过程管控与调用日志查询；支持与数据交易平台对接推送产品信息；提供资源申请提交、进度查询、修改重提功能；提供可用数据资源库多方式检索、在线预览；支持电子数据合约自动生成、加密存储、权限管控；可对接获取产品销售合同并支持合同信息检索查阅，一站式支撑服务商开展场景申报、数据产品运营、试用管控、资源申请、合约管理等全流程业务操作</w:t>
      </w:r>
      <w:r>
        <w:rPr>
          <w:rFonts w:hint="eastAsia" w:ascii="宋体" w:hAnsi="宋体" w:cs="宋体"/>
          <w:szCs w:val="21"/>
          <w:highlight w:val="none"/>
        </w:rPr>
        <w:t>。</w:t>
      </w:r>
    </w:p>
    <w:p w14:paraId="1419FA02">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API 编排开发</w:t>
      </w:r>
    </w:p>
    <w:p w14:paraId="2684897F">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API 编排开发模块包含 API 管理与多 API 编排服务能力；支持录入 API 基础信息，定义 HTTP、消息两类调用方式并配置加密策略；提供可视化编排界面，可选取数据处理、逻辑、安全等组件，按需组合搭建业务流程，灵活配置各组件运行参数，快速组装形成复合 API 服务，满足复杂业务接口定制开发需求</w:t>
      </w:r>
      <w:r>
        <w:rPr>
          <w:rFonts w:hint="eastAsia" w:ascii="宋体" w:hAnsi="宋体" w:cs="宋体"/>
          <w:szCs w:val="21"/>
          <w:highlight w:val="none"/>
        </w:rPr>
        <w:t>。</w:t>
      </w:r>
    </w:p>
    <w:p w14:paraId="30C5BD46">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隐私计算应用增强</w:t>
      </w:r>
    </w:p>
    <w:p w14:paraId="6F85F265">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隐私计算应用增强模块配备运营管理看板，对联邦项目、匿踪查询、隐私求交、模型服务等任务开展多维度统计可视化分析；支持联盟成员信息管理，提供多途径数据集接入、标签管理、权限管控、样本预览与全生命周期维护能力；具备匿踪查询、PSI 隐私求交任务创建、协作审核、结果导出功能；完整支撑联邦学习项目创建、协作审核、流程配置与关停，支持训练流程管理、执行日志查看、模型同步、衍生数据集管理，可将训练模型配置并发布为 API 服务，支持服务详情查看与上下架操作；提供多时间粒度服务调用统计，支持联邦节点启停管控与数据源管理；内置隐私计算引擎，承载 PSI 求交运算、任务统一调度，配套日志审计能力，支持按时间、成员、任务维度开展审计查询，在原始数据不出域前提下实现多方安全联合查询、样本对齐与联合建模，覆盖隐私计算任务发起、协同执行、模型部署、运行监控与安全审计全流程</w:t>
      </w:r>
      <w:r>
        <w:rPr>
          <w:rFonts w:hint="eastAsia" w:ascii="宋体" w:hAnsi="宋体" w:cs="宋体"/>
          <w:szCs w:val="21"/>
          <w:highlight w:val="none"/>
        </w:rPr>
        <w:t>。</w:t>
      </w:r>
    </w:p>
    <w:p w14:paraId="7408C2CC">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数据沙箱应用增强</w:t>
      </w:r>
    </w:p>
    <w:p w14:paraId="5B8474D6">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数据沙箱应用增强模块包含沙箱镜像管理、容器资源配置管理、沙箱用户管理、沙箱实例管理、沙箱数据配置、沙箱数据开发以及沙箱运行管</w:t>
      </w:r>
      <w:r>
        <w:rPr>
          <w:rFonts w:hint="eastAsia" w:ascii="宋体" w:hAnsi="宋体" w:cs="宋体"/>
          <w:szCs w:val="21"/>
          <w:highlight w:val="none"/>
          <w:lang w:eastAsia="zh-CN"/>
        </w:rPr>
        <w:t>理等</w:t>
      </w:r>
      <w:r>
        <w:rPr>
          <w:rFonts w:ascii="宋体" w:hAnsi="宋体" w:cs="宋体"/>
          <w:szCs w:val="21"/>
          <w:highlight w:val="none"/>
        </w:rPr>
        <w:t>功能；支持基础镜像与商店镜像的信息编辑、上下架、分类、可见范围管控、查询与生命周期管理；可面向用户或项目配置、调整容器资源配额，定义高危函数访问管控规则；支持沙箱用户信息查询与账号状态管控；能够基于镜像创建、启动、停止、删除沙箱实例并查看实例信息；支持配置沙箱可用数据集、建立数据集与沙箱实例关联并管理数据集可用状态；提供内置开发环境，支撑程序运行调试、运行日志查阅与开发成果留存；可实时查看实例运行状态与资源占用，支持标记异常实例，实现沙箱环境从镜像、资源、用户、实例、数据到开发运行全过程统一管控</w:t>
      </w:r>
      <w:r>
        <w:rPr>
          <w:rFonts w:hint="eastAsia" w:ascii="宋体" w:hAnsi="宋体" w:cs="宋体"/>
          <w:szCs w:val="21"/>
          <w:highlight w:val="none"/>
        </w:rPr>
        <w:t>。</w:t>
      </w:r>
    </w:p>
    <w:p w14:paraId="037BD106">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文件开发</w:t>
      </w:r>
    </w:p>
    <w:p w14:paraId="4B184E0D">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将数据集生成的数据文件提供给其他主体，支持数据的下载或直接访问</w:t>
      </w:r>
      <w:r>
        <w:rPr>
          <w:rFonts w:hint="eastAsia" w:ascii="宋体" w:hAnsi="宋体" w:cs="宋体"/>
          <w:szCs w:val="21"/>
          <w:highlight w:val="none"/>
        </w:rPr>
        <w:t>。</w:t>
      </w:r>
    </w:p>
    <w:p w14:paraId="36E03FA2">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产品交付</w:t>
      </w:r>
    </w:p>
    <w:p w14:paraId="39F4A76B">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产品交付模块可在工作台列表展示数据产品基础信息，支持通过关键词、数据类型、行业、更新时间等条件检索定位产品；支持单选或批量选定需求方，可配置主体授权方式，实现产品调用时授权自动校验；支持一键完成数据产品交付操作，支持商业合作合同与交付产品信息关联绑定；系统留存完整交付记录，可查询交付明细，并持续跟踪已交付产品运行状态、最近调用时间，实现数据产品交付、授权管控、合同关联与交付全流程追溯管理</w:t>
      </w:r>
      <w:r>
        <w:rPr>
          <w:rFonts w:hint="eastAsia" w:ascii="宋体" w:hAnsi="宋体" w:cs="宋体"/>
          <w:szCs w:val="21"/>
          <w:highlight w:val="none"/>
        </w:rPr>
        <w:t>。</w:t>
      </w:r>
    </w:p>
    <w:p w14:paraId="650C3B95">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33" w:name="_Toc233191516"/>
      <w:r>
        <w:rPr>
          <w:rFonts w:hint="eastAsia" w:ascii="宋体" w:hAnsi="宋体" w:cs="宋体"/>
          <w:b/>
          <w:bCs/>
          <w:kern w:val="44"/>
          <w:szCs w:val="21"/>
          <w:highlight w:val="none"/>
        </w:rPr>
        <w:t>平台运营管理系统</w:t>
      </w:r>
      <w:bookmarkEnd w:id="133"/>
      <w:r>
        <w:rPr>
          <w:rFonts w:hint="eastAsia" w:ascii="宋体" w:hAnsi="宋体" w:cs="宋体"/>
          <w:b/>
          <w:bCs/>
          <w:kern w:val="44"/>
          <w:szCs w:val="21"/>
          <w:highlight w:val="none"/>
        </w:rPr>
        <w:t>（1套）</w:t>
      </w:r>
    </w:p>
    <w:p w14:paraId="38848860">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授权运营审核</w:t>
      </w:r>
    </w:p>
    <w:p w14:paraId="3D3185E3">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授权运营审核模块涵盖数据服务商审核与场景审核功能；可接收服务商资质材料、业务场景相关申请资料并安全存储</w:t>
      </w:r>
      <w:r>
        <w:rPr>
          <w:rFonts w:hint="eastAsia" w:ascii="宋体" w:hAnsi="宋体" w:cs="宋体"/>
          <w:szCs w:val="21"/>
          <w:highlight w:val="none"/>
          <w:lang w:eastAsia="zh-CN"/>
        </w:rPr>
        <w:t>，在</w:t>
      </w:r>
      <w:r>
        <w:rPr>
          <w:rFonts w:ascii="宋体" w:hAnsi="宋体" w:cs="宋体"/>
          <w:szCs w:val="21"/>
          <w:highlight w:val="none"/>
        </w:rPr>
        <w:t>线下审核模式下支持申请资料线上备案，留存提交时间、提交人等信息；服务商审核支持对合作成员进行层级划分并差异化配置权益，审核人员可开展资质核验并留存审核意见与结果；场景审核围绕方案合规性、可行性开展评估，输出审核结论及优化建议，完整支撑服务商准入与业务场景上线的规范化审批管理</w:t>
      </w:r>
      <w:r>
        <w:rPr>
          <w:rFonts w:hint="eastAsia" w:ascii="宋体" w:hAnsi="宋体" w:cs="宋体"/>
          <w:szCs w:val="21"/>
          <w:highlight w:val="none"/>
        </w:rPr>
        <w:t>。</w:t>
      </w:r>
    </w:p>
    <w:p w14:paraId="694607F2">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连接器管理</w:t>
      </w:r>
    </w:p>
    <w:p w14:paraId="69AA547F">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连接器管理模块包含连接器注册、部署、监控、服务端参数管理能力；连接器注册环节完成信息合法性与连通性校验，信息经 AES 加密存储，支持基于 ACL 分配管理权限并完整留存管理员变更日志；连接器部署支持软件包自动安装、通过安全通道推送专属配置文件，部署后自动开展上线验证，异常时支持流程回滚；连接器监控持续探测后端服务运行状态，指标越限时通过多渠道推送异常告警；服务端参数管理支持规范录入、多条件组合查询以及参数比对更新，实现连接器从注册上线、运维监测到配置管控的全生命周期管理</w:t>
      </w:r>
      <w:r>
        <w:rPr>
          <w:rFonts w:hint="eastAsia" w:ascii="宋体" w:hAnsi="宋体" w:cs="宋体"/>
          <w:szCs w:val="21"/>
          <w:highlight w:val="none"/>
        </w:rPr>
        <w:t>。</w:t>
      </w:r>
    </w:p>
    <w:p w14:paraId="5592BA19">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流程管理</w:t>
      </w:r>
    </w:p>
    <w:p w14:paraId="30A575C7">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流程管理模块配备拖拽式可视化流程设计器，依托各类流程组件快速搭建流程模板，支持配置节点负责人、执行时限与基础流转规则；流程编排支持组件化融合配置，可精准关联业务人员，提供站内信、短信、邮件多渠道任务通知并支持自定义通知模板；系统支持任务逐级驳回并完整留存回溯信息，能够为各流程节点精细定制业务规则，可驱动顺序流程串行执行、分支流程智能路由，具备流程终止安全管控能力，满足多样化复杂业务流程建模、运行、管控需求</w:t>
      </w:r>
      <w:r>
        <w:rPr>
          <w:rFonts w:hint="eastAsia" w:ascii="宋体" w:hAnsi="宋体" w:cs="宋体"/>
          <w:szCs w:val="21"/>
          <w:highlight w:val="none"/>
        </w:rPr>
        <w:t>。</w:t>
      </w:r>
    </w:p>
    <w:p w14:paraId="21F55ABF">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日常运行管理</w:t>
      </w:r>
    </w:p>
    <w:p w14:paraId="7A9D3E02">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日常运行管理模块包含目录结构维护、展厅管理、服务商管理、场景管理功能；支持搭建多层级标准化数据目录架构，遵循统一命名规范维护目录信息，并可一键发布至数据展厅进行展示检索；展厅管理提供目录筛选下架功能，设置二次确认、下架原因分类、消息通知机制，下架及暂停申请纳入审批流程并实时同步审核状态；服务商管理与场景管理均支持列表多条件检索与多维度排序，可执行服务商停用、业务场景停止操作，场景停止后同步停用关联数据产品，实现平台资源目录、展厅展示、合作主体与业务场景一体化运营管控</w:t>
      </w:r>
      <w:r>
        <w:rPr>
          <w:rFonts w:hint="eastAsia" w:ascii="宋体" w:hAnsi="宋体" w:cs="宋体"/>
          <w:szCs w:val="21"/>
          <w:highlight w:val="none"/>
        </w:rPr>
        <w:t>。</w:t>
      </w:r>
    </w:p>
    <w:p w14:paraId="77E8C0D4">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流通监控</w:t>
      </w:r>
    </w:p>
    <w:p w14:paraId="2CAD0405">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流通监控模块可实时监测系统内外数据流量，采集流量规模、传输速率、流量来源等信息，同时支持按时间范围检索历史流量数据并生成流量报表，为流量管控提供数据支撑</w:t>
      </w:r>
      <w:r>
        <w:rPr>
          <w:rFonts w:hint="eastAsia" w:ascii="宋体" w:hAnsi="宋体" w:cs="宋体"/>
          <w:szCs w:val="21"/>
          <w:highlight w:val="none"/>
        </w:rPr>
        <w:t>。</w:t>
      </w:r>
    </w:p>
    <w:p w14:paraId="10681CF4">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服务计量</w:t>
      </w:r>
    </w:p>
    <w:p w14:paraId="26D8A14C">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服务计量模块提供数据服务使用统计与数据产品使用统计能力，可展示对应服务、产品总调用量及每日调用次数，支持按照数据服务商、数据需求方多维度细分展示统计数据，直观呈现各类主体的数据资源使用情况</w:t>
      </w:r>
      <w:r>
        <w:rPr>
          <w:rFonts w:hint="eastAsia" w:ascii="宋体" w:hAnsi="宋体" w:cs="宋体"/>
          <w:szCs w:val="21"/>
          <w:highlight w:val="none"/>
        </w:rPr>
        <w:t>。</w:t>
      </w:r>
    </w:p>
    <w:p w14:paraId="3D4AC535">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34" w:name="_Toc233191517"/>
      <w:r>
        <w:rPr>
          <w:rFonts w:hint="eastAsia" w:ascii="宋体" w:hAnsi="宋体" w:cs="宋体"/>
          <w:b/>
          <w:bCs/>
          <w:kern w:val="44"/>
          <w:szCs w:val="21"/>
          <w:highlight w:val="none"/>
        </w:rPr>
        <w:t>平台基础支撑系统</w:t>
      </w:r>
      <w:bookmarkEnd w:id="134"/>
      <w:r>
        <w:rPr>
          <w:rFonts w:hint="eastAsia" w:ascii="宋体" w:hAnsi="宋体" w:cs="宋体"/>
          <w:b/>
          <w:bCs/>
          <w:kern w:val="44"/>
          <w:szCs w:val="21"/>
          <w:highlight w:val="none"/>
        </w:rPr>
        <w:t>（1套）</w:t>
      </w:r>
    </w:p>
    <w:p w14:paraId="0D2E213C">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用户管理</w:t>
      </w:r>
    </w:p>
    <w:p w14:paraId="782772A4">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用户管理模块支持新增用户，录入信息时开展实时合法性校验，信息加密入库并留存操作日志；支持多条件检索用户，查询结果分页展示，可对用户基础信息进行编辑更新，提供用户登录历史记录查询；账号禁用设置信息预览与二次确认机制，执行后同步更新状态；支持为管理类用户分配、调整角色，提供权限树预览并校验角色互斥关系，针对注册用户前后端双向锁定角色调整入口，严控权限变更，完整实现用户账号新增、查询、信息维护、状态管控、角色授权与访问安全约束，保障用户全生命周期规范化管理</w:t>
      </w:r>
      <w:r>
        <w:rPr>
          <w:rFonts w:hint="eastAsia" w:ascii="宋体" w:hAnsi="宋体" w:cs="宋体"/>
          <w:szCs w:val="21"/>
          <w:highlight w:val="none"/>
        </w:rPr>
        <w:t>。</w:t>
      </w:r>
    </w:p>
    <w:p w14:paraId="275A9F65">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角色管理</w:t>
      </w:r>
    </w:p>
    <w:p w14:paraId="371200DB">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角色管理模块支持新建角色并维护角色基础信息，可按业务分类绑定各项操作权限并进行权限合理性校验；提供多条件角色检索功能，查询结果支持按不同字段灵活排序；支持对已有角色信息及关联权限进行编辑调整，删除角色时增加二次确认提示，展示关联用户与权限影响范围；同时支持按条件筛选角色批量新增或移除权限，预览变更内容后统一执行更新，实现角色全生命周期维护与权限批量管控，支撑平台分级权限体系高效运营</w:t>
      </w:r>
      <w:r>
        <w:rPr>
          <w:rFonts w:hint="eastAsia" w:ascii="宋体" w:hAnsi="宋体" w:cs="宋体"/>
          <w:szCs w:val="21"/>
          <w:highlight w:val="none"/>
        </w:rPr>
        <w:t>。</w:t>
      </w:r>
    </w:p>
    <w:p w14:paraId="2B278B20">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权限管理</w:t>
      </w:r>
    </w:p>
    <w:p w14:paraId="174C7101">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权限管理模块支持两种授权模式，可针对单个用户开展精细化单点权限分配并实时校验规避权限冲突，也可依托角色实现批量用户权限授予并输出分配结果报告；支持对用户执行权限主动回收操作，操作过</w:t>
      </w:r>
      <w:r>
        <w:rPr>
          <w:rFonts w:hint="eastAsia" w:ascii="宋体" w:hAnsi="宋体" w:cs="宋体"/>
          <w:szCs w:val="21"/>
          <w:highlight w:val="none"/>
          <w:lang w:eastAsia="zh-CN"/>
        </w:rPr>
        <w:t>程中</w:t>
      </w:r>
      <w:r>
        <w:rPr>
          <w:rFonts w:ascii="宋体" w:hAnsi="宋体" w:cs="宋体"/>
          <w:szCs w:val="21"/>
          <w:highlight w:val="none"/>
        </w:rPr>
        <w:t>增加二次确认机制，系统完整记录权限回收</w:t>
      </w:r>
      <w:r>
        <w:rPr>
          <w:rFonts w:hint="eastAsia" w:ascii="宋体" w:hAnsi="宋体" w:cs="宋体"/>
          <w:szCs w:val="21"/>
          <w:highlight w:val="none"/>
          <w:lang w:eastAsia="zh-CN"/>
        </w:rPr>
        <w:t>时间、操作人员</w:t>
      </w:r>
      <w:r>
        <w:rPr>
          <w:rFonts w:ascii="宋体" w:hAnsi="宋体" w:cs="宋体"/>
          <w:szCs w:val="21"/>
          <w:highlight w:val="none"/>
        </w:rPr>
        <w:t>、回收原因等信息留存审计日志，实现权限灵活下发、批量管控与及时清理，保障系统访问权限安全可控</w:t>
      </w:r>
      <w:r>
        <w:rPr>
          <w:rFonts w:hint="eastAsia" w:ascii="宋体" w:hAnsi="宋体" w:cs="宋体"/>
          <w:szCs w:val="21"/>
          <w:highlight w:val="none"/>
        </w:rPr>
        <w:t>。</w:t>
      </w:r>
    </w:p>
    <w:p w14:paraId="6C0FD7BF">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机构管理</w:t>
      </w:r>
    </w:p>
    <w:p w14:paraId="332B319D">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机构管理模块支持机构信息列表展示、来源分类与多字段排序，提供基础检索及包含注册时间、机构规模等条件的高级筛选功能；支持管理员规范录入新增机构信息、对已有机构基础资料进行编辑维护；机构禁用操作设置二次确认机制，启用完整审批流程，审批通过后更新机构状态并同步管控下属账号；同时支持查看机构下属员工账号信息，实现机构全生命周期信息维护、多维度查询检索、状态流程化管控以及机构人员信息联动管理</w:t>
      </w:r>
      <w:r>
        <w:rPr>
          <w:rFonts w:hint="eastAsia" w:ascii="宋体" w:hAnsi="宋体" w:cs="宋体"/>
          <w:szCs w:val="21"/>
          <w:highlight w:val="none"/>
        </w:rPr>
        <w:t>。</w:t>
      </w:r>
    </w:p>
    <w:p w14:paraId="24379E4B">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认证管理</w:t>
      </w:r>
    </w:p>
    <w:p w14:paraId="7EDA30A9">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认证管理模块支持对接统一身份认证平台，可完成协议、接入地址、密钥等参数配置并连通校验；具备主体授权平台管理能力，支持新增授权平台、界定授权范围并设置有效期限；可灵活配置个人认证模式，可选密码、短信验证码、生物识别等认证方式并配套对应的安全管控策略；同时提供个人认证记录多条件检索功能，展示认证时间、方式、结果等信息，便于开展异常访问行为核查，实现平台身份认证接入、授权管理、认证策略配置与认证行为审计一体化管控</w:t>
      </w:r>
      <w:r>
        <w:rPr>
          <w:rFonts w:hint="eastAsia" w:ascii="宋体" w:hAnsi="宋体" w:cs="宋体"/>
          <w:szCs w:val="21"/>
          <w:highlight w:val="none"/>
        </w:rPr>
        <w:t>。</w:t>
      </w:r>
    </w:p>
    <w:p w14:paraId="1EA4723F">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35" w:name="_Toc233191518"/>
      <w:r>
        <w:rPr>
          <w:rFonts w:hint="eastAsia" w:ascii="宋体" w:hAnsi="宋体" w:cs="宋体"/>
          <w:b/>
          <w:bCs/>
          <w:kern w:val="44"/>
          <w:szCs w:val="21"/>
          <w:highlight w:val="none"/>
        </w:rPr>
        <w:t>合规管理系统</w:t>
      </w:r>
      <w:bookmarkEnd w:id="135"/>
      <w:r>
        <w:rPr>
          <w:rFonts w:hint="eastAsia" w:ascii="宋体" w:hAnsi="宋体" w:cs="宋体"/>
          <w:b/>
          <w:bCs/>
          <w:kern w:val="44"/>
          <w:szCs w:val="21"/>
          <w:highlight w:val="none"/>
        </w:rPr>
        <w:t>（1套）</w:t>
      </w:r>
    </w:p>
    <w:p w14:paraId="1414CA4A">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合规监管基础配置</w:t>
      </w:r>
    </w:p>
    <w:p w14:paraId="3195D740">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合规监管基础配置包含敏感策略管理、数据分类分级、合规细则管理功能；敏感策略管理预置金融、医疗、电商等多行业敏感策略模板，支持基于模板快速调整或从零搭建自定义敏感策略；数据分类分级提供多行业分类模板，支持自主创建自定义数据分类并维护层级关系，配备敏感字段快捷标记、标准模板导出、批量导入及导入数据自动校验能力；合规细则管理可对法律法规条文提取核心要素，并对复杂法条开展多层级拆解，转化为可落地执行的管控细则，为平台各项合规审查工作提供统一规则底座支撑</w:t>
      </w:r>
      <w:r>
        <w:rPr>
          <w:rFonts w:hint="eastAsia" w:ascii="宋体" w:hAnsi="宋体" w:cs="宋体"/>
          <w:szCs w:val="21"/>
          <w:highlight w:val="none"/>
        </w:rPr>
        <w:t>。</w:t>
      </w:r>
    </w:p>
    <w:p w14:paraId="67AAB974">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合规监管技术审查</w:t>
      </w:r>
    </w:p>
    <w:p w14:paraId="2634E3B2">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合规监管技术审查包含流程合规审查、敏感数据审查、数据获取合规审查三大能力；流程合规审查可捕获数据源头基础信息，实现全链路流转追踪，支持对多平台异构日志智能解析、统一格式标准化；敏感数据审查能够对数据产品全域扫描，依托多模式技术精准识别敏感信息并智能划分敏感等级，发现高风险数据可执行接口阻断，配套完整审批流转与审批结果联动处置机制；数据获取合规审查支持扫描数据产品、识别相关主体，对用户告知书有效期动态监测、到期预警与接口拦截，可从第三方系统获取告知书文件并加密分层存储，全方位实现数据流转、敏感信息、数据来源授权的自动化合规核验与风险管控</w:t>
      </w:r>
      <w:r>
        <w:rPr>
          <w:rFonts w:hint="eastAsia" w:ascii="宋体" w:hAnsi="宋体" w:cs="宋体"/>
          <w:szCs w:val="21"/>
          <w:highlight w:val="none"/>
        </w:rPr>
        <w:t>。</w:t>
      </w:r>
    </w:p>
    <w:p w14:paraId="0BA0E926">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合规报告</w:t>
      </w:r>
    </w:p>
    <w:p w14:paraId="3097D14F">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合规报告功能支持依据合规标准完成报告模板样式规范化设计，可在报告内自动精确标注生成时间；系统能够自动采集流程合规审查、敏感数据审</w:t>
      </w:r>
      <w:r>
        <w:rPr>
          <w:rFonts w:hint="eastAsia" w:ascii="宋体" w:hAnsi="宋体" w:cs="宋体"/>
          <w:szCs w:val="21"/>
          <w:highlight w:val="none"/>
          <w:lang w:eastAsia="zh-CN"/>
        </w:rPr>
        <w:t>查等</w:t>
      </w:r>
      <w:r>
        <w:rPr>
          <w:rFonts w:ascii="宋体" w:hAnsi="宋体" w:cs="宋体"/>
          <w:szCs w:val="21"/>
          <w:highlight w:val="none"/>
        </w:rPr>
        <w:t>相关信息，支持按照不同数据应用场景对审查数据进行分类筛选，并依据预设模板与既定逻辑整合数据，自动形成包含各类产品合规情况的完整合规报告</w:t>
      </w:r>
      <w:r>
        <w:rPr>
          <w:rFonts w:hint="eastAsia" w:ascii="宋体" w:hAnsi="宋体" w:cs="宋体"/>
          <w:szCs w:val="21"/>
          <w:highlight w:val="none"/>
        </w:rPr>
        <w:t>。</w:t>
      </w:r>
    </w:p>
    <w:p w14:paraId="6858D490">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信息归集</w:t>
      </w:r>
    </w:p>
    <w:p w14:paraId="09837C46">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信息归集模块包含授权数据归集与交换信息归集功能，可完整采集授权主体身份、授权内容、授权条件等主体授权信息，同步记录数据跨主体交换时间、交换方式、交换频率等交换行为信息，对各类信息进行统一归集整理，为后续区块链可信存证提供完整、准确的基础数据，保障主体授权业务合规开展，实现数据交换行为全程留痕存证</w:t>
      </w:r>
      <w:r>
        <w:rPr>
          <w:rFonts w:hint="eastAsia" w:ascii="宋体" w:hAnsi="宋体" w:cs="宋体"/>
          <w:szCs w:val="21"/>
          <w:highlight w:val="none"/>
        </w:rPr>
        <w:t>。</w:t>
      </w:r>
    </w:p>
    <w:p w14:paraId="4DF53BF6">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信息发布上链</w:t>
      </w:r>
    </w:p>
    <w:p w14:paraId="1C9E8525">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信息发布上链模块支持授权信息、交换信息、目录信息、授权验收信息四类数据上链处理，可分别完成对应信息的数据清洗、校验、标准化、加密等预处理工作，并将合规处理后的信息上链存证；支持适配多类区块链平台，区分实时上链、批量上链模式，可实现目录信息动态更新查询，依托区块链特性保障各类存证信息不可篡改、全程可追溯，为业务合规管理、数据治理提供可信存证支撑</w:t>
      </w:r>
      <w:r>
        <w:rPr>
          <w:rFonts w:hint="eastAsia" w:ascii="宋体" w:hAnsi="宋体" w:cs="宋体"/>
          <w:szCs w:val="21"/>
          <w:highlight w:val="none"/>
        </w:rPr>
        <w:t>。</w:t>
      </w:r>
    </w:p>
    <w:p w14:paraId="17ED2323">
      <w:pPr>
        <w:numPr>
          <w:ilvl w:val="2"/>
          <w:numId w:val="5"/>
        </w:numPr>
        <w:spacing w:line="360" w:lineRule="exact"/>
        <w:ind w:firstLine="422" w:firstLineChars="200"/>
        <w:outlineLvl w:val="5"/>
        <w:rPr>
          <w:rFonts w:hint="eastAsia" w:ascii="宋体" w:hAnsi="宋体" w:cs="宋体"/>
          <w:b/>
          <w:bCs/>
          <w:kern w:val="44"/>
          <w:szCs w:val="21"/>
          <w:highlight w:val="none"/>
        </w:rPr>
      </w:pPr>
      <w:bookmarkStart w:id="136" w:name="_Toc233191519"/>
      <w:r>
        <w:rPr>
          <w:rFonts w:hint="eastAsia" w:ascii="宋体" w:hAnsi="宋体" w:cs="宋体"/>
          <w:b/>
          <w:bCs/>
          <w:kern w:val="44"/>
          <w:szCs w:val="21"/>
          <w:highlight w:val="none"/>
        </w:rPr>
        <w:t>数据接入应用</w:t>
      </w:r>
      <w:bookmarkEnd w:id="136"/>
    </w:p>
    <w:p w14:paraId="1AD9DF8F">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我的工作台</w:t>
      </w:r>
    </w:p>
    <w:p w14:paraId="71B1282E">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我的工作台包含数据申请审批与数据服务商审核功能；数据申请审批可在工作台首页展示待审批数据申请清单，支持查看申请详情，提供同意、拒绝、退回修改等审批操作并留存完整审批记录；数据服务商审核提供资质初审入口，支持资质材料上传查验、文件格式校验，可自动识别资质有效期并实现到期预警，统筹开展数据申请流转与服务商准入初审工作</w:t>
      </w:r>
      <w:r>
        <w:rPr>
          <w:rFonts w:hint="eastAsia" w:ascii="宋体" w:hAnsi="宋体" w:cs="宋体"/>
          <w:szCs w:val="21"/>
          <w:highlight w:val="none"/>
        </w:rPr>
        <w:t>。</w:t>
      </w:r>
    </w:p>
    <w:p w14:paraId="287494DA">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服务配置</w:t>
      </w:r>
    </w:p>
    <w:p w14:paraId="61682167">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服务配置模块包含基础信息管理、数据服务商管理、本地数据库、本地参数配置、成员管理功能；基础信息管理支持运营方结构化信息展示，可发起公私钥生成与重置，支持按数据分类生成对应密钥并设置密钥有效期限；数据服务商管理实现服务商列表多条件筛选与排序；本地数据库管理提供数据库检索、连接参数自动填充、连通性测试并展示详细测试结果；本地参数配置支持参数分组展示，可对 FTP 参数进行实时合法性校验；成员管理支持成员分页展示、关键词检索、角色批量编辑，具备邀请码生成及邀请使用记录查询能力，全面支撑平台各项基础配置与人员运维管理工作</w:t>
      </w:r>
      <w:r>
        <w:rPr>
          <w:rFonts w:hint="eastAsia" w:ascii="宋体" w:hAnsi="宋体" w:cs="宋体"/>
          <w:szCs w:val="21"/>
          <w:highlight w:val="none"/>
        </w:rPr>
        <w:t>。</w:t>
      </w:r>
    </w:p>
    <w:p w14:paraId="26D50E4B">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数据资产发现</w:t>
      </w:r>
    </w:p>
    <w:p w14:paraId="318D4456">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数据资产发现模块支持通过平台首页图标入口跳转至数据资产发现操作页面，能够对本地数据库进行连接有效性校验，实时检测数据库连通情况并直观展示数据库连接状态，支撑后续资产扫描识别工作开展</w:t>
      </w:r>
      <w:r>
        <w:rPr>
          <w:rFonts w:hint="eastAsia" w:ascii="宋体" w:hAnsi="宋体" w:cs="宋体"/>
          <w:szCs w:val="21"/>
          <w:highlight w:val="none"/>
        </w:rPr>
        <w:t>。</w:t>
      </w:r>
    </w:p>
    <w:p w14:paraId="5CAA2A12">
      <w:pPr>
        <w:numPr>
          <w:ilvl w:val="3"/>
          <w:numId w:val="5"/>
        </w:numPr>
        <w:spacing w:line="360" w:lineRule="exact"/>
        <w:ind w:firstLine="422" w:firstLineChars="200"/>
        <w:outlineLvl w:val="6"/>
        <w:rPr>
          <w:rFonts w:hint="eastAsia" w:ascii="宋体" w:hAnsi="宋体" w:cs="宋体"/>
          <w:b/>
          <w:bCs/>
          <w:szCs w:val="21"/>
          <w:highlight w:val="none"/>
        </w:rPr>
      </w:pPr>
      <w:r>
        <w:rPr>
          <w:rFonts w:hint="eastAsia" w:ascii="宋体" w:hAnsi="宋体" w:cs="宋体"/>
          <w:b/>
          <w:bCs/>
          <w:szCs w:val="21"/>
          <w:highlight w:val="none"/>
        </w:rPr>
        <w:t>数据资产管理</w:t>
      </w:r>
    </w:p>
    <w:p w14:paraId="6300ECAB">
      <w:pPr>
        <w:spacing w:line="360" w:lineRule="exact"/>
        <w:ind w:firstLine="420" w:firstLineChars="200"/>
        <w:jc w:val="left"/>
        <w:rPr>
          <w:rFonts w:hint="eastAsia" w:ascii="宋体" w:hAnsi="宋体" w:cs="宋体"/>
          <w:szCs w:val="21"/>
          <w:highlight w:val="none"/>
        </w:rPr>
      </w:pPr>
      <w:r>
        <w:rPr>
          <w:rFonts w:ascii="宋体" w:hAnsi="宋体" w:cs="宋体"/>
          <w:szCs w:val="21"/>
          <w:highlight w:val="none"/>
        </w:rPr>
        <w:t>数据资产管理包含数据服务发布管理、数据集发布管理功能，支持数据服务与数据集的创建、编辑、删除及发布操作，具备版本管理能力，留存各次发布变更信息；系统支持 CSV、Excel、JSON 等多种数据集格式，配置灵活发布流程，实现资源快速上线对外开放</w:t>
      </w:r>
      <w:r>
        <w:rPr>
          <w:rFonts w:hint="eastAsia" w:ascii="宋体" w:hAnsi="宋体" w:cs="宋体"/>
          <w:szCs w:val="21"/>
          <w:highlight w:val="none"/>
        </w:rPr>
        <w:t>。</w:t>
      </w:r>
      <w:bookmarkStart w:id="137" w:name="_Toc233191560"/>
      <w:bookmarkStart w:id="138" w:name="_Toc81775380"/>
    </w:p>
    <w:p w14:paraId="2D9E1216">
      <w:pPr>
        <w:numPr>
          <w:ilvl w:val="0"/>
          <w:numId w:val="5"/>
        </w:numPr>
        <w:spacing w:line="360" w:lineRule="exact"/>
        <w:ind w:firstLine="420" w:firstLineChars="200"/>
        <w:outlineLvl w:val="3"/>
        <w:rPr>
          <w:rFonts w:hint="eastAsia" w:ascii="宋体" w:hAnsi="宋体" w:cs="宋体"/>
          <w:b/>
          <w:bCs/>
          <w:kern w:val="44"/>
          <w:szCs w:val="21"/>
          <w:highlight w:val="none"/>
        </w:rPr>
      </w:pPr>
      <w:r>
        <w:rPr>
          <w:rFonts w:hint="eastAsia" w:ascii="宋体" w:hAnsi="宋体" w:cs="宋体"/>
          <w:szCs w:val="21"/>
          <w:highlight w:val="none"/>
        </w:rPr>
        <w:t>★</w:t>
      </w:r>
      <w:r>
        <w:rPr>
          <w:rFonts w:hint="eastAsia" w:ascii="宋体" w:hAnsi="宋体" w:cs="宋体"/>
          <w:b/>
          <w:bCs/>
          <w:kern w:val="44"/>
          <w:szCs w:val="21"/>
          <w:highlight w:val="none"/>
        </w:rPr>
        <w:t>项目运营、系统集成与培训</w:t>
      </w:r>
    </w:p>
    <w:p w14:paraId="034438AB">
      <w:pPr>
        <w:numPr>
          <w:ilvl w:val="1"/>
          <w:numId w:val="5"/>
        </w:numPr>
        <w:spacing w:line="360" w:lineRule="exact"/>
        <w:ind w:firstLine="422" w:firstLineChars="200"/>
        <w:outlineLvl w:val="4"/>
        <w:rPr>
          <w:rFonts w:hint="eastAsia" w:ascii="宋体" w:hAnsi="宋体" w:cs="宋体"/>
          <w:b/>
          <w:kern w:val="44"/>
          <w:szCs w:val="21"/>
          <w:highlight w:val="none"/>
        </w:rPr>
      </w:pPr>
      <w:r>
        <w:rPr>
          <w:rFonts w:hint="eastAsia" w:ascii="宋体" w:hAnsi="宋体" w:cs="宋体"/>
          <w:b/>
          <w:kern w:val="44"/>
          <w:szCs w:val="21"/>
          <w:highlight w:val="none"/>
        </w:rPr>
        <w:t>平台运营要求</w:t>
      </w:r>
      <w:bookmarkEnd w:id="137"/>
    </w:p>
    <w:p w14:paraId="08D088A3">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投标人须组建专业运营团队，承担平台日常运营、业务拓展、服务交付、生态建设等工作，确保平台平稳运行、服务合规高效。</w:t>
      </w:r>
    </w:p>
    <w:p w14:paraId="59C9B905">
      <w:pPr>
        <w:numPr>
          <w:ilvl w:val="2"/>
          <w:numId w:val="5"/>
        </w:numPr>
        <w:spacing w:line="360" w:lineRule="exact"/>
        <w:ind w:firstLine="422" w:firstLineChars="200"/>
        <w:outlineLvl w:val="6"/>
        <w:rPr>
          <w:rFonts w:hint="eastAsia" w:ascii="宋体" w:hAnsi="宋体" w:cs="宋体"/>
          <w:b/>
          <w:bCs/>
          <w:kern w:val="44"/>
          <w:szCs w:val="21"/>
          <w:highlight w:val="none"/>
        </w:rPr>
      </w:pPr>
      <w:bookmarkStart w:id="139" w:name="_Toc233191561"/>
      <w:r>
        <w:rPr>
          <w:rFonts w:hint="eastAsia" w:ascii="宋体" w:hAnsi="宋体" w:cs="宋体"/>
          <w:b/>
          <w:bCs/>
          <w:kern w:val="44"/>
          <w:szCs w:val="21"/>
          <w:highlight w:val="none"/>
        </w:rPr>
        <w:t>运营总体要求</w:t>
      </w:r>
      <w:bookmarkEnd w:id="139"/>
    </w:p>
    <w:p w14:paraId="539C9CE4">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投标人须构建“标准化流程+定制化服务”体系，一站式提供数据资产核验、合规认证、登记确权、质量评价、价值评估、会计入表、融资对接等服务。聚焦政务治理、金融科技、智慧医疗、数字商贸、AI训练</w:t>
      </w:r>
      <w:r>
        <w:rPr>
          <w:rFonts w:hint="eastAsia" w:ascii="宋体" w:hAnsi="宋体" w:cs="宋体"/>
          <w:szCs w:val="21"/>
          <w:highlight w:val="none"/>
          <w:lang w:val="en-US" w:eastAsia="zh-CN"/>
        </w:rPr>
        <w:t>等</w:t>
      </w:r>
      <w:r>
        <w:rPr>
          <w:rFonts w:hint="eastAsia" w:ascii="宋体" w:hAnsi="宋体" w:cs="宋体"/>
          <w:szCs w:val="21"/>
          <w:highlight w:val="none"/>
        </w:rPr>
        <w:t>领域，推动公共数据、企业数据产品在可信数据空间流通与交付。</w:t>
      </w:r>
    </w:p>
    <w:p w14:paraId="037A14E4">
      <w:pPr>
        <w:numPr>
          <w:ilvl w:val="2"/>
          <w:numId w:val="5"/>
        </w:numPr>
        <w:spacing w:line="360" w:lineRule="exact"/>
        <w:ind w:firstLine="422" w:firstLineChars="200"/>
        <w:outlineLvl w:val="6"/>
        <w:rPr>
          <w:rFonts w:hint="eastAsia" w:ascii="宋体" w:hAnsi="宋体" w:cs="宋体"/>
          <w:b/>
          <w:bCs/>
          <w:kern w:val="44"/>
          <w:szCs w:val="21"/>
          <w:highlight w:val="none"/>
        </w:rPr>
      </w:pPr>
      <w:bookmarkStart w:id="140" w:name="_Toc233191562"/>
      <w:r>
        <w:rPr>
          <w:rFonts w:hint="eastAsia" w:ascii="宋体" w:hAnsi="宋体" w:cs="宋体"/>
          <w:b/>
          <w:bCs/>
          <w:kern w:val="44"/>
          <w:szCs w:val="21"/>
          <w:highlight w:val="none"/>
        </w:rPr>
        <w:t>运营业务要求</w:t>
      </w:r>
      <w:bookmarkEnd w:id="140"/>
    </w:p>
    <w:p w14:paraId="39AE8BB4">
      <w:pPr>
        <w:numPr>
          <w:ilvl w:val="3"/>
          <w:numId w:val="5"/>
        </w:numPr>
        <w:spacing w:line="360" w:lineRule="exact"/>
        <w:ind w:firstLine="422" w:firstLineChars="200"/>
        <w:outlineLvl w:val="7"/>
        <w:rPr>
          <w:rFonts w:hint="eastAsia" w:ascii="宋体" w:hAnsi="宋体" w:cs="宋体"/>
          <w:b/>
          <w:bCs/>
          <w:szCs w:val="21"/>
          <w:highlight w:val="none"/>
        </w:rPr>
      </w:pPr>
      <w:bookmarkStart w:id="141" w:name="_Toc233191563"/>
      <w:r>
        <w:rPr>
          <w:rFonts w:hint="eastAsia" w:ascii="宋体" w:hAnsi="宋体" w:cs="宋体"/>
          <w:b/>
          <w:bCs/>
          <w:szCs w:val="21"/>
          <w:highlight w:val="none"/>
        </w:rPr>
        <w:t>数据要素流通服务要求</w:t>
      </w:r>
      <w:bookmarkEnd w:id="141"/>
    </w:p>
    <w:p w14:paraId="640CDDA9">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投标人需同步开展数据汇聚与流通运营工作，一方面推动数据登记上架、引进企业及数商入驻打造公共数据与企业数据双轮驱动的供给体系；另一方面按政务先行、特色产业深耕、新兴产业拓展的梯度落地场景，依托隐私计算、数据沙箱、区块链等技术保障数据安全可控并输出标准化行业方案，同时搭建完</w:t>
      </w:r>
      <w:r>
        <w:rPr>
          <w:rFonts w:hint="eastAsia" w:ascii="宋体" w:hAnsi="宋体" w:cs="宋体"/>
          <w:szCs w:val="21"/>
          <w:highlight w:val="none"/>
          <w:lang w:eastAsia="zh-CN"/>
        </w:rPr>
        <w:t>整的</w:t>
      </w:r>
      <w:r>
        <w:rPr>
          <w:rFonts w:hint="eastAsia" w:ascii="宋体" w:hAnsi="宋体" w:cs="宋体"/>
          <w:szCs w:val="21"/>
          <w:highlight w:val="none"/>
        </w:rPr>
        <w:t>数据流通交易服务体系，分别为供需两端提供全流程配套，配套标签匹配、信用评价、争议调解等运营机制。</w:t>
      </w:r>
    </w:p>
    <w:p w14:paraId="61C7B9E8">
      <w:pPr>
        <w:numPr>
          <w:ilvl w:val="3"/>
          <w:numId w:val="5"/>
        </w:numPr>
        <w:spacing w:line="360" w:lineRule="exact"/>
        <w:ind w:firstLine="422" w:firstLineChars="200"/>
        <w:outlineLvl w:val="7"/>
        <w:rPr>
          <w:rFonts w:hint="eastAsia" w:ascii="宋体" w:hAnsi="宋体" w:cs="宋体"/>
          <w:b/>
          <w:bCs/>
          <w:szCs w:val="21"/>
          <w:highlight w:val="none"/>
        </w:rPr>
      </w:pPr>
      <w:bookmarkStart w:id="142" w:name="_Toc233191564"/>
      <w:r>
        <w:rPr>
          <w:rFonts w:hint="eastAsia" w:ascii="宋体" w:hAnsi="宋体" w:cs="宋体"/>
          <w:b/>
          <w:bCs/>
          <w:szCs w:val="21"/>
          <w:highlight w:val="none"/>
        </w:rPr>
        <w:t>数据资产价值服务要求</w:t>
      </w:r>
      <w:bookmarkEnd w:id="142"/>
    </w:p>
    <w:p w14:paraId="4736B555">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投标人需提供一站式数据资产价值全链条服务，包含数据盘点识别、真实性核验、合规认证、登记确权、数据质量评价、价值评估、会计入表指导及数据资产融资对接等服务，全面打通从资源盘点到资产变现的实施路径。</w:t>
      </w:r>
    </w:p>
    <w:p w14:paraId="1F04AA91">
      <w:pPr>
        <w:numPr>
          <w:ilvl w:val="3"/>
          <w:numId w:val="5"/>
        </w:numPr>
        <w:spacing w:line="360" w:lineRule="exact"/>
        <w:ind w:firstLine="422" w:firstLineChars="200"/>
        <w:outlineLvl w:val="7"/>
        <w:rPr>
          <w:rFonts w:hint="eastAsia" w:ascii="宋体" w:hAnsi="宋体" w:cs="宋体"/>
          <w:b/>
          <w:bCs/>
          <w:szCs w:val="21"/>
          <w:highlight w:val="none"/>
        </w:rPr>
      </w:pPr>
      <w:bookmarkStart w:id="143" w:name="_Toc233191565"/>
      <w:r>
        <w:rPr>
          <w:rFonts w:hint="eastAsia" w:ascii="宋体" w:hAnsi="宋体" w:cs="宋体"/>
          <w:b/>
          <w:bCs/>
          <w:szCs w:val="21"/>
          <w:highlight w:val="none"/>
        </w:rPr>
        <w:t>数据增值开发服务要求</w:t>
      </w:r>
      <w:bookmarkEnd w:id="143"/>
    </w:p>
    <w:p w14:paraId="160C2510">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投标人负责开展全链路数据增值开发运营工作：聚焦政务治理、产业发展、民生服务</w:t>
      </w:r>
      <w:r>
        <w:rPr>
          <w:rFonts w:hint="eastAsia" w:ascii="宋体" w:hAnsi="宋体" w:cs="宋体"/>
          <w:szCs w:val="21"/>
          <w:highlight w:val="none"/>
          <w:lang w:val="en-US" w:eastAsia="zh-CN"/>
        </w:rPr>
        <w:t>等领域</w:t>
      </w:r>
      <w:r>
        <w:rPr>
          <w:rFonts w:hint="eastAsia" w:ascii="宋体" w:hAnsi="宋体" w:cs="宋体"/>
          <w:szCs w:val="21"/>
          <w:highlight w:val="none"/>
        </w:rPr>
        <w:t>打造数据应用产品，搭建覆盖资源归集、加工治理、标准化产品输出的一体化数据增值开发体系。</w:t>
      </w:r>
    </w:p>
    <w:p w14:paraId="5538D282">
      <w:pPr>
        <w:numPr>
          <w:ilvl w:val="2"/>
          <w:numId w:val="5"/>
        </w:numPr>
        <w:spacing w:line="360" w:lineRule="exact"/>
        <w:ind w:firstLine="422" w:firstLineChars="200"/>
        <w:outlineLvl w:val="6"/>
        <w:rPr>
          <w:rFonts w:hint="eastAsia" w:ascii="宋体" w:hAnsi="宋体" w:cs="宋体"/>
          <w:b/>
          <w:bCs/>
          <w:kern w:val="44"/>
          <w:szCs w:val="21"/>
          <w:highlight w:val="none"/>
        </w:rPr>
      </w:pPr>
      <w:bookmarkStart w:id="144" w:name="_Toc233191566"/>
      <w:r>
        <w:rPr>
          <w:rFonts w:hint="eastAsia" w:ascii="宋体" w:hAnsi="宋体" w:cs="宋体"/>
          <w:b/>
          <w:bCs/>
          <w:kern w:val="44"/>
          <w:szCs w:val="21"/>
          <w:highlight w:val="none"/>
        </w:rPr>
        <w:t>运营成效要求</w:t>
      </w:r>
      <w:bookmarkEnd w:id="144"/>
    </w:p>
    <w:p w14:paraId="35C41A7B">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平台建成并投入运营后，中标人须按照采购人统筹运营工作安排，提供常态化专业化运营服务，全面完成采购人既定各项量化运营指标，确保平台合规规范、高效稳定长效运行。项目核心运营指标包括但不限于可信数据空间平台企业入驻率、上架数据产品总量、数据供需撮合成交数量、平台服务覆盖企业规模等。</w:t>
      </w:r>
    </w:p>
    <w:p w14:paraId="5C1642AF">
      <w:pPr>
        <w:numPr>
          <w:ilvl w:val="2"/>
          <w:numId w:val="5"/>
        </w:numPr>
        <w:spacing w:line="360" w:lineRule="exact"/>
        <w:ind w:firstLine="422" w:firstLineChars="200"/>
        <w:outlineLvl w:val="6"/>
        <w:rPr>
          <w:rFonts w:hint="eastAsia" w:ascii="宋体" w:hAnsi="宋体" w:cs="宋体"/>
          <w:b/>
          <w:bCs/>
          <w:kern w:val="44"/>
          <w:szCs w:val="21"/>
          <w:highlight w:val="none"/>
        </w:rPr>
      </w:pPr>
      <w:bookmarkStart w:id="145" w:name="_Toc233191567"/>
      <w:r>
        <w:rPr>
          <w:rFonts w:hint="eastAsia" w:ascii="宋体" w:hAnsi="宋体" w:cs="宋体"/>
          <w:b/>
          <w:bCs/>
          <w:kern w:val="44"/>
          <w:szCs w:val="21"/>
          <w:highlight w:val="none"/>
        </w:rPr>
        <w:t>运营团队要求</w:t>
      </w:r>
      <w:bookmarkEnd w:id="145"/>
    </w:p>
    <w:p w14:paraId="0B2DF828">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投标人须配备不少于2人的专职运营团队。</w:t>
      </w:r>
    </w:p>
    <w:p w14:paraId="578CA2F6">
      <w:pPr>
        <w:numPr>
          <w:ilvl w:val="2"/>
          <w:numId w:val="5"/>
        </w:numPr>
        <w:spacing w:line="360" w:lineRule="exact"/>
        <w:ind w:firstLine="422" w:firstLineChars="200"/>
        <w:outlineLvl w:val="6"/>
        <w:rPr>
          <w:rFonts w:hint="eastAsia" w:ascii="宋体" w:hAnsi="宋体" w:cs="宋体"/>
          <w:b/>
          <w:bCs/>
          <w:kern w:val="44"/>
          <w:szCs w:val="21"/>
          <w:highlight w:val="none"/>
        </w:rPr>
      </w:pPr>
      <w:bookmarkStart w:id="146" w:name="_Toc233191568"/>
      <w:r>
        <w:rPr>
          <w:rFonts w:hint="eastAsia" w:ascii="宋体" w:hAnsi="宋体" w:cs="宋体"/>
          <w:b/>
          <w:bCs/>
          <w:kern w:val="44"/>
          <w:szCs w:val="21"/>
          <w:highlight w:val="none"/>
        </w:rPr>
        <w:t>运营场所要求</w:t>
      </w:r>
      <w:bookmarkEnd w:id="146"/>
    </w:p>
    <w:p w14:paraId="6B47D258">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投标人须为本项目配套不低于100平方米运营场地。</w:t>
      </w:r>
    </w:p>
    <w:p w14:paraId="16BC137B">
      <w:pPr>
        <w:numPr>
          <w:ilvl w:val="1"/>
          <w:numId w:val="5"/>
        </w:numPr>
        <w:spacing w:line="360" w:lineRule="exact"/>
        <w:ind w:firstLine="422" w:firstLineChars="200"/>
        <w:outlineLvl w:val="4"/>
        <w:rPr>
          <w:rFonts w:hint="eastAsia" w:ascii="宋体" w:hAnsi="宋体" w:cs="宋体"/>
          <w:b/>
          <w:kern w:val="44"/>
          <w:szCs w:val="21"/>
          <w:highlight w:val="none"/>
        </w:rPr>
      </w:pPr>
      <w:bookmarkStart w:id="147" w:name="_Toc233191569"/>
      <w:r>
        <w:rPr>
          <w:rFonts w:hint="eastAsia" w:ascii="宋体" w:hAnsi="宋体" w:cs="宋体"/>
          <w:b/>
          <w:kern w:val="44"/>
          <w:szCs w:val="21"/>
          <w:highlight w:val="none"/>
        </w:rPr>
        <w:t>系统集成</w:t>
      </w:r>
    </w:p>
    <w:p w14:paraId="23FF8834">
      <w:pPr>
        <w:spacing w:line="360" w:lineRule="exact"/>
        <w:ind w:firstLine="480"/>
        <w:rPr>
          <w:rFonts w:hint="eastAsia" w:ascii="宋体" w:hAnsi="宋体" w:cs="宋体"/>
          <w:szCs w:val="21"/>
          <w:highlight w:val="none"/>
        </w:rPr>
      </w:pPr>
      <w:r>
        <w:rPr>
          <w:rFonts w:hint="eastAsia" w:ascii="宋体" w:hAnsi="宋体" w:cs="宋体"/>
          <w:szCs w:val="21"/>
          <w:highlight w:val="none"/>
        </w:rPr>
        <w:t>系统集成工作内容包含与其他相关旧系统、旧设备的对接工作。</w:t>
      </w:r>
    </w:p>
    <w:p w14:paraId="0E42B195">
      <w:pPr>
        <w:spacing w:line="360" w:lineRule="exact"/>
        <w:ind w:firstLine="480"/>
        <w:rPr>
          <w:rFonts w:hint="eastAsia" w:ascii="宋体" w:hAnsi="宋体" w:cs="宋体"/>
          <w:szCs w:val="21"/>
          <w:highlight w:val="none"/>
        </w:rPr>
      </w:pPr>
      <w:r>
        <w:rPr>
          <w:rFonts w:hint="eastAsia" w:ascii="宋体" w:hAnsi="宋体" w:cs="宋体"/>
          <w:szCs w:val="21"/>
          <w:highlight w:val="none"/>
        </w:rPr>
        <w:t>软件部分：项目实施期间，完成与旧有系统的平滑对接，包括：通过接口开发与数据迁移等费用均包含在本次投标总价范围内，保障新旧系统切换期间及切换后的业务不中断、数据不丢失。</w:t>
      </w:r>
    </w:p>
    <w:p w14:paraId="55AB7E2B">
      <w:pPr>
        <w:spacing w:line="360" w:lineRule="exact"/>
        <w:ind w:firstLine="480"/>
        <w:rPr>
          <w:rFonts w:hint="eastAsia" w:ascii="宋体" w:hAnsi="宋体" w:cs="宋体"/>
          <w:szCs w:val="21"/>
          <w:highlight w:val="none"/>
        </w:rPr>
      </w:pPr>
      <w:r>
        <w:rPr>
          <w:rFonts w:hint="eastAsia" w:ascii="宋体" w:hAnsi="宋体" w:cs="宋体"/>
          <w:szCs w:val="21"/>
          <w:highlight w:val="none"/>
        </w:rPr>
        <w:t>硬件部分：包含全套设备部署、旧设备迁移、网络及设备割接等全部施工内容，相关人工、辅材、施工、技术服务等费用均包含在本次投标总价范围内。</w:t>
      </w:r>
    </w:p>
    <w:p w14:paraId="3E64FCBA">
      <w:p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为保障项目顺利实施所需的第三方技术支撑、专业施工配合、外部技术服务等相关费用，全部纳入本次项目实施范围，无额外增项费用，确保项目软硬件建设、设备迁移、系统割接工作安全、平稳、顺利完成。</w:t>
      </w:r>
    </w:p>
    <w:p w14:paraId="7DC2B0FA">
      <w:pPr>
        <w:numPr>
          <w:ilvl w:val="1"/>
          <w:numId w:val="5"/>
        </w:numPr>
        <w:spacing w:line="360" w:lineRule="exact"/>
        <w:ind w:firstLine="422" w:firstLineChars="200"/>
        <w:outlineLvl w:val="4"/>
        <w:rPr>
          <w:rFonts w:hint="eastAsia" w:ascii="宋体" w:hAnsi="宋体" w:cs="宋体"/>
          <w:b/>
          <w:kern w:val="44"/>
          <w:szCs w:val="21"/>
          <w:highlight w:val="none"/>
        </w:rPr>
      </w:pPr>
      <w:r>
        <w:rPr>
          <w:rFonts w:hint="eastAsia" w:ascii="宋体" w:hAnsi="宋体" w:cs="宋体"/>
          <w:b/>
          <w:kern w:val="44"/>
          <w:szCs w:val="21"/>
          <w:highlight w:val="none"/>
        </w:rPr>
        <w:t>项目培训要求</w:t>
      </w:r>
      <w:bookmarkEnd w:id="147"/>
    </w:p>
    <w:p w14:paraId="245AAB36">
      <w:pPr>
        <w:numPr>
          <w:ilvl w:val="2"/>
          <w:numId w:val="5"/>
        </w:numPr>
        <w:spacing w:line="360" w:lineRule="exact"/>
        <w:ind w:firstLine="422" w:firstLineChars="200"/>
        <w:outlineLvl w:val="6"/>
        <w:rPr>
          <w:rFonts w:hint="eastAsia" w:ascii="宋体" w:hAnsi="宋体" w:cs="宋体"/>
          <w:b/>
          <w:bCs/>
          <w:kern w:val="44"/>
          <w:szCs w:val="21"/>
          <w:highlight w:val="none"/>
        </w:rPr>
      </w:pPr>
      <w:bookmarkStart w:id="148" w:name="_Toc233191570"/>
      <w:r>
        <w:rPr>
          <w:rFonts w:hint="eastAsia" w:ascii="宋体" w:hAnsi="宋体" w:cs="宋体"/>
          <w:b/>
          <w:bCs/>
          <w:kern w:val="44"/>
          <w:szCs w:val="21"/>
          <w:highlight w:val="none"/>
        </w:rPr>
        <w:t>培训服务要求</w:t>
      </w:r>
      <w:bookmarkEnd w:id="148"/>
    </w:p>
    <w:p w14:paraId="3F253935">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投标人须在项目初验前及试运行阶段完成全部培训工作，采用集中授课与现场实操相结合的方式，完成知识转移，使业务人员熟练操作、管理员独立运维。</w:t>
      </w:r>
    </w:p>
    <w:p w14:paraId="3183A276">
      <w:pPr>
        <w:numPr>
          <w:ilvl w:val="2"/>
          <w:numId w:val="5"/>
        </w:numPr>
        <w:spacing w:line="360" w:lineRule="exact"/>
        <w:ind w:firstLine="422" w:firstLineChars="200"/>
        <w:outlineLvl w:val="6"/>
        <w:rPr>
          <w:rFonts w:hint="eastAsia" w:ascii="宋体" w:hAnsi="宋体" w:cs="宋体"/>
          <w:b/>
          <w:bCs/>
          <w:kern w:val="44"/>
          <w:szCs w:val="21"/>
          <w:highlight w:val="none"/>
        </w:rPr>
      </w:pPr>
      <w:bookmarkStart w:id="149" w:name="_Toc233191571"/>
      <w:r>
        <w:rPr>
          <w:rFonts w:hint="eastAsia" w:ascii="宋体" w:hAnsi="宋体" w:cs="宋体"/>
          <w:b/>
          <w:bCs/>
          <w:kern w:val="44"/>
          <w:szCs w:val="21"/>
          <w:highlight w:val="none"/>
        </w:rPr>
        <w:t>培训方式要求</w:t>
      </w:r>
      <w:bookmarkEnd w:id="149"/>
    </w:p>
    <w:p w14:paraId="78217796">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投标人须采用集中培训、现场培训、发放材料相结合方式，教材须提交采购人审核，最终形成PPT及视频光盘。</w:t>
      </w:r>
    </w:p>
    <w:p w14:paraId="05E3D991">
      <w:pPr>
        <w:numPr>
          <w:ilvl w:val="2"/>
          <w:numId w:val="5"/>
        </w:numPr>
        <w:spacing w:line="360" w:lineRule="exact"/>
        <w:ind w:firstLine="422" w:firstLineChars="200"/>
        <w:outlineLvl w:val="6"/>
        <w:rPr>
          <w:rFonts w:hint="eastAsia" w:ascii="宋体" w:hAnsi="宋体" w:cs="宋体"/>
          <w:b/>
          <w:bCs/>
          <w:kern w:val="44"/>
          <w:szCs w:val="21"/>
          <w:highlight w:val="none"/>
        </w:rPr>
      </w:pPr>
      <w:bookmarkStart w:id="150" w:name="_Toc233191572"/>
      <w:r>
        <w:rPr>
          <w:rFonts w:hint="eastAsia" w:ascii="宋体" w:hAnsi="宋体" w:cs="宋体"/>
          <w:b/>
          <w:bCs/>
          <w:kern w:val="44"/>
          <w:szCs w:val="21"/>
          <w:highlight w:val="none"/>
        </w:rPr>
        <w:t>培训对象与内容要求</w:t>
      </w:r>
      <w:bookmarkEnd w:id="150"/>
    </w:p>
    <w:p w14:paraId="5B15C61C">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一是系统管理员（业主技术、运维、安全、运营人员），培训两大平台部署、权限、日志、合规、运维排障等内容；二是业务使用人员（各委办、企业、开发、运营人员），培训平台登录、数据查询、沙箱、隐私计算、模型、场景申报等实操业务。</w:t>
      </w:r>
    </w:p>
    <w:p w14:paraId="7C6F1C1D">
      <w:pPr>
        <w:numPr>
          <w:ilvl w:val="2"/>
          <w:numId w:val="5"/>
        </w:numPr>
        <w:spacing w:line="360" w:lineRule="exact"/>
        <w:ind w:firstLine="422" w:firstLineChars="200"/>
        <w:outlineLvl w:val="6"/>
        <w:rPr>
          <w:rFonts w:hint="eastAsia" w:ascii="宋体" w:hAnsi="宋体" w:cs="宋体"/>
          <w:b/>
          <w:bCs/>
          <w:kern w:val="44"/>
          <w:szCs w:val="21"/>
          <w:highlight w:val="none"/>
        </w:rPr>
      </w:pPr>
      <w:bookmarkStart w:id="151" w:name="_Toc233191573"/>
      <w:r>
        <w:rPr>
          <w:rFonts w:hint="eastAsia" w:ascii="宋体" w:hAnsi="宋体" w:cs="宋体"/>
          <w:b/>
          <w:bCs/>
          <w:kern w:val="44"/>
          <w:szCs w:val="21"/>
          <w:highlight w:val="none"/>
        </w:rPr>
        <w:t>培训量化指标要求</w:t>
      </w:r>
      <w:bookmarkEnd w:id="151"/>
    </w:p>
    <w:p w14:paraId="136EFECB">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累计开展专项培训不少于 2 场，平台重大更新、企业批量入驻时可根据需要增设专项培训；投标人须提前编制报审全套培训资料，前期交付电子教材，竣工后完善 PPT、纸质操作手册并录制教学视频；单场培训需备齐培训通知、课件、操作手册、实名签到表、现场照片等材料。</w:t>
      </w:r>
      <w:bookmarkEnd w:id="138"/>
    </w:p>
    <w:p w14:paraId="121C48A3">
      <w:pPr>
        <w:pStyle w:val="10"/>
        <w:spacing w:before="0" w:beforeAutospacing="0" w:after="0" w:afterAutospacing="0" w:line="360" w:lineRule="exact"/>
        <w:rPr>
          <w:rFonts w:hint="eastAsia" w:ascii="宋体" w:hAnsi="宋体" w:cs="宋体"/>
          <w:b/>
          <w:sz w:val="21"/>
          <w:szCs w:val="21"/>
          <w:highlight w:val="none"/>
        </w:rPr>
      </w:pPr>
    </w:p>
    <w:p w14:paraId="64FD84C9">
      <w:pPr>
        <w:pStyle w:val="10"/>
        <w:spacing w:before="0" w:beforeAutospacing="0" w:after="0" w:afterAutospacing="0" w:line="360" w:lineRule="exact"/>
        <w:outlineLvl w:val="1"/>
        <w:rPr>
          <w:rFonts w:hint="eastAsia" w:ascii="宋体" w:hAnsi="宋体" w:cs="宋体"/>
          <w:sz w:val="21"/>
          <w:szCs w:val="21"/>
          <w:highlight w:val="none"/>
        </w:rPr>
      </w:pPr>
      <w:bookmarkStart w:id="152" w:name="_Toc26641"/>
      <w:r>
        <w:rPr>
          <w:rFonts w:hint="eastAsia" w:ascii="宋体" w:hAnsi="宋体" w:cs="宋体"/>
          <w:b/>
          <w:sz w:val="21"/>
          <w:szCs w:val="21"/>
          <w:highlight w:val="none"/>
        </w:rPr>
        <w:t>三、商务条件</w:t>
      </w:r>
      <w:r>
        <w:rPr>
          <w:rStyle w:val="34"/>
          <w:rFonts w:hint="eastAsia" w:ascii="宋体" w:hAnsi="宋体" w:cs="宋体"/>
          <w:sz w:val="21"/>
          <w:szCs w:val="21"/>
          <w:highlight w:val="none"/>
        </w:rPr>
        <w:t>（本项内容均为不允许负偏离的实质性要求）</w:t>
      </w:r>
      <w:bookmarkEnd w:id="152"/>
    </w:p>
    <w:p w14:paraId="1F1948C3">
      <w:pPr>
        <w:pStyle w:val="5"/>
        <w:numPr>
          <w:ilvl w:val="1"/>
          <w:numId w:val="0"/>
        </w:numPr>
        <w:tabs>
          <w:tab w:val="left" w:pos="420"/>
          <w:tab w:val="clear" w:pos="425"/>
        </w:tabs>
        <w:spacing w:before="0" w:beforeAutospacing="0" w:after="0" w:afterAutospacing="0" w:line="360" w:lineRule="exact"/>
        <w:rPr>
          <w:rFonts w:eastAsia="宋体" w:cs="宋体"/>
          <w:sz w:val="21"/>
          <w:szCs w:val="21"/>
          <w:highlight w:val="none"/>
        </w:rPr>
      </w:pPr>
      <w:r>
        <w:rPr>
          <w:rFonts w:hint="eastAsia" w:eastAsia="宋体" w:cs="宋体"/>
          <w:sz w:val="21"/>
          <w:szCs w:val="21"/>
          <w:highlight w:val="none"/>
          <w:lang w:eastAsia="zh-CN"/>
        </w:rPr>
        <w:t>1.</w:t>
      </w:r>
      <w:r>
        <w:rPr>
          <w:rFonts w:eastAsia="宋体" w:cs="宋体"/>
          <w:sz w:val="21"/>
          <w:szCs w:val="21"/>
          <w:highlight w:val="none"/>
        </w:rPr>
        <w:t>交付地点：</w:t>
      </w:r>
      <w:r>
        <w:rPr>
          <w:rFonts w:eastAsia="宋体" w:cs="宋体"/>
          <w:b w:val="0"/>
          <w:bCs/>
          <w:sz w:val="21"/>
          <w:szCs w:val="21"/>
          <w:highlight w:val="none"/>
        </w:rPr>
        <w:t>福州市鼓楼区</w:t>
      </w:r>
      <w:r>
        <w:rPr>
          <w:rFonts w:eastAsia="宋体" w:cs="宋体"/>
          <w:b w:val="0"/>
          <w:sz w:val="21"/>
          <w:szCs w:val="21"/>
          <w:highlight w:val="none"/>
        </w:rPr>
        <w:t>。</w:t>
      </w:r>
    </w:p>
    <w:p w14:paraId="0934D7D2">
      <w:pPr>
        <w:pStyle w:val="5"/>
        <w:numPr>
          <w:ilvl w:val="1"/>
          <w:numId w:val="0"/>
        </w:numPr>
        <w:tabs>
          <w:tab w:val="left" w:pos="420"/>
          <w:tab w:val="clear" w:pos="425"/>
        </w:tabs>
        <w:spacing w:before="0" w:beforeAutospacing="0" w:after="0" w:afterAutospacing="0" w:line="360" w:lineRule="exact"/>
        <w:rPr>
          <w:rFonts w:eastAsia="宋体" w:cs="宋体"/>
          <w:sz w:val="21"/>
          <w:szCs w:val="21"/>
          <w:highlight w:val="none"/>
        </w:rPr>
      </w:pPr>
      <w:r>
        <w:rPr>
          <w:rFonts w:hint="eastAsia" w:eastAsia="宋体" w:cs="宋体"/>
          <w:sz w:val="21"/>
          <w:szCs w:val="21"/>
          <w:highlight w:val="none"/>
          <w:lang w:eastAsia="zh-CN"/>
        </w:rPr>
        <w:t>2.</w:t>
      </w:r>
      <w:r>
        <w:rPr>
          <w:rFonts w:eastAsia="宋体" w:cs="宋体"/>
          <w:sz w:val="21"/>
          <w:szCs w:val="21"/>
          <w:highlight w:val="none"/>
        </w:rPr>
        <w:t>交付时间：合同签订之日起7个月内完成初步验收，10个月内完成项目竣工验收。</w:t>
      </w:r>
    </w:p>
    <w:p w14:paraId="27B25CC5">
      <w:pPr>
        <w:pStyle w:val="5"/>
        <w:numPr>
          <w:ilvl w:val="1"/>
          <w:numId w:val="0"/>
        </w:numPr>
        <w:tabs>
          <w:tab w:val="left" w:pos="420"/>
          <w:tab w:val="clear" w:pos="425"/>
        </w:tabs>
        <w:spacing w:before="0" w:beforeAutospacing="0" w:after="0" w:afterAutospacing="0" w:line="360" w:lineRule="exact"/>
        <w:rPr>
          <w:rFonts w:eastAsia="宋体" w:cs="宋体"/>
          <w:sz w:val="21"/>
          <w:szCs w:val="21"/>
          <w:highlight w:val="none"/>
        </w:rPr>
      </w:pPr>
      <w:r>
        <w:rPr>
          <w:rFonts w:hint="eastAsia" w:eastAsia="宋体" w:cs="宋体"/>
          <w:sz w:val="21"/>
          <w:szCs w:val="21"/>
          <w:highlight w:val="none"/>
          <w:lang w:eastAsia="zh-CN"/>
        </w:rPr>
        <w:t>3.</w:t>
      </w:r>
      <w:r>
        <w:rPr>
          <w:rFonts w:eastAsia="宋体" w:cs="宋体"/>
          <w:sz w:val="21"/>
          <w:szCs w:val="21"/>
          <w:highlight w:val="none"/>
        </w:rPr>
        <w:t>交付条件：</w:t>
      </w:r>
      <w:r>
        <w:rPr>
          <w:rFonts w:eastAsia="宋体" w:cs="宋体"/>
          <w:b w:val="0"/>
          <w:sz w:val="21"/>
          <w:szCs w:val="21"/>
          <w:highlight w:val="none"/>
        </w:rPr>
        <w:t>根据采购人要求完成项目，并通过项目终验合格后交付。</w:t>
      </w:r>
    </w:p>
    <w:p w14:paraId="35AD2857">
      <w:pPr>
        <w:pStyle w:val="5"/>
        <w:numPr>
          <w:ilvl w:val="1"/>
          <w:numId w:val="0"/>
        </w:numPr>
        <w:tabs>
          <w:tab w:val="left" w:pos="420"/>
          <w:tab w:val="clear" w:pos="425"/>
        </w:tabs>
        <w:spacing w:before="0" w:beforeAutospacing="0" w:after="0" w:afterAutospacing="0" w:line="360" w:lineRule="exact"/>
        <w:rPr>
          <w:rFonts w:eastAsia="宋体" w:cs="宋体"/>
          <w:b w:val="0"/>
          <w:sz w:val="21"/>
          <w:szCs w:val="21"/>
          <w:highlight w:val="none"/>
        </w:rPr>
      </w:pPr>
      <w:r>
        <w:rPr>
          <w:rFonts w:hint="eastAsia" w:eastAsia="宋体" w:cs="宋体"/>
          <w:sz w:val="21"/>
          <w:szCs w:val="21"/>
          <w:highlight w:val="none"/>
          <w:lang w:eastAsia="zh-CN"/>
        </w:rPr>
        <w:t>4.</w:t>
      </w:r>
      <w:r>
        <w:rPr>
          <w:rFonts w:eastAsia="宋体" w:cs="宋体"/>
          <w:sz w:val="21"/>
          <w:szCs w:val="21"/>
          <w:highlight w:val="none"/>
        </w:rPr>
        <w:t>是否收取履约保证金：</w:t>
      </w:r>
      <w:r>
        <w:rPr>
          <w:rFonts w:eastAsia="宋体" w:cs="宋体"/>
          <w:b w:val="0"/>
          <w:sz w:val="21"/>
          <w:szCs w:val="21"/>
          <w:highlight w:val="none"/>
        </w:rPr>
        <w:t>否。</w:t>
      </w:r>
    </w:p>
    <w:p w14:paraId="05EBAD61">
      <w:pPr>
        <w:pStyle w:val="5"/>
        <w:numPr>
          <w:ilvl w:val="1"/>
          <w:numId w:val="0"/>
        </w:numPr>
        <w:tabs>
          <w:tab w:val="left" w:pos="420"/>
          <w:tab w:val="clear" w:pos="425"/>
        </w:tabs>
        <w:spacing w:before="0" w:beforeAutospacing="0" w:after="0" w:afterAutospacing="0" w:line="360" w:lineRule="exact"/>
        <w:rPr>
          <w:rFonts w:eastAsia="宋体" w:cs="宋体"/>
          <w:sz w:val="21"/>
          <w:szCs w:val="21"/>
          <w:highlight w:val="none"/>
        </w:rPr>
      </w:pPr>
      <w:r>
        <w:rPr>
          <w:rFonts w:hint="eastAsia" w:eastAsia="宋体" w:cs="宋体"/>
          <w:sz w:val="21"/>
          <w:szCs w:val="21"/>
          <w:highlight w:val="none"/>
          <w:lang w:eastAsia="zh-CN"/>
        </w:rPr>
        <w:t>5.</w:t>
      </w:r>
      <w:r>
        <w:rPr>
          <w:rFonts w:eastAsia="宋体" w:cs="宋体"/>
          <w:sz w:val="21"/>
          <w:szCs w:val="21"/>
          <w:highlight w:val="none"/>
        </w:rPr>
        <w:t>是否邀请未中标投标人参与验收：否。</w:t>
      </w:r>
    </w:p>
    <w:p w14:paraId="6BF5576F">
      <w:pPr>
        <w:pStyle w:val="5"/>
        <w:numPr>
          <w:ilvl w:val="1"/>
          <w:numId w:val="0"/>
        </w:numPr>
        <w:tabs>
          <w:tab w:val="left" w:pos="420"/>
          <w:tab w:val="clear" w:pos="425"/>
        </w:tabs>
        <w:snapToGrid w:val="0"/>
        <w:spacing w:before="0" w:beforeAutospacing="0" w:after="0" w:afterAutospacing="0" w:line="360" w:lineRule="exact"/>
        <w:rPr>
          <w:rFonts w:eastAsia="宋体" w:cs="宋体"/>
          <w:sz w:val="21"/>
          <w:szCs w:val="21"/>
          <w:highlight w:val="none"/>
        </w:rPr>
      </w:pPr>
      <w:r>
        <w:rPr>
          <w:rFonts w:hint="eastAsia" w:eastAsia="宋体" w:cs="宋体"/>
          <w:sz w:val="21"/>
          <w:szCs w:val="21"/>
          <w:highlight w:val="none"/>
          <w:lang w:eastAsia="zh-CN"/>
        </w:rPr>
        <w:t>6.</w:t>
      </w:r>
      <w:r>
        <w:rPr>
          <w:rFonts w:eastAsia="宋体" w:cs="宋体"/>
          <w:sz w:val="21"/>
          <w:szCs w:val="21"/>
          <w:highlight w:val="none"/>
        </w:rPr>
        <w:t>验收方式数据表格</w:t>
      </w:r>
    </w:p>
    <w:tbl>
      <w:tblPr>
        <w:tblStyle w:val="31"/>
        <w:tblW w:w="4999" w:type="pct"/>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76"/>
        <w:gridCol w:w="8480"/>
      </w:tblGrid>
      <w:tr w14:paraId="0D8B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blCellSpacing w:w="0" w:type="dxa"/>
        </w:trPr>
        <w:tc>
          <w:tcPr>
            <w:tcW w:w="609" w:type="pct"/>
            <w:vAlign w:val="center"/>
          </w:tcPr>
          <w:p w14:paraId="286719E7">
            <w:pPr>
              <w:widowControl/>
              <w:snapToGrid w:val="0"/>
              <w:spacing w:line="360" w:lineRule="exact"/>
              <w:jc w:val="left"/>
              <w:rPr>
                <w:rFonts w:hint="eastAsia" w:ascii="宋体" w:hAnsi="宋体" w:cs="宋体"/>
                <w:szCs w:val="21"/>
                <w:highlight w:val="none"/>
              </w:rPr>
            </w:pPr>
            <w:r>
              <w:rPr>
                <w:rFonts w:hint="eastAsia" w:ascii="宋体" w:hAnsi="宋体" w:cs="宋体"/>
                <w:kern w:val="0"/>
                <w:szCs w:val="21"/>
                <w:highlight w:val="none"/>
                <w:lang w:bidi="ar"/>
              </w:rPr>
              <w:t>验收期次</w:t>
            </w:r>
          </w:p>
        </w:tc>
        <w:tc>
          <w:tcPr>
            <w:tcW w:w="4390" w:type="pct"/>
            <w:vAlign w:val="center"/>
          </w:tcPr>
          <w:p w14:paraId="7DFFDB71">
            <w:pPr>
              <w:widowControl/>
              <w:snapToGrid w:val="0"/>
              <w:spacing w:line="360" w:lineRule="exact"/>
              <w:jc w:val="left"/>
              <w:rPr>
                <w:rFonts w:hint="eastAsia" w:ascii="宋体" w:hAnsi="宋体" w:cs="宋体"/>
                <w:szCs w:val="21"/>
                <w:highlight w:val="none"/>
              </w:rPr>
            </w:pPr>
            <w:r>
              <w:rPr>
                <w:rFonts w:hint="eastAsia" w:ascii="宋体" w:hAnsi="宋体" w:cs="宋体"/>
                <w:kern w:val="0"/>
                <w:szCs w:val="21"/>
                <w:highlight w:val="none"/>
                <w:lang w:bidi="ar"/>
              </w:rPr>
              <w:t>验收期次说明</w:t>
            </w:r>
          </w:p>
        </w:tc>
      </w:tr>
      <w:tr w14:paraId="26EB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609" w:type="pct"/>
            <w:vAlign w:val="center"/>
          </w:tcPr>
          <w:p w14:paraId="6C823ECC">
            <w:pPr>
              <w:widowControl/>
              <w:snapToGrid w:val="0"/>
              <w:spacing w:line="360" w:lineRule="exact"/>
              <w:jc w:val="left"/>
              <w:rPr>
                <w:rFonts w:hint="eastAsia" w:ascii="宋体" w:hAnsi="宋体" w:cs="宋体"/>
                <w:szCs w:val="21"/>
                <w:highlight w:val="none"/>
              </w:rPr>
            </w:pPr>
            <w:r>
              <w:rPr>
                <w:rFonts w:hint="eastAsia" w:ascii="宋体" w:hAnsi="宋体" w:cs="宋体"/>
                <w:kern w:val="0"/>
                <w:szCs w:val="21"/>
                <w:highlight w:val="none"/>
              </w:rPr>
              <w:t>1</w:t>
            </w:r>
          </w:p>
        </w:tc>
        <w:tc>
          <w:tcPr>
            <w:tcW w:w="4390" w:type="pct"/>
            <w:vAlign w:val="center"/>
          </w:tcPr>
          <w:p w14:paraId="5BEA1642">
            <w:pPr>
              <w:pStyle w:val="40"/>
              <w:spacing w:before="0" w:beforeLines="0" w:after="0" w:afterLines="0" w:line="360" w:lineRule="exact"/>
              <w:ind w:firstLine="420"/>
              <w:rPr>
                <w:rFonts w:hint="eastAsia" w:ascii="宋体" w:hAnsi="宋体"/>
                <w:sz w:val="21"/>
                <w:highlight w:val="none"/>
              </w:rPr>
            </w:pPr>
            <w:r>
              <w:rPr>
                <w:rFonts w:hint="eastAsia" w:ascii="宋体" w:hAnsi="宋体"/>
                <w:sz w:val="21"/>
                <w:highlight w:val="none"/>
                <w:lang w:eastAsia="zh-CN"/>
              </w:rPr>
              <w:t>1.</w:t>
            </w:r>
            <w:r>
              <w:rPr>
                <w:rFonts w:hint="eastAsia" w:ascii="宋体" w:hAnsi="宋体"/>
                <w:sz w:val="21"/>
                <w:highlight w:val="none"/>
              </w:rPr>
              <w:t>初验：中标人完成本项目全部软硬件安装、调试、部署及对接实施工作后，由采购人按照合同约定的采购内容、技术标准及相关要求组织项目初验，对项目整体系统功能、设备配置、运行状态及全部建设内容进行全面清点与初步验收。验收过程中，中标人需全程驻场提供专业技术支持，主动配合采购人完成资料核查、功能核验、现场测试等全部初验工作。</w:t>
            </w:r>
          </w:p>
          <w:p w14:paraId="7DF69B97">
            <w:pPr>
              <w:pStyle w:val="40"/>
              <w:spacing w:before="0" w:beforeLines="0" w:after="0" w:afterLines="0" w:line="360" w:lineRule="exact"/>
              <w:ind w:firstLine="420"/>
              <w:rPr>
                <w:rFonts w:hint="eastAsia" w:ascii="宋体" w:hAnsi="宋体"/>
                <w:sz w:val="21"/>
                <w:highlight w:val="none"/>
              </w:rPr>
            </w:pPr>
            <w:r>
              <w:rPr>
                <w:rFonts w:hint="eastAsia" w:ascii="宋体" w:hAnsi="宋体"/>
                <w:sz w:val="21"/>
                <w:highlight w:val="none"/>
                <w:lang w:eastAsia="zh-CN"/>
              </w:rPr>
              <w:t>2.</w:t>
            </w:r>
            <w:r>
              <w:rPr>
                <w:rFonts w:hint="eastAsia" w:ascii="宋体" w:hAnsi="宋体"/>
                <w:sz w:val="21"/>
                <w:highlight w:val="none"/>
              </w:rPr>
              <w:t>终验：项目初验合格后，进入为期3个月的试运行。试运行期间，项目整体运行稳定、无故障、无质量问题，各项功能及业务运行均满足采购需求及合同标准，由采购人组织项目终验。</w:t>
            </w:r>
          </w:p>
          <w:p w14:paraId="32F00E60">
            <w:pPr>
              <w:pStyle w:val="40"/>
              <w:spacing w:before="0" w:beforeLines="0" w:after="0" w:afterLines="0" w:line="360" w:lineRule="exact"/>
              <w:ind w:firstLine="420"/>
              <w:rPr>
                <w:rFonts w:hint="eastAsia" w:ascii="宋体" w:hAnsi="宋体"/>
                <w:sz w:val="21"/>
                <w:highlight w:val="none"/>
              </w:rPr>
            </w:pPr>
            <w:r>
              <w:rPr>
                <w:rFonts w:hint="eastAsia" w:ascii="宋体" w:hAnsi="宋体"/>
                <w:sz w:val="21"/>
                <w:highlight w:val="none"/>
                <w:lang w:eastAsia="zh-CN"/>
              </w:rPr>
              <w:t>3.</w:t>
            </w:r>
            <w:r>
              <w:rPr>
                <w:rFonts w:hint="eastAsia" w:ascii="宋体" w:hAnsi="宋体"/>
                <w:sz w:val="21"/>
                <w:highlight w:val="none"/>
              </w:rPr>
              <w:t>质保期与运营期：项目终验合格后，正式进入为期5年的质保期，同时由采购人授予中标人为期5年的平台运营经营期，中标人需在质保及运营周期内，严格按照相关标准提供持续、稳定的技术保障与平台运营服务。</w:t>
            </w:r>
          </w:p>
        </w:tc>
      </w:tr>
    </w:tbl>
    <w:p w14:paraId="3AD115E6">
      <w:pPr>
        <w:pStyle w:val="5"/>
        <w:numPr>
          <w:ilvl w:val="1"/>
          <w:numId w:val="0"/>
        </w:numPr>
        <w:tabs>
          <w:tab w:val="left" w:pos="420"/>
          <w:tab w:val="clear" w:pos="425"/>
        </w:tabs>
        <w:snapToGrid w:val="0"/>
        <w:spacing w:before="0" w:beforeAutospacing="0" w:after="0" w:afterAutospacing="0" w:line="360" w:lineRule="exact"/>
        <w:rPr>
          <w:rFonts w:eastAsia="宋体" w:cs="宋体"/>
          <w:sz w:val="21"/>
          <w:szCs w:val="21"/>
          <w:highlight w:val="none"/>
        </w:rPr>
      </w:pPr>
      <w:r>
        <w:rPr>
          <w:rFonts w:hint="eastAsia" w:eastAsia="宋体" w:cs="宋体"/>
          <w:sz w:val="21"/>
          <w:szCs w:val="21"/>
          <w:highlight w:val="none"/>
          <w:lang w:eastAsia="zh-CN"/>
        </w:rPr>
        <w:t>7.</w:t>
      </w:r>
      <w:r>
        <w:rPr>
          <w:rFonts w:eastAsia="宋体" w:cs="宋体"/>
          <w:sz w:val="21"/>
          <w:szCs w:val="21"/>
          <w:highlight w:val="none"/>
        </w:rPr>
        <w:t>支付方式数据表格</w:t>
      </w:r>
    </w:p>
    <w:tbl>
      <w:tblPr>
        <w:tblStyle w:val="3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3"/>
        <w:gridCol w:w="8175"/>
      </w:tblGrid>
      <w:tr w14:paraId="4BD18A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3" w:type="dxa"/>
          </w:tcPr>
          <w:p w14:paraId="6F003C8D">
            <w:pPr>
              <w:pStyle w:val="40"/>
              <w:spacing w:beforeLines="0" w:afterLines="0" w:line="360" w:lineRule="exact"/>
              <w:ind w:firstLine="0" w:firstLineChars="0"/>
              <w:rPr>
                <w:rFonts w:hint="eastAsia" w:ascii="宋体" w:hAnsi="宋体"/>
                <w:sz w:val="21"/>
                <w:highlight w:val="none"/>
              </w:rPr>
            </w:pPr>
            <w:r>
              <w:rPr>
                <w:rFonts w:hint="eastAsia" w:ascii="宋体" w:hAnsi="宋体"/>
                <w:sz w:val="21"/>
                <w:highlight w:val="none"/>
              </w:rPr>
              <w:t>类型</w:t>
            </w:r>
          </w:p>
        </w:tc>
        <w:tc>
          <w:tcPr>
            <w:tcW w:w="8175" w:type="dxa"/>
          </w:tcPr>
          <w:p w14:paraId="508144C2">
            <w:pPr>
              <w:pStyle w:val="40"/>
              <w:spacing w:beforeLines="0" w:afterLines="0" w:line="360" w:lineRule="exact"/>
              <w:ind w:firstLine="0" w:firstLineChars="0"/>
              <w:rPr>
                <w:rFonts w:hint="eastAsia" w:ascii="宋体" w:hAnsi="宋体"/>
                <w:sz w:val="21"/>
                <w:highlight w:val="none"/>
              </w:rPr>
            </w:pPr>
            <w:r>
              <w:rPr>
                <w:rFonts w:hint="eastAsia" w:ascii="宋体" w:hAnsi="宋体"/>
                <w:sz w:val="21"/>
                <w:highlight w:val="none"/>
              </w:rPr>
              <w:t>要求</w:t>
            </w:r>
          </w:p>
        </w:tc>
      </w:tr>
      <w:tr w14:paraId="42B3A1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3" w:type="dxa"/>
          </w:tcPr>
          <w:p w14:paraId="1AFE85C1">
            <w:pPr>
              <w:pStyle w:val="70"/>
              <w:spacing w:line="360" w:lineRule="auto"/>
              <w:rPr>
                <w:rFonts w:hint="eastAsia" w:ascii="宋体" w:hAnsi="宋体" w:cs="宋体"/>
                <w:highlight w:val="none"/>
              </w:rPr>
            </w:pPr>
            <w:r>
              <w:rPr>
                <w:rFonts w:hint="eastAsia" w:ascii="宋体" w:hAnsi="宋体" w:cs="宋体"/>
                <w:color w:val="000000"/>
                <w:kern w:val="2"/>
                <w:sz w:val="21"/>
                <w:szCs w:val="21"/>
                <w:highlight w:val="none"/>
              </w:rPr>
              <w:t>支付方式</w:t>
            </w:r>
          </w:p>
        </w:tc>
        <w:tc>
          <w:tcPr>
            <w:tcW w:w="8175" w:type="dxa"/>
          </w:tcPr>
          <w:p w14:paraId="3522B001">
            <w:pPr>
              <w:pStyle w:val="40"/>
              <w:spacing w:beforeLines="0" w:afterLines="0" w:line="360" w:lineRule="exact"/>
              <w:ind w:firstLine="0" w:firstLineChars="0"/>
              <w:rPr>
                <w:rFonts w:hint="eastAsia" w:ascii="宋体" w:hAnsi="宋体"/>
                <w:sz w:val="21"/>
                <w:highlight w:val="none"/>
              </w:rPr>
            </w:pPr>
            <w:r>
              <w:rPr>
                <w:rFonts w:hint="eastAsia" w:ascii="宋体" w:hAnsi="宋体"/>
                <w:sz w:val="21"/>
                <w:highlight w:val="none"/>
                <w:lang w:eastAsia="zh-CN"/>
              </w:rPr>
              <w:t>1.</w:t>
            </w:r>
            <w:r>
              <w:rPr>
                <w:rFonts w:hint="eastAsia" w:ascii="宋体" w:hAnsi="宋体"/>
                <w:sz w:val="21"/>
                <w:highlight w:val="none"/>
              </w:rPr>
              <w:t>合同签订后，报采购人办理付款事宜，支付采购人出资部分中标金额的30%；</w:t>
            </w:r>
          </w:p>
          <w:p w14:paraId="7F7C7578">
            <w:pPr>
              <w:pStyle w:val="40"/>
              <w:spacing w:beforeLines="0" w:afterLines="0" w:line="360" w:lineRule="exact"/>
              <w:ind w:firstLine="0" w:firstLineChars="0"/>
              <w:rPr>
                <w:rFonts w:hint="eastAsia" w:ascii="宋体" w:hAnsi="宋体"/>
                <w:sz w:val="21"/>
                <w:highlight w:val="none"/>
              </w:rPr>
            </w:pPr>
            <w:r>
              <w:rPr>
                <w:rFonts w:hint="eastAsia" w:ascii="宋体" w:hAnsi="宋体"/>
                <w:sz w:val="21"/>
                <w:highlight w:val="none"/>
                <w:lang w:eastAsia="zh-CN"/>
              </w:rPr>
              <w:t>2.</w:t>
            </w:r>
            <w:r>
              <w:rPr>
                <w:rFonts w:hint="eastAsia" w:ascii="宋体" w:hAnsi="宋体"/>
                <w:sz w:val="21"/>
                <w:highlight w:val="none"/>
              </w:rPr>
              <w:t>现场安装调试完成经采购人初验合格后，报采购人办理付款事宜，支付采购人出资部分中标金额的40%；</w:t>
            </w:r>
          </w:p>
          <w:p w14:paraId="504CB38B">
            <w:pPr>
              <w:pStyle w:val="40"/>
              <w:spacing w:beforeLines="0" w:afterLines="0" w:line="360" w:lineRule="exact"/>
              <w:ind w:firstLine="0" w:firstLineChars="0"/>
              <w:rPr>
                <w:rFonts w:hint="eastAsia" w:ascii="宋体" w:hAnsi="宋体"/>
                <w:sz w:val="21"/>
                <w:highlight w:val="none"/>
              </w:rPr>
            </w:pPr>
            <w:r>
              <w:rPr>
                <w:rFonts w:hint="eastAsia" w:ascii="宋体" w:hAnsi="宋体"/>
                <w:sz w:val="21"/>
                <w:highlight w:val="none"/>
                <w:lang w:eastAsia="zh-CN"/>
              </w:rPr>
              <w:t>3.</w:t>
            </w:r>
            <w:r>
              <w:rPr>
                <w:rFonts w:hint="eastAsia" w:ascii="宋体" w:hAnsi="宋体"/>
                <w:sz w:val="21"/>
                <w:highlight w:val="none"/>
              </w:rPr>
              <w:t>终验合格后，报采购人办理付款事宜，支付采购人出资部分中标金额的30%。</w:t>
            </w:r>
          </w:p>
          <w:p w14:paraId="52629022">
            <w:pPr>
              <w:pStyle w:val="40"/>
              <w:spacing w:beforeLines="0" w:afterLines="0" w:line="360" w:lineRule="exact"/>
              <w:ind w:firstLine="0" w:firstLineChars="0"/>
              <w:rPr>
                <w:rFonts w:hint="eastAsia" w:ascii="宋体" w:hAnsi="宋体"/>
                <w:sz w:val="21"/>
                <w:highlight w:val="none"/>
              </w:rPr>
            </w:pPr>
            <w:r>
              <w:rPr>
                <w:rFonts w:hint="eastAsia" w:ascii="宋体" w:hAnsi="宋体"/>
                <w:sz w:val="21"/>
                <w:highlight w:val="none"/>
              </w:rPr>
              <w:t>注</w:t>
            </w:r>
            <w:r>
              <w:rPr>
                <w:rFonts w:hint="eastAsia" w:ascii="宋体" w:hAnsi="宋体"/>
                <w:sz w:val="21"/>
                <w:highlight w:val="none"/>
                <w:lang w:eastAsia="zh-CN"/>
              </w:rPr>
              <w:t>：</w:t>
            </w:r>
            <w:r>
              <w:rPr>
                <w:rFonts w:hint="eastAsia" w:ascii="宋体" w:hAnsi="宋体"/>
                <w:sz w:val="21"/>
                <w:highlight w:val="none"/>
              </w:rPr>
              <w:t>报采购人办理付款前，中标人应开具有效发票。</w:t>
            </w:r>
          </w:p>
          <w:p w14:paraId="4EED138E">
            <w:pPr>
              <w:pStyle w:val="40"/>
              <w:spacing w:beforeLines="0" w:afterLines="0" w:line="360" w:lineRule="exact"/>
              <w:ind w:firstLine="0" w:firstLineChars="0"/>
              <w:rPr>
                <w:rFonts w:hint="eastAsia" w:ascii="宋体" w:hAnsi="宋体"/>
                <w:highlight w:val="none"/>
              </w:rPr>
            </w:pPr>
            <w:r>
              <w:rPr>
                <w:rFonts w:hint="eastAsia" w:ascii="宋体" w:hAnsi="宋体"/>
                <w:sz w:val="21"/>
                <w:highlight w:val="none"/>
              </w:rPr>
              <w:t>采购人出资部分中标金额=中标金额-2200</w:t>
            </w:r>
            <w:r>
              <w:rPr>
                <w:rFonts w:hint="eastAsia" w:ascii="宋体" w:hAnsi="宋体"/>
                <w:sz w:val="21"/>
                <w:highlight w:val="none"/>
                <w:lang w:eastAsia="zh-CN"/>
              </w:rPr>
              <w:t>（</w:t>
            </w:r>
            <w:r>
              <w:rPr>
                <w:rFonts w:hint="eastAsia" w:ascii="宋体" w:hAnsi="宋体"/>
                <w:sz w:val="21"/>
                <w:highlight w:val="none"/>
              </w:rPr>
              <w:t>万元</w:t>
            </w:r>
            <w:r>
              <w:rPr>
                <w:rFonts w:hint="eastAsia" w:ascii="宋体" w:hAnsi="宋体"/>
                <w:sz w:val="21"/>
                <w:highlight w:val="none"/>
                <w:lang w:eastAsia="zh-CN"/>
              </w:rPr>
              <w:t>）</w:t>
            </w:r>
          </w:p>
        </w:tc>
      </w:tr>
    </w:tbl>
    <w:p w14:paraId="20546412">
      <w:pPr>
        <w:spacing w:line="360" w:lineRule="exact"/>
        <w:rPr>
          <w:rFonts w:hint="eastAsia" w:ascii="宋体" w:hAnsi="宋体" w:cs="宋体"/>
          <w:b/>
          <w:bCs/>
          <w:szCs w:val="21"/>
          <w:highlight w:val="none"/>
        </w:rPr>
      </w:pPr>
      <w:bookmarkStart w:id="153" w:name="_Toc3076"/>
      <w:bookmarkStart w:id="154" w:name="_Hlk171958089"/>
      <w:bookmarkStart w:id="155" w:name="_Toc173156478"/>
      <w:bookmarkStart w:id="156" w:name="_Toc230963488"/>
      <w:bookmarkStart w:id="157" w:name="_Toc20526"/>
      <w:r>
        <w:rPr>
          <w:rFonts w:hint="eastAsia" w:ascii="宋体" w:hAnsi="宋体" w:cs="宋体"/>
          <w:b/>
          <w:bCs/>
          <w:szCs w:val="21"/>
          <w:highlight w:val="none"/>
        </w:rPr>
        <w:t>其他商务条件：</w:t>
      </w:r>
    </w:p>
    <w:p w14:paraId="2682E1D9">
      <w:pPr>
        <w:pStyle w:val="70"/>
        <w:spacing w:line="360" w:lineRule="exact"/>
        <w:ind w:firstLine="422" w:firstLineChars="200"/>
        <w:jc w:val="both"/>
        <w:rPr>
          <w:rFonts w:hint="eastAsia" w:ascii="宋体" w:hAnsi="宋体" w:cs="宋体"/>
          <w:b/>
          <w:bCs/>
          <w:sz w:val="21"/>
          <w:szCs w:val="21"/>
          <w:highlight w:val="none"/>
        </w:rPr>
      </w:pPr>
      <w:r>
        <w:rPr>
          <w:rFonts w:hint="eastAsia" w:ascii="宋体" w:hAnsi="宋体" w:cs="宋体"/>
          <w:b/>
          <w:bCs/>
          <w:sz w:val="21"/>
          <w:szCs w:val="21"/>
          <w:highlight w:val="none"/>
          <w:lang w:eastAsia="zh-CN"/>
        </w:rPr>
        <w:t>1.</w:t>
      </w:r>
      <w:r>
        <w:rPr>
          <w:rFonts w:hint="eastAsia" w:ascii="宋体" w:hAnsi="宋体" w:cs="宋体"/>
          <w:b/>
          <w:bCs/>
          <w:sz w:val="21"/>
          <w:szCs w:val="21"/>
          <w:highlight w:val="none"/>
        </w:rPr>
        <w:t>验收及售后要求</w:t>
      </w:r>
    </w:p>
    <w:p w14:paraId="25D8DF68">
      <w:pPr>
        <w:pStyle w:val="70"/>
        <w:spacing w:line="360" w:lineRule="exact"/>
        <w:ind w:firstLine="420" w:firstLineChars="200"/>
        <w:jc w:val="both"/>
        <w:rPr>
          <w:rFonts w:hint="eastAsia" w:ascii="宋体" w:hAnsi="宋体" w:cs="宋体"/>
          <w:sz w:val="21"/>
          <w:szCs w:val="21"/>
          <w:highlight w:val="none"/>
        </w:rPr>
      </w:pPr>
      <w:r>
        <w:rPr>
          <w:rFonts w:hint="eastAsia" w:ascii="宋体" w:hAnsi="宋体" w:cs="宋体"/>
          <w:sz w:val="21"/>
          <w:szCs w:val="21"/>
          <w:highlight w:val="none"/>
        </w:rPr>
        <w:t>1.1验收标准：国家、行业规范及相关管理办法；项目相关设计文件；采购文件与采购合同的约定；投标文件的承诺；验收不合格的，采购人有权拒绝支付款项，中标人需无条件整改直至验收合格，由此产生的一切费用及损失由中标人承担。</w:t>
      </w:r>
    </w:p>
    <w:p w14:paraId="0C64C723">
      <w:pPr>
        <w:pStyle w:val="70"/>
        <w:spacing w:line="360" w:lineRule="exact"/>
        <w:ind w:firstLine="420" w:firstLineChars="200"/>
        <w:jc w:val="both"/>
        <w:rPr>
          <w:rFonts w:hint="eastAsia" w:ascii="宋体" w:hAnsi="宋体" w:cs="宋体"/>
          <w:sz w:val="21"/>
          <w:szCs w:val="21"/>
          <w:highlight w:val="none"/>
        </w:rPr>
      </w:pPr>
      <w:r>
        <w:rPr>
          <w:rFonts w:hint="eastAsia" w:ascii="宋体" w:hAnsi="宋体" w:cs="宋体"/>
          <w:sz w:val="21"/>
          <w:szCs w:val="21"/>
          <w:highlight w:val="none"/>
        </w:rPr>
        <w:t>1.2硬件设备的出厂验收：中标人负责所提供货物的出厂检验，应按货物技术标准规定的检验项目和检验方法进行全面检验，保证货物原产地和技术指标的真实性、完整性，并负责将货物送达采购人指定的供货地点，并向采购人提供货物制造厂商的出厂检验报告或质量合格证书证明资料或文件。</w:t>
      </w:r>
    </w:p>
    <w:p w14:paraId="337B5A78">
      <w:pPr>
        <w:pStyle w:val="70"/>
        <w:spacing w:line="360" w:lineRule="exact"/>
        <w:ind w:firstLine="420" w:firstLineChars="200"/>
        <w:jc w:val="both"/>
        <w:rPr>
          <w:rFonts w:hint="eastAsia" w:ascii="宋体" w:hAnsi="宋体" w:cs="宋体"/>
          <w:sz w:val="21"/>
          <w:szCs w:val="21"/>
          <w:highlight w:val="none"/>
        </w:rPr>
      </w:pPr>
      <w:r>
        <w:rPr>
          <w:rFonts w:hint="eastAsia" w:ascii="宋体" w:hAnsi="宋体" w:cs="宋体"/>
          <w:sz w:val="21"/>
          <w:szCs w:val="21"/>
          <w:highlight w:val="none"/>
        </w:rPr>
        <w:t>1.3硬件设备的到货签收：硬件设备送至采购人安装现场后，中标人、采购人和监理单位一同拆箱，对其全部货物、零件、配件的型号、规格、数量、技术参数、外形、外观、包装、随机文件进行到货签收，生成《验收确认单》。</w:t>
      </w:r>
    </w:p>
    <w:p w14:paraId="1EEB2A74">
      <w:pPr>
        <w:pStyle w:val="70"/>
        <w:spacing w:line="360" w:lineRule="exact"/>
        <w:ind w:firstLine="420" w:firstLineChars="200"/>
        <w:jc w:val="both"/>
        <w:rPr>
          <w:rFonts w:hint="eastAsia" w:ascii="宋体" w:hAnsi="宋体" w:cs="宋体"/>
          <w:sz w:val="21"/>
          <w:szCs w:val="21"/>
          <w:highlight w:val="none"/>
        </w:rPr>
      </w:pPr>
      <w:r>
        <w:rPr>
          <w:rFonts w:hint="eastAsia" w:ascii="宋体" w:hAnsi="宋体" w:cs="宋体"/>
          <w:sz w:val="21"/>
          <w:szCs w:val="21"/>
          <w:highlight w:val="none"/>
        </w:rPr>
        <w:t>1.4本定制软件系统自终验收后起提供质保服务。软件设备质保期内免费修复系统BUG、安全漏洞、适配系统环境、数据维护、操作指导、常规功能优化；免费提供版本迭代更新。</w:t>
      </w:r>
    </w:p>
    <w:p w14:paraId="354A1ADD">
      <w:pPr>
        <w:pStyle w:val="70"/>
        <w:spacing w:line="360" w:lineRule="exact"/>
        <w:ind w:firstLine="420" w:firstLineChars="200"/>
        <w:jc w:val="both"/>
        <w:rPr>
          <w:rFonts w:hint="eastAsia" w:ascii="宋体" w:hAnsi="宋体" w:cs="宋体"/>
          <w:sz w:val="21"/>
          <w:szCs w:val="21"/>
          <w:highlight w:val="none"/>
        </w:rPr>
      </w:pPr>
      <w:r>
        <w:rPr>
          <w:rFonts w:hint="eastAsia" w:ascii="宋体" w:hAnsi="宋体" w:cs="宋体"/>
          <w:sz w:val="21"/>
          <w:szCs w:val="21"/>
          <w:highlight w:val="none"/>
        </w:rPr>
        <w:t>1.5硬件质量保修期内，免费进行设备安全调试，免费上门维修保养及更换配件；中标人应在收到采购人的通知后4小时内响应要求，24小时内派人到达现场，免费负责修理或更换有缺陷的零部件或整机。若48小时内无法排除故障，则应先提供备用机供采购人使用。其中发生的一切费用由中标人承担。在免费保修期内出现设备质量问题（六个月内同一故障发生三次），采购人有权要求免费更换整机，并提供代用设备，保证系统正常运行，更换的质量保证期从更换之日起相应顺延。</w:t>
      </w:r>
    </w:p>
    <w:p w14:paraId="787FB24B">
      <w:pPr>
        <w:pStyle w:val="70"/>
        <w:spacing w:line="360" w:lineRule="exact"/>
        <w:ind w:firstLine="422" w:firstLineChars="200"/>
        <w:jc w:val="both"/>
        <w:rPr>
          <w:rFonts w:hint="eastAsia" w:ascii="宋体" w:hAnsi="宋体" w:cs="宋体"/>
          <w:b/>
          <w:bCs/>
          <w:sz w:val="21"/>
          <w:szCs w:val="21"/>
          <w:highlight w:val="none"/>
        </w:rPr>
      </w:pPr>
      <w:r>
        <w:rPr>
          <w:rFonts w:hint="eastAsia" w:ascii="宋体" w:hAnsi="宋体" w:cs="宋体"/>
          <w:b/>
          <w:bCs/>
          <w:sz w:val="21"/>
          <w:szCs w:val="21"/>
          <w:highlight w:val="none"/>
          <w:lang w:eastAsia="zh-CN"/>
        </w:rPr>
        <w:t>2.</w:t>
      </w:r>
      <w:r>
        <w:rPr>
          <w:rFonts w:hint="eastAsia" w:ascii="宋体" w:hAnsi="宋体" w:cs="宋体"/>
          <w:b/>
          <w:bCs/>
          <w:sz w:val="21"/>
          <w:szCs w:val="21"/>
          <w:highlight w:val="none"/>
        </w:rPr>
        <w:t>资产归属</w:t>
      </w:r>
    </w:p>
    <w:p w14:paraId="3DB107E4">
      <w:pPr>
        <w:pStyle w:val="70"/>
        <w:spacing w:line="360" w:lineRule="exact"/>
        <w:ind w:firstLine="420" w:firstLineChars="200"/>
        <w:jc w:val="both"/>
        <w:rPr>
          <w:rFonts w:hint="eastAsia" w:ascii="宋体" w:hAnsi="宋体" w:cs="宋体"/>
          <w:sz w:val="21"/>
          <w:szCs w:val="21"/>
          <w:highlight w:val="none"/>
        </w:rPr>
      </w:pPr>
      <w:r>
        <w:rPr>
          <w:rFonts w:hint="eastAsia" w:ascii="宋体" w:hAnsi="宋体" w:cs="宋体"/>
          <w:sz w:val="21"/>
          <w:szCs w:val="21"/>
          <w:highlight w:val="none"/>
        </w:rPr>
        <w:t>2.1 资产所有权：</w:t>
      </w:r>
      <w:r>
        <w:rPr>
          <w:rFonts w:hint="eastAsia" w:ascii="宋体" w:hAnsi="宋体" w:cs="宋体"/>
          <w:b/>
          <w:bCs/>
          <w:sz w:val="21"/>
          <w:szCs w:val="21"/>
          <w:highlight w:val="none"/>
        </w:rPr>
        <w:t>五年内由采购人资金采购部分产权归属采购人，中标</w:t>
      </w:r>
      <w:r>
        <w:rPr>
          <w:rFonts w:hint="eastAsia" w:ascii="宋体" w:hAnsi="宋体" w:cs="宋体"/>
          <w:b/>
          <w:bCs/>
          <w:sz w:val="21"/>
          <w:szCs w:val="21"/>
          <w:highlight w:val="none"/>
          <w:lang w:eastAsia="zh-CN"/>
        </w:rPr>
        <w:t>方在</w:t>
      </w:r>
      <w:r>
        <w:rPr>
          <w:rFonts w:hint="eastAsia" w:ascii="宋体" w:hAnsi="宋体" w:cs="宋体"/>
          <w:b/>
          <w:bCs/>
          <w:sz w:val="21"/>
          <w:szCs w:val="21"/>
          <w:highlight w:val="none"/>
        </w:rPr>
        <w:t>运营期内享有使用权，中标人自筹资金建设部分产权归属中标人。</w:t>
      </w:r>
      <w:r>
        <w:rPr>
          <w:rFonts w:hint="eastAsia" w:ascii="宋体" w:hAnsi="宋体" w:cs="宋体"/>
          <w:sz w:val="21"/>
          <w:szCs w:val="21"/>
          <w:highlight w:val="none"/>
        </w:rPr>
        <w:t>本项目合作期满（即服务期限届满之日）后，中标人在项目实施及运维期间形成、购置或受让的全部资产（包括但不限于硬件设备、软件系统平台、源代码、技术文档、数据资料及知识产权等），其所有权均归采购人所有。中标人须在合作期满后（60日）内，配合采购人完成资产清点、移交及产权变更登记等手续。注：投标人须就此项内容提供专项承诺函，并加盖投标人公章，格式自拟。</w:t>
      </w:r>
    </w:p>
    <w:p w14:paraId="57BB9618">
      <w:pPr>
        <w:pStyle w:val="70"/>
        <w:spacing w:line="360" w:lineRule="exact"/>
        <w:ind w:firstLine="420" w:firstLineChars="200"/>
        <w:jc w:val="both"/>
        <w:rPr>
          <w:rFonts w:hint="eastAsia" w:ascii="宋体" w:hAnsi="宋体" w:cs="宋体"/>
          <w:sz w:val="21"/>
          <w:szCs w:val="21"/>
          <w:highlight w:val="none"/>
        </w:rPr>
      </w:pPr>
      <w:r>
        <w:rPr>
          <w:rFonts w:hint="eastAsia" w:ascii="宋体" w:hAnsi="宋体" w:cs="宋体"/>
          <w:sz w:val="21"/>
          <w:szCs w:val="21"/>
          <w:highlight w:val="none"/>
        </w:rPr>
        <w:t>2.2 项目成果知识产权：采购人享有本项目实施过程中产生的全部知识成果及知识产权（包括但不限于专利权、著作权、软件著作权、技术秘密等）。</w:t>
      </w:r>
    </w:p>
    <w:p w14:paraId="471E9FE9">
      <w:pPr>
        <w:pStyle w:val="70"/>
        <w:spacing w:line="360" w:lineRule="exact"/>
        <w:ind w:firstLine="420" w:firstLineChars="200"/>
        <w:jc w:val="both"/>
        <w:rPr>
          <w:rFonts w:hint="eastAsia" w:ascii="宋体" w:hAnsi="宋体" w:cs="宋体"/>
          <w:sz w:val="21"/>
          <w:szCs w:val="21"/>
          <w:highlight w:val="none"/>
        </w:rPr>
      </w:pPr>
      <w:r>
        <w:rPr>
          <w:rFonts w:hint="eastAsia" w:ascii="宋体" w:hAnsi="宋体" w:cs="宋体"/>
          <w:sz w:val="21"/>
          <w:szCs w:val="21"/>
          <w:highlight w:val="none"/>
          <w:lang w:eastAsia="zh-CN"/>
        </w:rPr>
        <w:t>3.</w:t>
      </w:r>
      <w:r>
        <w:rPr>
          <w:rFonts w:hint="eastAsia" w:ascii="宋体" w:hAnsi="宋体" w:cs="宋体"/>
          <w:sz w:val="21"/>
          <w:szCs w:val="21"/>
          <w:highlight w:val="none"/>
        </w:rPr>
        <w:t>违约责任</w:t>
      </w:r>
    </w:p>
    <w:p w14:paraId="2384804E">
      <w:pPr>
        <w:pStyle w:val="70"/>
        <w:spacing w:line="360" w:lineRule="exact"/>
        <w:ind w:firstLine="420" w:firstLineChars="200"/>
        <w:jc w:val="both"/>
        <w:rPr>
          <w:rFonts w:hint="eastAsia" w:ascii="宋体" w:hAnsi="宋体" w:cs="宋体"/>
          <w:sz w:val="21"/>
          <w:szCs w:val="21"/>
          <w:highlight w:val="none"/>
        </w:rPr>
      </w:pPr>
      <w:r>
        <w:rPr>
          <w:rFonts w:hint="eastAsia" w:ascii="宋体" w:hAnsi="宋体" w:cs="宋体"/>
          <w:sz w:val="21"/>
          <w:szCs w:val="21"/>
          <w:highlight w:val="none"/>
        </w:rPr>
        <w:t>3.1中标人所交付的产品不符合本项目合同约定的，采购人有权拒收，且有权终止履行涉及不符合要求部分的相关合同条款。同时，中标人应向采购人支付相当于建设金额（即</w:t>
      </w:r>
      <w:r>
        <w:rPr>
          <w:rFonts w:hint="eastAsia" w:ascii="宋体" w:hAnsi="宋体" w:cs="宋体"/>
          <w:sz w:val="21"/>
          <w:highlight w:val="none"/>
        </w:rPr>
        <w:t>采购人出资部分中标金额</w:t>
      </w:r>
      <w:r>
        <w:rPr>
          <w:rFonts w:hint="eastAsia" w:ascii="宋体" w:hAnsi="宋体" w:cs="宋体"/>
          <w:sz w:val="21"/>
          <w:szCs w:val="21"/>
          <w:highlight w:val="none"/>
        </w:rPr>
        <w:t>）5%的违约金。</w:t>
      </w:r>
    </w:p>
    <w:bookmarkEnd w:id="153"/>
    <w:bookmarkEnd w:id="154"/>
    <w:bookmarkEnd w:id="155"/>
    <w:bookmarkEnd w:id="156"/>
    <w:p w14:paraId="724983E8">
      <w:pPr>
        <w:spacing w:line="360" w:lineRule="exact"/>
        <w:ind w:firstLine="420" w:firstLineChars="200"/>
        <w:outlineLvl w:val="2"/>
        <w:rPr>
          <w:rFonts w:hint="eastAsia" w:ascii="宋体" w:hAnsi="宋体" w:cs="宋体"/>
          <w:b/>
          <w:bCs/>
          <w:szCs w:val="21"/>
          <w:highlight w:val="none"/>
        </w:rPr>
      </w:pPr>
      <w:r>
        <w:rPr>
          <w:rFonts w:hint="eastAsia" w:ascii="宋体" w:hAnsi="宋体" w:cs="宋体"/>
          <w:szCs w:val="21"/>
          <w:highlight w:val="none"/>
          <w:lang w:eastAsia="zh-CN"/>
        </w:rPr>
        <w:t>4.</w:t>
      </w:r>
      <w:r>
        <w:rPr>
          <w:rFonts w:hint="eastAsia" w:ascii="宋体" w:hAnsi="宋体" w:cs="宋体"/>
          <w:b/>
          <w:bCs/>
          <w:szCs w:val="21"/>
          <w:highlight w:val="none"/>
        </w:rPr>
        <w:t>其他要求</w:t>
      </w:r>
    </w:p>
    <w:p w14:paraId="11C673BE">
      <w:pPr>
        <w:pStyle w:val="9"/>
        <w:adjustRightInd w:val="0"/>
        <w:snapToGrid w:val="0"/>
        <w:spacing w:line="360" w:lineRule="exact"/>
        <w:textAlignment w:val="baseline"/>
        <w:rPr>
          <w:rFonts w:hint="eastAsia" w:ascii="宋体" w:hAnsi="宋体" w:cs="宋体"/>
          <w:sz w:val="21"/>
          <w:szCs w:val="21"/>
          <w:highlight w:val="none"/>
        </w:rPr>
      </w:pPr>
      <w:r>
        <w:rPr>
          <w:rFonts w:hint="eastAsia" w:ascii="宋体" w:hAnsi="宋体" w:cs="宋体"/>
          <w:kern w:val="2"/>
          <w:sz w:val="21"/>
          <w:szCs w:val="21"/>
          <w:highlight w:val="none"/>
        </w:rPr>
        <w:t>4.1</w:t>
      </w:r>
      <w:r>
        <w:rPr>
          <w:rFonts w:hint="eastAsia" w:ascii="宋体" w:hAnsi="宋体" w:cs="宋体"/>
          <w:sz w:val="21"/>
          <w:szCs w:val="21"/>
          <w:highlight w:val="none"/>
        </w:rPr>
        <w:t>本招标文件要求服务所发生的一切费用均包含在投标总价中。</w:t>
      </w:r>
    </w:p>
    <w:p w14:paraId="29FE8C4C">
      <w:pPr>
        <w:pStyle w:val="9"/>
        <w:snapToGrid w:val="0"/>
        <w:spacing w:line="360" w:lineRule="exact"/>
        <w:rPr>
          <w:rFonts w:hint="eastAsia" w:ascii="宋体" w:hAnsi="宋体" w:cs="宋体"/>
          <w:sz w:val="21"/>
          <w:szCs w:val="21"/>
          <w:highlight w:val="none"/>
        </w:rPr>
      </w:pPr>
      <w:r>
        <w:rPr>
          <w:rFonts w:hint="eastAsia" w:ascii="宋体" w:hAnsi="宋体" w:cs="宋体"/>
          <w:kern w:val="2"/>
          <w:sz w:val="21"/>
          <w:szCs w:val="21"/>
          <w:highlight w:val="none"/>
        </w:rPr>
        <w:t>4.2</w:t>
      </w:r>
      <w:r>
        <w:rPr>
          <w:rFonts w:hint="eastAsia" w:ascii="宋体" w:hAnsi="宋体" w:cs="宋体"/>
          <w:sz w:val="21"/>
          <w:szCs w:val="21"/>
          <w:highlight w:val="none"/>
        </w:rPr>
        <w:t>采购人对本项目有保密要求。投标人不得以任何形式向与本项目无关的其他单位或人员提供招标文件及所附的有关资料，如违反，必须赔偿因此造成的招标公司和采购人所有损失，且招标公司和采购人保留追究法律责任的权力。</w:t>
      </w:r>
    </w:p>
    <w:p w14:paraId="58A72772">
      <w:pPr>
        <w:pStyle w:val="9"/>
        <w:snapToGrid w:val="0"/>
        <w:spacing w:line="360" w:lineRule="exact"/>
        <w:rPr>
          <w:rFonts w:hint="eastAsia" w:ascii="宋体" w:hAnsi="宋体" w:cs="宋体"/>
          <w:sz w:val="21"/>
          <w:szCs w:val="21"/>
          <w:highlight w:val="none"/>
        </w:rPr>
      </w:pPr>
      <w:r>
        <w:rPr>
          <w:rFonts w:hint="eastAsia" w:ascii="宋体" w:hAnsi="宋体" w:cs="宋体"/>
          <w:kern w:val="2"/>
          <w:sz w:val="21"/>
          <w:szCs w:val="21"/>
          <w:highlight w:val="none"/>
        </w:rPr>
        <w:t>4.3</w:t>
      </w:r>
      <w:r>
        <w:rPr>
          <w:rFonts w:hint="eastAsia" w:ascii="宋体" w:hAnsi="宋体" w:cs="宋体"/>
          <w:sz w:val="21"/>
          <w:szCs w:val="21"/>
          <w:highlight w:val="none"/>
        </w:rPr>
        <w:t>所有开发的应用软件未经采购人书面许可，所有版本中不得使用软件加密、硬件加密措施或软硬复合加密等措施，不得设定软件运行时间限制。</w:t>
      </w:r>
    </w:p>
    <w:p w14:paraId="77397B0D">
      <w:pPr>
        <w:pStyle w:val="9"/>
        <w:snapToGrid w:val="0"/>
        <w:spacing w:line="360" w:lineRule="exact"/>
        <w:rPr>
          <w:rFonts w:hint="eastAsia" w:ascii="宋体" w:hAnsi="宋体" w:cs="宋体"/>
          <w:sz w:val="21"/>
          <w:szCs w:val="21"/>
          <w:highlight w:val="none"/>
        </w:rPr>
      </w:pPr>
      <w:r>
        <w:rPr>
          <w:rFonts w:hint="eastAsia" w:ascii="宋体" w:hAnsi="宋体" w:cs="宋体"/>
          <w:kern w:val="2"/>
          <w:sz w:val="21"/>
          <w:szCs w:val="21"/>
          <w:highlight w:val="none"/>
        </w:rPr>
        <w:t>4.</w:t>
      </w:r>
      <w:r>
        <w:rPr>
          <w:rFonts w:hint="eastAsia" w:ascii="宋体" w:hAnsi="宋体" w:cs="宋体"/>
          <w:sz w:val="21"/>
          <w:szCs w:val="21"/>
          <w:highlight w:val="none"/>
        </w:rPr>
        <w:t>4中标人应提供本项目应用软件开发的所有源代码，包括但不限于源代码结构说明、系统依赖包列表、编译操作手册、系统代码结构及说明、部署信息说明、源代码压缩包、系统依赖库压缩包等，源代码须有详细的注释，注释不低于代码总量的30%。系统产品和设计成果需完整安装在采购人指定的服务器上，并保障系统运行稳定、访问正常。</w:t>
      </w:r>
    </w:p>
    <w:p w14:paraId="7366E3BA">
      <w:pPr>
        <w:pStyle w:val="9"/>
        <w:snapToGrid w:val="0"/>
        <w:spacing w:line="360" w:lineRule="exact"/>
        <w:rPr>
          <w:rFonts w:hint="eastAsia" w:ascii="宋体" w:hAnsi="宋体" w:cs="宋体"/>
          <w:sz w:val="21"/>
          <w:szCs w:val="21"/>
          <w:highlight w:val="none"/>
        </w:rPr>
      </w:pPr>
      <w:r>
        <w:rPr>
          <w:rFonts w:hint="eastAsia" w:ascii="宋体" w:hAnsi="宋体" w:cs="宋体"/>
          <w:kern w:val="2"/>
          <w:sz w:val="21"/>
          <w:szCs w:val="21"/>
          <w:highlight w:val="none"/>
        </w:rPr>
        <w:t>4.5</w:t>
      </w:r>
      <w:r>
        <w:rPr>
          <w:rFonts w:hint="eastAsia" w:ascii="宋体" w:hAnsi="宋体" w:cs="宋体"/>
          <w:sz w:val="21"/>
          <w:szCs w:val="21"/>
          <w:highlight w:val="none"/>
        </w:rPr>
        <w:t>针对本项目，中标人应提供基于本项目二次开发的源代码及技术文档。中标人在项目前原已具有知识产权相关产品的所有权利归各自所有，采购人在项目合同范围内享有永久免费使用权。在已有产品基础上为采购人开发符合采购人需求的产品，针对该定制产品的二次开发源代码及相关技术文档采购人享有合法的所有权、知识产权。采购人享有本项目所开发的软件及相关技术成果的知识产权和所有权，中标人不具有干涉采购人将项目合同项下软件开放给其他第三方使用的权利。中标人履行本项目义务所产生的工作成果将用于本项目，本项目的一切权利包括但不限于知识产权和所有权均归采购人所有，采购人有权将其以任何形式提供给第三方使用或转让给第三方。</w:t>
      </w:r>
    </w:p>
    <w:p w14:paraId="62CEB6A0">
      <w:pPr>
        <w:snapToGrid w:val="0"/>
        <w:spacing w:line="360" w:lineRule="exact"/>
        <w:ind w:firstLine="422" w:firstLineChars="200"/>
        <w:rPr>
          <w:rFonts w:hint="eastAsia" w:ascii="宋体" w:hAnsi="宋体" w:cs="宋体"/>
          <w:b/>
          <w:bCs/>
          <w:szCs w:val="21"/>
          <w:highlight w:val="none"/>
        </w:rPr>
      </w:pPr>
      <w:r>
        <w:rPr>
          <w:rFonts w:hint="eastAsia" w:ascii="宋体" w:hAnsi="宋体" w:eastAsia="宋体" w:cs="宋体"/>
          <w:b/>
          <w:bCs/>
          <w:sz w:val="21"/>
          <w:szCs w:val="21"/>
          <w:highlight w:val="none"/>
          <w:shd w:val="clear"/>
        </w:rPr>
        <w:t>4.6</w:t>
      </w:r>
      <w:r>
        <w:rPr>
          <w:rFonts w:hint="eastAsia" w:ascii="宋体" w:hAnsi="宋体" w:cs="宋体"/>
          <w:b/>
          <w:bCs/>
          <w:szCs w:val="21"/>
          <w:highlight w:val="none"/>
        </w:rPr>
        <w:t>该项目在实施过程中产生的新旧软硬件割接费用、系统对接费用均由中标方自行承担。</w:t>
      </w:r>
    </w:p>
    <w:p w14:paraId="125A1B9C">
      <w:pPr>
        <w:pStyle w:val="2"/>
        <w:spacing w:line="360" w:lineRule="exact"/>
        <w:rPr>
          <w:rFonts w:hint="eastAsia" w:ascii="宋体" w:hAnsi="宋体" w:eastAsia="宋体" w:cs="宋体"/>
          <w:sz w:val="21"/>
          <w:szCs w:val="21"/>
          <w:highlight w:val="none"/>
        </w:rPr>
      </w:pPr>
    </w:p>
    <w:p w14:paraId="6BA3912D">
      <w:pPr>
        <w:pStyle w:val="70"/>
        <w:spacing w:line="360" w:lineRule="exact"/>
        <w:outlineLvl w:val="1"/>
        <w:rPr>
          <w:rFonts w:hint="eastAsia" w:ascii="宋体" w:hAnsi="宋体" w:cs="宋体"/>
          <w:sz w:val="21"/>
          <w:szCs w:val="21"/>
          <w:highlight w:val="none"/>
        </w:rPr>
      </w:pPr>
      <w:r>
        <w:rPr>
          <w:rFonts w:hint="eastAsia" w:ascii="宋体" w:hAnsi="宋体" w:cs="宋体"/>
          <w:b/>
          <w:sz w:val="21"/>
          <w:szCs w:val="21"/>
          <w:highlight w:val="none"/>
        </w:rPr>
        <w:t>四、其他事项</w:t>
      </w:r>
      <w:bookmarkEnd w:id="157"/>
    </w:p>
    <w:p w14:paraId="1642DA55">
      <w:pPr>
        <w:pStyle w:val="70"/>
        <w:spacing w:line="360" w:lineRule="exact"/>
        <w:ind w:firstLine="482"/>
        <w:jc w:val="both"/>
        <w:rPr>
          <w:rFonts w:hint="eastAsia" w:ascii="宋体" w:hAnsi="宋体" w:cs="宋体"/>
          <w:sz w:val="21"/>
          <w:szCs w:val="21"/>
          <w:highlight w:val="none"/>
        </w:rPr>
      </w:pPr>
      <w:r>
        <w:rPr>
          <w:rFonts w:hint="eastAsia" w:ascii="宋体" w:hAnsi="宋体" w:cs="宋体"/>
          <w:sz w:val="21"/>
          <w:szCs w:val="21"/>
          <w:highlight w:val="none"/>
        </w:rPr>
        <w:t>1.除招标文件另有规定外，若出现有关</w:t>
      </w:r>
      <w:r>
        <w:rPr>
          <w:rFonts w:hint="eastAsia" w:ascii="宋体" w:hAnsi="宋体" w:cs="宋体"/>
          <w:sz w:val="21"/>
          <w:szCs w:val="21"/>
          <w:highlight w:val="none"/>
          <w:lang w:eastAsia="zh-CN"/>
        </w:rPr>
        <w:t>法律法规</w:t>
      </w:r>
      <w:r>
        <w:rPr>
          <w:rFonts w:hint="eastAsia" w:ascii="宋体" w:hAnsi="宋体" w:cs="宋体"/>
          <w:sz w:val="21"/>
          <w:szCs w:val="21"/>
          <w:highlight w:val="none"/>
        </w:rPr>
        <w:t>和规章有强制性规定但招标文件未列明的情形，则投标人应按照有关</w:t>
      </w:r>
      <w:r>
        <w:rPr>
          <w:rFonts w:hint="eastAsia" w:ascii="宋体" w:hAnsi="宋体" w:cs="宋体"/>
          <w:sz w:val="21"/>
          <w:szCs w:val="21"/>
          <w:highlight w:val="none"/>
          <w:lang w:eastAsia="zh-CN"/>
        </w:rPr>
        <w:t>法律法规</w:t>
      </w:r>
      <w:r>
        <w:rPr>
          <w:rFonts w:hint="eastAsia" w:ascii="宋体" w:hAnsi="宋体" w:cs="宋体"/>
          <w:sz w:val="21"/>
          <w:szCs w:val="21"/>
          <w:highlight w:val="none"/>
        </w:rPr>
        <w:t>和规章强制性规定执行。</w:t>
      </w:r>
    </w:p>
    <w:p w14:paraId="223A42B1">
      <w:pPr>
        <w:pStyle w:val="70"/>
        <w:spacing w:line="360" w:lineRule="exact"/>
        <w:ind w:firstLine="482"/>
        <w:jc w:val="both"/>
        <w:rPr>
          <w:rFonts w:hint="eastAsia" w:ascii="宋体" w:hAnsi="宋体" w:cs="宋体"/>
          <w:sz w:val="21"/>
          <w:szCs w:val="21"/>
          <w:highlight w:val="none"/>
        </w:rPr>
      </w:pPr>
      <w:r>
        <w:rPr>
          <w:rFonts w:hint="eastAsia" w:ascii="宋体" w:hAnsi="宋体" w:cs="宋体"/>
          <w:sz w:val="21"/>
          <w:szCs w:val="21"/>
          <w:highlight w:val="none"/>
        </w:rPr>
        <w:t>2.投标人选定的投标货物技术性能必须符合或优于招标文件的技术性能要求，本文所述技术要求，应视为保证涉及系统运行所需的最低要求，如有遗漏，投标人应予以补充，否则，一旦中标将认为投标人认同遗漏部分并免费提供。</w:t>
      </w:r>
    </w:p>
    <w:p w14:paraId="0FACFF45">
      <w:pPr>
        <w:pStyle w:val="70"/>
        <w:spacing w:line="360" w:lineRule="exact"/>
        <w:ind w:firstLine="482"/>
        <w:rPr>
          <w:rFonts w:hint="eastAsia" w:ascii="宋体" w:hAnsi="宋体" w:cs="宋体"/>
          <w:sz w:val="21"/>
          <w:szCs w:val="21"/>
          <w:highlight w:val="none"/>
        </w:rPr>
      </w:pPr>
      <w:r>
        <w:rPr>
          <w:rFonts w:hint="eastAsia" w:ascii="宋体" w:hAnsi="宋体" w:cs="宋体"/>
          <w:sz w:val="21"/>
          <w:szCs w:val="21"/>
          <w:highlight w:val="none"/>
        </w:rPr>
        <w:t>3.“一、项目概况”“四、其他事项”项下为告知性内容，投标人无需在技术和服务要求响应表或商务条件响应表中响应但必须遵循，请各投标人务必仔细阅读、遵守上述两项下所有细则。</w:t>
      </w:r>
    </w:p>
    <w:p w14:paraId="3FEE63C6">
      <w:pPr>
        <w:pStyle w:val="10"/>
        <w:spacing w:line="420" w:lineRule="exact"/>
        <w:jc w:val="center"/>
        <w:outlineLvl w:val="0"/>
        <w:rPr>
          <w:rFonts w:hint="eastAsia" w:ascii="宋体" w:hAnsi="宋体" w:cs="宋体"/>
          <w:b/>
          <w:sz w:val="32"/>
          <w:szCs w:val="32"/>
          <w:highlight w:val="none"/>
        </w:rPr>
      </w:pPr>
      <w:r>
        <w:rPr>
          <w:rFonts w:hint="eastAsia" w:ascii="宋体" w:hAnsi="宋体" w:cs="宋体"/>
          <w:sz w:val="32"/>
          <w:szCs w:val="32"/>
          <w:highlight w:val="none"/>
        </w:rPr>
        <w:br w:type="page"/>
      </w:r>
      <w:bookmarkStart w:id="158" w:name="_Toc30200"/>
      <w:bookmarkStart w:id="159" w:name="_Toc18749"/>
      <w:bookmarkStart w:id="160" w:name="_Toc38959633"/>
      <w:r>
        <w:rPr>
          <w:rFonts w:hint="eastAsia" w:ascii="宋体" w:hAnsi="宋体" w:cs="宋体"/>
          <w:b/>
          <w:sz w:val="36"/>
          <w:highlight w:val="none"/>
        </w:rPr>
        <w:t>第六章 采购合同（参考文本）</w:t>
      </w:r>
      <w:bookmarkEnd w:id="158"/>
      <w:bookmarkEnd w:id="159"/>
      <w:bookmarkEnd w:id="160"/>
    </w:p>
    <w:p w14:paraId="2692B256">
      <w:pPr>
        <w:pStyle w:val="10"/>
        <w:spacing w:before="59" w:beforeAutospacing="0" w:after="59" w:afterAutospacing="0"/>
        <w:rPr>
          <w:rFonts w:hint="eastAsia" w:ascii="宋体" w:hAnsi="宋体" w:cs="宋体"/>
          <w:highlight w:val="none"/>
        </w:rPr>
      </w:pPr>
      <w:r>
        <w:rPr>
          <w:rFonts w:hint="eastAsia" w:ascii="宋体" w:hAnsi="宋体" w:cs="宋体"/>
          <w:sz w:val="19"/>
          <w:szCs w:val="19"/>
          <w:highlight w:val="none"/>
        </w:rPr>
        <w:t> </w:t>
      </w:r>
    </w:p>
    <w:p w14:paraId="1743E5E0">
      <w:pPr>
        <w:pStyle w:val="10"/>
        <w:spacing w:before="59" w:beforeAutospacing="0" w:after="59" w:afterAutospacing="0"/>
        <w:jc w:val="center"/>
        <w:outlineLvl w:val="1"/>
        <w:rPr>
          <w:rFonts w:hint="eastAsia" w:ascii="宋体" w:hAnsi="宋体" w:cs="宋体"/>
          <w:highlight w:val="none"/>
        </w:rPr>
      </w:pPr>
      <w:bookmarkStart w:id="161" w:name="_Toc25740"/>
      <w:r>
        <w:rPr>
          <w:rStyle w:val="34"/>
          <w:rFonts w:hint="eastAsia" w:ascii="宋体" w:hAnsi="宋体" w:cs="宋体"/>
          <w:highlight w:val="none"/>
        </w:rPr>
        <w:t>编制说明</w:t>
      </w:r>
      <w:bookmarkEnd w:id="161"/>
    </w:p>
    <w:p w14:paraId="7C3BA099">
      <w:pPr>
        <w:pStyle w:val="10"/>
        <w:spacing w:before="0" w:beforeAutospacing="0" w:after="0" w:afterAutospacing="0" w:line="340" w:lineRule="exact"/>
        <w:rPr>
          <w:rFonts w:hint="eastAsia" w:ascii="宋体" w:hAnsi="宋体" w:cs="宋体"/>
          <w:highlight w:val="none"/>
        </w:rPr>
      </w:pPr>
      <w:r>
        <w:rPr>
          <w:rStyle w:val="34"/>
          <w:rFonts w:hint="eastAsia" w:ascii="宋体" w:hAnsi="宋体" w:cs="宋体"/>
          <w:highlight w:val="none"/>
          <w:lang w:eastAsia="zh-CN"/>
        </w:rPr>
        <w:t>1.</w:t>
      </w:r>
      <w:r>
        <w:rPr>
          <w:rStyle w:val="34"/>
          <w:rFonts w:hint="eastAsia" w:ascii="宋体" w:hAnsi="宋体" w:cs="宋体"/>
          <w:highlight w:val="none"/>
        </w:rPr>
        <w:t>签订合同应遵守政府采购法、民法典。</w:t>
      </w:r>
    </w:p>
    <w:p w14:paraId="256BB6A5">
      <w:pPr>
        <w:pStyle w:val="10"/>
        <w:spacing w:before="0" w:beforeAutospacing="0" w:after="0" w:afterAutospacing="0" w:line="340" w:lineRule="exact"/>
        <w:rPr>
          <w:rFonts w:hint="eastAsia" w:ascii="宋体" w:hAnsi="宋体" w:cs="宋体"/>
          <w:highlight w:val="none"/>
        </w:rPr>
      </w:pPr>
      <w:r>
        <w:rPr>
          <w:rStyle w:val="34"/>
          <w:rFonts w:hint="eastAsia" w:ascii="宋体" w:hAnsi="宋体" w:cs="宋体"/>
          <w:highlight w:val="none"/>
          <w:lang w:eastAsia="zh-CN"/>
        </w:rPr>
        <w:t>2.</w:t>
      </w:r>
      <w:r>
        <w:rPr>
          <w:rStyle w:val="34"/>
          <w:rFonts w:hint="eastAsia" w:ascii="宋体" w:hAnsi="宋体" w:cs="宋体"/>
          <w:highlight w:val="none"/>
        </w:rPr>
        <w:t>签订合同时，应结合招标文件第五章规定填列相应内容。招标文件第五章已有规定的，</w:t>
      </w:r>
      <w:bookmarkStart w:id="162" w:name="OLE_LINK4"/>
      <w:r>
        <w:rPr>
          <w:rStyle w:val="34"/>
          <w:rFonts w:hint="eastAsia" w:ascii="宋体" w:hAnsi="宋体" w:cs="宋体"/>
          <w:highlight w:val="none"/>
          <w:lang w:val="en-US" w:eastAsia="zh-CN"/>
        </w:rPr>
        <w:t>三</w:t>
      </w:r>
      <w:bookmarkEnd w:id="162"/>
      <w:r>
        <w:rPr>
          <w:rStyle w:val="34"/>
          <w:rFonts w:hint="eastAsia" w:ascii="宋体" w:hAnsi="宋体" w:cs="宋体"/>
          <w:highlight w:val="none"/>
        </w:rPr>
        <w:t>方均不得变更或调整；招标文件第五章未作规定的，</w:t>
      </w:r>
      <w:r>
        <w:rPr>
          <w:rStyle w:val="34"/>
          <w:rFonts w:hint="eastAsia" w:ascii="宋体" w:hAnsi="宋体" w:cs="宋体"/>
          <w:highlight w:val="none"/>
          <w:lang w:val="en-US" w:eastAsia="zh-CN"/>
        </w:rPr>
        <w:t>三</w:t>
      </w:r>
      <w:r>
        <w:rPr>
          <w:rStyle w:val="34"/>
          <w:rFonts w:hint="eastAsia" w:ascii="宋体" w:hAnsi="宋体" w:cs="宋体"/>
          <w:highlight w:val="none"/>
        </w:rPr>
        <w:t>方可通过友好协商进行约定。</w:t>
      </w:r>
    </w:p>
    <w:p w14:paraId="2E9990BC">
      <w:pPr>
        <w:pStyle w:val="10"/>
        <w:spacing w:before="0" w:beforeAutospacing="0" w:after="0" w:afterAutospacing="0" w:line="340" w:lineRule="exact"/>
        <w:rPr>
          <w:rFonts w:hint="eastAsia" w:ascii="宋体" w:hAnsi="宋体" w:cs="宋体"/>
          <w:highlight w:val="none"/>
        </w:rPr>
      </w:pPr>
      <w:r>
        <w:rPr>
          <w:rStyle w:val="34"/>
          <w:rFonts w:hint="eastAsia" w:ascii="宋体" w:hAnsi="宋体" w:cs="宋体"/>
          <w:highlight w:val="none"/>
          <w:lang w:eastAsia="zh-CN"/>
        </w:rPr>
        <w:t>3.</w:t>
      </w:r>
      <w:r>
        <w:rPr>
          <w:rStyle w:val="34"/>
          <w:rFonts w:hint="eastAsia" w:ascii="宋体" w:hAnsi="宋体" w:cs="宋体"/>
          <w:highlight w:val="none"/>
        </w:rPr>
        <w:t>国家有关部门对若干合同有规范文本的，可使用相应合同文本。</w:t>
      </w:r>
    </w:p>
    <w:p w14:paraId="03A9B230">
      <w:pPr>
        <w:pStyle w:val="70"/>
        <w:spacing w:line="400" w:lineRule="exact"/>
        <w:rPr>
          <w:rFonts w:hint="eastAsia" w:ascii="宋体" w:hAnsi="宋体" w:cs="宋体"/>
          <w:sz w:val="24"/>
          <w:szCs w:val="24"/>
          <w:highlight w:val="none"/>
        </w:rPr>
      </w:pPr>
    </w:p>
    <w:p w14:paraId="6E2DD879">
      <w:pPr>
        <w:pStyle w:val="70"/>
        <w:spacing w:line="400" w:lineRule="exact"/>
        <w:rPr>
          <w:rFonts w:hint="eastAsia" w:ascii="宋体" w:hAnsi="宋体" w:cs="宋体"/>
          <w:b/>
          <w:bCs/>
          <w:sz w:val="24"/>
          <w:szCs w:val="24"/>
          <w:highlight w:val="none"/>
        </w:rPr>
      </w:pPr>
      <w:r>
        <w:rPr>
          <w:rFonts w:hint="eastAsia" w:ascii="宋体" w:hAnsi="宋体" w:cs="宋体"/>
          <w:b/>
          <w:bCs/>
          <w:sz w:val="24"/>
          <w:szCs w:val="24"/>
          <w:highlight w:val="none"/>
        </w:rPr>
        <w:t>甲方：</w:t>
      </w:r>
    </w:p>
    <w:p w14:paraId="472BE3A8">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shd w:val="clear"/>
          <w:lang w:val="en-US" w:eastAsia="zh-CN"/>
        </w:rPr>
        <w:t>项目业主单位：</w:t>
      </w:r>
      <w:r>
        <w:rPr>
          <w:rFonts w:hint="eastAsia" w:ascii="宋体" w:hAnsi="宋体" w:cs="宋体"/>
          <w:sz w:val="24"/>
          <w:szCs w:val="24"/>
          <w:highlight w:val="none"/>
          <w:u w:val="none"/>
          <w:shd w:val="clear"/>
          <w:lang w:val="en-US" w:eastAsia="zh-CN"/>
        </w:rPr>
        <w:t>数字福建鼓楼示范区建设领导小组办公室</w:t>
      </w:r>
    </w:p>
    <w:p w14:paraId="29152064">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住所地：________________</w:t>
      </w:r>
    </w:p>
    <w:p w14:paraId="2AF0FD8D">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联系人：________________</w:t>
      </w:r>
    </w:p>
    <w:p w14:paraId="605A394A">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联系电话：______________</w:t>
      </w:r>
    </w:p>
    <w:p w14:paraId="32E7EB95">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传真：________________</w:t>
      </w:r>
    </w:p>
    <w:p w14:paraId="264B9000">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电子邮箱：________________</w:t>
      </w:r>
      <w:r>
        <w:rPr>
          <w:rFonts w:hint="eastAsia" w:ascii="宋体" w:hAnsi="宋体" w:cs="宋体"/>
          <w:sz w:val="24"/>
          <w:szCs w:val="24"/>
          <w:highlight w:val="none"/>
        </w:rPr>
        <w:br w:type="textWrapping"/>
      </w:r>
    </w:p>
    <w:p w14:paraId="13910615">
      <w:pPr>
        <w:pStyle w:val="70"/>
        <w:spacing w:line="400" w:lineRule="exact"/>
        <w:rPr>
          <w:rFonts w:hint="eastAsia" w:ascii="宋体" w:hAnsi="宋体" w:eastAsia="宋体" w:cs="Times New Roman"/>
          <w:b w:val="0"/>
          <w:bCs w:val="0"/>
          <w:color w:val="000000"/>
          <w:sz w:val="24"/>
          <w:szCs w:val="20"/>
          <w:highlight w:val="none"/>
          <w:u w:val="single"/>
          <w:shd w:val="clear" w:color="auto" w:fill="FFFFFF"/>
          <w:lang w:val="en-US" w:eastAsia="zh-CN" w:bidi="en-US"/>
        </w:rPr>
      </w:pPr>
      <w:r>
        <w:rPr>
          <w:rFonts w:hint="eastAsia" w:ascii="宋体" w:hAnsi="宋体" w:eastAsia="宋体" w:cs="宋体"/>
          <w:b w:val="0"/>
          <w:bCs w:val="0"/>
          <w:sz w:val="24"/>
          <w:szCs w:val="24"/>
          <w:highlight w:val="none"/>
          <w:shd w:val="clear"/>
          <w:lang w:val="en-US" w:eastAsia="zh-CN" w:bidi="en-US"/>
        </w:rPr>
        <w:t>项目</w:t>
      </w:r>
      <w:r>
        <w:rPr>
          <w:rFonts w:hint="eastAsia" w:ascii="宋体" w:hAnsi="宋体" w:cs="宋体"/>
          <w:b w:val="0"/>
          <w:bCs w:val="0"/>
          <w:sz w:val="24"/>
          <w:szCs w:val="24"/>
          <w:highlight w:val="none"/>
          <w:shd w:val="clear"/>
          <w:lang w:val="en-US" w:eastAsia="zh-CN" w:bidi="en-US"/>
        </w:rPr>
        <w:t>代业主单位</w:t>
      </w:r>
      <w:r>
        <w:rPr>
          <w:rFonts w:hint="eastAsia" w:ascii="宋体" w:hAnsi="宋体" w:eastAsia="宋体" w:cs="宋体"/>
          <w:b w:val="0"/>
          <w:bCs w:val="0"/>
          <w:sz w:val="24"/>
          <w:szCs w:val="24"/>
          <w:highlight w:val="none"/>
          <w:shd w:val="clear"/>
          <w:lang w:val="en-US" w:eastAsia="zh-CN" w:bidi="en-US"/>
        </w:rPr>
        <w:t>：</w:t>
      </w:r>
      <w:r>
        <w:rPr>
          <w:rFonts w:hint="eastAsia" w:ascii="宋体" w:hAnsi="宋体" w:eastAsia="宋体" w:cs="宋体"/>
          <w:b w:val="0"/>
          <w:bCs w:val="0"/>
          <w:sz w:val="24"/>
          <w:szCs w:val="24"/>
          <w:highlight w:val="none"/>
          <w:u w:val="none"/>
          <w:shd w:val="clear"/>
          <w:lang w:val="en-US" w:eastAsia="zh-CN" w:bidi="en-US"/>
        </w:rPr>
        <w:t>福州市鼓楼区城建投资发展集团有限公司</w:t>
      </w:r>
    </w:p>
    <w:p w14:paraId="55AB11D7">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住所地：________________</w:t>
      </w:r>
    </w:p>
    <w:p w14:paraId="3B398B7E">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联系人：________________</w:t>
      </w:r>
    </w:p>
    <w:p w14:paraId="4EF80ADA">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联系电话：______________</w:t>
      </w:r>
    </w:p>
    <w:p w14:paraId="766A62FE">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传真：________________</w:t>
      </w:r>
    </w:p>
    <w:p w14:paraId="77B847FF">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电子邮箱：________________</w:t>
      </w:r>
    </w:p>
    <w:p w14:paraId="29EA9360">
      <w:pPr>
        <w:pStyle w:val="70"/>
        <w:spacing w:line="400" w:lineRule="exact"/>
        <w:rPr>
          <w:rFonts w:hint="eastAsia" w:ascii="宋体" w:hAnsi="宋体" w:cs="宋体"/>
          <w:sz w:val="24"/>
          <w:szCs w:val="24"/>
          <w:highlight w:val="none"/>
        </w:rPr>
      </w:pPr>
    </w:p>
    <w:p w14:paraId="4AC61850">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乙方： </w:t>
      </w:r>
    </w:p>
    <w:p w14:paraId="743C5E23">
      <w:pPr>
        <w:pStyle w:val="70"/>
        <w:spacing w:line="400" w:lineRule="exact"/>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单位名称：</w:t>
      </w:r>
    </w:p>
    <w:p w14:paraId="2435FE47">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住所地： ________________</w:t>
      </w:r>
    </w:p>
    <w:p w14:paraId="02687FAA">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联系人：______________</w:t>
      </w:r>
    </w:p>
    <w:p w14:paraId="7C29634E">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联系电话：______________</w:t>
      </w:r>
    </w:p>
    <w:p w14:paraId="38E0DFAD">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传真：________________</w:t>
      </w:r>
    </w:p>
    <w:p w14:paraId="04214D83">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电子邮箱：________________</w:t>
      </w:r>
    </w:p>
    <w:p w14:paraId="5C8565A4">
      <w:pPr>
        <w:pStyle w:val="70"/>
        <w:spacing w:line="400" w:lineRule="exact"/>
        <w:rPr>
          <w:rFonts w:hint="eastAsia" w:ascii="宋体" w:hAnsi="宋体" w:cs="宋体"/>
          <w:sz w:val="24"/>
          <w:szCs w:val="24"/>
          <w:highlight w:val="none"/>
        </w:rPr>
      </w:pPr>
    </w:p>
    <w:p w14:paraId="4CA65BE3">
      <w:pPr>
        <w:pStyle w:val="70"/>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根据项目编号为___________ 的 __________项目（以下简称：“本项目”）的采购结果，遵循平等、自愿、公平和诚实信用的原则，签署本合同，具体内容如下：</w:t>
      </w:r>
    </w:p>
    <w:p w14:paraId="77B6A6C9">
      <w:pPr>
        <w:pStyle w:val="70"/>
        <w:spacing w:line="400" w:lineRule="exact"/>
        <w:outlineLvl w:val="1"/>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63" w:name="_Toc28444"/>
      <w:r>
        <w:rPr>
          <w:rFonts w:hint="eastAsia" w:ascii="宋体" w:hAnsi="宋体" w:cs="宋体"/>
          <w:b/>
          <w:sz w:val="24"/>
          <w:szCs w:val="24"/>
          <w:highlight w:val="none"/>
        </w:rPr>
        <w:t>一、合同组成部分</w:t>
      </w:r>
      <w:bookmarkEnd w:id="163"/>
    </w:p>
    <w:p w14:paraId="16C672C6">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1.1本合同条款及附件；</w:t>
      </w:r>
    </w:p>
    <w:p w14:paraId="0A9D2FE6">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1.2采购文件及其附件、补充文件；</w:t>
      </w:r>
    </w:p>
    <w:p w14:paraId="371F9D7F">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1.3乙方的响应文件及其附件、补充文件；</w:t>
      </w:r>
    </w:p>
    <w:p w14:paraId="50012ED2">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1.4其他文件或材料：</w:t>
      </w:r>
    </w:p>
    <w:p w14:paraId="529657AE">
      <w:pPr>
        <w:pStyle w:val="70"/>
        <w:spacing w:line="400" w:lineRule="exact"/>
        <w:outlineLvl w:val="1"/>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64" w:name="_Toc10786"/>
      <w:r>
        <w:rPr>
          <w:rFonts w:hint="eastAsia" w:ascii="宋体" w:hAnsi="宋体" w:cs="宋体"/>
          <w:b/>
          <w:sz w:val="24"/>
          <w:szCs w:val="24"/>
          <w:highlight w:val="none"/>
        </w:rPr>
        <w:t>二、合同标的</w:t>
      </w:r>
      <w:r>
        <w:rPr>
          <w:rFonts w:hint="eastAsia" w:ascii="宋体" w:hAnsi="宋体" w:cs="宋体"/>
          <w:sz w:val="24"/>
          <w:szCs w:val="24"/>
          <w:highlight w:val="none"/>
        </w:rPr>
        <w:br w:type="textWrapping"/>
      </w:r>
      <w:bookmarkEnd w:id="164"/>
    </w:p>
    <w:p w14:paraId="4770C6AB">
      <w:pPr>
        <w:pStyle w:val="70"/>
        <w:spacing w:line="400" w:lineRule="exact"/>
        <w:outlineLvl w:val="1"/>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65" w:name="_Toc22624"/>
      <w:r>
        <w:rPr>
          <w:rFonts w:hint="eastAsia" w:ascii="宋体" w:hAnsi="宋体" w:cs="宋体"/>
          <w:b/>
          <w:sz w:val="24"/>
          <w:szCs w:val="24"/>
          <w:highlight w:val="none"/>
        </w:rPr>
        <w:t>三、价格形式及合同价款</w:t>
      </w:r>
      <w:bookmarkEnd w:id="165"/>
    </w:p>
    <w:p w14:paraId="3EC91342">
      <w:pPr>
        <w:pStyle w:val="70"/>
        <w:spacing w:line="400" w:lineRule="exact"/>
        <w:outlineLvl w:val="5"/>
        <w:rPr>
          <w:rFonts w:hint="eastAsia" w:ascii="宋体" w:hAnsi="宋体" w:cs="宋体"/>
          <w:sz w:val="24"/>
          <w:szCs w:val="24"/>
          <w:highlight w:val="none"/>
        </w:rPr>
      </w:pPr>
      <w:r>
        <w:rPr>
          <w:rFonts w:hint="eastAsia" w:ascii="宋体" w:hAnsi="宋体" w:cs="宋体"/>
          <w:b/>
          <w:sz w:val="24"/>
          <w:szCs w:val="24"/>
          <w:highlight w:val="none"/>
        </w:rPr>
        <w:t xml:space="preserve"> 3.1价格形式</w:t>
      </w:r>
    </w:p>
    <w:p w14:paraId="6BCC001F">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固定单价合同。完成约定服务事项的含税合同单价为：人民币（大写）元（￥ _____________元）。</w:t>
      </w:r>
    </w:p>
    <w:p w14:paraId="36A69329">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固定总价合同。完成约定服务事项的含税服务费用为：人民币（大写）元（￥_____________ 元）。</w:t>
      </w:r>
    </w:p>
    <w:p w14:paraId="388C8CD1">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其他方式。</w:t>
      </w:r>
    </w:p>
    <w:p w14:paraId="2606C094">
      <w:pPr>
        <w:pStyle w:val="70"/>
        <w:spacing w:line="400" w:lineRule="exact"/>
        <w:outlineLvl w:val="5"/>
        <w:rPr>
          <w:rFonts w:hint="eastAsia" w:ascii="宋体" w:hAnsi="宋体" w:cs="宋体"/>
          <w:sz w:val="24"/>
          <w:szCs w:val="24"/>
          <w:highlight w:val="none"/>
        </w:rPr>
      </w:pPr>
      <w:r>
        <w:rPr>
          <w:rFonts w:hint="eastAsia" w:ascii="宋体" w:hAnsi="宋体" w:cs="宋体"/>
          <w:b/>
          <w:sz w:val="24"/>
          <w:szCs w:val="24"/>
          <w:highlight w:val="none"/>
        </w:rPr>
        <w:t xml:space="preserve"> 3.2合同价款包含范围</w:t>
      </w:r>
    </w:p>
    <w:p w14:paraId="5C684673">
      <w:pPr>
        <w:pStyle w:val="70"/>
        <w:spacing w:line="400" w:lineRule="exact"/>
        <w:outlineLvl w:val="5"/>
        <w:rPr>
          <w:rFonts w:hint="eastAsia" w:ascii="宋体" w:hAnsi="宋体" w:cs="宋体"/>
          <w:sz w:val="24"/>
          <w:szCs w:val="24"/>
          <w:highlight w:val="none"/>
        </w:rPr>
      </w:pPr>
      <w:r>
        <w:rPr>
          <w:rFonts w:hint="eastAsia" w:ascii="宋体" w:hAnsi="宋体" w:cs="宋体"/>
          <w:b/>
          <w:sz w:val="24"/>
          <w:szCs w:val="24"/>
          <w:highlight w:val="none"/>
        </w:rPr>
        <w:t xml:space="preserve"> 3.3其他需说明的事项：</w:t>
      </w:r>
    </w:p>
    <w:p w14:paraId="3E5F0D7F">
      <w:pPr>
        <w:pStyle w:val="70"/>
        <w:spacing w:line="400" w:lineRule="exact"/>
        <w:outlineLvl w:val="2"/>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66" w:name="_Toc8549"/>
      <w:r>
        <w:rPr>
          <w:rFonts w:hint="eastAsia" w:ascii="宋体" w:hAnsi="宋体" w:cs="宋体"/>
          <w:b/>
          <w:sz w:val="24"/>
          <w:szCs w:val="24"/>
          <w:highlight w:val="none"/>
        </w:rPr>
        <w:t>四、合同标的及服务范围、地点和时间</w:t>
      </w:r>
      <w:bookmarkEnd w:id="166"/>
    </w:p>
    <w:p w14:paraId="01163099">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4.1项目名称： _____________</w:t>
      </w:r>
    </w:p>
    <w:p w14:paraId="0AC9E710">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4.2服务范围：_____________</w:t>
      </w:r>
    </w:p>
    <w:p w14:paraId="1867A038">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4.3服务地点：_____________</w:t>
      </w:r>
    </w:p>
    <w:p w14:paraId="2A1E3C00">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4.4服务完成时间：_____________</w:t>
      </w:r>
    </w:p>
    <w:p w14:paraId="78D9930C">
      <w:pPr>
        <w:pStyle w:val="70"/>
        <w:spacing w:line="400" w:lineRule="exact"/>
        <w:outlineLvl w:val="2"/>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67" w:name="_Toc13835"/>
      <w:r>
        <w:rPr>
          <w:rFonts w:hint="eastAsia" w:ascii="宋体" w:hAnsi="宋体" w:cs="宋体"/>
          <w:b/>
          <w:sz w:val="24"/>
          <w:szCs w:val="24"/>
          <w:highlight w:val="none"/>
        </w:rPr>
        <w:t>五、服务内容、质量标准和要求</w:t>
      </w:r>
      <w:bookmarkEnd w:id="167"/>
    </w:p>
    <w:p w14:paraId="23ECFBF9">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5.1服务工作量的计量方式：_____________</w:t>
      </w:r>
    </w:p>
    <w:p w14:paraId="11B5B364">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5.2服务内容：_____________</w:t>
      </w:r>
    </w:p>
    <w:p w14:paraId="4C2DE9D2">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5.3技术保障、服务人员组成、所涉及的货物的质量标准：</w:t>
      </w:r>
    </w:p>
    <w:p w14:paraId="46B87B87">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（1）服务技术保障：_____________</w:t>
      </w:r>
    </w:p>
    <w:p w14:paraId="66348F32">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（2）服务人员组成：_____________</w:t>
      </w:r>
    </w:p>
    <w:p w14:paraId="6EF9CA5A">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（3）服务设备及物资投入及质量标准：_____________</w:t>
      </w:r>
    </w:p>
    <w:p w14:paraId="3D4BEE8C">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5.4服务质量标准及要求：</w:t>
      </w:r>
    </w:p>
    <w:p w14:paraId="2A442D52">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5.4.1乙方提供的服务或使用的产品、软件等应符合国家知识产权</w:t>
      </w:r>
      <w:r>
        <w:rPr>
          <w:rFonts w:hint="eastAsia" w:ascii="宋体" w:hAnsi="宋体" w:cs="宋体"/>
          <w:sz w:val="24"/>
          <w:szCs w:val="24"/>
          <w:highlight w:val="none"/>
          <w:lang w:eastAsia="zh-CN"/>
        </w:rPr>
        <w:t>法律法规</w:t>
      </w:r>
      <w:r>
        <w:rPr>
          <w:rFonts w:hint="eastAsia" w:ascii="宋体" w:hAnsi="宋体" w:cs="宋体"/>
          <w:sz w:val="24"/>
          <w:szCs w:val="24"/>
          <w:highlight w:val="none"/>
        </w:rPr>
        <w:t>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577025DD">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5.4.2若乙方提供的服务或使用的产品、软件等不符合国家知识产权</w:t>
      </w:r>
      <w:r>
        <w:rPr>
          <w:rFonts w:hint="eastAsia" w:ascii="宋体" w:hAnsi="宋体" w:cs="宋体"/>
          <w:sz w:val="24"/>
          <w:szCs w:val="24"/>
          <w:highlight w:val="none"/>
          <w:lang w:eastAsia="zh-CN"/>
        </w:rPr>
        <w:t>法律法规</w:t>
      </w:r>
      <w:r>
        <w:rPr>
          <w:rFonts w:hint="eastAsia" w:ascii="宋体" w:hAnsi="宋体" w:cs="宋体"/>
          <w:sz w:val="24"/>
          <w:szCs w:val="24"/>
          <w:highlight w:val="none"/>
        </w:rPr>
        <w:t>的规定或被有关主管机关认定为侵权或假冒伪劣品，则乙方中标或成交资格将被取消；甲方还将按照有关</w:t>
      </w:r>
      <w:r>
        <w:rPr>
          <w:rFonts w:hint="eastAsia" w:ascii="宋体" w:hAnsi="宋体" w:cs="宋体"/>
          <w:sz w:val="24"/>
          <w:szCs w:val="24"/>
          <w:highlight w:val="none"/>
          <w:lang w:eastAsia="zh-CN"/>
        </w:rPr>
        <w:t>法律法规</w:t>
      </w:r>
      <w:r>
        <w:rPr>
          <w:rFonts w:hint="eastAsia" w:ascii="宋体" w:hAnsi="宋体" w:cs="宋体"/>
          <w:sz w:val="24"/>
          <w:szCs w:val="24"/>
          <w:highlight w:val="none"/>
        </w:rPr>
        <w:t>和规章的规定进行处理，具体如下：</w:t>
      </w:r>
    </w:p>
    <w:p w14:paraId="0D34992A">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5.4.3其他要求：</w:t>
      </w:r>
    </w:p>
    <w:p w14:paraId="6E62E42B">
      <w:pPr>
        <w:pStyle w:val="70"/>
        <w:spacing w:line="400" w:lineRule="exact"/>
        <w:outlineLvl w:val="2"/>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68" w:name="_Toc10280"/>
      <w:r>
        <w:rPr>
          <w:rFonts w:hint="eastAsia" w:ascii="宋体" w:hAnsi="宋体" w:cs="宋体"/>
          <w:b/>
          <w:sz w:val="24"/>
          <w:szCs w:val="24"/>
          <w:highlight w:val="none"/>
        </w:rPr>
        <w:t>六、服务履约验收或考核</w:t>
      </w:r>
      <w:bookmarkEnd w:id="168"/>
      <w:bookmarkStart w:id="233" w:name="_GoBack"/>
      <w:bookmarkEnd w:id="233"/>
    </w:p>
    <w:p w14:paraId="1942B7C7">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478AF007">
      <w:pPr>
        <w:pStyle w:val="70"/>
        <w:spacing w:line="400" w:lineRule="exact"/>
        <w:outlineLvl w:val="1"/>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69" w:name="_Toc1047"/>
      <w:r>
        <w:rPr>
          <w:rFonts w:hint="eastAsia" w:ascii="宋体" w:hAnsi="宋体" w:cs="宋体"/>
          <w:b/>
          <w:sz w:val="24"/>
          <w:szCs w:val="24"/>
          <w:highlight w:val="none"/>
        </w:rPr>
        <w:t>七、甲方的权利与义务</w:t>
      </w:r>
      <w:bookmarkEnd w:id="169"/>
    </w:p>
    <w:p w14:paraId="06A36B14">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7.1甲方委派___________为联系人，联系方式 ___________，负责与乙方联系。如甲方联系人发生变更，甲方应书面告知乙方。</w:t>
      </w:r>
    </w:p>
    <w:p w14:paraId="2FE01479">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7.2甲方应为乙方开展服务工作提供必要的工作条件，以及对内对外沟通和配合协助。</w:t>
      </w:r>
    </w:p>
    <w:p w14:paraId="730F93DC">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7.3甲方应于___________之前提供服务所需的全部资料，并对所提供材料真实性、完整性、合法性负责。</w:t>
      </w:r>
    </w:p>
    <w:p w14:paraId="19774074">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1C82432D">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7.5甲方应按本合同约定及时足额支付服务费用及相关费用。</w:t>
      </w:r>
    </w:p>
    <w:p w14:paraId="4CD660FD">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7.6其他</w:t>
      </w:r>
    </w:p>
    <w:p w14:paraId="259E7EEF">
      <w:pPr>
        <w:pStyle w:val="70"/>
        <w:spacing w:line="400" w:lineRule="exact"/>
        <w:outlineLvl w:val="1"/>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70" w:name="_Toc21031"/>
      <w:r>
        <w:rPr>
          <w:rFonts w:hint="eastAsia" w:ascii="宋体" w:hAnsi="宋体" w:cs="宋体"/>
          <w:b/>
          <w:sz w:val="24"/>
          <w:szCs w:val="24"/>
          <w:highlight w:val="none"/>
        </w:rPr>
        <w:t>八、乙方的权利与义务</w:t>
      </w:r>
      <w:bookmarkEnd w:id="170"/>
    </w:p>
    <w:p w14:paraId="5DC1FA9C">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8.1乙方委派</w:t>
      </w:r>
      <w:bookmarkStart w:id="171" w:name="OLE_LINK10"/>
      <w:r>
        <w:rPr>
          <w:rFonts w:hint="eastAsia" w:ascii="宋体" w:hAnsi="宋体" w:cs="宋体"/>
          <w:sz w:val="24"/>
          <w:szCs w:val="24"/>
          <w:highlight w:val="none"/>
        </w:rPr>
        <w:t>___________</w:t>
      </w:r>
      <w:bookmarkEnd w:id="171"/>
      <w:r>
        <w:rPr>
          <w:rFonts w:hint="eastAsia" w:ascii="宋体" w:hAnsi="宋体" w:cs="宋体"/>
          <w:sz w:val="24"/>
          <w:szCs w:val="24"/>
          <w:highlight w:val="none"/>
        </w:rPr>
        <w:t>为联系人，联系方式 ___________，负责与甲方联系。如乙方联系人发生变更，乙方应书面告知甲方</w:t>
      </w:r>
    </w:p>
    <w:p w14:paraId="5860B68F">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8.2乙方应国家法律法规和___________等要求开展___________服务；</w:t>
      </w:r>
    </w:p>
    <w:p w14:paraId="64785BA0">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8.3乙方及其所委派服务人员应按标准或协议约定方式出具服务成果，并对其真实性和合法性负法律责任；</w:t>
      </w:r>
    </w:p>
    <w:p w14:paraId="0586BF2F">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8.4乙方对执行业务过程中知悉的国家秘密或甲方的商业秘密保密。除非国家法律法规及行业规范另有规定</w:t>
      </w:r>
      <w:r>
        <w:rPr>
          <w:rFonts w:hint="eastAsia" w:ascii="宋体" w:hAnsi="宋体" w:cs="宋体"/>
          <w:sz w:val="24"/>
          <w:szCs w:val="24"/>
          <w:highlight w:val="none"/>
          <w:lang w:eastAsia="zh-CN"/>
        </w:rPr>
        <w:t>，</w:t>
      </w:r>
      <w:r>
        <w:rPr>
          <w:rFonts w:hint="eastAsia" w:ascii="宋体" w:hAnsi="宋体" w:cs="宋体"/>
          <w:sz w:val="24"/>
          <w:szCs w:val="24"/>
          <w:highlight w:val="none"/>
        </w:rPr>
        <w:t>或经甲方同意</w:t>
      </w:r>
      <w:r>
        <w:rPr>
          <w:rFonts w:hint="eastAsia" w:ascii="宋体" w:hAnsi="宋体" w:cs="宋体"/>
          <w:sz w:val="24"/>
          <w:szCs w:val="24"/>
          <w:highlight w:val="none"/>
          <w:lang w:eastAsia="zh-CN"/>
        </w:rPr>
        <w:t>，</w:t>
      </w:r>
      <w:r>
        <w:rPr>
          <w:rFonts w:hint="eastAsia" w:ascii="宋体" w:hAnsi="宋体" w:cs="宋体"/>
          <w:sz w:val="24"/>
          <w:szCs w:val="24"/>
          <w:highlight w:val="none"/>
        </w:rPr>
        <w:t>乙方不得将其知悉的商业秘密和甲方提供的资料对外泄露。</w:t>
      </w:r>
    </w:p>
    <w:p w14:paraId="2E5C2E38">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8.5乙方对服务业务应当单独建档，保存完整的工作记录，并对服务过程使用和暂存甲方的文件、材料和财物应当妥善保管。</w:t>
      </w:r>
    </w:p>
    <w:p w14:paraId="7BD7C594">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8.6服务工作结束后</w:t>
      </w:r>
      <w:r>
        <w:rPr>
          <w:rFonts w:hint="eastAsia" w:ascii="宋体" w:hAnsi="宋体" w:cs="宋体"/>
          <w:sz w:val="24"/>
          <w:szCs w:val="24"/>
          <w:highlight w:val="none"/>
          <w:lang w:eastAsia="zh-CN"/>
        </w:rPr>
        <w:t>，</w:t>
      </w:r>
      <w:r>
        <w:rPr>
          <w:rFonts w:hint="eastAsia" w:ascii="宋体" w:hAnsi="宋体" w:cs="宋体"/>
          <w:sz w:val="24"/>
          <w:szCs w:val="24"/>
          <w:highlight w:val="none"/>
        </w:rPr>
        <w:t>乙方将根据情况对甲方服务相关的管理制度及其他事项等提出改进意见。</w:t>
      </w:r>
    </w:p>
    <w:p w14:paraId="17E9F6D3">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8.7乙方完全遵守《中华人民共和国劳动合同法》有关规定和《中华人民共和国妇女权益保障法》中关于“劳动和社会保障权益”的有关要求。</w:t>
      </w:r>
    </w:p>
    <w:p w14:paraId="4501BB44">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8.8其他</w:t>
      </w:r>
    </w:p>
    <w:p w14:paraId="15703E6D">
      <w:pPr>
        <w:pStyle w:val="70"/>
        <w:spacing w:line="400" w:lineRule="exact"/>
        <w:outlineLvl w:val="1"/>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72" w:name="_Toc6225"/>
      <w:r>
        <w:rPr>
          <w:rFonts w:hint="eastAsia" w:ascii="宋体" w:hAnsi="宋体" w:cs="宋体"/>
          <w:b/>
          <w:sz w:val="24"/>
          <w:szCs w:val="24"/>
          <w:highlight w:val="none"/>
        </w:rPr>
        <w:t>九、资金支付方式、时间和条件</w:t>
      </w:r>
      <w:r>
        <w:rPr>
          <w:rFonts w:hint="eastAsia" w:ascii="宋体" w:hAnsi="宋体" w:cs="宋体"/>
          <w:sz w:val="24"/>
          <w:szCs w:val="24"/>
          <w:highlight w:val="none"/>
        </w:rPr>
        <w:br w:type="textWrapping"/>
      </w:r>
      <w:bookmarkEnd w:id="172"/>
    </w:p>
    <w:p w14:paraId="1D8B4298">
      <w:pPr>
        <w:pStyle w:val="70"/>
        <w:spacing w:line="400" w:lineRule="exact"/>
        <w:outlineLvl w:val="1"/>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73" w:name="_Toc29429"/>
      <w:r>
        <w:rPr>
          <w:rFonts w:hint="eastAsia" w:ascii="宋体" w:hAnsi="宋体" w:cs="宋体"/>
          <w:b/>
          <w:sz w:val="24"/>
          <w:szCs w:val="24"/>
          <w:highlight w:val="none"/>
        </w:rPr>
        <w:t>十、履约保证金</w:t>
      </w:r>
      <w:bookmarkEnd w:id="173"/>
    </w:p>
    <w:p w14:paraId="2CB99DF4">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□有，□无。具体如下：（按照采购文件规定填写）。</w:t>
      </w:r>
    </w:p>
    <w:p w14:paraId="34829DA2">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10.1乙方向甲方缴纳人民币 / 元作为本合同的履约保证金。</w:t>
      </w:r>
    </w:p>
    <w:p w14:paraId="053307EC">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10.2履约保证金缴纳形式：支票/汇票/电汇/保函等非现金形式。</w:t>
      </w:r>
    </w:p>
    <w:p w14:paraId="4276D3A4">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10.3履约保证金合同履行完毕前有效，合同履行完毕后一次性结清退还。</w:t>
      </w:r>
    </w:p>
    <w:p w14:paraId="7361B6F7">
      <w:pPr>
        <w:pStyle w:val="70"/>
        <w:spacing w:line="400" w:lineRule="exact"/>
        <w:outlineLvl w:val="1"/>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74" w:name="_Toc24850"/>
      <w:r>
        <w:rPr>
          <w:rFonts w:hint="eastAsia" w:ascii="宋体" w:hAnsi="宋体" w:cs="宋体"/>
          <w:b/>
          <w:sz w:val="24"/>
          <w:szCs w:val="24"/>
          <w:highlight w:val="none"/>
        </w:rPr>
        <w:t>十一、合同期限</w:t>
      </w:r>
      <w:r>
        <w:rPr>
          <w:rFonts w:hint="eastAsia" w:ascii="宋体" w:hAnsi="宋体" w:cs="宋体"/>
          <w:sz w:val="24"/>
          <w:szCs w:val="24"/>
          <w:highlight w:val="none"/>
        </w:rPr>
        <w:br w:type="textWrapping"/>
      </w:r>
      <w:bookmarkEnd w:id="174"/>
    </w:p>
    <w:p w14:paraId="494499AB">
      <w:pPr>
        <w:pStyle w:val="70"/>
        <w:spacing w:line="400" w:lineRule="exact"/>
        <w:outlineLvl w:val="1"/>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75" w:name="_Toc19538"/>
      <w:r>
        <w:rPr>
          <w:rFonts w:hint="eastAsia" w:ascii="宋体" w:hAnsi="宋体" w:cs="宋体"/>
          <w:b/>
          <w:sz w:val="24"/>
          <w:szCs w:val="24"/>
          <w:highlight w:val="none"/>
        </w:rPr>
        <w:t>十二、保密条款</w:t>
      </w:r>
      <w:bookmarkEnd w:id="175"/>
    </w:p>
    <w:p w14:paraId="6469FC3B">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12.1对于在采购和合同履行过程中所获悉的属于保密的内容，</w:t>
      </w:r>
      <w:r>
        <w:rPr>
          <w:rFonts w:hint="eastAsia" w:ascii="宋体" w:hAnsi="宋体" w:cs="宋体"/>
          <w:sz w:val="24"/>
          <w:szCs w:val="24"/>
          <w:highlight w:val="none"/>
          <w:lang w:val="en-US" w:eastAsia="zh-CN"/>
        </w:rPr>
        <w:t>三</w:t>
      </w:r>
      <w:r>
        <w:rPr>
          <w:rFonts w:hint="eastAsia" w:ascii="宋体" w:hAnsi="宋体" w:cs="宋体"/>
          <w:sz w:val="24"/>
          <w:szCs w:val="24"/>
          <w:highlight w:val="none"/>
        </w:rPr>
        <w:t>方均负有保密义务。</w:t>
      </w:r>
    </w:p>
    <w:p w14:paraId="1F59B141">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12.2其他</w:t>
      </w:r>
    </w:p>
    <w:p w14:paraId="2CB9592E">
      <w:pPr>
        <w:pStyle w:val="70"/>
        <w:spacing w:line="400" w:lineRule="exact"/>
        <w:outlineLvl w:val="1"/>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76" w:name="_Toc6843"/>
      <w:r>
        <w:rPr>
          <w:rFonts w:hint="eastAsia" w:ascii="宋体" w:hAnsi="宋体" w:cs="宋体"/>
          <w:b/>
          <w:sz w:val="24"/>
          <w:szCs w:val="24"/>
          <w:highlight w:val="none"/>
        </w:rPr>
        <w:t>十三、违约责任</w:t>
      </w:r>
      <w:bookmarkEnd w:id="176"/>
    </w:p>
    <w:p w14:paraId="7451FA96">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13.1甲方违约责任</w:t>
      </w:r>
    </w:p>
    <w:p w14:paraId="2083B848">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（1）甲方无正当理由拒绝乙方提供合格服务的，甲方应向乙方偿付所拒收合同总价________的违约金</w:t>
      </w:r>
    </w:p>
    <w:p w14:paraId="705589BA">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（2）甲方无故逾期验收和办理合同款项支付手续的</w:t>
      </w:r>
      <w:r>
        <w:rPr>
          <w:rFonts w:hint="eastAsia" w:ascii="宋体" w:hAnsi="宋体" w:cs="宋体"/>
          <w:sz w:val="24"/>
          <w:szCs w:val="24"/>
          <w:highlight w:val="none"/>
          <w:lang w:eastAsia="zh-CN"/>
        </w:rPr>
        <w:t>，</w:t>
      </w:r>
      <w:r>
        <w:rPr>
          <w:rFonts w:hint="eastAsia" w:ascii="宋体" w:hAnsi="宋体" w:cs="宋体"/>
          <w:sz w:val="24"/>
          <w:szCs w:val="24"/>
          <w:highlight w:val="none"/>
        </w:rPr>
        <w:t>甲方应按逾期付款总额每日________向乙方支付违约金。</w:t>
      </w:r>
    </w:p>
    <w:p w14:paraId="6C006F7E">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（3）其他违约情形</w:t>
      </w:r>
    </w:p>
    <w:p w14:paraId="5F42BB04">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13.2乙方违约责任</w:t>
      </w:r>
    </w:p>
    <w:p w14:paraId="2F8E18D7">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（1）乙方逾期履行服务的，乙方应按逾期交付总额每日________向甲方支付违约金，由甲方从待付货款中扣除。乙方无正当理由逾期超过约定日期________仍不能交付的，视为“乙方不按合同约定履约”；</w:t>
      </w:r>
    </w:p>
    <w:p w14:paraId="244AAE09">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（2）乙方所履行的服务不符合合同规定及《采购文件》规定标准的，甲方有权拒绝，乙方愿意整改但逾期履行的，按乙方逾期履行处理。乙方拒绝整改的，视为“乙方不按合同约定履约”</w:t>
      </w:r>
    </w:p>
    <w:p w14:paraId="271485E7">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（3）乙方不按合同约定履约的，甲方可以解除采购合同，并对乙方已缴纳的履约保证金作“不予退还”处理。同时，乙方须按以下约定向甲方支付违约金：</w:t>
      </w:r>
    </w:p>
    <w:p w14:paraId="2523902D">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（4）其他违约情形</w:t>
      </w:r>
    </w:p>
    <w:p w14:paraId="5E58C036">
      <w:pPr>
        <w:pStyle w:val="70"/>
        <w:spacing w:line="400" w:lineRule="exact"/>
        <w:outlineLvl w:val="1"/>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77" w:name="_Toc11314"/>
      <w:r>
        <w:rPr>
          <w:rFonts w:hint="eastAsia" w:ascii="宋体" w:hAnsi="宋体" w:cs="宋体"/>
          <w:b/>
          <w:sz w:val="24"/>
          <w:szCs w:val="24"/>
          <w:highlight w:val="none"/>
        </w:rPr>
        <w:t>十四、不可抗力事件处理</w:t>
      </w:r>
      <w:bookmarkEnd w:id="177"/>
    </w:p>
    <w:p w14:paraId="4F891865">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64CC15F0">
      <w:pPr>
        <w:pStyle w:val="70"/>
        <w:spacing w:line="400" w:lineRule="exact"/>
        <w:outlineLvl w:val="1"/>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78" w:name="_Toc14883"/>
      <w:r>
        <w:rPr>
          <w:rFonts w:hint="eastAsia" w:ascii="宋体" w:hAnsi="宋体" w:cs="宋体"/>
          <w:b/>
          <w:sz w:val="24"/>
          <w:szCs w:val="24"/>
          <w:highlight w:val="none"/>
        </w:rPr>
        <w:t>十五、解决争议的方法</w:t>
      </w:r>
      <w:bookmarkEnd w:id="178"/>
    </w:p>
    <w:p w14:paraId="2EA2CF0F">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15.1</w:t>
      </w:r>
      <w:r>
        <w:rPr>
          <w:rFonts w:hint="eastAsia" w:ascii="宋体" w:hAnsi="宋体" w:cs="宋体"/>
          <w:sz w:val="24"/>
          <w:szCs w:val="24"/>
          <w:highlight w:val="none"/>
          <w:lang w:val="en-US" w:eastAsia="zh-CN"/>
        </w:rPr>
        <w:t>三</w:t>
      </w:r>
      <w:r>
        <w:rPr>
          <w:rFonts w:hint="eastAsia" w:ascii="宋体" w:hAnsi="宋体" w:cs="宋体"/>
          <w:sz w:val="24"/>
          <w:szCs w:val="24"/>
          <w:highlight w:val="none"/>
        </w:rPr>
        <w:t>方协商解决。</w:t>
      </w:r>
    </w:p>
    <w:p w14:paraId="3E84B920">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15.2若协商解决不成，</w:t>
      </w:r>
      <w:r>
        <w:rPr>
          <w:rFonts w:hint="eastAsia" w:ascii="宋体" w:hAnsi="宋体" w:cs="宋体"/>
          <w:sz w:val="24"/>
          <w:szCs w:val="24"/>
          <w:highlight w:val="none"/>
          <w:lang w:val="en-US" w:eastAsia="zh-CN"/>
        </w:rPr>
        <w:t>三</w:t>
      </w:r>
      <w:r>
        <w:rPr>
          <w:rFonts w:hint="eastAsia" w:ascii="宋体" w:hAnsi="宋体" w:cs="宋体"/>
          <w:sz w:val="24"/>
          <w:szCs w:val="24"/>
          <w:highlight w:val="none"/>
        </w:rPr>
        <w:t>方明确按以下第_种方式解决：</w:t>
      </w:r>
    </w:p>
    <w:p w14:paraId="16C26F60">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w:t>
      </w:r>
      <w:r>
        <w:rPr>
          <w:rFonts w:hint="eastAsia" w:ascii="宋体" w:hAnsi="宋体" w:cs="宋体"/>
          <w:sz w:val="24"/>
          <w:szCs w:val="24"/>
          <w:highlight w:val="none"/>
          <w:lang w:eastAsia="zh-CN"/>
        </w:rPr>
        <w:t>1.</w:t>
      </w:r>
      <w:r>
        <w:rPr>
          <w:rFonts w:hint="eastAsia" w:ascii="宋体" w:hAnsi="宋体" w:cs="宋体"/>
          <w:sz w:val="24"/>
          <w:szCs w:val="24"/>
          <w:highlight w:val="none"/>
        </w:rPr>
        <w:t>提交仲裁委员会仲裁，具体如下：</w:t>
      </w:r>
    </w:p>
    <w:p w14:paraId="1A7DD133">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w:t>
      </w:r>
      <w:r>
        <w:rPr>
          <w:rFonts w:hint="eastAsia" w:ascii="宋体" w:hAnsi="宋体" w:cs="宋体"/>
          <w:sz w:val="24"/>
          <w:szCs w:val="24"/>
          <w:highlight w:val="none"/>
          <w:lang w:eastAsia="zh-CN"/>
        </w:rPr>
        <w:t>2.</w:t>
      </w:r>
      <w:r>
        <w:rPr>
          <w:rFonts w:hint="eastAsia" w:ascii="宋体" w:hAnsi="宋体" w:cs="宋体"/>
          <w:sz w:val="24"/>
          <w:szCs w:val="24"/>
          <w:highlight w:val="none"/>
        </w:rPr>
        <w:t>向人民法院提起诉讼。</w:t>
      </w:r>
    </w:p>
    <w:p w14:paraId="505ED8A8">
      <w:pPr>
        <w:pStyle w:val="70"/>
        <w:spacing w:line="400" w:lineRule="exact"/>
        <w:outlineLvl w:val="1"/>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79" w:name="_Toc24574"/>
      <w:r>
        <w:rPr>
          <w:rFonts w:hint="eastAsia" w:ascii="宋体" w:hAnsi="宋体" w:cs="宋体"/>
          <w:b/>
          <w:sz w:val="24"/>
          <w:szCs w:val="24"/>
          <w:highlight w:val="none"/>
        </w:rPr>
        <w:t>十六、合同其他条款</w:t>
      </w:r>
      <w:r>
        <w:rPr>
          <w:rFonts w:hint="eastAsia" w:ascii="宋体" w:hAnsi="宋体" w:cs="宋体"/>
          <w:sz w:val="24"/>
          <w:szCs w:val="24"/>
          <w:highlight w:val="none"/>
        </w:rPr>
        <w:br w:type="textWrapping"/>
      </w:r>
      <w:bookmarkEnd w:id="179"/>
    </w:p>
    <w:p w14:paraId="15D5149A">
      <w:pPr>
        <w:pStyle w:val="70"/>
        <w:spacing w:line="400" w:lineRule="exact"/>
        <w:outlineLvl w:val="1"/>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80" w:name="_Toc31572"/>
      <w:r>
        <w:rPr>
          <w:rFonts w:hint="eastAsia" w:ascii="宋体" w:hAnsi="宋体" w:cs="宋体"/>
          <w:b/>
          <w:sz w:val="24"/>
          <w:szCs w:val="24"/>
          <w:highlight w:val="none"/>
        </w:rPr>
        <w:t>十七、其他约定</w:t>
      </w:r>
      <w:bookmarkEnd w:id="180"/>
    </w:p>
    <w:p w14:paraId="66CE5348">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17.1合同文件与本合同具有同等法律效力。</w:t>
      </w:r>
    </w:p>
    <w:p w14:paraId="230B5A53">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17.2合同生效：合同经</w:t>
      </w:r>
      <w:r>
        <w:rPr>
          <w:rFonts w:hint="eastAsia" w:ascii="宋体" w:hAnsi="宋体" w:cs="宋体"/>
          <w:sz w:val="24"/>
          <w:szCs w:val="24"/>
          <w:highlight w:val="none"/>
          <w:lang w:val="en-US" w:eastAsia="zh-CN"/>
        </w:rPr>
        <w:t>三</w:t>
      </w:r>
      <w:r>
        <w:rPr>
          <w:rFonts w:hint="eastAsia" w:ascii="宋体" w:hAnsi="宋体" w:cs="宋体"/>
          <w:sz w:val="24"/>
          <w:szCs w:val="24"/>
          <w:highlight w:val="none"/>
        </w:rPr>
        <w:t>方法定代表人或委托代理人签字并加盖单位公章后生效。</w:t>
      </w:r>
    </w:p>
    <w:p w14:paraId="1D08F152">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17.3本合同未尽事宜，遵照《中华人民共和国民法典》有关条文执行。</w:t>
      </w:r>
    </w:p>
    <w:p w14:paraId="27B827F2">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17.4本合同正本一式</w:t>
      </w:r>
      <w:bookmarkStart w:id="181" w:name="OLE_LINK9"/>
      <w:r>
        <w:rPr>
          <w:rFonts w:hint="eastAsia" w:ascii="宋体" w:hAnsi="宋体" w:cs="宋体"/>
          <w:sz w:val="24"/>
          <w:szCs w:val="24"/>
          <w:highlight w:val="none"/>
        </w:rPr>
        <w:t>_______</w:t>
      </w:r>
      <w:bookmarkEnd w:id="181"/>
      <w:r>
        <w:rPr>
          <w:rFonts w:hint="eastAsia" w:ascii="宋体" w:hAnsi="宋体" w:cs="宋体"/>
          <w:sz w:val="24"/>
          <w:szCs w:val="24"/>
          <w:highlight w:val="none"/>
        </w:rPr>
        <w:t>份，具有同等法律效力，</w:t>
      </w:r>
      <w:r>
        <w:rPr>
          <w:rFonts w:hint="eastAsia" w:ascii="宋体" w:hAnsi="宋体" w:cs="宋体"/>
          <w:sz w:val="24"/>
          <w:szCs w:val="24"/>
          <w:highlight w:val="none"/>
          <w:lang w:val="en-US" w:eastAsia="zh-CN"/>
        </w:rPr>
        <w:t>三方</w:t>
      </w:r>
      <w:r>
        <w:rPr>
          <w:rFonts w:hint="eastAsia" w:ascii="宋体" w:hAnsi="宋体" w:cs="宋体"/>
          <w:sz w:val="24"/>
          <w:szCs w:val="24"/>
          <w:highlight w:val="none"/>
        </w:rPr>
        <w:t>各执_______份</w:t>
      </w:r>
      <w:r>
        <w:rPr>
          <w:rFonts w:hint="eastAsia" w:ascii="宋体" w:hAnsi="宋体" w:cs="宋体"/>
          <w:sz w:val="24"/>
          <w:szCs w:val="24"/>
          <w:highlight w:val="none"/>
          <w:lang w:eastAsia="zh-CN"/>
        </w:rPr>
        <w:t>。</w:t>
      </w:r>
    </w:p>
    <w:p w14:paraId="254BC939">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17.5其他</w:t>
      </w:r>
    </w:p>
    <w:p w14:paraId="237F7E24">
      <w:pPr>
        <w:pStyle w:val="70"/>
        <w:spacing w:line="400" w:lineRule="exact"/>
        <w:outlineLvl w:val="1"/>
        <w:rPr>
          <w:rFonts w:hint="eastAsia" w:ascii="宋体" w:hAnsi="宋体" w:cs="宋体"/>
          <w:sz w:val="24"/>
          <w:szCs w:val="24"/>
          <w:highlight w:val="none"/>
        </w:rPr>
      </w:pPr>
      <w:r>
        <w:rPr>
          <w:rFonts w:hint="eastAsia" w:ascii="宋体" w:hAnsi="宋体" w:cs="宋体"/>
          <w:b/>
          <w:sz w:val="24"/>
          <w:szCs w:val="24"/>
          <w:highlight w:val="none"/>
        </w:rPr>
        <w:t xml:space="preserve"> </w:t>
      </w:r>
      <w:bookmarkStart w:id="182" w:name="_Toc20179"/>
      <w:r>
        <w:rPr>
          <w:rFonts w:hint="eastAsia" w:ascii="宋体" w:hAnsi="宋体" w:cs="宋体"/>
          <w:b/>
          <w:sz w:val="24"/>
          <w:szCs w:val="24"/>
          <w:highlight w:val="none"/>
        </w:rPr>
        <w:t>十八、合同附件</w:t>
      </w:r>
      <w:r>
        <w:rPr>
          <w:rFonts w:hint="eastAsia" w:ascii="宋体" w:hAnsi="宋体" w:cs="宋体"/>
          <w:sz w:val="24"/>
          <w:szCs w:val="24"/>
          <w:highlight w:val="none"/>
        </w:rPr>
        <w:br w:type="textWrapping"/>
      </w:r>
      <w:r>
        <w:rPr>
          <w:rFonts w:hint="eastAsia" w:ascii="宋体" w:hAnsi="宋体" w:cs="宋体"/>
          <w:sz w:val="24"/>
          <w:szCs w:val="24"/>
          <w:highlight w:val="none"/>
        </w:rPr>
        <w:br w:type="textWrapping"/>
      </w:r>
      <w:bookmarkEnd w:id="182"/>
    </w:p>
    <w:p w14:paraId="7399807E">
      <w:pPr>
        <w:pStyle w:val="70"/>
        <w:spacing w:line="400" w:lineRule="exact"/>
        <w:rPr>
          <w:rFonts w:hint="eastAsia" w:ascii="宋体" w:hAnsi="宋体" w:cs="宋体"/>
          <w:b/>
          <w:bCs/>
          <w:sz w:val="24"/>
          <w:szCs w:val="24"/>
          <w:highlight w:val="none"/>
        </w:rPr>
      </w:pPr>
      <w:r>
        <w:rPr>
          <w:rFonts w:hint="eastAsia" w:ascii="宋体" w:hAnsi="宋体" w:cs="宋体"/>
          <w:b/>
          <w:bCs/>
          <w:sz w:val="24"/>
          <w:szCs w:val="24"/>
          <w:highlight w:val="none"/>
        </w:rPr>
        <w:t>甲方</w:t>
      </w:r>
    </w:p>
    <w:p w14:paraId="6C4F832F">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shd w:val="clear"/>
          <w:lang w:val="en-US" w:eastAsia="zh-CN"/>
        </w:rPr>
        <w:t>项目业主单位</w:t>
      </w:r>
      <w:r>
        <w:rPr>
          <w:rFonts w:hint="eastAsia" w:ascii="宋体" w:hAnsi="宋体" w:cs="宋体"/>
          <w:sz w:val="24"/>
          <w:szCs w:val="24"/>
          <w:highlight w:val="none"/>
        </w:rPr>
        <w:t>：</w:t>
      </w:r>
    </w:p>
    <w:p w14:paraId="429A9542">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法定（授权）代表人：</w:t>
      </w:r>
    </w:p>
    <w:p w14:paraId="7BD71230">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纳税人识别号：</w:t>
      </w:r>
    </w:p>
    <w:p w14:paraId="45D37119">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开户银行：</w:t>
      </w:r>
    </w:p>
    <w:p w14:paraId="4E823C6F">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账号：</w:t>
      </w:r>
    </w:p>
    <w:p w14:paraId="7C345EA7">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 xml:space="preserve"> </w:t>
      </w:r>
    </w:p>
    <w:p w14:paraId="51F9A855">
      <w:pPr>
        <w:pStyle w:val="70"/>
        <w:spacing w:line="400" w:lineRule="exact"/>
        <w:rPr>
          <w:rFonts w:hint="eastAsia" w:ascii="宋体" w:hAnsi="宋体" w:cs="宋体"/>
          <w:sz w:val="24"/>
          <w:szCs w:val="24"/>
          <w:highlight w:val="none"/>
        </w:rPr>
      </w:pPr>
      <w:r>
        <w:rPr>
          <w:rFonts w:hint="eastAsia" w:ascii="宋体" w:hAnsi="宋体" w:eastAsia="宋体" w:cs="宋体"/>
          <w:b w:val="0"/>
          <w:bCs w:val="0"/>
          <w:sz w:val="24"/>
          <w:szCs w:val="24"/>
          <w:highlight w:val="none"/>
          <w:shd w:val="clear"/>
          <w:lang w:val="en-US" w:eastAsia="zh-CN" w:bidi="en-US"/>
        </w:rPr>
        <w:t>项目</w:t>
      </w:r>
      <w:r>
        <w:rPr>
          <w:rFonts w:hint="eastAsia" w:ascii="宋体" w:hAnsi="宋体" w:cs="宋体"/>
          <w:b w:val="0"/>
          <w:bCs w:val="0"/>
          <w:sz w:val="24"/>
          <w:szCs w:val="24"/>
          <w:highlight w:val="none"/>
          <w:shd w:val="clear"/>
          <w:lang w:val="en-US" w:eastAsia="zh-CN" w:bidi="en-US"/>
        </w:rPr>
        <w:t>代业主单位</w:t>
      </w:r>
      <w:r>
        <w:rPr>
          <w:rFonts w:hint="eastAsia" w:ascii="宋体" w:hAnsi="宋体" w:cs="宋体"/>
          <w:sz w:val="24"/>
          <w:szCs w:val="24"/>
          <w:highlight w:val="none"/>
        </w:rPr>
        <w:t>：</w:t>
      </w:r>
    </w:p>
    <w:p w14:paraId="503FC2F3">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法定（授权）代表人：</w:t>
      </w:r>
    </w:p>
    <w:p w14:paraId="6362AFC8">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纳税人识别号：</w:t>
      </w:r>
    </w:p>
    <w:p w14:paraId="3076BAFE">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开户银行：</w:t>
      </w:r>
    </w:p>
    <w:p w14:paraId="5C8EE0EC">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账号：</w:t>
      </w:r>
    </w:p>
    <w:p w14:paraId="493546FC">
      <w:pPr>
        <w:pStyle w:val="70"/>
        <w:spacing w:line="400" w:lineRule="exact"/>
        <w:rPr>
          <w:rFonts w:hint="eastAsia" w:ascii="宋体" w:hAnsi="宋体" w:cs="宋体"/>
          <w:sz w:val="24"/>
          <w:szCs w:val="24"/>
          <w:highlight w:val="none"/>
        </w:rPr>
      </w:pPr>
    </w:p>
    <w:p w14:paraId="26281612">
      <w:pPr>
        <w:pStyle w:val="70"/>
        <w:spacing w:line="400" w:lineRule="exact"/>
        <w:rPr>
          <w:rFonts w:hint="eastAsia" w:ascii="宋体" w:hAnsi="宋体" w:cs="宋体"/>
          <w:sz w:val="24"/>
          <w:szCs w:val="24"/>
          <w:highlight w:val="none"/>
        </w:rPr>
      </w:pPr>
    </w:p>
    <w:p w14:paraId="44D263BA">
      <w:pPr>
        <w:pStyle w:val="70"/>
        <w:spacing w:line="400" w:lineRule="exact"/>
        <w:rPr>
          <w:rFonts w:hint="eastAsia" w:ascii="宋体" w:hAnsi="宋体" w:cs="宋体"/>
          <w:b/>
          <w:bCs/>
          <w:sz w:val="24"/>
          <w:szCs w:val="24"/>
          <w:highlight w:val="none"/>
        </w:rPr>
      </w:pPr>
      <w:r>
        <w:rPr>
          <w:rFonts w:hint="eastAsia" w:ascii="宋体" w:hAnsi="宋体" w:cs="宋体"/>
          <w:b/>
          <w:bCs/>
          <w:sz w:val="24"/>
          <w:szCs w:val="24"/>
          <w:highlight w:val="none"/>
        </w:rPr>
        <w:t>乙方</w:t>
      </w:r>
    </w:p>
    <w:p w14:paraId="7BD5244E">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中标人：</w:t>
      </w:r>
    </w:p>
    <w:p w14:paraId="7930585E">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法定（授权）代表人：</w:t>
      </w:r>
    </w:p>
    <w:p w14:paraId="26A35D7B">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纳税人识别号：</w:t>
      </w:r>
    </w:p>
    <w:p w14:paraId="03E19719">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开户银行：</w:t>
      </w:r>
    </w:p>
    <w:p w14:paraId="456AAEC5">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账号：</w:t>
      </w:r>
    </w:p>
    <w:p w14:paraId="08D03953">
      <w:pPr>
        <w:pStyle w:val="70"/>
        <w:spacing w:line="400" w:lineRule="exact"/>
        <w:rPr>
          <w:rFonts w:hint="eastAsia" w:ascii="宋体" w:hAnsi="宋体" w:cs="宋体"/>
          <w:sz w:val="24"/>
          <w:szCs w:val="24"/>
          <w:highlight w:val="none"/>
        </w:rPr>
      </w:pPr>
    </w:p>
    <w:p w14:paraId="6C5BEB81">
      <w:pPr>
        <w:pStyle w:val="70"/>
        <w:spacing w:line="400" w:lineRule="exact"/>
        <w:rPr>
          <w:rFonts w:hint="eastAsia" w:ascii="宋体" w:hAnsi="宋体" w:cs="宋体"/>
          <w:sz w:val="24"/>
          <w:szCs w:val="24"/>
          <w:highlight w:val="none"/>
        </w:rPr>
      </w:pPr>
      <w:r>
        <w:rPr>
          <w:rFonts w:hint="eastAsia" w:ascii="宋体" w:hAnsi="宋体" w:cs="宋体"/>
          <w:sz w:val="24"/>
          <w:szCs w:val="24"/>
          <w:highlight w:val="none"/>
        </w:rPr>
        <w:t>签订地点：_____________</w:t>
      </w:r>
    </w:p>
    <w:p w14:paraId="5FC38393">
      <w:pPr>
        <w:pStyle w:val="10"/>
        <w:spacing w:before="0" w:beforeAutospacing="0" w:after="0" w:afterAutospacing="0" w:line="400" w:lineRule="exact"/>
        <w:rPr>
          <w:rFonts w:hint="eastAsia" w:ascii="宋体" w:hAnsi="宋体" w:cs="宋体"/>
          <w:highlight w:val="none"/>
        </w:rPr>
      </w:pPr>
      <w:r>
        <w:rPr>
          <w:rFonts w:hint="eastAsia" w:ascii="宋体" w:hAnsi="宋体" w:cs="宋体"/>
          <w:highlight w:val="none"/>
        </w:rPr>
        <w:t>签订日期：____年___月___日</w:t>
      </w:r>
    </w:p>
    <w:p w14:paraId="54720FA7">
      <w:pPr>
        <w:pStyle w:val="10"/>
        <w:spacing w:before="59" w:beforeAutospacing="0" w:after="59" w:afterAutospacing="0"/>
        <w:jc w:val="center"/>
        <w:rPr>
          <w:rFonts w:hint="eastAsia" w:ascii="宋体" w:hAnsi="宋体" w:cs="宋体"/>
          <w:highlight w:val="none"/>
        </w:rPr>
      </w:pPr>
      <w:r>
        <w:rPr>
          <w:rFonts w:hint="eastAsia" w:ascii="宋体" w:hAnsi="宋体" w:cs="宋体"/>
          <w:sz w:val="19"/>
          <w:szCs w:val="19"/>
          <w:highlight w:val="none"/>
        </w:rPr>
        <w:t> </w:t>
      </w:r>
    </w:p>
    <w:p w14:paraId="53D1E223">
      <w:pPr>
        <w:pStyle w:val="10"/>
        <w:spacing w:before="59" w:after="59"/>
        <w:jc w:val="center"/>
        <w:outlineLvl w:val="0"/>
        <w:rPr>
          <w:rFonts w:hint="eastAsia" w:ascii="宋体" w:hAnsi="宋体" w:cs="宋体"/>
          <w:b/>
          <w:sz w:val="32"/>
          <w:szCs w:val="32"/>
          <w:highlight w:val="none"/>
        </w:rPr>
      </w:pPr>
      <w:bookmarkStart w:id="183" w:name="_Toc38959634"/>
      <w:bookmarkStart w:id="184" w:name="_Toc11855"/>
      <w:r>
        <w:rPr>
          <w:rFonts w:hint="eastAsia" w:ascii="宋体" w:hAnsi="宋体" w:cs="宋体"/>
          <w:b/>
          <w:sz w:val="36"/>
          <w:highlight w:val="none"/>
        </w:rPr>
        <w:br w:type="page"/>
      </w:r>
      <w:bookmarkStart w:id="185" w:name="_Toc16198"/>
      <w:r>
        <w:rPr>
          <w:rFonts w:hint="eastAsia" w:ascii="宋体" w:hAnsi="宋体" w:cs="宋体"/>
          <w:b/>
          <w:sz w:val="36"/>
          <w:highlight w:val="none"/>
        </w:rPr>
        <w:t>第七章 投标文件格式</w:t>
      </w:r>
      <w:bookmarkEnd w:id="183"/>
      <w:bookmarkEnd w:id="184"/>
      <w:bookmarkEnd w:id="185"/>
    </w:p>
    <w:p w14:paraId="2926164B">
      <w:pPr>
        <w:pStyle w:val="10"/>
        <w:jc w:val="center"/>
        <w:outlineLvl w:val="1"/>
        <w:rPr>
          <w:rFonts w:hint="eastAsia" w:ascii="宋体" w:hAnsi="宋体" w:cs="宋体"/>
          <w:highlight w:val="none"/>
        </w:rPr>
      </w:pPr>
      <w:bookmarkStart w:id="186" w:name="_Toc23245"/>
      <w:r>
        <w:rPr>
          <w:rStyle w:val="34"/>
          <w:rFonts w:hint="eastAsia" w:ascii="宋体" w:hAnsi="宋体" w:cs="宋体"/>
          <w:highlight w:val="none"/>
        </w:rPr>
        <w:t>编制说明</w:t>
      </w:r>
      <w:bookmarkEnd w:id="186"/>
    </w:p>
    <w:p w14:paraId="46AA6D19">
      <w:pPr>
        <w:pStyle w:val="10"/>
        <w:spacing w:before="47" w:beforeAutospacing="0" w:after="47" w:afterAutospacing="0"/>
        <w:outlineLvl w:val="1"/>
        <w:rPr>
          <w:rFonts w:hint="eastAsia" w:ascii="宋体" w:hAnsi="宋体" w:cs="宋体"/>
          <w:highlight w:val="none"/>
        </w:rPr>
      </w:pPr>
      <w:bookmarkStart w:id="187" w:name="_Toc30854"/>
      <w:r>
        <w:rPr>
          <w:rFonts w:hint="eastAsia" w:ascii="宋体" w:hAnsi="宋体" w:cs="宋体"/>
          <w:highlight w:val="none"/>
          <w:lang w:eastAsia="zh-CN"/>
        </w:rPr>
        <w:t>1.</w:t>
      </w:r>
      <w:r>
        <w:rPr>
          <w:rFonts w:hint="eastAsia" w:ascii="宋体" w:hAnsi="宋体" w:cs="宋体"/>
          <w:highlight w:val="none"/>
        </w:rPr>
        <w:t>除招标文件另有规定外，本章中：</w:t>
      </w:r>
      <w:bookmarkEnd w:id="187"/>
    </w:p>
    <w:p w14:paraId="00BF7477">
      <w:pPr>
        <w:pStyle w:val="10"/>
        <w:spacing w:before="47" w:beforeAutospacing="0" w:after="47" w:afterAutospacing="0"/>
        <w:rPr>
          <w:rFonts w:hint="eastAsia" w:ascii="宋体" w:hAnsi="宋体" w:cs="宋体"/>
          <w:highlight w:val="none"/>
        </w:rPr>
      </w:pPr>
      <w:r>
        <w:rPr>
          <w:rFonts w:hint="eastAsia" w:ascii="宋体" w:hAnsi="宋体" w:cs="宋体"/>
          <w:highlight w:val="none"/>
        </w:rPr>
        <w:t>1.1涉及投标人的</w:t>
      </w:r>
      <w:r>
        <w:rPr>
          <w:rFonts w:hint="eastAsia" w:ascii="宋体" w:hAnsi="宋体" w:cs="宋体"/>
          <w:b/>
          <w:highlight w:val="none"/>
        </w:rPr>
        <w:t>“全称”</w:t>
      </w:r>
      <w:r>
        <w:rPr>
          <w:rFonts w:hint="eastAsia" w:ascii="宋体" w:hAnsi="宋体" w:cs="宋体"/>
          <w:highlight w:val="none"/>
        </w:rPr>
        <w:t>：</w:t>
      </w:r>
    </w:p>
    <w:p w14:paraId="435AE7E4">
      <w:pPr>
        <w:pStyle w:val="10"/>
        <w:spacing w:before="47" w:beforeAutospacing="0" w:after="47" w:afterAutospacing="0"/>
        <w:rPr>
          <w:rFonts w:hint="eastAsia" w:ascii="宋体" w:hAnsi="宋体" w:cs="宋体"/>
          <w:highlight w:val="none"/>
        </w:rPr>
      </w:pPr>
      <w:r>
        <w:rPr>
          <w:rFonts w:hint="eastAsia" w:ascii="宋体" w:hAnsi="宋体" w:cs="宋体"/>
          <w:highlight w:val="none"/>
        </w:rPr>
        <w:t>（1）不接受联合体投标的，指</w:t>
      </w:r>
      <w:r>
        <w:rPr>
          <w:rFonts w:hint="eastAsia" w:ascii="宋体" w:hAnsi="宋体" w:cs="宋体"/>
          <w:b/>
          <w:highlight w:val="none"/>
        </w:rPr>
        <w:t>投标人的全称</w:t>
      </w:r>
      <w:r>
        <w:rPr>
          <w:rFonts w:hint="eastAsia" w:ascii="宋体" w:hAnsi="宋体" w:cs="宋体"/>
          <w:highlight w:val="none"/>
        </w:rPr>
        <w:t>。</w:t>
      </w:r>
    </w:p>
    <w:p w14:paraId="76769DA7">
      <w:pPr>
        <w:pStyle w:val="10"/>
        <w:spacing w:before="47" w:beforeAutospacing="0" w:after="47" w:afterAutospacing="0"/>
        <w:rPr>
          <w:rFonts w:hint="eastAsia" w:ascii="宋体" w:hAnsi="宋体" w:cs="宋体"/>
          <w:highlight w:val="none"/>
        </w:rPr>
      </w:pPr>
      <w:r>
        <w:rPr>
          <w:rFonts w:hint="eastAsia" w:ascii="宋体" w:hAnsi="宋体" w:cs="宋体"/>
          <w:highlight w:val="none"/>
        </w:rPr>
        <w:t>（2）接受联合体投标且投标人为联合体的，指</w:t>
      </w:r>
      <w:r>
        <w:rPr>
          <w:rFonts w:hint="eastAsia" w:ascii="宋体" w:hAnsi="宋体" w:cs="宋体"/>
          <w:b/>
          <w:highlight w:val="none"/>
        </w:rPr>
        <w:t>牵头方的全称</w:t>
      </w:r>
      <w:r>
        <w:rPr>
          <w:rFonts w:hint="eastAsia" w:ascii="宋体" w:hAnsi="宋体" w:cs="宋体"/>
          <w:highlight w:val="none"/>
        </w:rPr>
        <w:t>并加注</w:t>
      </w:r>
      <w:r>
        <w:rPr>
          <w:rFonts w:hint="eastAsia" w:ascii="宋体" w:hAnsi="宋体" w:cs="宋体"/>
          <w:b/>
          <w:highlight w:val="none"/>
        </w:rPr>
        <w:t>（联合体牵头方）</w:t>
      </w:r>
      <w:r>
        <w:rPr>
          <w:rFonts w:hint="eastAsia" w:ascii="宋体" w:hAnsi="宋体" w:cs="宋体"/>
          <w:highlight w:val="none"/>
        </w:rPr>
        <w:t>，即应表述为：</w:t>
      </w:r>
      <w:r>
        <w:rPr>
          <w:rFonts w:hint="eastAsia" w:ascii="宋体" w:hAnsi="宋体" w:cs="宋体"/>
          <w:b/>
          <w:highlight w:val="none"/>
        </w:rPr>
        <w:t>“牵头方的全称（联合体牵头方）”</w:t>
      </w:r>
      <w:r>
        <w:rPr>
          <w:rFonts w:hint="eastAsia" w:ascii="宋体" w:hAnsi="宋体" w:cs="宋体"/>
          <w:highlight w:val="none"/>
        </w:rPr>
        <w:t>。</w:t>
      </w:r>
    </w:p>
    <w:p w14:paraId="6A990EE7">
      <w:pPr>
        <w:pStyle w:val="10"/>
        <w:spacing w:before="47" w:beforeAutospacing="0" w:after="47" w:afterAutospacing="0"/>
        <w:rPr>
          <w:rFonts w:hint="eastAsia" w:ascii="宋体" w:hAnsi="宋体" w:cs="宋体"/>
          <w:highlight w:val="none"/>
        </w:rPr>
      </w:pPr>
      <w:r>
        <w:rPr>
          <w:rFonts w:hint="eastAsia" w:ascii="宋体" w:hAnsi="宋体" w:cs="宋体"/>
          <w:highlight w:val="none"/>
        </w:rPr>
        <w:t>1.2涉及投标人</w:t>
      </w:r>
      <w:r>
        <w:rPr>
          <w:rFonts w:hint="eastAsia" w:ascii="宋体" w:hAnsi="宋体" w:cs="宋体"/>
          <w:b/>
          <w:highlight w:val="none"/>
        </w:rPr>
        <w:t>“加盖单位公章”</w:t>
      </w:r>
      <w:r>
        <w:rPr>
          <w:rFonts w:hint="eastAsia" w:ascii="宋体" w:hAnsi="宋体" w:cs="宋体"/>
          <w:highlight w:val="none"/>
        </w:rPr>
        <w:t>：</w:t>
      </w:r>
    </w:p>
    <w:p w14:paraId="026DCAFF">
      <w:pPr>
        <w:pStyle w:val="10"/>
        <w:spacing w:before="47" w:beforeAutospacing="0" w:after="47" w:afterAutospacing="0"/>
        <w:rPr>
          <w:rFonts w:hint="eastAsia" w:ascii="宋体" w:hAnsi="宋体" w:cs="宋体"/>
          <w:highlight w:val="none"/>
        </w:rPr>
      </w:pPr>
      <w:r>
        <w:rPr>
          <w:rFonts w:hint="eastAsia" w:ascii="宋体" w:hAnsi="宋体" w:cs="宋体"/>
          <w:highlight w:val="none"/>
        </w:rPr>
        <w:t>（1）不接受联合体投标的，指</w:t>
      </w:r>
      <w:r>
        <w:rPr>
          <w:rFonts w:hint="eastAsia" w:ascii="宋体" w:hAnsi="宋体" w:cs="宋体"/>
          <w:b/>
          <w:highlight w:val="none"/>
        </w:rPr>
        <w:t>加盖投标人的单位公章</w:t>
      </w:r>
      <w:r>
        <w:rPr>
          <w:rFonts w:hint="eastAsia" w:ascii="宋体" w:hAnsi="宋体" w:cs="宋体"/>
          <w:highlight w:val="none"/>
        </w:rPr>
        <w:t>。</w:t>
      </w:r>
    </w:p>
    <w:p w14:paraId="71E59BDF">
      <w:pPr>
        <w:pStyle w:val="10"/>
        <w:spacing w:before="47" w:beforeAutospacing="0" w:after="47" w:afterAutospacing="0"/>
        <w:rPr>
          <w:rFonts w:hint="eastAsia" w:ascii="宋体" w:hAnsi="宋体" w:cs="宋体"/>
          <w:highlight w:val="none"/>
        </w:rPr>
      </w:pPr>
      <w:r>
        <w:rPr>
          <w:rFonts w:hint="eastAsia" w:ascii="宋体" w:hAnsi="宋体" w:cs="宋体"/>
          <w:highlight w:val="none"/>
        </w:rPr>
        <w:t>（2）接受联合体投标且投标人为联合体的，指</w:t>
      </w:r>
      <w:r>
        <w:rPr>
          <w:rFonts w:hint="eastAsia" w:ascii="宋体" w:hAnsi="宋体" w:cs="宋体"/>
          <w:b/>
          <w:highlight w:val="none"/>
        </w:rPr>
        <w:t>加盖联合体牵头方的单位公章</w:t>
      </w:r>
      <w:r>
        <w:rPr>
          <w:rFonts w:hint="eastAsia" w:ascii="宋体" w:hAnsi="宋体" w:cs="宋体"/>
          <w:highlight w:val="none"/>
        </w:rPr>
        <w:t>。</w:t>
      </w:r>
    </w:p>
    <w:p w14:paraId="5A0FF21D">
      <w:pPr>
        <w:pStyle w:val="10"/>
        <w:spacing w:before="47" w:beforeAutospacing="0" w:after="47" w:afterAutospacing="0"/>
        <w:rPr>
          <w:rFonts w:hint="eastAsia" w:ascii="宋体" w:hAnsi="宋体" w:cs="宋体"/>
          <w:highlight w:val="none"/>
        </w:rPr>
      </w:pPr>
      <w:r>
        <w:rPr>
          <w:rFonts w:hint="eastAsia" w:ascii="宋体" w:hAnsi="宋体" w:cs="宋体"/>
          <w:highlight w:val="none"/>
        </w:rPr>
        <w:t>1.3涉及</w:t>
      </w:r>
      <w:r>
        <w:rPr>
          <w:rFonts w:hint="eastAsia" w:ascii="宋体" w:hAnsi="宋体" w:cs="宋体"/>
          <w:b/>
          <w:highlight w:val="none"/>
        </w:rPr>
        <w:t>“投标人代表签字”</w:t>
      </w:r>
      <w:r>
        <w:rPr>
          <w:rFonts w:hint="eastAsia" w:ascii="宋体" w:hAnsi="宋体" w:cs="宋体"/>
          <w:highlight w:val="none"/>
        </w:rPr>
        <w:t>：</w:t>
      </w:r>
    </w:p>
    <w:p w14:paraId="2B3DFB0B">
      <w:pPr>
        <w:pStyle w:val="10"/>
        <w:spacing w:before="47" w:beforeAutospacing="0" w:after="47" w:afterAutospacing="0"/>
        <w:rPr>
          <w:rFonts w:hint="eastAsia" w:ascii="宋体" w:hAnsi="宋体" w:cs="宋体"/>
          <w:highlight w:val="none"/>
        </w:rPr>
      </w:pPr>
      <w:r>
        <w:rPr>
          <w:rFonts w:hint="eastAsia" w:ascii="宋体" w:hAnsi="宋体" w:cs="宋体"/>
          <w:highlight w:val="none"/>
        </w:rPr>
        <w:t>（1）不接受联合体投标的，指由</w:t>
      </w:r>
      <w:r>
        <w:rPr>
          <w:rFonts w:hint="eastAsia" w:ascii="宋体" w:hAnsi="宋体" w:cs="宋体"/>
          <w:b/>
          <w:highlight w:val="none"/>
        </w:rPr>
        <w:t>投标人的单位负责人或其授权的委托代理人签字</w:t>
      </w:r>
      <w:r>
        <w:rPr>
          <w:rFonts w:hint="eastAsia" w:ascii="宋体" w:hAnsi="宋体" w:cs="宋体"/>
          <w:highlight w:val="none"/>
        </w:rPr>
        <w:t>，由委托代理人签字的，应提供“单位负责人授权书”。</w:t>
      </w:r>
    </w:p>
    <w:p w14:paraId="3BB5B910">
      <w:pPr>
        <w:pStyle w:val="10"/>
        <w:spacing w:before="47" w:beforeAutospacing="0" w:after="47" w:afterAutospacing="0"/>
        <w:rPr>
          <w:rFonts w:hint="eastAsia" w:ascii="宋体" w:hAnsi="宋体" w:cs="宋体"/>
          <w:highlight w:val="none"/>
        </w:rPr>
      </w:pPr>
      <w:r>
        <w:rPr>
          <w:rFonts w:hint="eastAsia" w:ascii="宋体" w:hAnsi="宋体" w:cs="宋体"/>
          <w:highlight w:val="none"/>
        </w:rPr>
        <w:t>（2）接受联合体投标且投标人为联合体的，指由</w:t>
      </w:r>
      <w:r>
        <w:rPr>
          <w:rFonts w:hint="eastAsia" w:ascii="宋体" w:hAnsi="宋体" w:cs="宋体"/>
          <w:b/>
          <w:highlight w:val="none"/>
        </w:rPr>
        <w:t>联合体牵头方的单位负责人或其授权的委托代理人签字</w:t>
      </w:r>
      <w:r>
        <w:rPr>
          <w:rFonts w:hint="eastAsia" w:ascii="宋体" w:hAnsi="宋体" w:cs="宋体"/>
          <w:highlight w:val="none"/>
        </w:rPr>
        <w:t>，由委托代理人签字的，应提供“单位负责人授权书”。</w:t>
      </w:r>
    </w:p>
    <w:p w14:paraId="0920E8C9">
      <w:pPr>
        <w:pStyle w:val="10"/>
        <w:spacing w:before="47" w:beforeAutospacing="0" w:after="47" w:afterAutospacing="0"/>
        <w:rPr>
          <w:rFonts w:hint="eastAsia" w:ascii="宋体" w:hAnsi="宋体" w:cs="宋体"/>
          <w:highlight w:val="none"/>
        </w:rPr>
      </w:pPr>
      <w:r>
        <w:rPr>
          <w:rFonts w:hint="eastAsia" w:ascii="宋体" w:hAnsi="宋体" w:cs="宋体"/>
          <w:highlight w:val="none"/>
        </w:rPr>
        <w:t>1.4</w:t>
      </w:r>
      <w:r>
        <w:rPr>
          <w:rFonts w:hint="eastAsia" w:ascii="宋体" w:hAnsi="宋体" w:cs="宋体"/>
          <w:b/>
          <w:highlight w:val="none"/>
        </w:rPr>
        <w:t>“其他组织”</w:t>
      </w:r>
      <w:r>
        <w:rPr>
          <w:rFonts w:hint="eastAsia" w:ascii="宋体" w:hAnsi="宋体" w:cs="宋体"/>
          <w:highlight w:val="none"/>
        </w:rPr>
        <w:t>指合伙企业、非企业专业服务机构、个体工商户、农村承包经营户等。</w:t>
      </w:r>
    </w:p>
    <w:p w14:paraId="431CF3A4">
      <w:pPr>
        <w:pStyle w:val="10"/>
        <w:spacing w:before="47" w:beforeAutospacing="0" w:after="47" w:afterAutospacing="0"/>
        <w:rPr>
          <w:rFonts w:hint="eastAsia" w:ascii="宋体" w:hAnsi="宋体" w:cs="宋体"/>
          <w:highlight w:val="none"/>
        </w:rPr>
      </w:pPr>
      <w:r>
        <w:rPr>
          <w:rFonts w:hint="eastAsia" w:ascii="宋体" w:hAnsi="宋体" w:cs="宋体"/>
          <w:highlight w:val="none"/>
        </w:rPr>
        <w:t>1.5</w:t>
      </w:r>
      <w:r>
        <w:rPr>
          <w:rFonts w:hint="eastAsia" w:ascii="宋体" w:hAnsi="宋体" w:cs="宋体"/>
          <w:b/>
          <w:highlight w:val="none"/>
        </w:rPr>
        <w:t>“自然人”</w:t>
      </w:r>
      <w:r>
        <w:rPr>
          <w:rFonts w:hint="eastAsia" w:ascii="宋体" w:hAnsi="宋体" w:cs="宋体"/>
          <w:highlight w:val="none"/>
        </w:rPr>
        <w:t>指具有完全民事行为能力、能够承担民事责任和义务的中国公民。</w:t>
      </w:r>
    </w:p>
    <w:p w14:paraId="3B601BCD">
      <w:pPr>
        <w:pStyle w:val="10"/>
        <w:spacing w:before="47" w:beforeAutospacing="0" w:after="47" w:afterAutospacing="0"/>
        <w:outlineLvl w:val="1"/>
        <w:rPr>
          <w:rFonts w:hint="eastAsia" w:ascii="宋体" w:hAnsi="宋体" w:cs="宋体"/>
          <w:highlight w:val="none"/>
        </w:rPr>
      </w:pPr>
      <w:bookmarkStart w:id="188" w:name="_Toc27044"/>
      <w:r>
        <w:rPr>
          <w:rFonts w:hint="eastAsia" w:ascii="宋体" w:hAnsi="宋体" w:cs="宋体"/>
          <w:highlight w:val="none"/>
          <w:lang w:eastAsia="zh-CN"/>
        </w:rPr>
        <w:t>2.</w:t>
      </w:r>
      <w:r>
        <w:rPr>
          <w:rFonts w:hint="eastAsia" w:ascii="宋体" w:hAnsi="宋体" w:cs="宋体"/>
          <w:highlight w:val="none"/>
        </w:rPr>
        <w:t>除招标文件另有规定外，本章中</w:t>
      </w:r>
      <w:r>
        <w:rPr>
          <w:rFonts w:hint="eastAsia" w:ascii="宋体" w:hAnsi="宋体" w:cs="宋体"/>
          <w:b/>
          <w:highlight w:val="none"/>
        </w:rPr>
        <w:t>“投标人的资格及资信证明文件”</w:t>
      </w:r>
      <w:r>
        <w:rPr>
          <w:rFonts w:hint="eastAsia" w:ascii="宋体" w:hAnsi="宋体" w:cs="宋体"/>
          <w:highlight w:val="none"/>
        </w:rPr>
        <w:t>：</w:t>
      </w:r>
      <w:bookmarkEnd w:id="188"/>
    </w:p>
    <w:p w14:paraId="1B5CD32E">
      <w:pPr>
        <w:pStyle w:val="10"/>
        <w:spacing w:before="47" w:beforeAutospacing="0" w:after="47" w:afterAutospacing="0"/>
        <w:rPr>
          <w:rFonts w:hint="eastAsia" w:ascii="宋体" w:hAnsi="宋体" w:cs="宋体"/>
          <w:highlight w:val="none"/>
        </w:rPr>
      </w:pPr>
      <w:r>
        <w:rPr>
          <w:rFonts w:hint="eastAsia" w:ascii="宋体" w:hAnsi="宋体" w:cs="宋体"/>
          <w:highlight w:val="none"/>
        </w:rPr>
        <w:t>2.1投标人应按照招标文件第四章第1.3条第（2）款规定及本章规定进行编制，如有必要，可增加附页，附页作为资格及资信文件的组成部分。</w:t>
      </w:r>
    </w:p>
    <w:p w14:paraId="06A959E1">
      <w:pPr>
        <w:pStyle w:val="10"/>
        <w:spacing w:before="47" w:beforeAutospacing="0" w:after="47" w:afterAutospacing="0"/>
        <w:rPr>
          <w:rFonts w:hint="eastAsia" w:ascii="宋体" w:hAnsi="宋体" w:cs="宋体"/>
          <w:highlight w:val="none"/>
        </w:rPr>
      </w:pPr>
      <w:r>
        <w:rPr>
          <w:rFonts w:hint="eastAsia" w:ascii="宋体" w:hAnsi="宋体" w:cs="宋体"/>
          <w:highlight w:val="none"/>
        </w:rPr>
        <w:t>2.2接受联合体投标且投标人为联合体的，联合体中的各方均应按照本章第2.1条规定提交相应的全部资料。</w:t>
      </w:r>
    </w:p>
    <w:p w14:paraId="1C94679A">
      <w:pPr>
        <w:pStyle w:val="10"/>
        <w:spacing w:before="47" w:beforeAutospacing="0" w:after="47" w:afterAutospacing="0"/>
        <w:outlineLvl w:val="1"/>
        <w:rPr>
          <w:rFonts w:hint="eastAsia" w:ascii="宋体" w:hAnsi="宋体" w:cs="宋体"/>
          <w:highlight w:val="none"/>
        </w:rPr>
      </w:pPr>
      <w:bookmarkStart w:id="189" w:name="_Toc9695"/>
      <w:r>
        <w:rPr>
          <w:rFonts w:hint="eastAsia" w:ascii="宋体" w:hAnsi="宋体" w:cs="宋体"/>
          <w:highlight w:val="none"/>
          <w:lang w:eastAsia="zh-CN"/>
        </w:rPr>
        <w:t>3.</w:t>
      </w:r>
      <w:r>
        <w:rPr>
          <w:rFonts w:hint="eastAsia" w:ascii="宋体" w:hAnsi="宋体" w:cs="宋体"/>
          <w:highlight w:val="none"/>
        </w:rPr>
        <w:t>投标人对投标文件的索引应编制页码。</w:t>
      </w:r>
      <w:bookmarkEnd w:id="189"/>
    </w:p>
    <w:p w14:paraId="38126217">
      <w:pPr>
        <w:pStyle w:val="10"/>
        <w:spacing w:before="47" w:beforeAutospacing="0" w:after="47" w:afterAutospacing="0"/>
        <w:outlineLvl w:val="1"/>
        <w:rPr>
          <w:rFonts w:hint="eastAsia" w:ascii="宋体" w:hAnsi="宋体" w:cs="宋体"/>
          <w:highlight w:val="none"/>
        </w:rPr>
      </w:pPr>
      <w:bookmarkStart w:id="190" w:name="_Toc14110"/>
      <w:r>
        <w:rPr>
          <w:rFonts w:hint="eastAsia" w:ascii="宋体" w:hAnsi="宋体" w:cs="宋体"/>
          <w:highlight w:val="none"/>
          <w:lang w:eastAsia="zh-CN"/>
        </w:rPr>
        <w:t>4.</w:t>
      </w:r>
      <w:r>
        <w:rPr>
          <w:rFonts w:hint="eastAsia" w:ascii="宋体" w:hAnsi="宋体" w:cs="宋体"/>
          <w:highlight w:val="none"/>
        </w:rPr>
        <w:t>除招标文件另有规定外，本章中：</w:t>
      </w:r>
      <w:bookmarkEnd w:id="190"/>
    </w:p>
    <w:p w14:paraId="5A49D90A">
      <w:pPr>
        <w:pStyle w:val="10"/>
        <w:spacing w:before="47" w:beforeAutospacing="0" w:after="47" w:afterAutospacing="0"/>
        <w:rPr>
          <w:rFonts w:hint="eastAsia" w:ascii="宋体" w:hAnsi="宋体" w:cs="宋体"/>
          <w:highlight w:val="none"/>
        </w:rPr>
      </w:pPr>
      <w:r>
        <w:rPr>
          <w:rFonts w:hint="eastAsia" w:ascii="宋体" w:hAnsi="宋体" w:cs="宋体"/>
          <w:highlight w:val="none"/>
        </w:rPr>
        <w:t>4.1招标文件要求原件的，投标人在纸质投标文件正本中应提供原件；招标文件要求复印件的，投标人在纸质投标文件中提供原件、复印件（含扫描件）皆可；招标文件对原件、复印件未作要求的，投标人在纸质投标文件中提供原件、复印件（含扫描件）皆可。</w:t>
      </w:r>
    </w:p>
    <w:p w14:paraId="4A634AE4">
      <w:pPr>
        <w:pStyle w:val="10"/>
        <w:spacing w:before="47" w:beforeAutospacing="0" w:after="47" w:afterAutospacing="0"/>
        <w:rPr>
          <w:rFonts w:hint="eastAsia" w:ascii="宋体" w:hAnsi="宋体" w:cs="宋体"/>
          <w:highlight w:val="none"/>
        </w:rPr>
      </w:pPr>
      <w:r>
        <w:rPr>
          <w:rFonts w:hint="eastAsia" w:ascii="宋体" w:hAnsi="宋体" w:cs="宋体"/>
          <w:highlight w:val="none"/>
        </w:rPr>
        <w:t>4.2若投标人提供注明“复印件无效”的证明材料或资料，其纸质投标文件正本中应提供原件。</w:t>
      </w:r>
    </w:p>
    <w:p w14:paraId="1B1FF367">
      <w:pPr>
        <w:pStyle w:val="10"/>
        <w:rPr>
          <w:rFonts w:hint="eastAsia" w:ascii="宋体" w:hAnsi="宋体" w:cs="宋体"/>
          <w:highlight w:val="none"/>
        </w:rPr>
      </w:pPr>
    </w:p>
    <w:p w14:paraId="3DACBE55">
      <w:pPr>
        <w:pStyle w:val="10"/>
        <w:outlineLvl w:val="0"/>
        <w:rPr>
          <w:rFonts w:hint="eastAsia" w:ascii="宋体" w:hAnsi="宋体" w:cs="宋体"/>
          <w:highlight w:val="none"/>
        </w:rPr>
      </w:pPr>
      <w:r>
        <w:rPr>
          <w:rStyle w:val="34"/>
          <w:rFonts w:hint="eastAsia" w:ascii="宋体" w:hAnsi="宋体" w:cs="宋体"/>
          <w:sz w:val="22"/>
          <w:szCs w:val="22"/>
          <w:highlight w:val="none"/>
        </w:rPr>
        <w:br w:type="page"/>
      </w:r>
      <w:bookmarkStart w:id="191" w:name="_Toc4993"/>
      <w:r>
        <w:rPr>
          <w:rStyle w:val="34"/>
          <w:rFonts w:hint="eastAsia" w:ascii="宋体" w:hAnsi="宋体" w:cs="宋体"/>
          <w:sz w:val="22"/>
          <w:szCs w:val="22"/>
          <w:highlight w:val="none"/>
        </w:rPr>
        <w:t>封面格式</w:t>
      </w:r>
      <w:bookmarkEnd w:id="191"/>
    </w:p>
    <w:p w14:paraId="5D6DCEFB">
      <w:pPr>
        <w:pStyle w:val="10"/>
        <w:rPr>
          <w:rFonts w:hint="eastAsia" w:ascii="宋体" w:hAnsi="宋体" w:cs="宋体"/>
          <w:highlight w:val="none"/>
        </w:rPr>
      </w:pPr>
    </w:p>
    <w:p w14:paraId="1939CA20">
      <w:pPr>
        <w:pStyle w:val="10"/>
        <w:jc w:val="center"/>
        <w:rPr>
          <w:rFonts w:hint="eastAsia" w:ascii="宋体" w:hAnsi="宋体" w:cs="宋体"/>
          <w:sz w:val="72"/>
          <w:szCs w:val="72"/>
          <w:highlight w:val="none"/>
        </w:rPr>
      </w:pPr>
      <w:r>
        <w:rPr>
          <w:rStyle w:val="34"/>
          <w:rFonts w:hint="eastAsia" w:ascii="宋体" w:hAnsi="宋体" w:cs="宋体"/>
          <w:sz w:val="72"/>
          <w:szCs w:val="72"/>
          <w:highlight w:val="none"/>
        </w:rPr>
        <w:t>投 标 文 件</w:t>
      </w:r>
    </w:p>
    <w:p w14:paraId="647714D1">
      <w:pPr>
        <w:pStyle w:val="10"/>
        <w:jc w:val="center"/>
        <w:rPr>
          <w:rFonts w:hint="eastAsia" w:ascii="宋体" w:hAnsi="宋体" w:cs="宋体"/>
          <w:sz w:val="72"/>
          <w:szCs w:val="72"/>
          <w:highlight w:val="none"/>
        </w:rPr>
      </w:pPr>
      <w:r>
        <w:rPr>
          <w:rStyle w:val="34"/>
          <w:rFonts w:hint="eastAsia" w:ascii="宋体" w:hAnsi="宋体" w:cs="宋体"/>
          <w:sz w:val="72"/>
          <w:szCs w:val="72"/>
          <w:highlight w:val="none"/>
        </w:rPr>
        <w:t>（资格及资信证明部分）</w:t>
      </w:r>
    </w:p>
    <w:p w14:paraId="0A079A8D">
      <w:pPr>
        <w:pStyle w:val="10"/>
        <w:rPr>
          <w:rFonts w:hint="eastAsia" w:ascii="宋体" w:hAnsi="宋体" w:cs="宋体"/>
          <w:sz w:val="52"/>
          <w:szCs w:val="52"/>
          <w:highlight w:val="none"/>
        </w:rPr>
      </w:pPr>
      <w:r>
        <w:rPr>
          <w:rFonts w:hint="eastAsia" w:ascii="宋体" w:hAnsi="宋体" w:cs="宋体"/>
          <w:sz w:val="52"/>
          <w:szCs w:val="52"/>
          <w:highlight w:val="none"/>
        </w:rPr>
        <w:t> </w:t>
      </w:r>
    </w:p>
    <w:p w14:paraId="5948B978">
      <w:pPr>
        <w:pStyle w:val="10"/>
        <w:jc w:val="center"/>
        <w:outlineLvl w:val="0"/>
        <w:rPr>
          <w:rFonts w:hint="eastAsia" w:ascii="宋体" w:hAnsi="宋体" w:cs="宋体"/>
          <w:sz w:val="44"/>
          <w:szCs w:val="44"/>
          <w:highlight w:val="none"/>
        </w:rPr>
      </w:pPr>
      <w:bookmarkStart w:id="192" w:name="_Toc26660"/>
      <w:r>
        <w:rPr>
          <w:rStyle w:val="34"/>
          <w:rFonts w:hint="eastAsia" w:ascii="宋体" w:hAnsi="宋体" w:cs="宋体"/>
          <w:sz w:val="44"/>
          <w:szCs w:val="44"/>
          <w:highlight w:val="none"/>
          <w:u w:val="single"/>
        </w:rPr>
        <w:t>（填写正本或副本）</w:t>
      </w:r>
      <w:bookmarkEnd w:id="192"/>
    </w:p>
    <w:p w14:paraId="53D87FEE">
      <w:pPr>
        <w:pStyle w:val="10"/>
        <w:rPr>
          <w:rFonts w:hint="eastAsia" w:ascii="宋体" w:hAnsi="宋体" w:cs="宋体"/>
          <w:highlight w:val="none"/>
        </w:rPr>
      </w:pPr>
      <w:r>
        <w:rPr>
          <w:rFonts w:hint="eastAsia" w:ascii="宋体" w:hAnsi="宋体" w:cs="宋体"/>
          <w:sz w:val="28"/>
          <w:szCs w:val="28"/>
          <w:highlight w:val="none"/>
        </w:rPr>
        <w:t> </w:t>
      </w:r>
    </w:p>
    <w:p w14:paraId="088F0615">
      <w:pPr>
        <w:pStyle w:val="10"/>
        <w:ind w:firstLine="3057" w:firstLineChars="1218"/>
        <w:rPr>
          <w:rFonts w:hint="eastAsia" w:ascii="宋体" w:hAnsi="宋体" w:cs="宋体"/>
          <w:highlight w:val="none"/>
        </w:rPr>
      </w:pPr>
      <w:r>
        <w:rPr>
          <w:rStyle w:val="34"/>
          <w:rFonts w:hint="eastAsia" w:ascii="宋体" w:hAnsi="宋体" w:cs="宋体"/>
          <w:sz w:val="25"/>
          <w:szCs w:val="25"/>
          <w:highlight w:val="none"/>
        </w:rPr>
        <w:t>项目名称：</w:t>
      </w:r>
      <w:r>
        <w:rPr>
          <w:rStyle w:val="34"/>
          <w:rFonts w:hint="eastAsia" w:ascii="宋体" w:hAnsi="宋体" w:cs="宋体"/>
          <w:sz w:val="25"/>
          <w:szCs w:val="25"/>
          <w:highlight w:val="none"/>
          <w:u w:val="single"/>
        </w:rPr>
        <w:t>（由投标人填写）</w:t>
      </w:r>
    </w:p>
    <w:p w14:paraId="104E861F">
      <w:pPr>
        <w:pStyle w:val="10"/>
        <w:ind w:firstLine="3057" w:firstLineChars="1218"/>
        <w:rPr>
          <w:rFonts w:hint="eastAsia" w:ascii="宋体" w:hAnsi="宋体" w:cs="宋体"/>
          <w:highlight w:val="none"/>
        </w:rPr>
      </w:pPr>
      <w:r>
        <w:rPr>
          <w:rStyle w:val="34"/>
          <w:rFonts w:hint="eastAsia" w:ascii="宋体" w:hAnsi="宋体" w:cs="宋体"/>
          <w:sz w:val="25"/>
          <w:szCs w:val="25"/>
          <w:highlight w:val="none"/>
        </w:rPr>
        <w:t>项目编号：</w:t>
      </w:r>
      <w:r>
        <w:rPr>
          <w:rStyle w:val="34"/>
          <w:rFonts w:hint="eastAsia" w:ascii="宋体" w:hAnsi="宋体" w:cs="宋体"/>
          <w:sz w:val="25"/>
          <w:szCs w:val="25"/>
          <w:highlight w:val="none"/>
          <w:u w:val="single"/>
        </w:rPr>
        <w:t>（由投标人填写）</w:t>
      </w:r>
    </w:p>
    <w:p w14:paraId="7606BD35">
      <w:pPr>
        <w:pStyle w:val="10"/>
        <w:ind w:firstLine="3057" w:firstLineChars="1218"/>
        <w:rPr>
          <w:rFonts w:hint="eastAsia" w:ascii="宋体" w:hAnsi="宋体" w:cs="宋体"/>
          <w:highlight w:val="none"/>
        </w:rPr>
      </w:pPr>
      <w:r>
        <w:rPr>
          <w:rStyle w:val="34"/>
          <w:rFonts w:hint="eastAsia" w:ascii="宋体" w:hAnsi="宋体" w:cs="宋体"/>
          <w:sz w:val="25"/>
          <w:szCs w:val="25"/>
          <w:highlight w:val="none"/>
        </w:rPr>
        <w:t>所投采购包：</w:t>
      </w:r>
      <w:r>
        <w:rPr>
          <w:rStyle w:val="34"/>
          <w:rFonts w:hint="eastAsia" w:ascii="宋体" w:hAnsi="宋体" w:cs="宋体"/>
          <w:sz w:val="25"/>
          <w:szCs w:val="25"/>
          <w:highlight w:val="none"/>
          <w:u w:val="single"/>
        </w:rPr>
        <w:t>（由投标人填写）</w:t>
      </w:r>
    </w:p>
    <w:p w14:paraId="41D37AFB">
      <w:pPr>
        <w:pStyle w:val="10"/>
        <w:rPr>
          <w:rFonts w:hint="eastAsia" w:ascii="宋体" w:hAnsi="宋体" w:cs="宋体"/>
          <w:highlight w:val="none"/>
        </w:rPr>
      </w:pPr>
      <w:r>
        <w:rPr>
          <w:rFonts w:hint="eastAsia" w:ascii="宋体" w:hAnsi="宋体" w:cs="宋体"/>
          <w:sz w:val="28"/>
          <w:szCs w:val="28"/>
          <w:highlight w:val="none"/>
        </w:rPr>
        <w:t>  </w:t>
      </w:r>
    </w:p>
    <w:p w14:paraId="65C70C7C">
      <w:pPr>
        <w:pStyle w:val="10"/>
        <w:jc w:val="center"/>
        <w:rPr>
          <w:rFonts w:hint="eastAsia" w:ascii="宋体" w:hAnsi="宋体" w:cs="宋体"/>
          <w:highlight w:val="none"/>
        </w:rPr>
      </w:pPr>
      <w:r>
        <w:rPr>
          <w:rStyle w:val="34"/>
          <w:rFonts w:hint="eastAsia" w:ascii="宋体" w:hAnsi="宋体" w:cs="宋体"/>
          <w:sz w:val="25"/>
          <w:szCs w:val="25"/>
          <w:highlight w:val="none"/>
        </w:rPr>
        <w:t>投标人：</w:t>
      </w:r>
      <w:r>
        <w:rPr>
          <w:rStyle w:val="34"/>
          <w:rFonts w:hint="eastAsia" w:ascii="宋体" w:hAnsi="宋体" w:cs="宋体"/>
          <w:sz w:val="25"/>
          <w:szCs w:val="25"/>
          <w:highlight w:val="none"/>
          <w:u w:val="single"/>
        </w:rPr>
        <w:t>（填写“全称”）</w:t>
      </w:r>
    </w:p>
    <w:p w14:paraId="669E8DC0">
      <w:pPr>
        <w:pStyle w:val="10"/>
        <w:jc w:val="center"/>
        <w:rPr>
          <w:rFonts w:hint="eastAsia" w:ascii="宋体" w:hAnsi="宋体" w:cs="宋体"/>
          <w:highlight w:val="none"/>
        </w:rPr>
      </w:pPr>
      <w:r>
        <w:rPr>
          <w:rStyle w:val="34"/>
          <w:rFonts w:hint="eastAsia" w:ascii="宋体" w:hAnsi="宋体" w:cs="宋体"/>
          <w:sz w:val="25"/>
          <w:szCs w:val="25"/>
          <w:highlight w:val="none"/>
          <w:u w:val="single"/>
        </w:rPr>
        <w:t>（由投标人填写）</w:t>
      </w:r>
      <w:r>
        <w:rPr>
          <w:rStyle w:val="34"/>
          <w:rFonts w:hint="eastAsia" w:ascii="宋体" w:hAnsi="宋体" w:cs="宋体"/>
          <w:sz w:val="25"/>
          <w:szCs w:val="25"/>
          <w:highlight w:val="none"/>
        </w:rPr>
        <w:t>年</w:t>
      </w:r>
      <w:r>
        <w:rPr>
          <w:rStyle w:val="34"/>
          <w:rFonts w:hint="eastAsia" w:ascii="宋体" w:hAnsi="宋体" w:cs="宋体"/>
          <w:sz w:val="25"/>
          <w:szCs w:val="25"/>
          <w:highlight w:val="none"/>
          <w:u w:val="single"/>
        </w:rPr>
        <w:t>（由投标人填写）</w:t>
      </w:r>
      <w:r>
        <w:rPr>
          <w:rStyle w:val="34"/>
          <w:rFonts w:hint="eastAsia" w:ascii="宋体" w:hAnsi="宋体" w:cs="宋体"/>
          <w:sz w:val="25"/>
          <w:szCs w:val="25"/>
          <w:highlight w:val="none"/>
        </w:rPr>
        <w:t>月</w:t>
      </w:r>
    </w:p>
    <w:p w14:paraId="4FD6C0E9">
      <w:pPr>
        <w:pStyle w:val="10"/>
        <w:rPr>
          <w:rFonts w:hint="eastAsia" w:ascii="宋体" w:hAnsi="宋体" w:cs="宋体"/>
          <w:highlight w:val="none"/>
        </w:rPr>
      </w:pPr>
      <w:r>
        <w:rPr>
          <w:rFonts w:hint="eastAsia" w:ascii="宋体" w:hAnsi="宋体" w:cs="宋体"/>
          <w:sz w:val="17"/>
          <w:szCs w:val="17"/>
          <w:highlight w:val="none"/>
        </w:rPr>
        <w:t> </w:t>
      </w:r>
    </w:p>
    <w:p w14:paraId="46CF25BC">
      <w:pPr>
        <w:pStyle w:val="10"/>
        <w:rPr>
          <w:rFonts w:hint="eastAsia" w:ascii="宋体" w:hAnsi="宋体" w:cs="宋体"/>
          <w:highlight w:val="none"/>
        </w:rPr>
      </w:pPr>
      <w:r>
        <w:rPr>
          <w:rFonts w:hint="eastAsia" w:ascii="宋体" w:hAnsi="宋体" w:cs="宋体"/>
          <w:sz w:val="17"/>
          <w:szCs w:val="17"/>
          <w:highlight w:val="none"/>
        </w:rPr>
        <w:t> </w:t>
      </w:r>
    </w:p>
    <w:p w14:paraId="5FAE66F6">
      <w:pPr>
        <w:pStyle w:val="11"/>
        <w:numPr>
          <w:ilvl w:val="1"/>
          <w:numId w:val="0"/>
        </w:numPr>
        <w:ind w:left="567"/>
        <w:outlineLvl w:val="9"/>
        <w:rPr>
          <w:rFonts w:ascii="宋体" w:hAnsi="宋体" w:eastAsia="宋体"/>
          <w:highlight w:val="none"/>
        </w:rPr>
      </w:pPr>
    </w:p>
    <w:p w14:paraId="75BFC737">
      <w:pPr>
        <w:pStyle w:val="10"/>
        <w:jc w:val="center"/>
        <w:rPr>
          <w:rFonts w:hint="eastAsia" w:ascii="宋体" w:hAnsi="宋体" w:cs="宋体"/>
          <w:highlight w:val="none"/>
        </w:rPr>
      </w:pPr>
      <w:r>
        <w:rPr>
          <w:rFonts w:hint="eastAsia" w:ascii="宋体" w:hAnsi="宋体" w:cs="宋体"/>
          <w:sz w:val="17"/>
          <w:szCs w:val="17"/>
          <w:highlight w:val="none"/>
        </w:rPr>
        <w:br w:type="page"/>
      </w:r>
      <w:r>
        <w:rPr>
          <w:rStyle w:val="34"/>
          <w:rFonts w:hint="eastAsia" w:ascii="宋体" w:hAnsi="宋体" w:cs="宋体"/>
          <w:sz w:val="22"/>
          <w:szCs w:val="22"/>
          <w:highlight w:val="none"/>
        </w:rPr>
        <w:t>索引</w:t>
      </w:r>
    </w:p>
    <w:p w14:paraId="25A9639A">
      <w:pPr>
        <w:pStyle w:val="10"/>
        <w:rPr>
          <w:rFonts w:hint="eastAsia" w:ascii="宋体" w:hAnsi="宋体" w:cs="宋体"/>
          <w:highlight w:val="none"/>
        </w:rPr>
      </w:pPr>
      <w:r>
        <w:rPr>
          <w:rFonts w:hint="eastAsia" w:ascii="宋体" w:hAnsi="宋体" w:cs="宋体"/>
          <w:sz w:val="22"/>
          <w:szCs w:val="22"/>
          <w:highlight w:val="none"/>
        </w:rPr>
        <w:t>一、投标函………………………………………………………………………………………（页码）</w:t>
      </w:r>
    </w:p>
    <w:p w14:paraId="59496ABF">
      <w:pPr>
        <w:pStyle w:val="10"/>
        <w:rPr>
          <w:rFonts w:hint="eastAsia" w:ascii="宋体" w:hAnsi="宋体" w:cs="宋体"/>
          <w:highlight w:val="none"/>
        </w:rPr>
      </w:pPr>
      <w:r>
        <w:rPr>
          <w:rFonts w:hint="eastAsia" w:ascii="宋体" w:hAnsi="宋体" w:cs="宋体"/>
          <w:sz w:val="22"/>
          <w:szCs w:val="22"/>
          <w:highlight w:val="none"/>
        </w:rPr>
        <w:t>二、投标人的资格及资信证明文件……………………………………………………………（页码）</w:t>
      </w:r>
    </w:p>
    <w:p w14:paraId="3E00C6DF">
      <w:pPr>
        <w:pStyle w:val="10"/>
        <w:rPr>
          <w:rFonts w:hint="eastAsia" w:ascii="宋体" w:hAnsi="宋体" w:cs="宋体"/>
          <w:highlight w:val="none"/>
        </w:rPr>
      </w:pPr>
      <w:r>
        <w:rPr>
          <w:rFonts w:hint="eastAsia" w:ascii="宋体" w:hAnsi="宋体" w:cs="宋体"/>
          <w:sz w:val="22"/>
          <w:szCs w:val="22"/>
          <w:highlight w:val="none"/>
        </w:rPr>
        <w:t>三、投标保证金…………………………………………………………………………………（页码）</w:t>
      </w:r>
    </w:p>
    <w:p w14:paraId="5111B822">
      <w:pPr>
        <w:pStyle w:val="10"/>
        <w:rPr>
          <w:rFonts w:hint="eastAsia" w:ascii="宋体" w:hAnsi="宋体" w:cs="宋体"/>
          <w:highlight w:val="none"/>
        </w:rPr>
      </w:pPr>
      <w:r>
        <w:rPr>
          <w:rFonts w:hint="eastAsia" w:ascii="宋体" w:hAnsi="宋体" w:cs="宋体"/>
          <w:sz w:val="17"/>
          <w:szCs w:val="17"/>
          <w:highlight w:val="none"/>
        </w:rPr>
        <w:t> </w:t>
      </w:r>
    </w:p>
    <w:p w14:paraId="7A3FFCA0">
      <w:pPr>
        <w:pStyle w:val="10"/>
        <w:rPr>
          <w:rFonts w:hint="eastAsia" w:ascii="宋体" w:hAnsi="宋体" w:cs="宋体"/>
          <w:highlight w:val="none"/>
        </w:rPr>
      </w:pPr>
      <w:r>
        <w:rPr>
          <w:rFonts w:hint="eastAsia" w:ascii="宋体" w:hAnsi="宋体" w:cs="宋体"/>
          <w:sz w:val="17"/>
          <w:szCs w:val="17"/>
          <w:highlight w:val="none"/>
        </w:rPr>
        <w:t> </w:t>
      </w:r>
    </w:p>
    <w:p w14:paraId="140A7EAE">
      <w:pPr>
        <w:pStyle w:val="10"/>
        <w:rPr>
          <w:rFonts w:hint="eastAsia" w:ascii="宋体" w:hAnsi="宋体" w:cs="宋体"/>
          <w:highlight w:val="none"/>
        </w:rPr>
      </w:pPr>
    </w:p>
    <w:p w14:paraId="38CFDB6D">
      <w:pPr>
        <w:pStyle w:val="10"/>
        <w:jc w:val="center"/>
        <w:rPr>
          <w:rFonts w:hint="eastAsia" w:ascii="宋体" w:hAnsi="宋体" w:cs="宋体"/>
          <w:highlight w:val="none"/>
        </w:rPr>
      </w:pPr>
      <w:r>
        <w:rPr>
          <w:rFonts w:hint="eastAsia" w:ascii="宋体" w:hAnsi="宋体" w:cs="宋体"/>
          <w:highlight w:val="none"/>
        </w:rPr>
        <w:t>注意</w:t>
      </w:r>
    </w:p>
    <w:p w14:paraId="592AA148">
      <w:pPr>
        <w:pStyle w:val="10"/>
        <w:ind w:firstLine="330"/>
        <w:rPr>
          <w:rFonts w:hint="eastAsia" w:ascii="宋体" w:hAnsi="宋体" w:cs="宋体"/>
          <w:highlight w:val="none"/>
        </w:rPr>
      </w:pPr>
      <w:r>
        <w:rPr>
          <w:rFonts w:hint="eastAsia" w:ascii="宋体" w:hAnsi="宋体" w:cs="宋体"/>
          <w:highlight w:val="none"/>
        </w:rPr>
        <w:t>资格及资信证明部分中不得出现报价部分的全部或部分的投标报价信息（或组成资料），否则</w:t>
      </w:r>
      <w:r>
        <w:rPr>
          <w:rStyle w:val="34"/>
          <w:rFonts w:hint="eastAsia" w:ascii="宋体" w:hAnsi="宋体" w:cs="宋体"/>
          <w:highlight w:val="none"/>
        </w:rPr>
        <w:t>资格审查不合格</w:t>
      </w:r>
      <w:r>
        <w:rPr>
          <w:rFonts w:hint="eastAsia" w:ascii="宋体" w:hAnsi="宋体" w:cs="宋体"/>
          <w:highlight w:val="none"/>
        </w:rPr>
        <w:t>。</w:t>
      </w:r>
    </w:p>
    <w:p w14:paraId="25D1CA8E">
      <w:pPr>
        <w:pStyle w:val="10"/>
        <w:rPr>
          <w:rFonts w:hint="eastAsia" w:ascii="宋体" w:hAnsi="宋体" w:cs="宋体"/>
          <w:highlight w:val="none"/>
        </w:rPr>
      </w:pPr>
    </w:p>
    <w:p w14:paraId="15DEE8C6">
      <w:pPr>
        <w:pStyle w:val="11"/>
        <w:numPr>
          <w:ilvl w:val="1"/>
          <w:numId w:val="0"/>
        </w:numPr>
        <w:outlineLvl w:val="9"/>
        <w:rPr>
          <w:rFonts w:ascii="宋体" w:hAnsi="宋体" w:eastAsia="宋体"/>
          <w:highlight w:val="none"/>
        </w:rPr>
      </w:pPr>
    </w:p>
    <w:p w14:paraId="78E1062E">
      <w:pPr>
        <w:pStyle w:val="10"/>
        <w:jc w:val="center"/>
        <w:outlineLvl w:val="0"/>
        <w:rPr>
          <w:rFonts w:hint="eastAsia" w:ascii="宋体" w:hAnsi="宋体" w:cs="宋体"/>
          <w:highlight w:val="none"/>
        </w:rPr>
      </w:pPr>
      <w:r>
        <w:rPr>
          <w:rFonts w:hint="eastAsia" w:ascii="宋体" w:hAnsi="宋体" w:cs="宋体"/>
          <w:sz w:val="17"/>
          <w:szCs w:val="17"/>
          <w:highlight w:val="none"/>
        </w:rPr>
        <w:br w:type="page"/>
      </w:r>
      <w:bookmarkStart w:id="193" w:name="_Toc7746"/>
      <w:r>
        <w:rPr>
          <w:rStyle w:val="34"/>
          <w:rFonts w:hint="eastAsia" w:ascii="宋体" w:hAnsi="宋体" w:cs="宋体"/>
          <w:highlight w:val="none"/>
        </w:rPr>
        <w:t>一、投标函</w:t>
      </w:r>
      <w:bookmarkEnd w:id="193"/>
    </w:p>
    <w:p w14:paraId="011B8725">
      <w:pPr>
        <w:pStyle w:val="10"/>
        <w:rPr>
          <w:rFonts w:hint="eastAsia" w:ascii="宋体" w:hAnsi="宋体" w:cs="宋体"/>
          <w:highlight w:val="none"/>
        </w:rPr>
      </w:pPr>
      <w:r>
        <w:rPr>
          <w:rFonts w:hint="eastAsia" w:ascii="宋体" w:hAnsi="宋体" w:cs="宋体"/>
          <w:highlight w:val="none"/>
        </w:rPr>
        <w:t>致：</w:t>
      </w:r>
      <w:r>
        <w:rPr>
          <w:rFonts w:hint="eastAsia" w:ascii="宋体" w:hAnsi="宋体" w:cs="宋体"/>
          <w:highlight w:val="none"/>
          <w:u w:val="single"/>
        </w:rPr>
        <w:t>                     </w:t>
      </w:r>
    </w:p>
    <w:p w14:paraId="658A8491">
      <w:pPr>
        <w:pStyle w:val="10"/>
        <w:ind w:firstLine="330"/>
        <w:rPr>
          <w:rFonts w:hint="eastAsia" w:ascii="宋体" w:hAnsi="宋体" w:cs="宋体"/>
          <w:highlight w:val="none"/>
        </w:rPr>
      </w:pPr>
      <w:r>
        <w:rPr>
          <w:rFonts w:hint="eastAsia" w:ascii="宋体" w:hAnsi="宋体" w:cs="宋体"/>
          <w:highlight w:val="none"/>
        </w:rPr>
        <w:t>兹收到贵单位关于</w:t>
      </w:r>
      <w:r>
        <w:rPr>
          <w:rFonts w:hint="eastAsia" w:ascii="宋体" w:hAnsi="宋体" w:cs="宋体"/>
          <w:highlight w:val="none"/>
          <w:u w:val="single"/>
        </w:rPr>
        <w:t>（填写“项目名称”）</w:t>
      </w:r>
      <w:r>
        <w:rPr>
          <w:rFonts w:hint="eastAsia" w:ascii="宋体" w:hAnsi="宋体" w:cs="宋体"/>
          <w:highlight w:val="none"/>
        </w:rPr>
        <w:t>项目（项目编号：</w:t>
      </w:r>
      <w:r>
        <w:rPr>
          <w:rFonts w:hint="eastAsia" w:ascii="宋体" w:hAnsi="宋体" w:cs="宋体"/>
          <w:highlight w:val="none"/>
          <w:u w:val="single"/>
        </w:rPr>
        <w:t>     </w:t>
      </w:r>
      <w:r>
        <w:rPr>
          <w:rFonts w:hint="eastAsia" w:ascii="宋体" w:hAnsi="宋体" w:cs="宋体"/>
          <w:highlight w:val="none"/>
        </w:rPr>
        <w:t>）的投标邀请，本投标人代表</w:t>
      </w:r>
      <w:r>
        <w:rPr>
          <w:rFonts w:hint="eastAsia" w:ascii="宋体" w:hAnsi="宋体" w:cs="宋体"/>
          <w:highlight w:val="none"/>
          <w:u w:val="single"/>
        </w:rPr>
        <w:t>（填写“全名”）</w:t>
      </w:r>
      <w:r>
        <w:rPr>
          <w:rFonts w:hint="eastAsia" w:ascii="宋体" w:hAnsi="宋体" w:cs="宋体"/>
          <w:highlight w:val="none"/>
        </w:rPr>
        <w:t>已获得我方正式授权并代表投标人</w:t>
      </w:r>
      <w:r>
        <w:rPr>
          <w:rFonts w:hint="eastAsia" w:ascii="宋体" w:hAnsi="宋体" w:cs="宋体"/>
          <w:highlight w:val="none"/>
          <w:u w:val="single"/>
        </w:rPr>
        <w:t>（填写“全称”）</w:t>
      </w:r>
      <w:r>
        <w:rPr>
          <w:rFonts w:hint="eastAsia" w:ascii="宋体" w:hAnsi="宋体" w:cs="宋体"/>
          <w:highlight w:val="none"/>
        </w:rPr>
        <w:t>参加投标，并提交招标文件规定份数的投标文件正本和副本。我方提交的全部投标文件均由下述部分组成：</w:t>
      </w:r>
    </w:p>
    <w:p w14:paraId="5C204D9C">
      <w:pPr>
        <w:pStyle w:val="10"/>
        <w:ind w:firstLine="330"/>
        <w:rPr>
          <w:rFonts w:hint="eastAsia" w:ascii="宋体" w:hAnsi="宋体" w:cs="宋体"/>
          <w:highlight w:val="none"/>
        </w:rPr>
      </w:pPr>
      <w:r>
        <w:rPr>
          <w:rFonts w:hint="eastAsia" w:ascii="宋体" w:hAnsi="宋体" w:cs="宋体"/>
          <w:highlight w:val="none"/>
        </w:rPr>
        <w:t>（1）资格及资信证明部分</w:t>
      </w:r>
    </w:p>
    <w:p w14:paraId="4C2F4DBB">
      <w:pPr>
        <w:pStyle w:val="10"/>
        <w:ind w:firstLine="330"/>
        <w:rPr>
          <w:rFonts w:hint="eastAsia" w:ascii="宋体" w:hAnsi="宋体" w:cs="宋体"/>
          <w:highlight w:val="none"/>
        </w:rPr>
      </w:pPr>
      <w:r>
        <w:rPr>
          <w:rFonts w:hint="eastAsia" w:ascii="宋体" w:hAnsi="宋体" w:cs="宋体"/>
          <w:highlight w:val="none"/>
        </w:rPr>
        <w:t>①投标函</w:t>
      </w:r>
    </w:p>
    <w:p w14:paraId="3D01B51E">
      <w:pPr>
        <w:pStyle w:val="10"/>
        <w:ind w:firstLine="330"/>
        <w:rPr>
          <w:rFonts w:hint="eastAsia" w:ascii="宋体" w:hAnsi="宋体" w:cs="宋体"/>
          <w:highlight w:val="none"/>
        </w:rPr>
      </w:pPr>
      <w:r>
        <w:rPr>
          <w:rFonts w:hint="eastAsia" w:ascii="宋体" w:hAnsi="宋体" w:cs="宋体"/>
          <w:highlight w:val="none"/>
        </w:rPr>
        <w:t>②投标人的资格及资信证明文件</w:t>
      </w:r>
    </w:p>
    <w:p w14:paraId="3EF3D0FD">
      <w:pPr>
        <w:pStyle w:val="10"/>
        <w:ind w:firstLine="330"/>
        <w:rPr>
          <w:rFonts w:hint="eastAsia" w:ascii="宋体" w:hAnsi="宋体" w:cs="宋体"/>
          <w:highlight w:val="none"/>
        </w:rPr>
      </w:pPr>
      <w:r>
        <w:rPr>
          <w:rFonts w:hint="eastAsia" w:ascii="宋体" w:hAnsi="宋体" w:cs="宋体"/>
          <w:highlight w:val="none"/>
        </w:rPr>
        <w:t>③投标保证金</w:t>
      </w:r>
    </w:p>
    <w:p w14:paraId="37EC12DC">
      <w:pPr>
        <w:pStyle w:val="10"/>
        <w:ind w:firstLine="330"/>
        <w:rPr>
          <w:rFonts w:hint="eastAsia" w:ascii="宋体" w:hAnsi="宋体" w:cs="宋体"/>
          <w:highlight w:val="none"/>
        </w:rPr>
      </w:pPr>
      <w:r>
        <w:rPr>
          <w:rFonts w:hint="eastAsia" w:ascii="宋体" w:hAnsi="宋体" w:cs="宋体"/>
          <w:highlight w:val="none"/>
        </w:rPr>
        <w:t>（2）报价部分</w:t>
      </w:r>
    </w:p>
    <w:p w14:paraId="20703459">
      <w:pPr>
        <w:pStyle w:val="10"/>
        <w:ind w:firstLine="330"/>
        <w:rPr>
          <w:rFonts w:hint="eastAsia" w:ascii="宋体" w:hAnsi="宋体" w:cs="宋体"/>
          <w:highlight w:val="none"/>
        </w:rPr>
      </w:pPr>
      <w:r>
        <w:rPr>
          <w:rFonts w:hint="eastAsia" w:ascii="宋体" w:hAnsi="宋体" w:cs="宋体"/>
          <w:highlight w:val="none"/>
        </w:rPr>
        <w:t>①开标一览表</w:t>
      </w:r>
    </w:p>
    <w:p w14:paraId="4AACF6C4">
      <w:pPr>
        <w:pStyle w:val="10"/>
        <w:ind w:firstLine="330"/>
        <w:rPr>
          <w:rFonts w:hint="eastAsia" w:ascii="宋体" w:hAnsi="宋体" w:cs="宋体"/>
          <w:highlight w:val="none"/>
        </w:rPr>
      </w:pPr>
      <w:r>
        <w:rPr>
          <w:rFonts w:hint="eastAsia" w:ascii="宋体" w:hAnsi="宋体" w:cs="宋体"/>
          <w:highlight w:val="none"/>
        </w:rPr>
        <w:t>②投标分项报价表</w:t>
      </w:r>
    </w:p>
    <w:p w14:paraId="4F8B91DA">
      <w:pPr>
        <w:pStyle w:val="10"/>
        <w:ind w:firstLine="330"/>
        <w:rPr>
          <w:rFonts w:hint="eastAsia" w:ascii="宋体" w:hAnsi="宋体" w:cs="宋体"/>
          <w:highlight w:val="none"/>
        </w:rPr>
      </w:pPr>
      <w:r>
        <w:rPr>
          <w:rFonts w:hint="eastAsia" w:ascii="宋体" w:hAnsi="宋体" w:cs="宋体"/>
          <w:highlight w:val="none"/>
        </w:rPr>
        <w:t>③招标文件规定的价格扣除证明材料（若有）</w:t>
      </w:r>
    </w:p>
    <w:p w14:paraId="672B6BE3">
      <w:pPr>
        <w:pStyle w:val="10"/>
        <w:ind w:firstLine="330"/>
        <w:rPr>
          <w:rFonts w:hint="eastAsia" w:ascii="宋体" w:hAnsi="宋体" w:eastAsia="宋体" w:cs="宋体"/>
          <w:highlight w:val="none"/>
          <w:lang w:eastAsia="zh-CN"/>
        </w:rPr>
      </w:pPr>
      <w:r>
        <w:rPr>
          <w:rFonts w:hint="eastAsia" w:ascii="宋体" w:hAnsi="宋体" w:cs="宋体"/>
          <w:highlight w:val="none"/>
        </w:rPr>
        <w:t>④</w:t>
      </w:r>
      <w:r>
        <w:rPr>
          <w:rFonts w:hint="eastAsia" w:ascii="宋体" w:hAnsi="宋体" w:cs="宋体"/>
          <w:highlight w:val="none"/>
          <w:lang w:eastAsia="zh-CN" w:bidi="ar"/>
        </w:rPr>
        <w:t>退还投标保证金的函</w:t>
      </w:r>
    </w:p>
    <w:p w14:paraId="4D92D3D6">
      <w:pPr>
        <w:pStyle w:val="10"/>
        <w:ind w:firstLine="330"/>
        <w:rPr>
          <w:rFonts w:hint="eastAsia" w:ascii="宋体" w:hAnsi="宋体" w:cs="宋体"/>
          <w:highlight w:val="none"/>
        </w:rPr>
      </w:pPr>
      <w:r>
        <w:rPr>
          <w:rFonts w:hint="eastAsia" w:ascii="宋体" w:hAnsi="宋体" w:cs="宋体"/>
          <w:highlight w:val="none"/>
        </w:rPr>
        <w:t>（3）技术商务部分</w:t>
      </w:r>
    </w:p>
    <w:p w14:paraId="316BDC81">
      <w:pPr>
        <w:pStyle w:val="10"/>
        <w:ind w:firstLine="330"/>
        <w:rPr>
          <w:rFonts w:hint="eastAsia" w:ascii="宋体" w:hAnsi="宋体" w:cs="宋体"/>
          <w:highlight w:val="none"/>
        </w:rPr>
      </w:pPr>
      <w:r>
        <w:rPr>
          <w:rFonts w:hint="eastAsia" w:ascii="宋体" w:hAnsi="宋体" w:cs="宋体"/>
          <w:highlight w:val="none"/>
        </w:rPr>
        <w:t>①标的说明一览表</w:t>
      </w:r>
    </w:p>
    <w:p w14:paraId="3B399F01">
      <w:pPr>
        <w:pStyle w:val="10"/>
        <w:ind w:firstLine="330"/>
        <w:rPr>
          <w:rFonts w:hint="eastAsia" w:ascii="宋体" w:hAnsi="宋体" w:cs="宋体"/>
          <w:highlight w:val="none"/>
        </w:rPr>
      </w:pPr>
      <w:r>
        <w:rPr>
          <w:rFonts w:hint="eastAsia" w:ascii="宋体" w:hAnsi="宋体" w:cs="宋体"/>
          <w:highlight w:val="none"/>
        </w:rPr>
        <w:t>②技术和服务要求响应表</w:t>
      </w:r>
    </w:p>
    <w:p w14:paraId="60351B2F">
      <w:pPr>
        <w:pStyle w:val="10"/>
        <w:ind w:firstLine="330"/>
        <w:rPr>
          <w:rFonts w:hint="eastAsia" w:ascii="宋体" w:hAnsi="宋体" w:cs="宋体"/>
          <w:highlight w:val="none"/>
        </w:rPr>
      </w:pPr>
      <w:r>
        <w:rPr>
          <w:rFonts w:hint="eastAsia" w:ascii="宋体" w:hAnsi="宋体" w:cs="宋体"/>
          <w:highlight w:val="none"/>
        </w:rPr>
        <w:t>③商务条件响应表</w:t>
      </w:r>
    </w:p>
    <w:p w14:paraId="7245DEA2">
      <w:pPr>
        <w:pStyle w:val="10"/>
        <w:ind w:firstLine="330"/>
        <w:rPr>
          <w:rFonts w:hint="eastAsia" w:ascii="宋体" w:hAnsi="宋体" w:cs="宋体"/>
          <w:highlight w:val="none"/>
        </w:rPr>
      </w:pPr>
      <w:r>
        <w:rPr>
          <w:rFonts w:hint="eastAsia" w:ascii="宋体" w:hAnsi="宋体" w:cs="宋体"/>
          <w:highlight w:val="none"/>
        </w:rPr>
        <w:t>④投标人提交的其他资料（若有）</w:t>
      </w:r>
    </w:p>
    <w:p w14:paraId="1694A6E4">
      <w:pPr>
        <w:pStyle w:val="10"/>
        <w:ind w:firstLine="330"/>
        <w:rPr>
          <w:rFonts w:hint="eastAsia" w:ascii="宋体" w:hAnsi="宋体" w:cs="宋体"/>
          <w:highlight w:val="none"/>
        </w:rPr>
      </w:pPr>
      <w:r>
        <w:rPr>
          <w:rFonts w:hint="eastAsia" w:ascii="宋体" w:hAnsi="宋体" w:cs="宋体"/>
          <w:highlight w:val="none"/>
        </w:rPr>
        <w:t>根据本函，本投标人代表宣布我方保证遵守招标文件的全部规定，同时：</w:t>
      </w:r>
    </w:p>
    <w:p w14:paraId="7D617BDA">
      <w:pPr>
        <w:pStyle w:val="10"/>
        <w:ind w:firstLine="330"/>
        <w:rPr>
          <w:rFonts w:hint="eastAsia" w:ascii="宋体" w:hAnsi="宋体" w:cs="宋体"/>
          <w:highlight w:val="none"/>
        </w:rPr>
      </w:pPr>
      <w:r>
        <w:rPr>
          <w:rFonts w:hint="eastAsia" w:ascii="宋体" w:hAnsi="宋体" w:cs="宋体"/>
          <w:highlight w:val="none"/>
          <w:lang w:eastAsia="zh-CN"/>
        </w:rPr>
        <w:t>1.</w:t>
      </w:r>
      <w:r>
        <w:rPr>
          <w:rStyle w:val="34"/>
          <w:rFonts w:hint="eastAsia" w:ascii="宋体" w:hAnsi="宋体" w:cs="宋体"/>
          <w:highlight w:val="none"/>
        </w:rPr>
        <w:t>确认：</w:t>
      </w:r>
    </w:p>
    <w:p w14:paraId="12FE1308">
      <w:pPr>
        <w:pStyle w:val="10"/>
        <w:ind w:firstLine="330"/>
        <w:rPr>
          <w:rFonts w:hint="eastAsia" w:ascii="宋体" w:hAnsi="宋体" w:cs="宋体"/>
          <w:highlight w:val="none"/>
        </w:rPr>
      </w:pPr>
      <w:r>
        <w:rPr>
          <w:rFonts w:hint="eastAsia" w:ascii="宋体" w:hAnsi="宋体" w:cs="宋体"/>
          <w:highlight w:val="none"/>
        </w:rPr>
        <w:t>1.1所投采购包的投标报价详见“开标一览表”及“投标分项报价表”。</w:t>
      </w:r>
    </w:p>
    <w:p w14:paraId="39E395FA">
      <w:pPr>
        <w:pStyle w:val="10"/>
        <w:ind w:firstLine="330"/>
        <w:rPr>
          <w:rFonts w:hint="eastAsia" w:ascii="宋体" w:hAnsi="宋体" w:cs="宋体"/>
          <w:highlight w:val="none"/>
        </w:rPr>
      </w:pPr>
      <w:r>
        <w:rPr>
          <w:rFonts w:hint="eastAsia" w:ascii="宋体" w:hAnsi="宋体" w:cs="宋体"/>
          <w:highlight w:val="none"/>
        </w:rPr>
        <w:t>1.2我方已详细审查全部招标文件[包括但不限于：有关附件（若有）、澄清或修改（若有）等]，并自行承担因对全部招标文件理解不正确或误解而产生的相应后果和责任。</w:t>
      </w:r>
    </w:p>
    <w:p w14:paraId="3FF30DC1">
      <w:pPr>
        <w:pStyle w:val="10"/>
        <w:ind w:firstLine="330"/>
        <w:rPr>
          <w:rFonts w:hint="eastAsia" w:ascii="宋体" w:hAnsi="宋体" w:cs="宋体"/>
          <w:highlight w:val="none"/>
        </w:rPr>
      </w:pPr>
      <w:r>
        <w:rPr>
          <w:rFonts w:hint="eastAsia" w:ascii="宋体" w:hAnsi="宋体" w:cs="宋体"/>
          <w:highlight w:val="none"/>
          <w:lang w:eastAsia="zh-CN"/>
        </w:rPr>
        <w:t>2.</w:t>
      </w:r>
      <w:r>
        <w:rPr>
          <w:rStyle w:val="34"/>
          <w:rFonts w:hint="eastAsia" w:ascii="宋体" w:hAnsi="宋体" w:cs="宋体"/>
          <w:highlight w:val="none"/>
        </w:rPr>
        <w:t>承诺及声明：</w:t>
      </w:r>
    </w:p>
    <w:p w14:paraId="239798D3">
      <w:pPr>
        <w:pStyle w:val="10"/>
        <w:ind w:firstLine="330"/>
        <w:rPr>
          <w:rFonts w:hint="eastAsia" w:ascii="宋体" w:hAnsi="宋体" w:cs="宋体"/>
          <w:highlight w:val="none"/>
        </w:rPr>
      </w:pPr>
      <w:r>
        <w:rPr>
          <w:rFonts w:hint="eastAsia" w:ascii="宋体" w:hAnsi="宋体" w:cs="宋体"/>
          <w:highlight w:val="none"/>
        </w:rPr>
        <w:t>2.1我方具备招标文件第一章载明的“投标人的资格要求”且符合招标文件第三章载明的“二、投标人”之规定，否则</w:t>
      </w:r>
      <w:r>
        <w:rPr>
          <w:rStyle w:val="34"/>
          <w:rFonts w:hint="eastAsia" w:ascii="宋体" w:hAnsi="宋体" w:cs="宋体"/>
          <w:highlight w:val="none"/>
        </w:rPr>
        <w:t>投标无效。</w:t>
      </w:r>
    </w:p>
    <w:p w14:paraId="55F5E5EE">
      <w:pPr>
        <w:pStyle w:val="10"/>
        <w:ind w:firstLine="330"/>
        <w:rPr>
          <w:rFonts w:hint="eastAsia" w:ascii="宋体" w:hAnsi="宋体" w:cs="宋体"/>
          <w:highlight w:val="none"/>
        </w:rPr>
      </w:pPr>
      <w:r>
        <w:rPr>
          <w:rFonts w:hint="eastAsia" w:ascii="宋体" w:hAnsi="宋体" w:cs="宋体"/>
          <w:highlight w:val="none"/>
        </w:rPr>
        <w:t>2.2我方提交的投标文件各组成部分的全部内容及资料是不可割离且真实、有效、准确、完整和不具有任何误导性的，否则产生不利后果由我方承担责任。</w:t>
      </w:r>
    </w:p>
    <w:p w14:paraId="63D79FC7">
      <w:pPr>
        <w:pStyle w:val="10"/>
        <w:ind w:firstLine="330"/>
        <w:rPr>
          <w:rFonts w:hint="eastAsia" w:ascii="宋体" w:hAnsi="宋体" w:cs="宋体"/>
          <w:highlight w:val="none"/>
        </w:rPr>
      </w:pPr>
      <w:r>
        <w:rPr>
          <w:rFonts w:hint="eastAsia" w:ascii="宋体" w:hAnsi="宋体" w:cs="宋体"/>
          <w:highlight w:val="none"/>
        </w:rPr>
        <w:t>2.3我方提供的标的价格不高于同期市场价格，否则产生不利后果由我方承担责任。</w:t>
      </w:r>
    </w:p>
    <w:p w14:paraId="141E9641">
      <w:pPr>
        <w:pStyle w:val="10"/>
        <w:ind w:firstLine="330"/>
        <w:rPr>
          <w:rFonts w:hint="eastAsia" w:ascii="宋体" w:hAnsi="宋体" w:cs="宋体"/>
          <w:highlight w:val="none"/>
        </w:rPr>
      </w:pPr>
      <w:r>
        <w:rPr>
          <w:rFonts w:hint="eastAsia" w:ascii="宋体" w:hAnsi="宋体" w:cs="宋体"/>
          <w:highlight w:val="none"/>
        </w:rPr>
        <w:t>2.4投标保证金：若出现招标文件第三章规定的不予退还情形，同意贵单位不予退还。</w:t>
      </w:r>
    </w:p>
    <w:p w14:paraId="3E4091BE">
      <w:pPr>
        <w:pStyle w:val="10"/>
        <w:ind w:firstLine="330"/>
        <w:rPr>
          <w:rFonts w:hint="eastAsia" w:ascii="宋体" w:hAnsi="宋体" w:cs="宋体"/>
          <w:highlight w:val="none"/>
        </w:rPr>
      </w:pPr>
      <w:r>
        <w:rPr>
          <w:rFonts w:hint="eastAsia" w:ascii="宋体" w:hAnsi="宋体" w:cs="宋体"/>
          <w:highlight w:val="none"/>
        </w:rPr>
        <w:t>2.5投标有效期：按照招标文件第三章规定执行，并在招标文件第二章载明的期限内保持有效。</w:t>
      </w:r>
    </w:p>
    <w:p w14:paraId="7B4BA9E7">
      <w:pPr>
        <w:pStyle w:val="10"/>
        <w:ind w:firstLine="330"/>
        <w:rPr>
          <w:rFonts w:hint="eastAsia" w:ascii="宋体" w:hAnsi="宋体" w:cs="宋体"/>
          <w:highlight w:val="none"/>
        </w:rPr>
      </w:pPr>
      <w:r>
        <w:rPr>
          <w:rFonts w:hint="eastAsia" w:ascii="宋体" w:hAnsi="宋体" w:cs="宋体"/>
          <w:highlight w:val="none"/>
        </w:rPr>
        <w:t>2.6若中标，将按照招标文件、我方投标文件及采购合同履行责任和义务。</w:t>
      </w:r>
    </w:p>
    <w:p w14:paraId="34A7437B">
      <w:pPr>
        <w:pStyle w:val="10"/>
        <w:ind w:firstLine="330"/>
        <w:rPr>
          <w:rFonts w:hint="eastAsia" w:ascii="宋体" w:hAnsi="宋体" w:cs="宋体"/>
          <w:highlight w:val="none"/>
        </w:rPr>
      </w:pPr>
      <w:r>
        <w:rPr>
          <w:rFonts w:hint="eastAsia" w:ascii="宋体" w:hAnsi="宋体" w:cs="宋体"/>
          <w:highlight w:val="none"/>
        </w:rPr>
        <w:t>2.7若贵单位要求，我方同意提供与本项目投标有关的一切资料、数据或文件，并完全理解贵单位不一定要接受最低的投标报价或收到的任何投标。</w:t>
      </w:r>
    </w:p>
    <w:p w14:paraId="1437D002">
      <w:pPr>
        <w:pStyle w:val="10"/>
        <w:ind w:firstLine="330"/>
        <w:rPr>
          <w:rFonts w:hint="eastAsia" w:ascii="宋体" w:hAnsi="宋体" w:cs="宋体"/>
          <w:highlight w:val="none"/>
        </w:rPr>
      </w:pPr>
      <w:r>
        <w:rPr>
          <w:rFonts w:hint="eastAsia" w:ascii="宋体" w:hAnsi="宋体" w:cs="宋体"/>
          <w:highlight w:val="none"/>
        </w:rPr>
        <w:t>2.8除招标文件另有规定外，对于贵单位按照下述联络方式发出的任何信息或通知，均视为我方已收悉前述信息或通知的全部内容：</w:t>
      </w:r>
    </w:p>
    <w:p w14:paraId="41FB1989">
      <w:pPr>
        <w:pStyle w:val="10"/>
        <w:ind w:firstLine="330"/>
        <w:rPr>
          <w:rFonts w:hint="eastAsia" w:ascii="宋体" w:hAnsi="宋体" w:cs="宋体"/>
          <w:highlight w:val="none"/>
        </w:rPr>
      </w:pPr>
      <w:r>
        <w:rPr>
          <w:rFonts w:hint="eastAsia" w:ascii="宋体" w:hAnsi="宋体" w:cs="宋体"/>
          <w:highlight w:val="none"/>
        </w:rPr>
        <w:t>通信地址：</w:t>
      </w:r>
      <w:r>
        <w:rPr>
          <w:rFonts w:hint="eastAsia" w:ascii="宋体" w:hAnsi="宋体" w:cs="宋体"/>
          <w:highlight w:val="none"/>
          <w:u w:val="single"/>
        </w:rPr>
        <w:t>            </w:t>
      </w:r>
      <w:r>
        <w:rPr>
          <w:rFonts w:hint="eastAsia" w:ascii="宋体" w:hAnsi="宋体" w:cs="宋体"/>
          <w:highlight w:val="none"/>
        </w:rPr>
        <w:t>邮编：</w:t>
      </w:r>
      <w:r>
        <w:rPr>
          <w:rFonts w:hint="eastAsia" w:ascii="宋体" w:hAnsi="宋体" w:cs="宋体"/>
          <w:highlight w:val="none"/>
          <w:u w:val="single"/>
        </w:rPr>
        <w:t>            </w:t>
      </w:r>
    </w:p>
    <w:p w14:paraId="723FC33D">
      <w:pPr>
        <w:pStyle w:val="10"/>
        <w:ind w:firstLine="330"/>
        <w:rPr>
          <w:rFonts w:hint="eastAsia" w:ascii="宋体" w:hAnsi="宋体" w:cs="宋体"/>
          <w:highlight w:val="none"/>
        </w:rPr>
      </w:pPr>
      <w:r>
        <w:rPr>
          <w:rFonts w:hint="eastAsia" w:ascii="宋体" w:hAnsi="宋体" w:cs="宋体"/>
          <w:highlight w:val="none"/>
        </w:rPr>
        <w:t>联系方法：</w:t>
      </w:r>
      <w:r>
        <w:rPr>
          <w:rFonts w:hint="eastAsia" w:ascii="宋体" w:hAnsi="宋体" w:cs="宋体"/>
          <w:highlight w:val="none"/>
          <w:u w:val="single"/>
        </w:rPr>
        <w:t>（包括但不限于：联系人、联系电话、手机、传真、电子邮箱等）</w:t>
      </w:r>
    </w:p>
    <w:p w14:paraId="1344F5DE">
      <w:pPr>
        <w:pStyle w:val="10"/>
        <w:ind w:firstLine="330"/>
        <w:rPr>
          <w:rFonts w:hint="eastAsia" w:ascii="宋体" w:hAnsi="宋体" w:cs="宋体"/>
          <w:highlight w:val="none"/>
        </w:rPr>
      </w:pPr>
      <w:r>
        <w:rPr>
          <w:rFonts w:hint="eastAsia" w:ascii="宋体" w:hAnsi="宋体" w:cs="宋体"/>
          <w:highlight w:val="none"/>
        </w:rPr>
        <w:t> </w:t>
      </w:r>
    </w:p>
    <w:p w14:paraId="2403B6C8">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01FA7D03">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27D8903D">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10362906">
      <w:pPr>
        <w:pStyle w:val="10"/>
        <w:jc w:val="center"/>
        <w:rPr>
          <w:rFonts w:hint="eastAsia" w:ascii="宋体" w:hAnsi="宋体" w:cs="宋体"/>
          <w:sz w:val="17"/>
          <w:szCs w:val="17"/>
          <w:highlight w:val="none"/>
        </w:rPr>
      </w:pPr>
    </w:p>
    <w:p w14:paraId="48C69258">
      <w:pPr>
        <w:pStyle w:val="11"/>
        <w:numPr>
          <w:ilvl w:val="1"/>
          <w:numId w:val="0"/>
        </w:numPr>
        <w:ind w:left="567"/>
        <w:outlineLvl w:val="9"/>
        <w:rPr>
          <w:rFonts w:ascii="宋体" w:hAnsi="宋体" w:eastAsia="宋体"/>
          <w:highlight w:val="none"/>
        </w:rPr>
      </w:pPr>
    </w:p>
    <w:p w14:paraId="2744BFB9">
      <w:pPr>
        <w:pStyle w:val="10"/>
        <w:jc w:val="center"/>
        <w:outlineLvl w:val="0"/>
        <w:rPr>
          <w:rFonts w:hint="eastAsia" w:ascii="宋体" w:hAnsi="宋体" w:cs="宋体"/>
          <w:highlight w:val="none"/>
        </w:rPr>
      </w:pPr>
      <w:r>
        <w:rPr>
          <w:rFonts w:hint="eastAsia" w:ascii="宋体" w:hAnsi="宋体" w:cs="宋体"/>
          <w:sz w:val="17"/>
          <w:szCs w:val="17"/>
          <w:highlight w:val="none"/>
        </w:rPr>
        <w:br w:type="page"/>
      </w:r>
      <w:bookmarkStart w:id="194" w:name="_Toc19331"/>
      <w:r>
        <w:rPr>
          <w:rStyle w:val="34"/>
          <w:rFonts w:hint="eastAsia" w:ascii="宋体" w:hAnsi="宋体" w:cs="宋体"/>
          <w:highlight w:val="none"/>
        </w:rPr>
        <w:t>二、投标人的资格及资信证明文件</w:t>
      </w:r>
      <w:bookmarkEnd w:id="194"/>
    </w:p>
    <w:p w14:paraId="0B97A457">
      <w:pPr>
        <w:pStyle w:val="10"/>
        <w:jc w:val="center"/>
        <w:rPr>
          <w:rFonts w:hint="eastAsia" w:ascii="宋体" w:hAnsi="宋体" w:cs="宋体"/>
          <w:highlight w:val="none"/>
        </w:rPr>
      </w:pPr>
      <w:r>
        <w:rPr>
          <w:rStyle w:val="34"/>
          <w:rFonts w:hint="eastAsia" w:ascii="宋体" w:hAnsi="宋体" w:cs="宋体"/>
          <w:highlight w:val="none"/>
        </w:rPr>
        <w:t>二-1单位负责人授权书（若有）</w:t>
      </w:r>
    </w:p>
    <w:p w14:paraId="6CE07914">
      <w:pPr>
        <w:pStyle w:val="10"/>
        <w:rPr>
          <w:rFonts w:hint="eastAsia" w:ascii="宋体" w:hAnsi="宋体" w:cs="宋体"/>
          <w:highlight w:val="none"/>
        </w:rPr>
      </w:pPr>
      <w:r>
        <w:rPr>
          <w:rFonts w:hint="eastAsia" w:ascii="宋体" w:hAnsi="宋体" w:cs="宋体"/>
          <w:highlight w:val="none"/>
        </w:rPr>
        <w:t>致：</w:t>
      </w:r>
      <w:r>
        <w:rPr>
          <w:rFonts w:hint="eastAsia" w:ascii="宋体" w:hAnsi="宋体" w:cs="宋体"/>
          <w:highlight w:val="none"/>
          <w:u w:val="single"/>
        </w:rPr>
        <w:t>                  </w:t>
      </w:r>
    </w:p>
    <w:p w14:paraId="7A0CC109">
      <w:pPr>
        <w:pStyle w:val="10"/>
        <w:ind w:firstLine="330"/>
        <w:rPr>
          <w:rFonts w:hint="eastAsia" w:ascii="宋体" w:hAnsi="宋体" w:cs="宋体"/>
          <w:highlight w:val="none"/>
        </w:rPr>
      </w:pPr>
      <w:r>
        <w:rPr>
          <w:rFonts w:hint="eastAsia" w:ascii="宋体" w:hAnsi="宋体" w:cs="宋体"/>
          <w:highlight w:val="none"/>
        </w:rPr>
        <w:t>我方的单位负责人</w:t>
      </w:r>
      <w:r>
        <w:rPr>
          <w:rFonts w:hint="eastAsia" w:ascii="宋体" w:hAnsi="宋体" w:cs="宋体"/>
          <w:highlight w:val="none"/>
          <w:u w:val="single"/>
        </w:rPr>
        <w:t>（填写“单位负责人全名”）</w:t>
      </w:r>
      <w:r>
        <w:rPr>
          <w:rFonts w:hint="eastAsia" w:ascii="宋体" w:hAnsi="宋体" w:cs="宋体"/>
          <w:highlight w:val="none"/>
        </w:rPr>
        <w:t>授权</w:t>
      </w:r>
      <w:r>
        <w:rPr>
          <w:rFonts w:hint="eastAsia" w:ascii="宋体" w:hAnsi="宋体" w:cs="宋体"/>
          <w:highlight w:val="none"/>
          <w:u w:val="single"/>
        </w:rPr>
        <w:t>（填写“投标人代表全名”）</w:t>
      </w:r>
      <w:r>
        <w:rPr>
          <w:rFonts w:hint="eastAsia" w:ascii="宋体" w:hAnsi="宋体" w:cs="宋体"/>
          <w:highlight w:val="none"/>
        </w:rPr>
        <w:t>为投标人代表，代表我方参加</w:t>
      </w:r>
      <w:r>
        <w:rPr>
          <w:rFonts w:hint="eastAsia" w:ascii="宋体" w:hAnsi="宋体" w:cs="宋体"/>
          <w:highlight w:val="none"/>
          <w:u w:val="single"/>
        </w:rPr>
        <w:t>（填写“项目名称”）</w:t>
      </w:r>
      <w:r>
        <w:rPr>
          <w:rFonts w:hint="eastAsia" w:ascii="宋体" w:hAnsi="宋体" w:cs="宋体"/>
          <w:highlight w:val="none"/>
        </w:rPr>
        <w:t>项目（项目编号：</w:t>
      </w:r>
      <w:r>
        <w:rPr>
          <w:rFonts w:hint="eastAsia" w:ascii="宋体" w:hAnsi="宋体" w:cs="宋体"/>
          <w:highlight w:val="none"/>
          <w:u w:val="single"/>
        </w:rPr>
        <w:t>         </w:t>
      </w:r>
      <w:r>
        <w:rPr>
          <w:rFonts w:hint="eastAsia" w:ascii="宋体" w:hAnsi="宋体" w:cs="宋体"/>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43095033">
      <w:pPr>
        <w:pStyle w:val="10"/>
        <w:ind w:firstLine="330"/>
        <w:rPr>
          <w:rFonts w:hint="eastAsia" w:ascii="宋体" w:hAnsi="宋体" w:cs="宋体"/>
          <w:highlight w:val="none"/>
        </w:rPr>
      </w:pPr>
      <w:r>
        <w:rPr>
          <w:rFonts w:hint="eastAsia" w:ascii="宋体" w:hAnsi="宋体" w:cs="宋体"/>
          <w:highlight w:val="none"/>
        </w:rPr>
        <w:t>投标人代表无转委权。特此授权。</w:t>
      </w:r>
    </w:p>
    <w:p w14:paraId="6D015B98">
      <w:pPr>
        <w:pStyle w:val="10"/>
        <w:jc w:val="center"/>
        <w:rPr>
          <w:rFonts w:hint="eastAsia" w:ascii="宋体" w:hAnsi="宋体" w:cs="宋体"/>
          <w:highlight w:val="none"/>
        </w:rPr>
      </w:pPr>
      <w:r>
        <w:rPr>
          <w:rFonts w:hint="eastAsia" w:ascii="宋体" w:hAnsi="宋体" w:cs="宋体"/>
          <w:highlight w:val="none"/>
        </w:rPr>
        <w:t>（以下无正文）</w:t>
      </w:r>
    </w:p>
    <w:p w14:paraId="03209207">
      <w:pPr>
        <w:pStyle w:val="10"/>
        <w:rPr>
          <w:rFonts w:hint="eastAsia" w:ascii="宋体" w:hAnsi="宋体" w:cs="宋体"/>
          <w:highlight w:val="none"/>
        </w:rPr>
      </w:pPr>
      <w:r>
        <w:rPr>
          <w:rFonts w:hint="eastAsia" w:ascii="宋体" w:hAnsi="宋体" w:cs="宋体"/>
          <w:highlight w:val="none"/>
        </w:rPr>
        <w:t>单位负责人：</w:t>
      </w:r>
      <w:r>
        <w:rPr>
          <w:rFonts w:hint="eastAsia" w:ascii="宋体" w:hAnsi="宋体" w:cs="宋体"/>
          <w:highlight w:val="none"/>
          <w:u w:val="single"/>
        </w:rPr>
        <w:t>    </w:t>
      </w:r>
      <w:r>
        <w:rPr>
          <w:rFonts w:hint="eastAsia" w:ascii="宋体" w:hAnsi="宋体" w:cs="宋体"/>
          <w:highlight w:val="none"/>
        </w:rPr>
        <w:t>身份证号：</w:t>
      </w:r>
      <w:r>
        <w:rPr>
          <w:rFonts w:hint="eastAsia" w:ascii="宋体" w:hAnsi="宋体" w:cs="宋体"/>
          <w:highlight w:val="none"/>
          <w:u w:val="single"/>
        </w:rPr>
        <w:t>          </w:t>
      </w:r>
      <w:r>
        <w:rPr>
          <w:rFonts w:hint="eastAsia" w:ascii="宋体" w:hAnsi="宋体" w:cs="宋体"/>
          <w:highlight w:val="none"/>
        </w:rPr>
        <w:t>手机：</w:t>
      </w:r>
      <w:r>
        <w:rPr>
          <w:rFonts w:hint="eastAsia" w:ascii="宋体" w:hAnsi="宋体" w:cs="宋体"/>
          <w:highlight w:val="none"/>
          <w:u w:val="single"/>
        </w:rPr>
        <w:t>         </w:t>
      </w:r>
    </w:p>
    <w:p w14:paraId="4BCC58FC">
      <w:pPr>
        <w:pStyle w:val="10"/>
        <w:rPr>
          <w:rFonts w:hint="eastAsia" w:ascii="宋体" w:hAnsi="宋体" w:cs="宋体"/>
          <w:highlight w:val="none"/>
        </w:rPr>
      </w:pPr>
      <w:r>
        <w:rPr>
          <w:rFonts w:hint="eastAsia" w:ascii="宋体" w:hAnsi="宋体" w:cs="宋体"/>
          <w:highlight w:val="none"/>
        </w:rPr>
        <w:t>投标人代表：</w:t>
      </w:r>
      <w:r>
        <w:rPr>
          <w:rFonts w:hint="eastAsia" w:ascii="宋体" w:hAnsi="宋体" w:cs="宋体"/>
          <w:highlight w:val="none"/>
          <w:u w:val="single"/>
        </w:rPr>
        <w:t>    </w:t>
      </w:r>
      <w:r>
        <w:rPr>
          <w:rFonts w:hint="eastAsia" w:ascii="宋体" w:hAnsi="宋体" w:cs="宋体"/>
          <w:highlight w:val="none"/>
        </w:rPr>
        <w:t>身份证号：</w:t>
      </w:r>
      <w:r>
        <w:rPr>
          <w:rFonts w:hint="eastAsia" w:ascii="宋体" w:hAnsi="宋体" w:cs="宋体"/>
          <w:highlight w:val="none"/>
          <w:u w:val="single"/>
        </w:rPr>
        <w:t>          </w:t>
      </w:r>
      <w:r>
        <w:rPr>
          <w:rFonts w:hint="eastAsia" w:ascii="宋体" w:hAnsi="宋体" w:cs="宋体"/>
          <w:highlight w:val="none"/>
        </w:rPr>
        <w:t>手机：</w:t>
      </w:r>
      <w:r>
        <w:rPr>
          <w:rFonts w:hint="eastAsia" w:ascii="宋体" w:hAnsi="宋体" w:cs="宋体"/>
          <w:highlight w:val="none"/>
          <w:u w:val="single"/>
        </w:rPr>
        <w:t>         </w:t>
      </w:r>
    </w:p>
    <w:p w14:paraId="00C3F98F">
      <w:pPr>
        <w:pStyle w:val="10"/>
        <w:rPr>
          <w:rFonts w:hint="eastAsia" w:ascii="宋体" w:hAnsi="宋体" w:cs="宋体"/>
          <w:highlight w:val="none"/>
        </w:rPr>
      </w:pPr>
      <w:r>
        <w:rPr>
          <w:rFonts w:hint="eastAsia" w:ascii="宋体" w:hAnsi="宋体" w:cs="宋体"/>
          <w:highlight w:val="none"/>
        </w:rPr>
        <w:t> </w:t>
      </w:r>
    </w:p>
    <w:p w14:paraId="4D6EC85C">
      <w:pPr>
        <w:pStyle w:val="10"/>
        <w:rPr>
          <w:rFonts w:hint="eastAsia" w:ascii="宋体" w:hAnsi="宋体" w:cs="宋体"/>
          <w:highlight w:val="none"/>
        </w:rPr>
      </w:pPr>
      <w:r>
        <w:rPr>
          <w:rFonts w:hint="eastAsia" w:ascii="宋体" w:hAnsi="宋体" w:cs="宋体"/>
          <w:highlight w:val="none"/>
        </w:rPr>
        <w:t>授权方</w:t>
      </w:r>
    </w:p>
    <w:p w14:paraId="12A17E18">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08550E9D">
      <w:pPr>
        <w:pStyle w:val="10"/>
        <w:rPr>
          <w:rFonts w:hint="eastAsia" w:ascii="宋体" w:hAnsi="宋体" w:cs="宋体"/>
          <w:highlight w:val="none"/>
        </w:rPr>
      </w:pPr>
      <w:r>
        <w:rPr>
          <w:rFonts w:hint="eastAsia" w:ascii="宋体" w:hAnsi="宋体" w:cs="宋体"/>
          <w:highlight w:val="none"/>
        </w:rPr>
        <w:t>单位负责人签字或盖章：</w:t>
      </w:r>
      <w:r>
        <w:rPr>
          <w:rFonts w:hint="eastAsia" w:ascii="宋体" w:hAnsi="宋体" w:cs="宋体"/>
          <w:highlight w:val="none"/>
          <w:u w:val="single"/>
        </w:rPr>
        <w:t>                   </w:t>
      </w:r>
    </w:p>
    <w:p w14:paraId="52633E16">
      <w:pPr>
        <w:pStyle w:val="10"/>
        <w:rPr>
          <w:rFonts w:hint="eastAsia" w:ascii="宋体" w:hAnsi="宋体" w:cs="宋体"/>
          <w:highlight w:val="none"/>
        </w:rPr>
      </w:pPr>
      <w:r>
        <w:rPr>
          <w:rFonts w:hint="eastAsia" w:ascii="宋体" w:hAnsi="宋体" w:cs="宋体"/>
          <w:highlight w:val="none"/>
        </w:rPr>
        <w:t> </w:t>
      </w:r>
    </w:p>
    <w:p w14:paraId="0E1EFD11">
      <w:pPr>
        <w:pStyle w:val="10"/>
        <w:rPr>
          <w:rFonts w:hint="eastAsia" w:ascii="宋体" w:hAnsi="宋体" w:cs="宋体"/>
          <w:highlight w:val="none"/>
        </w:rPr>
      </w:pPr>
      <w:r>
        <w:rPr>
          <w:rFonts w:hint="eastAsia" w:ascii="宋体" w:hAnsi="宋体" w:cs="宋体"/>
          <w:highlight w:val="none"/>
        </w:rPr>
        <w:t>接受授权方</w:t>
      </w:r>
    </w:p>
    <w:p w14:paraId="01CACAEF">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641BC0CD">
      <w:pPr>
        <w:pStyle w:val="10"/>
        <w:rPr>
          <w:rFonts w:hint="eastAsia" w:ascii="宋体" w:hAnsi="宋体" w:cs="宋体"/>
          <w:highlight w:val="none"/>
        </w:rPr>
      </w:pPr>
      <w:r>
        <w:rPr>
          <w:rFonts w:hint="eastAsia" w:ascii="宋体" w:hAnsi="宋体" w:cs="宋体"/>
          <w:highlight w:val="none"/>
        </w:rPr>
        <w:t> </w:t>
      </w:r>
    </w:p>
    <w:p w14:paraId="58B5F5AA">
      <w:pPr>
        <w:pStyle w:val="10"/>
        <w:jc w:val="right"/>
        <w:rPr>
          <w:rFonts w:hint="eastAsia" w:ascii="宋体" w:hAnsi="宋体" w:cs="宋体"/>
          <w:highlight w:val="none"/>
        </w:rPr>
      </w:pPr>
      <w:r>
        <w:rPr>
          <w:rFonts w:hint="eastAsia" w:ascii="宋体" w:hAnsi="宋体" w:cs="宋体"/>
          <w:highlight w:val="none"/>
        </w:rPr>
        <w:t>签署日期：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4DA3F762">
      <w:pPr>
        <w:pStyle w:val="10"/>
        <w:rPr>
          <w:rFonts w:hint="eastAsia" w:ascii="宋体" w:hAnsi="宋体" w:cs="宋体"/>
          <w:highlight w:val="none"/>
        </w:rPr>
      </w:pPr>
      <w:r>
        <w:rPr>
          <w:rFonts w:hint="eastAsia" w:ascii="宋体" w:hAnsi="宋体" w:cs="宋体"/>
          <w:highlight w:val="none"/>
        </w:rPr>
        <w:t>附：单位负责人、投标人代表的身份证正反面复印件</w:t>
      </w:r>
    </w:p>
    <w:tbl>
      <w:tblPr>
        <w:tblStyle w:val="31"/>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0176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6756" w:type="dxa"/>
            <w:tcMar>
              <w:top w:w="0" w:type="dxa"/>
              <w:left w:w="83" w:type="dxa"/>
              <w:bottom w:w="0" w:type="dxa"/>
              <w:right w:w="83" w:type="dxa"/>
            </w:tcMar>
            <w:vAlign w:val="center"/>
          </w:tcPr>
          <w:p w14:paraId="429CB609">
            <w:pPr>
              <w:pStyle w:val="10"/>
              <w:jc w:val="center"/>
              <w:rPr>
                <w:rFonts w:hint="eastAsia" w:ascii="宋体" w:hAnsi="宋体" w:cs="宋体"/>
                <w:highlight w:val="none"/>
              </w:rPr>
            </w:pPr>
            <w:r>
              <w:rPr>
                <w:rStyle w:val="34"/>
                <w:rFonts w:hint="eastAsia" w:ascii="宋体" w:hAnsi="宋体" w:cs="宋体"/>
                <w:highlight w:val="none"/>
              </w:rPr>
              <w:t> </w:t>
            </w:r>
          </w:p>
          <w:p w14:paraId="75DC9FC6">
            <w:pPr>
              <w:pStyle w:val="10"/>
              <w:jc w:val="center"/>
              <w:rPr>
                <w:rFonts w:hint="eastAsia" w:ascii="宋体" w:hAnsi="宋体" w:cs="宋体"/>
                <w:highlight w:val="none"/>
              </w:rPr>
            </w:pPr>
            <w:r>
              <w:rPr>
                <w:rStyle w:val="34"/>
                <w:rFonts w:hint="eastAsia" w:ascii="宋体" w:hAnsi="宋体" w:cs="宋体"/>
                <w:highlight w:val="none"/>
              </w:rPr>
              <w:t>要求：真实有效且内容完整、清晰、整洁。</w:t>
            </w:r>
          </w:p>
          <w:p w14:paraId="41B27E32">
            <w:pPr>
              <w:pStyle w:val="10"/>
              <w:jc w:val="center"/>
              <w:rPr>
                <w:rFonts w:hint="eastAsia" w:ascii="宋体" w:hAnsi="宋体" w:cs="宋体"/>
                <w:highlight w:val="none"/>
              </w:rPr>
            </w:pPr>
            <w:r>
              <w:rPr>
                <w:rStyle w:val="34"/>
                <w:rFonts w:hint="eastAsia" w:ascii="宋体" w:hAnsi="宋体" w:cs="宋体"/>
                <w:highlight w:val="none"/>
              </w:rPr>
              <w:t> </w:t>
            </w:r>
          </w:p>
        </w:tc>
      </w:tr>
    </w:tbl>
    <w:p w14:paraId="7EEA88A9">
      <w:pPr>
        <w:pStyle w:val="10"/>
        <w:rPr>
          <w:rFonts w:hint="eastAsia" w:ascii="宋体" w:hAnsi="宋体" w:cs="宋体"/>
          <w:highlight w:val="none"/>
        </w:rPr>
      </w:pPr>
      <w:r>
        <w:rPr>
          <w:rFonts w:hint="eastAsia" w:ascii="宋体" w:hAnsi="宋体" w:cs="宋体"/>
          <w:highlight w:val="none"/>
        </w:rPr>
        <w:t> </w:t>
      </w:r>
    </w:p>
    <w:p w14:paraId="01CB7BDC">
      <w:pPr>
        <w:pStyle w:val="10"/>
        <w:rPr>
          <w:rFonts w:hint="eastAsia" w:ascii="宋体" w:hAnsi="宋体" w:cs="宋体"/>
          <w:highlight w:val="none"/>
        </w:rPr>
      </w:pPr>
      <w:r>
        <w:rPr>
          <w:rFonts w:hint="eastAsia" w:ascii="宋体" w:hAnsi="宋体" w:cs="宋体"/>
          <w:highlight w:val="none"/>
        </w:rPr>
        <w:t>注意：</w:t>
      </w:r>
    </w:p>
    <w:p w14:paraId="18852BEB">
      <w:pPr>
        <w:pStyle w:val="10"/>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企业（银行、保险、石油石化、电力、电信等行业除外）、事业单位和社会团体法人的“单位负责人”指</w:t>
      </w:r>
      <w:r>
        <w:rPr>
          <w:rStyle w:val="34"/>
          <w:rFonts w:hint="eastAsia" w:ascii="宋体" w:hAnsi="宋体" w:cs="宋体"/>
          <w:highlight w:val="none"/>
        </w:rPr>
        <w:t>法定代表人</w:t>
      </w:r>
      <w:r>
        <w:rPr>
          <w:rFonts w:hint="eastAsia" w:ascii="宋体" w:hAnsi="宋体" w:cs="宋体"/>
          <w:highlight w:val="none"/>
        </w:rPr>
        <w:t>，即与实际提交的“营业执照等证明文件”载明的一致。</w:t>
      </w:r>
    </w:p>
    <w:p w14:paraId="6D01BB88">
      <w:pPr>
        <w:pStyle w:val="10"/>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084A3B08">
      <w:pPr>
        <w:pStyle w:val="10"/>
        <w:rPr>
          <w:rFonts w:hint="eastAsia" w:ascii="宋体" w:hAnsi="宋体" w:cs="宋体"/>
          <w:highlight w:val="none"/>
        </w:rPr>
      </w:pPr>
      <w:r>
        <w:rPr>
          <w:rFonts w:hint="eastAsia" w:ascii="宋体" w:hAnsi="宋体" w:cs="宋体"/>
          <w:highlight w:val="none"/>
          <w:lang w:eastAsia="zh-CN"/>
        </w:rPr>
        <w:t>3.</w:t>
      </w:r>
      <w:r>
        <w:rPr>
          <w:rFonts w:hint="eastAsia" w:ascii="宋体" w:hAnsi="宋体" w:cs="宋体"/>
          <w:highlight w:val="none"/>
        </w:rPr>
        <w:t>投标人（自然人除外）：若投标人代表为单位负责人授权的委托代理人，应提供本授权书；</w:t>
      </w:r>
      <w:r>
        <w:rPr>
          <w:rFonts w:hint="eastAsia" w:ascii="宋体" w:hAnsi="宋体" w:cs="宋体"/>
          <w:b/>
          <w:highlight w:val="none"/>
        </w:rPr>
        <w:t>若投标人代表为单位负责人，应在此项下提交其身份证正反面复印件，可不提供本授权书。</w:t>
      </w:r>
    </w:p>
    <w:p w14:paraId="3971AAD8">
      <w:pPr>
        <w:pStyle w:val="10"/>
        <w:rPr>
          <w:rFonts w:hint="eastAsia" w:ascii="宋体" w:hAnsi="宋体" w:cs="宋体"/>
          <w:highlight w:val="none"/>
        </w:rPr>
      </w:pPr>
      <w:r>
        <w:rPr>
          <w:rFonts w:hint="eastAsia" w:ascii="宋体" w:hAnsi="宋体" w:cs="宋体"/>
          <w:highlight w:val="none"/>
          <w:lang w:eastAsia="zh-CN"/>
        </w:rPr>
        <w:t>4.</w:t>
      </w:r>
      <w:r>
        <w:rPr>
          <w:rFonts w:hint="eastAsia" w:ascii="宋体" w:hAnsi="宋体" w:cs="宋体"/>
          <w:highlight w:val="none"/>
        </w:rPr>
        <w:t>投标人为自然人的，可不填写本授权书。</w:t>
      </w:r>
    </w:p>
    <w:p w14:paraId="7924B74B">
      <w:pPr>
        <w:pStyle w:val="10"/>
        <w:rPr>
          <w:rFonts w:hint="eastAsia" w:ascii="宋体" w:hAnsi="宋体" w:cs="宋体"/>
          <w:highlight w:val="none"/>
        </w:rPr>
      </w:pPr>
      <w:r>
        <w:rPr>
          <w:rFonts w:hint="eastAsia" w:ascii="宋体" w:hAnsi="宋体" w:cs="宋体"/>
          <w:highlight w:val="none"/>
          <w:lang w:eastAsia="zh-CN"/>
        </w:rPr>
        <w:t>5.</w:t>
      </w:r>
      <w:r>
        <w:rPr>
          <w:rFonts w:hint="eastAsia" w:ascii="宋体" w:hAnsi="宋体" w:cs="宋体"/>
          <w:highlight w:val="none"/>
        </w:rPr>
        <w:t xml:space="preserve">纸质投标文件正本中的本授权书（若有）应为原件。 </w:t>
      </w:r>
    </w:p>
    <w:p w14:paraId="72DB31CA">
      <w:pPr>
        <w:pStyle w:val="10"/>
        <w:rPr>
          <w:rFonts w:hint="eastAsia" w:ascii="宋体" w:hAnsi="宋体" w:cs="宋体"/>
          <w:sz w:val="17"/>
          <w:szCs w:val="17"/>
          <w:highlight w:val="none"/>
        </w:rPr>
      </w:pPr>
    </w:p>
    <w:p w14:paraId="079B679E">
      <w:pPr>
        <w:pStyle w:val="10"/>
        <w:rPr>
          <w:rFonts w:hint="eastAsia" w:ascii="宋体" w:hAnsi="宋体" w:cs="宋体"/>
          <w:highlight w:val="none"/>
        </w:rPr>
      </w:pPr>
      <w:r>
        <w:rPr>
          <w:rFonts w:hint="eastAsia" w:ascii="宋体" w:hAnsi="宋体" w:cs="宋体"/>
          <w:sz w:val="17"/>
          <w:szCs w:val="17"/>
          <w:highlight w:val="none"/>
        </w:rPr>
        <w:t> </w:t>
      </w:r>
    </w:p>
    <w:p w14:paraId="501430AE">
      <w:pPr>
        <w:pStyle w:val="10"/>
        <w:jc w:val="center"/>
        <w:rPr>
          <w:rFonts w:hint="eastAsia" w:ascii="宋体" w:hAnsi="宋体" w:cs="宋体"/>
          <w:sz w:val="17"/>
          <w:szCs w:val="17"/>
          <w:highlight w:val="none"/>
        </w:rPr>
      </w:pPr>
    </w:p>
    <w:p w14:paraId="27EA635D">
      <w:pPr>
        <w:pStyle w:val="11"/>
        <w:numPr>
          <w:ilvl w:val="1"/>
          <w:numId w:val="0"/>
        </w:numPr>
        <w:outlineLvl w:val="9"/>
        <w:rPr>
          <w:rFonts w:ascii="宋体" w:hAnsi="宋体" w:eastAsia="宋体"/>
          <w:highlight w:val="none"/>
        </w:rPr>
      </w:pPr>
    </w:p>
    <w:p w14:paraId="3B7D26B9">
      <w:pPr>
        <w:pStyle w:val="10"/>
        <w:jc w:val="center"/>
        <w:rPr>
          <w:rFonts w:hint="eastAsia" w:ascii="宋体" w:hAnsi="宋体" w:cs="宋体"/>
          <w:highlight w:val="none"/>
        </w:rPr>
      </w:pPr>
      <w:r>
        <w:rPr>
          <w:rFonts w:hint="eastAsia" w:ascii="宋体" w:hAnsi="宋体" w:cs="宋体"/>
          <w:sz w:val="17"/>
          <w:szCs w:val="17"/>
          <w:highlight w:val="none"/>
        </w:rPr>
        <w:br w:type="page"/>
      </w:r>
      <w:r>
        <w:rPr>
          <w:rStyle w:val="34"/>
          <w:rFonts w:hint="eastAsia" w:ascii="宋体" w:hAnsi="宋体" w:cs="宋体"/>
          <w:highlight w:val="none"/>
        </w:rPr>
        <w:t>二-2营业执照等证明文件</w:t>
      </w:r>
    </w:p>
    <w:p w14:paraId="1CE594BD">
      <w:pPr>
        <w:pStyle w:val="10"/>
        <w:rPr>
          <w:rFonts w:hint="eastAsia" w:ascii="宋体" w:hAnsi="宋体" w:cs="宋体"/>
          <w:highlight w:val="none"/>
        </w:rPr>
      </w:pPr>
      <w:r>
        <w:rPr>
          <w:rFonts w:hint="eastAsia" w:ascii="宋体" w:hAnsi="宋体" w:cs="宋体"/>
          <w:highlight w:val="none"/>
        </w:rPr>
        <w:t>致：</w:t>
      </w:r>
      <w:r>
        <w:rPr>
          <w:rFonts w:hint="eastAsia" w:ascii="宋体" w:hAnsi="宋体" w:cs="宋体"/>
          <w:highlight w:val="none"/>
          <w:u w:val="single"/>
        </w:rPr>
        <w:t>                     </w:t>
      </w:r>
    </w:p>
    <w:p w14:paraId="585BACD8">
      <w:pPr>
        <w:pStyle w:val="10"/>
        <w:ind w:firstLine="330"/>
        <w:rPr>
          <w:rFonts w:hint="eastAsia" w:ascii="宋体" w:hAnsi="宋体" w:cs="宋体"/>
          <w:highlight w:val="none"/>
        </w:rPr>
      </w:pPr>
      <w:r>
        <w:rPr>
          <w:rFonts w:hint="eastAsia" w:ascii="宋体" w:hAnsi="宋体" w:cs="宋体"/>
          <w:highlight w:val="none"/>
        </w:rPr>
        <w:t>（ ）投标人为法人（包括企业、事业单位和社会团体）的</w:t>
      </w:r>
    </w:p>
    <w:p w14:paraId="665E518B">
      <w:pPr>
        <w:pStyle w:val="10"/>
        <w:ind w:firstLine="330"/>
        <w:rPr>
          <w:rFonts w:hint="eastAsia" w:ascii="宋体" w:hAnsi="宋体" w:cs="宋体"/>
          <w:highlight w:val="none"/>
        </w:rPr>
      </w:pPr>
      <w:r>
        <w:rPr>
          <w:rFonts w:hint="eastAsia" w:ascii="宋体" w:hAnsi="宋体" w:cs="宋体"/>
          <w:highlight w:val="none"/>
        </w:rPr>
        <w:t>现附上由</w:t>
      </w:r>
      <w:r>
        <w:rPr>
          <w:rFonts w:hint="eastAsia" w:ascii="宋体" w:hAnsi="宋体" w:cs="宋体"/>
          <w:highlight w:val="none"/>
          <w:u w:val="single"/>
        </w:rPr>
        <w:t>（填写“签发机关全称”）</w:t>
      </w:r>
      <w:r>
        <w:rPr>
          <w:rFonts w:hint="eastAsia" w:ascii="宋体" w:hAnsi="宋体" w:cs="宋体"/>
          <w:highlight w:val="none"/>
        </w:rPr>
        <w:t>签发的我方统一社会信用代码</w:t>
      </w:r>
      <w:r>
        <w:rPr>
          <w:rFonts w:hint="eastAsia" w:ascii="宋体" w:hAnsi="宋体" w:cs="宋体"/>
          <w:highlight w:val="none"/>
          <w:u w:val="single"/>
        </w:rPr>
        <w:t>（请填写法人的具体证照名称）</w:t>
      </w:r>
      <w:r>
        <w:rPr>
          <w:rFonts w:hint="eastAsia" w:ascii="宋体" w:hAnsi="宋体" w:cs="宋体"/>
          <w:highlight w:val="none"/>
        </w:rPr>
        <w:t>复印件，该证明材料真实有效，否则我方负全部责任。</w:t>
      </w:r>
    </w:p>
    <w:p w14:paraId="12E70CAA">
      <w:pPr>
        <w:pStyle w:val="10"/>
        <w:ind w:firstLine="330"/>
        <w:rPr>
          <w:rFonts w:hint="eastAsia" w:ascii="宋体" w:hAnsi="宋体" w:cs="宋体"/>
          <w:highlight w:val="none"/>
        </w:rPr>
      </w:pPr>
      <w:r>
        <w:rPr>
          <w:rFonts w:hint="eastAsia" w:ascii="宋体" w:hAnsi="宋体" w:cs="宋体"/>
          <w:highlight w:val="none"/>
        </w:rPr>
        <w:t>（ ）投标人为非法人（包括其他组织、自然人）的</w:t>
      </w:r>
    </w:p>
    <w:p w14:paraId="34259855">
      <w:pPr>
        <w:pStyle w:val="10"/>
        <w:ind w:firstLine="330"/>
        <w:rPr>
          <w:rFonts w:hint="eastAsia" w:ascii="宋体" w:hAnsi="宋体" w:cs="宋体"/>
          <w:highlight w:val="none"/>
        </w:rPr>
      </w:pPr>
      <w:r>
        <w:rPr>
          <w:rFonts w:hint="eastAsia" w:ascii="宋体" w:hAnsi="宋体" w:cs="宋体"/>
          <w:highlight w:val="none"/>
        </w:rPr>
        <w:t>□现附上由</w:t>
      </w:r>
      <w:r>
        <w:rPr>
          <w:rFonts w:hint="eastAsia" w:ascii="宋体" w:hAnsi="宋体" w:cs="宋体"/>
          <w:highlight w:val="none"/>
          <w:u w:val="single"/>
        </w:rPr>
        <w:t>（填写“签发机关全称”）</w:t>
      </w:r>
      <w:r>
        <w:rPr>
          <w:rFonts w:hint="eastAsia" w:ascii="宋体" w:hAnsi="宋体" w:cs="宋体"/>
          <w:highlight w:val="none"/>
        </w:rPr>
        <w:t>签发的我方</w:t>
      </w:r>
      <w:r>
        <w:rPr>
          <w:rFonts w:hint="eastAsia" w:ascii="宋体" w:hAnsi="宋体" w:cs="宋体"/>
          <w:highlight w:val="none"/>
          <w:u w:val="single"/>
        </w:rPr>
        <w:t>（请填写非自然人的非法人的具体证照名称）</w:t>
      </w:r>
      <w:r>
        <w:rPr>
          <w:rFonts w:hint="eastAsia" w:ascii="宋体" w:hAnsi="宋体" w:cs="宋体"/>
          <w:highlight w:val="none"/>
        </w:rPr>
        <w:t>复印件，该证明材料真实有效，否则我方负全部责任。</w:t>
      </w:r>
    </w:p>
    <w:p w14:paraId="7E1FACE3">
      <w:pPr>
        <w:pStyle w:val="10"/>
        <w:ind w:firstLine="330"/>
        <w:rPr>
          <w:rFonts w:hint="eastAsia" w:ascii="宋体" w:hAnsi="宋体" w:cs="宋体"/>
          <w:highlight w:val="none"/>
        </w:rPr>
      </w:pPr>
      <w:r>
        <w:rPr>
          <w:rFonts w:hint="eastAsia" w:ascii="宋体" w:hAnsi="宋体" w:cs="宋体"/>
          <w:highlight w:val="none"/>
        </w:rPr>
        <w:t>□现附上由</w:t>
      </w:r>
      <w:r>
        <w:rPr>
          <w:rFonts w:hint="eastAsia" w:ascii="宋体" w:hAnsi="宋体" w:cs="宋体"/>
          <w:highlight w:val="none"/>
          <w:u w:val="single"/>
        </w:rPr>
        <w:t>（填写“签发机关全称”）</w:t>
      </w:r>
      <w:r>
        <w:rPr>
          <w:rFonts w:hint="eastAsia" w:ascii="宋体" w:hAnsi="宋体" w:cs="宋体"/>
          <w:highlight w:val="none"/>
        </w:rPr>
        <w:t>签发的我方</w:t>
      </w:r>
      <w:r>
        <w:rPr>
          <w:rFonts w:hint="eastAsia" w:ascii="宋体" w:hAnsi="宋体" w:cs="宋体"/>
          <w:highlight w:val="none"/>
          <w:u w:val="single"/>
        </w:rPr>
        <w:t>（请填写自然人的身份证件名称）</w:t>
      </w:r>
      <w:r>
        <w:rPr>
          <w:rFonts w:hint="eastAsia" w:ascii="宋体" w:hAnsi="宋体" w:cs="宋体"/>
          <w:highlight w:val="none"/>
        </w:rPr>
        <w:t>复印件，该证明材料真实有效，否则我方负全部责任。</w:t>
      </w:r>
    </w:p>
    <w:p w14:paraId="0E21C89F">
      <w:pPr>
        <w:pStyle w:val="10"/>
        <w:rPr>
          <w:rFonts w:hint="eastAsia" w:ascii="宋体" w:hAnsi="宋体" w:cs="宋体"/>
          <w:highlight w:val="none"/>
        </w:rPr>
      </w:pPr>
      <w:r>
        <w:rPr>
          <w:rFonts w:hint="eastAsia" w:ascii="宋体" w:hAnsi="宋体" w:cs="宋体"/>
          <w:highlight w:val="none"/>
        </w:rPr>
        <w:t> </w:t>
      </w:r>
    </w:p>
    <w:p w14:paraId="7E0B3AE2">
      <w:pPr>
        <w:pStyle w:val="10"/>
        <w:rPr>
          <w:rFonts w:hint="eastAsia" w:ascii="宋体" w:hAnsi="宋体" w:cs="宋体"/>
          <w:highlight w:val="none"/>
        </w:rPr>
      </w:pPr>
      <w:r>
        <w:rPr>
          <w:rFonts w:hint="eastAsia" w:ascii="宋体" w:hAnsi="宋体" w:cs="宋体"/>
          <w:highlight w:val="none"/>
        </w:rPr>
        <w:t>注意：</w:t>
      </w:r>
    </w:p>
    <w:p w14:paraId="7BF955B4">
      <w:pPr>
        <w:pStyle w:val="10"/>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请投标人按照实际情况编制填写，在相应的（）中打“√”并选择相应的“□”（若有）后，再按照本格式的要求提供相应证明材料的复印件。</w:t>
      </w:r>
    </w:p>
    <w:p w14:paraId="1E0BA616">
      <w:pPr>
        <w:pStyle w:val="10"/>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w:t>
      </w:r>
      <w:r>
        <w:rPr>
          <w:rFonts w:hint="eastAsia" w:ascii="宋体" w:hAnsi="宋体" w:cs="宋体"/>
          <w:highlight w:val="none"/>
          <w:lang w:eastAsia="zh-CN"/>
        </w:rPr>
        <w:t>法律法规</w:t>
      </w:r>
      <w:r>
        <w:rPr>
          <w:rFonts w:hint="eastAsia" w:ascii="宋体" w:hAnsi="宋体" w:cs="宋体"/>
          <w:highlight w:val="none"/>
        </w:rPr>
        <w:t>和规章规定，提供有效的相应具体证照复印件。</w:t>
      </w:r>
    </w:p>
    <w:p w14:paraId="418DA153">
      <w:pPr>
        <w:pStyle w:val="10"/>
        <w:rPr>
          <w:rFonts w:hint="eastAsia" w:ascii="宋体" w:hAnsi="宋体" w:cs="宋体"/>
          <w:highlight w:val="none"/>
        </w:rPr>
      </w:pPr>
      <w:r>
        <w:rPr>
          <w:rFonts w:hint="eastAsia" w:ascii="宋体" w:hAnsi="宋体" w:cs="宋体"/>
          <w:highlight w:val="none"/>
          <w:lang w:eastAsia="zh-CN"/>
        </w:rPr>
        <w:t>3.</w:t>
      </w:r>
      <w:r>
        <w:rPr>
          <w:rFonts w:hint="eastAsia" w:ascii="宋体" w:hAnsi="宋体" w:cs="宋体"/>
          <w:highlight w:val="none"/>
        </w:rPr>
        <w:t>投标人提供的相应证明材料复印件均应符合：内容完整、清晰、整洁，并由投标人加盖其单位公章。</w:t>
      </w:r>
    </w:p>
    <w:p w14:paraId="76A8BB8D">
      <w:pPr>
        <w:pStyle w:val="10"/>
        <w:rPr>
          <w:rFonts w:hint="eastAsia" w:ascii="宋体" w:hAnsi="宋体" w:cs="宋体"/>
          <w:highlight w:val="none"/>
        </w:rPr>
      </w:pPr>
      <w:r>
        <w:rPr>
          <w:rFonts w:hint="eastAsia" w:ascii="宋体" w:hAnsi="宋体" w:cs="宋体"/>
          <w:highlight w:val="none"/>
        </w:rPr>
        <w:t> </w:t>
      </w:r>
    </w:p>
    <w:p w14:paraId="7BAFB4E2">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127BAB41">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725C3BF4">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470AD3EA">
      <w:pPr>
        <w:pStyle w:val="10"/>
        <w:jc w:val="center"/>
        <w:rPr>
          <w:rFonts w:hint="eastAsia" w:ascii="宋体" w:hAnsi="宋体" w:cs="宋体"/>
          <w:sz w:val="17"/>
          <w:szCs w:val="17"/>
          <w:highlight w:val="none"/>
        </w:rPr>
      </w:pPr>
    </w:p>
    <w:p w14:paraId="79E97AB2">
      <w:pPr>
        <w:pStyle w:val="10"/>
        <w:jc w:val="center"/>
        <w:rPr>
          <w:rFonts w:hint="eastAsia" w:ascii="宋体" w:hAnsi="宋体" w:cs="宋体"/>
          <w:highlight w:val="none"/>
        </w:rPr>
      </w:pPr>
      <w:r>
        <w:rPr>
          <w:rFonts w:hint="eastAsia" w:ascii="宋体" w:hAnsi="宋体" w:cs="宋体"/>
          <w:sz w:val="17"/>
          <w:szCs w:val="17"/>
          <w:highlight w:val="none"/>
        </w:rPr>
        <w:br w:type="page"/>
      </w:r>
      <w:r>
        <w:rPr>
          <w:rStyle w:val="34"/>
          <w:rFonts w:hint="eastAsia" w:ascii="宋体" w:hAnsi="宋体" w:cs="宋体"/>
          <w:highlight w:val="none"/>
        </w:rPr>
        <w:t>二-3财务状况报告（财务报告</w:t>
      </w:r>
      <w:r>
        <w:rPr>
          <w:rStyle w:val="34"/>
          <w:rFonts w:hint="eastAsia" w:ascii="宋体" w:hAnsi="宋体" w:cs="宋体"/>
          <w:highlight w:val="none"/>
          <w:lang w:eastAsia="zh-CN"/>
        </w:rPr>
        <w:t>或</w:t>
      </w:r>
      <w:r>
        <w:rPr>
          <w:rStyle w:val="34"/>
          <w:rFonts w:hint="eastAsia" w:ascii="宋体" w:hAnsi="宋体" w:cs="宋体"/>
          <w:highlight w:val="none"/>
        </w:rPr>
        <w:t>资信证明）</w:t>
      </w:r>
    </w:p>
    <w:p w14:paraId="7B31CA79">
      <w:pPr>
        <w:pStyle w:val="10"/>
        <w:rPr>
          <w:rFonts w:hint="eastAsia" w:ascii="宋体" w:hAnsi="宋体" w:cs="宋体"/>
          <w:highlight w:val="none"/>
        </w:rPr>
      </w:pPr>
      <w:r>
        <w:rPr>
          <w:rFonts w:hint="eastAsia" w:ascii="宋体" w:hAnsi="宋体" w:cs="宋体"/>
          <w:highlight w:val="none"/>
        </w:rPr>
        <w:t>致：</w:t>
      </w:r>
      <w:r>
        <w:rPr>
          <w:rFonts w:hint="eastAsia" w:ascii="宋体" w:hAnsi="宋体" w:cs="宋体"/>
          <w:highlight w:val="none"/>
          <w:u w:val="single"/>
        </w:rPr>
        <w:t>                 </w:t>
      </w:r>
    </w:p>
    <w:p w14:paraId="13F5AB4E">
      <w:pPr>
        <w:pStyle w:val="10"/>
        <w:ind w:firstLine="330"/>
        <w:rPr>
          <w:rFonts w:hint="eastAsia" w:ascii="宋体" w:hAnsi="宋体" w:cs="宋体"/>
          <w:highlight w:val="none"/>
        </w:rPr>
      </w:pPr>
      <w:r>
        <w:rPr>
          <w:rFonts w:hint="eastAsia" w:ascii="宋体" w:hAnsi="宋体" w:cs="宋体"/>
          <w:highlight w:val="none"/>
        </w:rPr>
        <w:t>（ ）投标人提供财务报告的</w:t>
      </w:r>
    </w:p>
    <w:p w14:paraId="1251C362">
      <w:pPr>
        <w:pStyle w:val="10"/>
        <w:ind w:firstLine="330"/>
        <w:rPr>
          <w:rFonts w:hint="eastAsia" w:ascii="宋体" w:hAnsi="宋体" w:cs="宋体"/>
          <w:highlight w:val="none"/>
        </w:rPr>
      </w:pPr>
      <w:r>
        <w:rPr>
          <w:rFonts w:hint="eastAsia" w:ascii="宋体" w:hAnsi="宋体" w:cs="宋体"/>
          <w:highlight w:val="none"/>
        </w:rPr>
        <w:t>□企业适用：现附上我方</w:t>
      </w:r>
      <w:r>
        <w:rPr>
          <w:rFonts w:hint="eastAsia" w:ascii="宋体" w:hAnsi="宋体" w:cs="宋体"/>
          <w:highlight w:val="none"/>
          <w:u w:val="single"/>
        </w:rPr>
        <w:t>（填写“具体的年度</w:t>
      </w:r>
      <w:r>
        <w:rPr>
          <w:rFonts w:hint="eastAsia" w:ascii="宋体" w:hAnsi="宋体" w:cs="宋体"/>
          <w:highlight w:val="none"/>
          <w:u w:val="single"/>
          <w:lang w:eastAsia="zh-CN"/>
        </w:rPr>
        <w:t>或</w:t>
      </w:r>
      <w:r>
        <w:rPr>
          <w:rFonts w:hint="eastAsia" w:ascii="宋体" w:hAnsi="宋体" w:cs="宋体"/>
          <w:highlight w:val="none"/>
          <w:u w:val="single"/>
        </w:rPr>
        <w:t>半年度</w:t>
      </w:r>
      <w:r>
        <w:rPr>
          <w:rFonts w:hint="eastAsia" w:ascii="宋体" w:hAnsi="宋体" w:cs="宋体"/>
          <w:highlight w:val="none"/>
          <w:u w:val="single"/>
          <w:lang w:eastAsia="zh-CN"/>
        </w:rPr>
        <w:t>或</w:t>
      </w:r>
      <w:r>
        <w:rPr>
          <w:rFonts w:hint="eastAsia" w:ascii="宋体" w:hAnsi="宋体" w:cs="宋体"/>
          <w:highlight w:val="none"/>
          <w:u w:val="single"/>
        </w:rPr>
        <w:t>季度”）</w:t>
      </w:r>
      <w:r>
        <w:rPr>
          <w:rFonts w:hint="eastAsia" w:ascii="宋体" w:hAnsi="宋体" w:cs="宋体"/>
          <w:highlight w:val="none"/>
        </w:rPr>
        <w:t>财务报告复印件，包括资产负债表、利润表、现金流量表、所有者权益变动表（若有）及其附注（若有），上述证明材料真实有效，否则我方负全部责任。</w:t>
      </w:r>
    </w:p>
    <w:p w14:paraId="10E1C705">
      <w:pPr>
        <w:pStyle w:val="10"/>
        <w:ind w:firstLine="330"/>
        <w:rPr>
          <w:rFonts w:hint="eastAsia" w:ascii="宋体" w:hAnsi="宋体" w:cs="宋体"/>
          <w:highlight w:val="none"/>
        </w:rPr>
      </w:pPr>
      <w:r>
        <w:rPr>
          <w:rFonts w:hint="eastAsia" w:ascii="宋体" w:hAnsi="宋体" w:cs="宋体"/>
          <w:highlight w:val="none"/>
        </w:rPr>
        <w:t>□事业单位适用：现附上我方</w:t>
      </w:r>
      <w:r>
        <w:rPr>
          <w:rFonts w:hint="eastAsia" w:ascii="宋体" w:hAnsi="宋体" w:cs="宋体"/>
          <w:highlight w:val="none"/>
          <w:u w:val="single"/>
        </w:rPr>
        <w:t>（填写“具体的年度</w:t>
      </w:r>
      <w:r>
        <w:rPr>
          <w:rFonts w:hint="eastAsia" w:ascii="宋体" w:hAnsi="宋体" w:cs="宋体"/>
          <w:highlight w:val="none"/>
          <w:u w:val="single"/>
          <w:lang w:eastAsia="zh-CN"/>
        </w:rPr>
        <w:t>或</w:t>
      </w:r>
      <w:r>
        <w:rPr>
          <w:rFonts w:hint="eastAsia" w:ascii="宋体" w:hAnsi="宋体" w:cs="宋体"/>
          <w:highlight w:val="none"/>
          <w:u w:val="single"/>
        </w:rPr>
        <w:t>半年度</w:t>
      </w:r>
      <w:r>
        <w:rPr>
          <w:rFonts w:hint="eastAsia" w:ascii="宋体" w:hAnsi="宋体" w:cs="宋体"/>
          <w:highlight w:val="none"/>
          <w:u w:val="single"/>
          <w:lang w:eastAsia="zh-CN"/>
        </w:rPr>
        <w:t>或</w:t>
      </w:r>
      <w:r>
        <w:rPr>
          <w:rFonts w:hint="eastAsia" w:ascii="宋体" w:hAnsi="宋体" w:cs="宋体"/>
          <w:highlight w:val="none"/>
          <w:u w:val="single"/>
        </w:rPr>
        <w:t>季度”）</w:t>
      </w:r>
      <w:r>
        <w:rPr>
          <w:rFonts w:hint="eastAsia" w:ascii="宋体" w:hAnsi="宋体" w:cs="宋体"/>
          <w:highlight w:val="none"/>
        </w:rPr>
        <w:t>财务报告复印件，包括资产负债表、收入支出表（或收入费用表）、财政补助收入支出表（若有），上述证明材料真实有效，否则我方负全部责任。</w:t>
      </w:r>
    </w:p>
    <w:p w14:paraId="728E0AED">
      <w:pPr>
        <w:pStyle w:val="10"/>
        <w:ind w:firstLine="330"/>
        <w:rPr>
          <w:rFonts w:hint="eastAsia" w:ascii="宋体" w:hAnsi="宋体" w:cs="宋体"/>
          <w:highlight w:val="none"/>
        </w:rPr>
      </w:pPr>
      <w:r>
        <w:rPr>
          <w:rFonts w:hint="eastAsia" w:ascii="宋体" w:hAnsi="宋体" w:cs="宋体"/>
          <w:highlight w:val="none"/>
        </w:rPr>
        <w:t>□社会团体适用：现附上我方</w:t>
      </w:r>
      <w:r>
        <w:rPr>
          <w:rFonts w:hint="eastAsia" w:ascii="宋体" w:hAnsi="宋体" w:cs="宋体"/>
          <w:highlight w:val="none"/>
          <w:u w:val="single"/>
        </w:rPr>
        <w:t>（填写“具体的年度</w:t>
      </w:r>
      <w:r>
        <w:rPr>
          <w:rFonts w:hint="eastAsia" w:ascii="宋体" w:hAnsi="宋体" w:cs="宋体"/>
          <w:highlight w:val="none"/>
          <w:u w:val="single"/>
          <w:lang w:eastAsia="zh-CN"/>
        </w:rPr>
        <w:t>或</w:t>
      </w:r>
      <w:r>
        <w:rPr>
          <w:rFonts w:hint="eastAsia" w:ascii="宋体" w:hAnsi="宋体" w:cs="宋体"/>
          <w:highlight w:val="none"/>
          <w:u w:val="single"/>
        </w:rPr>
        <w:t>半年度</w:t>
      </w:r>
      <w:r>
        <w:rPr>
          <w:rFonts w:hint="eastAsia" w:ascii="宋体" w:hAnsi="宋体" w:cs="宋体"/>
          <w:highlight w:val="none"/>
          <w:u w:val="single"/>
          <w:lang w:eastAsia="zh-CN"/>
        </w:rPr>
        <w:t>或</w:t>
      </w:r>
      <w:r>
        <w:rPr>
          <w:rFonts w:hint="eastAsia" w:ascii="宋体" w:hAnsi="宋体" w:cs="宋体"/>
          <w:highlight w:val="none"/>
          <w:u w:val="single"/>
        </w:rPr>
        <w:t>季度”）</w:t>
      </w:r>
      <w:r>
        <w:rPr>
          <w:rFonts w:hint="eastAsia" w:ascii="宋体" w:hAnsi="宋体" w:cs="宋体"/>
          <w:highlight w:val="none"/>
        </w:rPr>
        <w:t>财务报告复印件，包括资产负债表、业务活动表、现金流量表，上述证明材料真实有效，否则我方负全部责任。</w:t>
      </w:r>
    </w:p>
    <w:p w14:paraId="483E340F">
      <w:pPr>
        <w:pStyle w:val="10"/>
        <w:ind w:firstLine="330"/>
        <w:rPr>
          <w:rFonts w:hint="eastAsia" w:ascii="宋体" w:hAnsi="宋体" w:cs="宋体"/>
          <w:highlight w:val="none"/>
        </w:rPr>
      </w:pPr>
      <w:r>
        <w:rPr>
          <w:rFonts w:hint="eastAsia" w:ascii="宋体" w:hAnsi="宋体" w:cs="宋体"/>
          <w:highlight w:val="none"/>
        </w:rPr>
        <w:t>（ ）投标人提供资信证明的</w:t>
      </w:r>
    </w:p>
    <w:p w14:paraId="363AE585">
      <w:pPr>
        <w:pStyle w:val="10"/>
        <w:ind w:firstLine="330"/>
        <w:rPr>
          <w:rFonts w:hint="eastAsia" w:ascii="宋体" w:hAnsi="宋体" w:cs="宋体"/>
          <w:highlight w:val="none"/>
        </w:rPr>
      </w:pPr>
      <w:r>
        <w:rPr>
          <w:rFonts w:hint="eastAsia" w:ascii="宋体" w:hAnsi="宋体" w:cs="宋体"/>
          <w:highlight w:val="none"/>
        </w:rPr>
        <w:t>现附上我方银行：</w:t>
      </w:r>
      <w:r>
        <w:rPr>
          <w:rFonts w:hint="eastAsia" w:ascii="宋体" w:hAnsi="宋体" w:cs="宋体"/>
          <w:highlight w:val="none"/>
          <w:u w:val="single"/>
        </w:rPr>
        <w:t>（填写投标人的“开户银行全称”）</w:t>
      </w:r>
      <w:r>
        <w:rPr>
          <w:rFonts w:hint="eastAsia" w:ascii="宋体" w:hAnsi="宋体" w:cs="宋体"/>
          <w:highlight w:val="none"/>
        </w:rPr>
        <w:t>出具的资信证明，上述证明材料真实有效，否则我方负全部责任。</w:t>
      </w:r>
    </w:p>
    <w:p w14:paraId="0741F19B">
      <w:pPr>
        <w:spacing w:line="360" w:lineRule="exact"/>
        <w:jc w:val="left"/>
        <w:rPr>
          <w:rFonts w:hint="eastAsia" w:ascii="宋体" w:hAnsi="宋体" w:cs="宋体"/>
          <w:szCs w:val="21"/>
          <w:highlight w:val="none"/>
        </w:rPr>
      </w:pPr>
      <w:r>
        <w:rPr>
          <w:rFonts w:hint="eastAsia" w:ascii="宋体" w:hAnsi="宋体" w:cs="宋体"/>
          <w:szCs w:val="21"/>
          <w:highlight w:val="none"/>
        </w:rPr>
        <w:t>注意：</w:t>
      </w:r>
    </w:p>
    <w:p w14:paraId="683F90E2">
      <w:pPr>
        <w:spacing w:line="360" w:lineRule="exact"/>
        <w:jc w:val="left"/>
        <w:rPr>
          <w:rFonts w:hint="eastAsia" w:ascii="宋体" w:hAnsi="宋体" w:cs="宋体"/>
          <w:szCs w:val="21"/>
          <w:highlight w:val="none"/>
        </w:rPr>
      </w:pPr>
      <w:r>
        <w:rPr>
          <w:rFonts w:hint="eastAsia" w:ascii="宋体" w:hAnsi="宋体" w:cs="宋体"/>
          <w:szCs w:val="21"/>
          <w:highlight w:val="none"/>
          <w:lang w:eastAsia="zh-CN"/>
        </w:rPr>
        <w:t>1.</w:t>
      </w:r>
      <w:r>
        <w:rPr>
          <w:rFonts w:hint="eastAsia" w:ascii="宋体" w:hAnsi="宋体" w:cs="宋体"/>
          <w:szCs w:val="21"/>
          <w:highlight w:val="none"/>
        </w:rPr>
        <w:t>请投标人按照实际情况编制填写，在相应的（）中打“√”并选择相应的“□”（若有）后，再按照本格式的要求提供相应证明材料。</w:t>
      </w:r>
    </w:p>
    <w:p w14:paraId="5B69487E">
      <w:pPr>
        <w:spacing w:line="360" w:lineRule="exact"/>
        <w:jc w:val="left"/>
        <w:rPr>
          <w:rFonts w:hint="eastAsia" w:ascii="宋体" w:hAnsi="宋体" w:cs="宋体"/>
          <w:szCs w:val="21"/>
          <w:highlight w:val="none"/>
        </w:rPr>
      </w:pPr>
      <w:r>
        <w:rPr>
          <w:rFonts w:hint="eastAsia" w:ascii="宋体" w:hAnsi="宋体" w:cs="宋体"/>
          <w:szCs w:val="21"/>
          <w:highlight w:val="none"/>
          <w:lang w:eastAsia="zh-CN"/>
        </w:rPr>
        <w:t>2.</w:t>
      </w:r>
      <w:r>
        <w:rPr>
          <w:rFonts w:hint="eastAsia" w:ascii="宋体" w:hAnsi="宋体" w:cs="宋体"/>
          <w:szCs w:val="21"/>
          <w:highlight w:val="none"/>
        </w:rPr>
        <w:t>投标人提供的财务报告复印件（成立年限按照投标截止时间推算）应符合下列规定：</w:t>
      </w:r>
    </w:p>
    <w:p w14:paraId="3544E3E6">
      <w:pPr>
        <w:spacing w:line="360" w:lineRule="exact"/>
        <w:jc w:val="left"/>
        <w:rPr>
          <w:rFonts w:hint="eastAsia" w:ascii="宋体" w:hAnsi="宋体" w:cs="宋体"/>
          <w:szCs w:val="21"/>
          <w:highlight w:val="none"/>
        </w:rPr>
      </w:pPr>
      <w:r>
        <w:rPr>
          <w:rFonts w:hint="eastAsia" w:ascii="宋体" w:hAnsi="宋体" w:cs="宋体"/>
          <w:szCs w:val="21"/>
          <w:highlight w:val="none"/>
        </w:rPr>
        <w:t>2.1成立年限满1年及以上的投标人，提供经审计的满足招标文件规定的年度财务报告。</w:t>
      </w:r>
    </w:p>
    <w:p w14:paraId="21D88762">
      <w:pPr>
        <w:spacing w:line="360" w:lineRule="exact"/>
        <w:jc w:val="left"/>
        <w:rPr>
          <w:rFonts w:hint="eastAsia" w:ascii="宋体" w:hAnsi="宋体" w:cs="宋体"/>
          <w:szCs w:val="21"/>
          <w:highlight w:val="none"/>
        </w:rPr>
      </w:pPr>
      <w:r>
        <w:rPr>
          <w:rFonts w:hint="eastAsia" w:ascii="宋体" w:hAnsi="宋体" w:cs="宋体"/>
          <w:szCs w:val="21"/>
          <w:highlight w:val="none"/>
        </w:rPr>
        <w:t>2.2成立年限满半年但不足1年的投标人，提供该半年度中任一季度的季度财务报告或该半年度的半年度财务报告。</w:t>
      </w:r>
    </w:p>
    <w:p w14:paraId="2719ECFF">
      <w:pPr>
        <w:spacing w:line="360" w:lineRule="exact"/>
        <w:jc w:val="left"/>
        <w:rPr>
          <w:rStyle w:val="34"/>
          <w:rFonts w:hint="eastAsia" w:ascii="宋体" w:hAnsi="宋体" w:cs="宋体"/>
          <w:highlight w:val="none"/>
        </w:rPr>
      </w:pPr>
      <w:r>
        <w:rPr>
          <w:rStyle w:val="34"/>
          <w:rFonts w:hint="eastAsia" w:ascii="宋体" w:hAnsi="宋体" w:cs="宋体"/>
          <w:highlight w:val="none"/>
        </w:rPr>
        <w:t xml:space="preserve">※无法按照本格式第2.1、2.2条规定提供财务报告复印件的投标人（包括但不限于：成立年限满1年及以上的投标人、成立年限满半年但不足1年的投标人、成立年限不足半年的投标人），应按照本格式的要求选择提供资信证明复印件。 </w:t>
      </w:r>
    </w:p>
    <w:p w14:paraId="57F34E3A">
      <w:pPr>
        <w:pStyle w:val="10"/>
        <w:rPr>
          <w:rFonts w:hint="eastAsia" w:ascii="宋体" w:hAnsi="宋体" w:cs="宋体"/>
          <w:highlight w:val="none"/>
        </w:rPr>
      </w:pPr>
    </w:p>
    <w:p w14:paraId="622B5DBC">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2523B456">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13810714">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414B0F31">
      <w:pPr>
        <w:pStyle w:val="10"/>
        <w:rPr>
          <w:rFonts w:hint="eastAsia" w:ascii="宋体" w:hAnsi="宋体" w:cs="宋体"/>
          <w:highlight w:val="none"/>
        </w:rPr>
      </w:pPr>
    </w:p>
    <w:p w14:paraId="70FAFBB8">
      <w:pPr>
        <w:pStyle w:val="10"/>
        <w:jc w:val="center"/>
        <w:rPr>
          <w:rFonts w:hint="eastAsia" w:ascii="宋体" w:hAnsi="宋体" w:cs="宋体"/>
          <w:highlight w:val="none"/>
        </w:rPr>
      </w:pPr>
      <w:r>
        <w:rPr>
          <w:rFonts w:hint="eastAsia" w:ascii="宋体" w:hAnsi="宋体" w:cs="宋体"/>
          <w:sz w:val="17"/>
          <w:szCs w:val="17"/>
          <w:highlight w:val="none"/>
        </w:rPr>
        <w:br w:type="page"/>
      </w:r>
      <w:r>
        <w:rPr>
          <w:rFonts w:hint="eastAsia" w:ascii="宋体" w:hAnsi="宋体" w:cs="宋体"/>
          <w:highlight w:val="none"/>
        </w:rPr>
        <w:t>二</w:t>
      </w:r>
      <w:r>
        <w:rPr>
          <w:rStyle w:val="34"/>
          <w:rFonts w:hint="eastAsia" w:ascii="宋体" w:hAnsi="宋体" w:cs="宋体"/>
          <w:highlight w:val="none"/>
        </w:rPr>
        <w:t>-4依法缴纳税收证明材料</w:t>
      </w:r>
    </w:p>
    <w:p w14:paraId="633998AE">
      <w:pPr>
        <w:pStyle w:val="10"/>
        <w:rPr>
          <w:rFonts w:hint="eastAsia" w:ascii="宋体" w:hAnsi="宋体" w:cs="宋体"/>
          <w:highlight w:val="none"/>
        </w:rPr>
      </w:pPr>
      <w:r>
        <w:rPr>
          <w:rFonts w:hint="eastAsia" w:ascii="宋体" w:hAnsi="宋体" w:cs="宋体"/>
          <w:highlight w:val="none"/>
        </w:rPr>
        <w:t>致：</w:t>
      </w:r>
      <w:r>
        <w:rPr>
          <w:rFonts w:hint="eastAsia" w:ascii="宋体" w:hAnsi="宋体" w:cs="宋体"/>
          <w:highlight w:val="none"/>
          <w:u w:val="single"/>
        </w:rPr>
        <w:t>                     </w:t>
      </w:r>
    </w:p>
    <w:p w14:paraId="0127B73D">
      <w:pPr>
        <w:pStyle w:val="10"/>
        <w:ind w:firstLine="330"/>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依法缴纳税收的投标人</w:t>
      </w:r>
    </w:p>
    <w:p w14:paraId="10829D10">
      <w:pPr>
        <w:pStyle w:val="10"/>
        <w:ind w:firstLine="330"/>
        <w:rPr>
          <w:rFonts w:hint="eastAsia" w:ascii="宋体" w:hAnsi="宋体" w:cs="宋体"/>
          <w:highlight w:val="none"/>
        </w:rPr>
      </w:pPr>
      <w:r>
        <w:rPr>
          <w:rFonts w:hint="eastAsia" w:ascii="宋体" w:hAnsi="宋体" w:cs="宋体"/>
          <w:highlight w:val="none"/>
        </w:rPr>
        <w:t>（ ）现附上自</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日至</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日期间我方缴纳的</w:t>
      </w:r>
      <w:r>
        <w:rPr>
          <w:rFonts w:hint="eastAsia" w:ascii="宋体" w:hAnsi="宋体" w:cs="宋体"/>
          <w:highlight w:val="none"/>
          <w:u w:val="single"/>
        </w:rPr>
        <w:t>（按照投标人实际缴纳的税种名称填写，如：增值税、所得税等）</w:t>
      </w:r>
      <w:r>
        <w:rPr>
          <w:rFonts w:hint="eastAsia" w:ascii="宋体" w:hAnsi="宋体" w:cs="宋体"/>
          <w:highlight w:val="none"/>
        </w:rPr>
        <w:t>税收凭据复印件，上述证明材料真实有效，否则我方负全部责任。</w:t>
      </w:r>
    </w:p>
    <w:p w14:paraId="63CB151F">
      <w:pPr>
        <w:pStyle w:val="10"/>
        <w:ind w:firstLine="330"/>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依法免税的投标人</w:t>
      </w:r>
    </w:p>
    <w:p w14:paraId="09583685">
      <w:pPr>
        <w:pStyle w:val="10"/>
        <w:ind w:firstLine="330"/>
        <w:rPr>
          <w:rFonts w:hint="eastAsia" w:ascii="宋体" w:hAnsi="宋体" w:cs="宋体"/>
          <w:highlight w:val="none"/>
        </w:rPr>
      </w:pPr>
      <w:r>
        <w:rPr>
          <w:rFonts w:hint="eastAsia" w:ascii="宋体" w:hAnsi="宋体" w:cs="宋体"/>
          <w:highlight w:val="none"/>
          <w:lang w:eastAsia="zh-CN"/>
        </w:rPr>
        <w:t>（一</w:t>
      </w:r>
      <w:r>
        <w:rPr>
          <w:rFonts w:hint="eastAsia" w:ascii="宋体" w:hAnsi="宋体" w:cs="宋体"/>
          <w:highlight w:val="none"/>
        </w:rPr>
        <w:t xml:space="preserve"> ）现附上我方依法免税证明材料复印件，上述证明材料真实有效，否则我方负全部责任。</w:t>
      </w:r>
    </w:p>
    <w:p w14:paraId="6BE7D0A3">
      <w:pPr>
        <w:pStyle w:val="10"/>
        <w:rPr>
          <w:rFonts w:hint="eastAsia" w:ascii="宋体" w:hAnsi="宋体" w:cs="宋体"/>
          <w:highlight w:val="none"/>
        </w:rPr>
      </w:pPr>
    </w:p>
    <w:p w14:paraId="48C1FD1D">
      <w:pPr>
        <w:spacing w:line="360" w:lineRule="exact"/>
        <w:jc w:val="left"/>
        <w:rPr>
          <w:rFonts w:hint="eastAsia" w:ascii="宋体" w:hAnsi="宋体" w:cs="宋体"/>
          <w:szCs w:val="21"/>
          <w:highlight w:val="none"/>
        </w:rPr>
      </w:pPr>
      <w:r>
        <w:rPr>
          <w:rFonts w:hint="eastAsia" w:ascii="宋体" w:hAnsi="宋体" w:cs="宋体"/>
          <w:szCs w:val="21"/>
          <w:highlight w:val="none"/>
        </w:rPr>
        <w:t>注意：</w:t>
      </w:r>
    </w:p>
    <w:p w14:paraId="0E3E859E">
      <w:pPr>
        <w:spacing w:line="360" w:lineRule="exact"/>
        <w:jc w:val="left"/>
        <w:rPr>
          <w:rFonts w:hint="eastAsia" w:ascii="宋体" w:hAnsi="宋体" w:cs="宋体"/>
          <w:szCs w:val="21"/>
          <w:highlight w:val="none"/>
        </w:rPr>
      </w:pPr>
      <w:r>
        <w:rPr>
          <w:rFonts w:hint="eastAsia" w:ascii="宋体" w:hAnsi="宋体" w:cs="宋体"/>
          <w:szCs w:val="21"/>
          <w:highlight w:val="none"/>
          <w:lang w:eastAsia="zh-CN"/>
        </w:rPr>
        <w:t>1.</w:t>
      </w:r>
      <w:r>
        <w:rPr>
          <w:rFonts w:hint="eastAsia" w:ascii="宋体" w:hAnsi="宋体" w:cs="宋体"/>
          <w:szCs w:val="21"/>
          <w:highlight w:val="none"/>
        </w:rPr>
        <w:t>请投标人按照实际情况编制填写，在相应的（）中打“√”，并按照本格式的要求提供相应证明材料的复印件。</w:t>
      </w:r>
    </w:p>
    <w:p w14:paraId="1278F168">
      <w:pPr>
        <w:spacing w:line="360" w:lineRule="exact"/>
        <w:jc w:val="left"/>
        <w:rPr>
          <w:rFonts w:hint="eastAsia" w:ascii="宋体" w:hAnsi="宋体" w:cs="宋体"/>
          <w:szCs w:val="21"/>
          <w:highlight w:val="none"/>
        </w:rPr>
      </w:pPr>
      <w:r>
        <w:rPr>
          <w:rFonts w:hint="eastAsia" w:ascii="宋体" w:hAnsi="宋体" w:cs="宋体"/>
          <w:szCs w:val="21"/>
          <w:highlight w:val="none"/>
          <w:lang w:eastAsia="zh-CN"/>
        </w:rPr>
        <w:t>2.</w:t>
      </w:r>
      <w:r>
        <w:rPr>
          <w:rFonts w:hint="eastAsia" w:ascii="宋体" w:hAnsi="宋体" w:cs="宋体"/>
          <w:szCs w:val="21"/>
          <w:highlight w:val="none"/>
        </w:rPr>
        <w:t>投标人提供的税收凭据复印件应符合下列规定：</w:t>
      </w:r>
    </w:p>
    <w:p w14:paraId="233166E6">
      <w:pPr>
        <w:spacing w:line="360" w:lineRule="exact"/>
        <w:jc w:val="left"/>
        <w:rPr>
          <w:rFonts w:hint="eastAsia" w:ascii="宋体" w:hAnsi="宋体" w:cs="宋体"/>
          <w:szCs w:val="21"/>
          <w:highlight w:val="none"/>
        </w:rPr>
      </w:pPr>
      <w:r>
        <w:rPr>
          <w:rFonts w:hint="eastAsia" w:ascii="宋体" w:hAnsi="宋体" w:cs="宋体"/>
          <w:szCs w:val="21"/>
          <w:highlight w:val="none"/>
        </w:rPr>
        <w:t>2.1投标截止时间前（不含投标截止时间的当月）已依法缴纳税收的投标人，提供投标截止时间前六个月（不含投标截止时间的当月）中任一月份的税收凭据复印件。</w:t>
      </w:r>
    </w:p>
    <w:p w14:paraId="323A46E8">
      <w:pPr>
        <w:spacing w:line="360" w:lineRule="exact"/>
        <w:jc w:val="left"/>
        <w:rPr>
          <w:rFonts w:hint="eastAsia" w:ascii="宋体" w:hAnsi="宋体" w:cs="宋体"/>
          <w:szCs w:val="21"/>
          <w:highlight w:val="none"/>
        </w:rPr>
      </w:pPr>
      <w:r>
        <w:rPr>
          <w:rFonts w:hint="eastAsia" w:ascii="宋体" w:hAnsi="宋体" w:cs="宋体"/>
          <w:szCs w:val="21"/>
          <w:highlight w:val="none"/>
        </w:rPr>
        <w:t>2.2投标截止时间的当月成立的投标人，视同满足本项资格条件要求。</w:t>
      </w:r>
    </w:p>
    <w:p w14:paraId="308954CB">
      <w:pPr>
        <w:spacing w:line="360" w:lineRule="exact"/>
        <w:jc w:val="left"/>
        <w:rPr>
          <w:rFonts w:hint="eastAsia" w:ascii="宋体" w:hAnsi="宋体" w:cs="宋体"/>
          <w:szCs w:val="21"/>
          <w:highlight w:val="none"/>
        </w:rPr>
      </w:pPr>
      <w:r>
        <w:rPr>
          <w:rFonts w:hint="eastAsia" w:ascii="宋体" w:hAnsi="宋体" w:cs="宋体"/>
          <w:szCs w:val="21"/>
          <w:highlight w:val="none"/>
        </w:rPr>
        <w:t>2.3若为依法免税范围的投标人，提供依法免税证明材料的，视同满足本项资格条件要求。</w:t>
      </w:r>
    </w:p>
    <w:p w14:paraId="2D622ED0">
      <w:pPr>
        <w:spacing w:line="360" w:lineRule="exact"/>
        <w:jc w:val="left"/>
        <w:rPr>
          <w:rFonts w:hint="eastAsia" w:ascii="宋体" w:hAnsi="宋体" w:cs="宋体"/>
          <w:szCs w:val="21"/>
          <w:highlight w:val="none"/>
        </w:rPr>
      </w:pPr>
      <w:r>
        <w:rPr>
          <w:rFonts w:hint="eastAsia" w:ascii="宋体" w:hAnsi="宋体" w:cs="宋体"/>
          <w:szCs w:val="21"/>
          <w:highlight w:val="none"/>
          <w:lang w:eastAsia="zh-CN"/>
        </w:rPr>
        <w:t>3.</w:t>
      </w:r>
      <w:r>
        <w:rPr>
          <w:rFonts w:hint="eastAsia" w:ascii="宋体" w:hAnsi="宋体" w:cs="宋体"/>
          <w:b/>
          <w:szCs w:val="21"/>
          <w:highlight w:val="none"/>
        </w:rPr>
        <w:t>“依法缴纳税收证明材料”</w:t>
      </w:r>
      <w:r>
        <w:rPr>
          <w:rFonts w:hint="eastAsia" w:ascii="宋体" w:hAnsi="宋体" w:cs="宋体"/>
          <w:szCs w:val="21"/>
          <w:highlight w:val="none"/>
        </w:rPr>
        <w:t>有欠缴记录的，视为</w:t>
      </w:r>
      <w:r>
        <w:rPr>
          <w:rFonts w:hint="eastAsia" w:ascii="宋体" w:hAnsi="宋体" w:cs="宋体"/>
          <w:b/>
          <w:szCs w:val="21"/>
          <w:highlight w:val="none"/>
        </w:rPr>
        <w:t>未依法缴纳税收。</w:t>
      </w:r>
    </w:p>
    <w:p w14:paraId="2349B868">
      <w:pPr>
        <w:spacing w:line="360" w:lineRule="exact"/>
        <w:jc w:val="left"/>
        <w:rPr>
          <w:rFonts w:hint="eastAsia" w:ascii="宋体" w:hAnsi="宋体" w:cs="宋体"/>
          <w:szCs w:val="21"/>
          <w:highlight w:val="none"/>
        </w:rPr>
      </w:pPr>
      <w:r>
        <w:rPr>
          <w:rFonts w:hint="eastAsia" w:ascii="宋体" w:hAnsi="宋体" w:cs="宋体"/>
          <w:szCs w:val="21"/>
          <w:highlight w:val="none"/>
          <w:lang w:eastAsia="zh-CN"/>
        </w:rPr>
        <w:t>4.</w:t>
      </w:r>
      <w:r>
        <w:rPr>
          <w:rFonts w:hint="eastAsia" w:ascii="宋体" w:hAnsi="宋体" w:cs="宋体"/>
          <w:szCs w:val="21"/>
          <w:highlight w:val="none"/>
        </w:rPr>
        <w:t>投标人提供的相应证明材料复印件均应符合：内容完整、清晰、整洁，并由投标人加盖其单位公章。</w:t>
      </w:r>
    </w:p>
    <w:p w14:paraId="34FCBC89">
      <w:pPr>
        <w:pStyle w:val="10"/>
        <w:rPr>
          <w:rFonts w:hint="eastAsia" w:ascii="宋体" w:hAnsi="宋体" w:cs="宋体"/>
          <w:highlight w:val="none"/>
        </w:rPr>
      </w:pPr>
    </w:p>
    <w:p w14:paraId="70ADDCA1">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1CA09D5D">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01FCB150">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1DEE3133">
      <w:pPr>
        <w:pStyle w:val="10"/>
        <w:rPr>
          <w:rFonts w:hint="eastAsia" w:ascii="宋体" w:hAnsi="宋体" w:cs="宋体"/>
          <w:highlight w:val="none"/>
        </w:rPr>
      </w:pPr>
      <w:r>
        <w:rPr>
          <w:rFonts w:hint="eastAsia" w:ascii="宋体" w:hAnsi="宋体" w:cs="宋体"/>
          <w:sz w:val="17"/>
          <w:szCs w:val="17"/>
          <w:highlight w:val="none"/>
        </w:rPr>
        <w:t> </w:t>
      </w:r>
    </w:p>
    <w:p w14:paraId="5D7A9D7C">
      <w:pPr>
        <w:pStyle w:val="10"/>
        <w:jc w:val="center"/>
        <w:rPr>
          <w:rFonts w:hint="eastAsia" w:ascii="宋体" w:hAnsi="宋体" w:cs="宋体"/>
          <w:highlight w:val="none"/>
        </w:rPr>
      </w:pPr>
      <w:r>
        <w:rPr>
          <w:rStyle w:val="34"/>
          <w:rFonts w:hint="eastAsia" w:ascii="宋体" w:hAnsi="宋体" w:cs="宋体"/>
          <w:sz w:val="17"/>
          <w:szCs w:val="17"/>
          <w:highlight w:val="none"/>
        </w:rPr>
        <w:br w:type="page"/>
      </w:r>
      <w:r>
        <w:rPr>
          <w:rStyle w:val="34"/>
          <w:rFonts w:hint="eastAsia" w:ascii="宋体" w:hAnsi="宋体" w:cs="宋体"/>
          <w:highlight w:val="none"/>
        </w:rPr>
        <w:t>二-5依法缴纳社会保障资金证明材料</w:t>
      </w:r>
    </w:p>
    <w:p w14:paraId="1D8D32D2">
      <w:pPr>
        <w:pStyle w:val="10"/>
        <w:rPr>
          <w:rFonts w:hint="eastAsia" w:ascii="宋体" w:hAnsi="宋体" w:cs="宋体"/>
          <w:highlight w:val="none"/>
        </w:rPr>
      </w:pPr>
      <w:r>
        <w:rPr>
          <w:rFonts w:hint="eastAsia" w:ascii="宋体" w:hAnsi="宋体" w:cs="宋体"/>
          <w:highlight w:val="none"/>
        </w:rPr>
        <w:t>致：</w:t>
      </w:r>
      <w:r>
        <w:rPr>
          <w:rFonts w:hint="eastAsia" w:ascii="宋体" w:hAnsi="宋体" w:cs="宋体"/>
          <w:highlight w:val="none"/>
          <w:u w:val="single"/>
        </w:rPr>
        <w:t>                     </w:t>
      </w:r>
    </w:p>
    <w:p w14:paraId="539F79EA">
      <w:pPr>
        <w:pStyle w:val="10"/>
        <w:ind w:firstLine="330"/>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依法缴纳社会保障资金的投标人</w:t>
      </w:r>
    </w:p>
    <w:p w14:paraId="2D55FBEC">
      <w:pPr>
        <w:pStyle w:val="10"/>
        <w:ind w:firstLine="330"/>
        <w:rPr>
          <w:rFonts w:hint="eastAsia" w:ascii="宋体" w:hAnsi="宋体" w:cs="宋体"/>
          <w:highlight w:val="none"/>
        </w:rPr>
      </w:pPr>
      <w:r>
        <w:rPr>
          <w:rFonts w:hint="eastAsia" w:ascii="宋体" w:hAnsi="宋体" w:cs="宋体"/>
          <w:highlight w:val="none"/>
        </w:rPr>
        <w:t>（ ）现附上自</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日至</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日我方缴纳的社会保险凭据（包括但不限于：税务机关/社会保障资金管理机关的专用收据或社会保险缴纳清单，或社会保险的银行缴款收讫凭证）复印件，上述证明材料真实有效，否则我方负全部责任。</w:t>
      </w:r>
    </w:p>
    <w:p w14:paraId="3F257929">
      <w:pPr>
        <w:pStyle w:val="10"/>
        <w:ind w:firstLine="330"/>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依法不需要缴纳社会保障资金的投标人</w:t>
      </w:r>
    </w:p>
    <w:p w14:paraId="3BF7399B">
      <w:pPr>
        <w:pStyle w:val="10"/>
        <w:ind w:firstLine="330"/>
        <w:rPr>
          <w:rFonts w:hint="eastAsia" w:ascii="宋体" w:hAnsi="宋体" w:cs="宋体"/>
          <w:highlight w:val="none"/>
        </w:rPr>
      </w:pPr>
      <w:r>
        <w:rPr>
          <w:rFonts w:hint="eastAsia" w:ascii="宋体" w:hAnsi="宋体" w:cs="宋体"/>
          <w:highlight w:val="none"/>
          <w:lang w:eastAsia="zh-CN"/>
        </w:rPr>
        <w:t>（一</w:t>
      </w:r>
      <w:r>
        <w:rPr>
          <w:rFonts w:hint="eastAsia" w:ascii="宋体" w:hAnsi="宋体" w:cs="宋体"/>
          <w:highlight w:val="none"/>
        </w:rPr>
        <w:t xml:space="preserve"> ）现附上我方依法不需要缴纳社会保障资金证明材料复印件，上述证明材料真实有效，否则我方负全部责任。</w:t>
      </w:r>
    </w:p>
    <w:p w14:paraId="0A4FF278">
      <w:pPr>
        <w:spacing w:line="360" w:lineRule="exact"/>
        <w:jc w:val="left"/>
        <w:rPr>
          <w:rFonts w:hint="eastAsia" w:ascii="宋体" w:hAnsi="宋体" w:cs="宋体"/>
          <w:szCs w:val="21"/>
          <w:highlight w:val="none"/>
        </w:rPr>
      </w:pPr>
      <w:r>
        <w:rPr>
          <w:rFonts w:hint="eastAsia" w:ascii="宋体" w:hAnsi="宋体" w:cs="宋体"/>
          <w:szCs w:val="21"/>
          <w:highlight w:val="none"/>
        </w:rPr>
        <w:t>注意：</w:t>
      </w:r>
    </w:p>
    <w:p w14:paraId="2FF763C6">
      <w:pPr>
        <w:spacing w:line="360" w:lineRule="exact"/>
        <w:jc w:val="left"/>
        <w:rPr>
          <w:rFonts w:hint="eastAsia" w:ascii="宋体" w:hAnsi="宋体" w:cs="宋体"/>
          <w:szCs w:val="21"/>
          <w:highlight w:val="none"/>
        </w:rPr>
      </w:pPr>
      <w:r>
        <w:rPr>
          <w:rFonts w:hint="eastAsia" w:ascii="宋体" w:hAnsi="宋体" w:cs="宋体"/>
          <w:szCs w:val="21"/>
          <w:highlight w:val="none"/>
          <w:lang w:eastAsia="zh-CN"/>
        </w:rPr>
        <w:t>1.</w:t>
      </w:r>
      <w:r>
        <w:rPr>
          <w:rFonts w:hint="eastAsia" w:ascii="宋体" w:hAnsi="宋体" w:cs="宋体"/>
          <w:szCs w:val="21"/>
          <w:highlight w:val="none"/>
        </w:rPr>
        <w:t>请投标人按照实际情况编制填写，在相应的（）中打“√”，并按照本格式的要求提供相应证明材料的复印件。</w:t>
      </w:r>
    </w:p>
    <w:p w14:paraId="5AF65C4B">
      <w:pPr>
        <w:spacing w:line="360" w:lineRule="exact"/>
        <w:jc w:val="left"/>
        <w:rPr>
          <w:rFonts w:hint="eastAsia" w:ascii="宋体" w:hAnsi="宋体" w:cs="宋体"/>
          <w:szCs w:val="21"/>
          <w:highlight w:val="none"/>
        </w:rPr>
      </w:pPr>
      <w:r>
        <w:rPr>
          <w:rFonts w:hint="eastAsia" w:ascii="宋体" w:hAnsi="宋体" w:cs="宋体"/>
          <w:szCs w:val="21"/>
          <w:highlight w:val="none"/>
          <w:lang w:eastAsia="zh-CN"/>
        </w:rPr>
        <w:t>2.</w:t>
      </w:r>
      <w:r>
        <w:rPr>
          <w:rFonts w:hint="eastAsia" w:ascii="宋体" w:hAnsi="宋体" w:cs="宋体"/>
          <w:szCs w:val="21"/>
          <w:highlight w:val="none"/>
        </w:rPr>
        <w:t>投标人提供的社会保险凭据复印件应符合下列规定：</w:t>
      </w:r>
    </w:p>
    <w:p w14:paraId="0F6D448C">
      <w:pPr>
        <w:spacing w:line="360" w:lineRule="exact"/>
        <w:jc w:val="left"/>
        <w:rPr>
          <w:rFonts w:hint="eastAsia" w:ascii="宋体" w:hAnsi="宋体" w:cs="宋体"/>
          <w:szCs w:val="21"/>
          <w:highlight w:val="none"/>
        </w:rPr>
      </w:pPr>
      <w:r>
        <w:rPr>
          <w:rFonts w:hint="eastAsia" w:ascii="宋体" w:hAnsi="宋体" w:cs="宋体"/>
          <w:szCs w:val="21"/>
          <w:highlight w:val="none"/>
        </w:rPr>
        <w:t>2.1投标截止时间前（不含投标截止时间的当月）已依法缴纳社会保障资金的投标人，提供投标截止时间前六个月（不含投标截止时间的当月）中任一月份的社会保险凭据复印件。</w:t>
      </w:r>
    </w:p>
    <w:p w14:paraId="446FDF29">
      <w:pPr>
        <w:spacing w:line="360" w:lineRule="exact"/>
        <w:jc w:val="left"/>
        <w:rPr>
          <w:rFonts w:hint="eastAsia" w:ascii="宋体" w:hAnsi="宋体" w:cs="宋体"/>
          <w:szCs w:val="21"/>
          <w:highlight w:val="none"/>
        </w:rPr>
      </w:pPr>
      <w:r>
        <w:rPr>
          <w:rFonts w:hint="eastAsia" w:ascii="宋体" w:hAnsi="宋体" w:cs="宋体"/>
          <w:szCs w:val="21"/>
          <w:highlight w:val="none"/>
        </w:rPr>
        <w:t>2.2投标截止时间的当月成立的投标人，视同满足本项资格条件要求。</w:t>
      </w:r>
    </w:p>
    <w:p w14:paraId="1778210F">
      <w:pPr>
        <w:spacing w:line="360" w:lineRule="exact"/>
        <w:jc w:val="left"/>
        <w:rPr>
          <w:rFonts w:hint="eastAsia" w:ascii="宋体" w:hAnsi="宋体" w:cs="宋体"/>
          <w:szCs w:val="21"/>
          <w:highlight w:val="none"/>
        </w:rPr>
      </w:pPr>
      <w:r>
        <w:rPr>
          <w:rFonts w:hint="eastAsia" w:ascii="宋体" w:hAnsi="宋体" w:cs="宋体"/>
          <w:szCs w:val="21"/>
          <w:highlight w:val="none"/>
        </w:rPr>
        <w:t>2.3若为依法不需要缴纳或暂缓缴纳社会保障资金的投标人，提供依法不需要缴纳或暂缓缴纳社会保障资金证明材料的，视同满足本项资格条件要求。</w:t>
      </w:r>
    </w:p>
    <w:p w14:paraId="7B620BC8">
      <w:pPr>
        <w:spacing w:line="360" w:lineRule="exact"/>
        <w:jc w:val="left"/>
        <w:rPr>
          <w:rFonts w:hint="eastAsia" w:ascii="宋体" w:hAnsi="宋体" w:cs="宋体"/>
          <w:szCs w:val="21"/>
          <w:highlight w:val="none"/>
        </w:rPr>
      </w:pPr>
      <w:r>
        <w:rPr>
          <w:rFonts w:hint="eastAsia" w:ascii="宋体" w:hAnsi="宋体" w:cs="宋体"/>
          <w:szCs w:val="21"/>
          <w:highlight w:val="none"/>
          <w:lang w:eastAsia="zh-CN"/>
        </w:rPr>
        <w:t>3.</w:t>
      </w:r>
      <w:r>
        <w:rPr>
          <w:rFonts w:hint="eastAsia" w:ascii="宋体" w:hAnsi="宋体" w:cs="宋体"/>
          <w:b/>
          <w:szCs w:val="21"/>
          <w:highlight w:val="none"/>
        </w:rPr>
        <w:t>“依法缴纳社会保障资金证明材料”</w:t>
      </w:r>
      <w:r>
        <w:rPr>
          <w:rFonts w:hint="eastAsia" w:ascii="宋体" w:hAnsi="宋体" w:cs="宋体"/>
          <w:szCs w:val="21"/>
          <w:highlight w:val="none"/>
        </w:rPr>
        <w:t>有欠缴记录的，视为</w:t>
      </w:r>
      <w:r>
        <w:rPr>
          <w:rFonts w:hint="eastAsia" w:ascii="宋体" w:hAnsi="宋体" w:cs="宋体"/>
          <w:b/>
          <w:szCs w:val="21"/>
          <w:highlight w:val="none"/>
        </w:rPr>
        <w:t>未依法缴纳社会保障资金。</w:t>
      </w:r>
    </w:p>
    <w:p w14:paraId="4E1826D0">
      <w:pPr>
        <w:spacing w:line="360" w:lineRule="exact"/>
        <w:jc w:val="left"/>
        <w:rPr>
          <w:rFonts w:hint="eastAsia" w:ascii="宋体" w:hAnsi="宋体" w:cs="宋体"/>
          <w:szCs w:val="21"/>
          <w:highlight w:val="none"/>
        </w:rPr>
      </w:pPr>
      <w:r>
        <w:rPr>
          <w:rFonts w:hint="eastAsia" w:ascii="宋体" w:hAnsi="宋体" w:cs="宋体"/>
          <w:szCs w:val="21"/>
          <w:highlight w:val="none"/>
          <w:lang w:eastAsia="zh-CN"/>
        </w:rPr>
        <w:t>4.</w:t>
      </w:r>
      <w:r>
        <w:rPr>
          <w:rFonts w:hint="eastAsia" w:ascii="宋体" w:hAnsi="宋体" w:cs="宋体"/>
          <w:szCs w:val="21"/>
          <w:highlight w:val="none"/>
        </w:rPr>
        <w:t>投标人提供的相应证明材料复印件均应符合：内容完整、清晰、整洁，并由投标人加盖其单位公章。</w:t>
      </w:r>
    </w:p>
    <w:p w14:paraId="5A8383A6">
      <w:pPr>
        <w:pStyle w:val="10"/>
        <w:rPr>
          <w:rFonts w:hint="eastAsia" w:ascii="宋体" w:hAnsi="宋体" w:cs="宋体"/>
          <w:highlight w:val="none"/>
        </w:rPr>
      </w:pPr>
    </w:p>
    <w:p w14:paraId="4177BC3B">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7D6A30F6">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49EBB168">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500EF333">
      <w:pPr>
        <w:pStyle w:val="10"/>
        <w:jc w:val="center"/>
        <w:rPr>
          <w:rFonts w:hint="eastAsia" w:ascii="宋体" w:hAnsi="宋体" w:cs="宋体"/>
          <w:highlight w:val="none"/>
        </w:rPr>
      </w:pPr>
      <w:r>
        <w:rPr>
          <w:rFonts w:hint="eastAsia" w:ascii="宋体" w:hAnsi="宋体" w:cs="宋体"/>
          <w:sz w:val="17"/>
          <w:szCs w:val="17"/>
          <w:highlight w:val="none"/>
        </w:rPr>
        <w:br w:type="page"/>
      </w:r>
      <w:r>
        <w:rPr>
          <w:rFonts w:hint="eastAsia" w:ascii="宋体" w:hAnsi="宋体" w:cs="宋体"/>
          <w:highlight w:val="none"/>
        </w:rPr>
        <w:t>二</w:t>
      </w:r>
      <w:r>
        <w:rPr>
          <w:rStyle w:val="34"/>
          <w:rFonts w:hint="eastAsia" w:ascii="宋体" w:hAnsi="宋体" w:cs="宋体"/>
          <w:highlight w:val="none"/>
        </w:rPr>
        <w:t>-6具备履行合同所必需设备和专业技术能力的声明函</w:t>
      </w:r>
    </w:p>
    <w:p w14:paraId="1B73E4AF">
      <w:pPr>
        <w:pStyle w:val="10"/>
        <w:rPr>
          <w:rFonts w:hint="eastAsia" w:ascii="宋体" w:hAnsi="宋体" w:cs="宋体"/>
          <w:highlight w:val="none"/>
        </w:rPr>
      </w:pPr>
      <w:r>
        <w:rPr>
          <w:rFonts w:hint="eastAsia" w:ascii="宋体" w:hAnsi="宋体" w:cs="宋体"/>
          <w:highlight w:val="none"/>
        </w:rPr>
        <w:t>致：</w:t>
      </w:r>
      <w:r>
        <w:rPr>
          <w:rFonts w:hint="eastAsia" w:ascii="宋体" w:hAnsi="宋体" w:cs="宋体"/>
          <w:highlight w:val="none"/>
          <w:u w:val="single"/>
        </w:rPr>
        <w:t>                     </w:t>
      </w:r>
    </w:p>
    <w:p w14:paraId="0CC03BF6">
      <w:pPr>
        <w:pStyle w:val="10"/>
        <w:ind w:firstLine="330"/>
        <w:rPr>
          <w:rFonts w:hint="eastAsia" w:ascii="宋体" w:hAnsi="宋体" w:cs="宋体"/>
          <w:highlight w:val="none"/>
        </w:rPr>
      </w:pPr>
      <w:r>
        <w:rPr>
          <w:rFonts w:hint="eastAsia" w:ascii="宋体" w:hAnsi="宋体" w:cs="宋体"/>
          <w:highlight w:val="none"/>
        </w:rPr>
        <w:t>我方具备履行合同所必需的设备和专业技术能力，否则产生不利后果由我方承担责任。</w:t>
      </w:r>
    </w:p>
    <w:p w14:paraId="5C7464EC">
      <w:pPr>
        <w:pStyle w:val="10"/>
        <w:ind w:firstLine="330"/>
        <w:rPr>
          <w:rFonts w:hint="eastAsia" w:ascii="宋体" w:hAnsi="宋体" w:cs="宋体"/>
          <w:highlight w:val="none"/>
        </w:rPr>
      </w:pPr>
      <w:r>
        <w:rPr>
          <w:rFonts w:hint="eastAsia" w:ascii="宋体" w:hAnsi="宋体" w:cs="宋体"/>
          <w:highlight w:val="none"/>
        </w:rPr>
        <w:t>特此声明。</w:t>
      </w:r>
    </w:p>
    <w:p w14:paraId="4CA1DC7B">
      <w:pPr>
        <w:pStyle w:val="10"/>
        <w:rPr>
          <w:rFonts w:hint="eastAsia" w:ascii="宋体" w:hAnsi="宋体" w:cs="宋体"/>
          <w:highlight w:val="none"/>
        </w:rPr>
      </w:pPr>
      <w:r>
        <w:rPr>
          <w:rFonts w:hint="eastAsia" w:ascii="宋体" w:hAnsi="宋体" w:cs="宋体"/>
          <w:highlight w:val="none"/>
        </w:rPr>
        <w:t> </w:t>
      </w:r>
    </w:p>
    <w:p w14:paraId="4AD92103">
      <w:pPr>
        <w:spacing w:line="360" w:lineRule="exact"/>
        <w:jc w:val="left"/>
        <w:rPr>
          <w:rFonts w:hint="eastAsia" w:ascii="宋体" w:hAnsi="宋体" w:cs="宋体"/>
          <w:szCs w:val="21"/>
          <w:highlight w:val="none"/>
        </w:rPr>
      </w:pPr>
      <w:r>
        <w:rPr>
          <w:rFonts w:hint="eastAsia" w:ascii="宋体" w:hAnsi="宋体" w:cs="宋体"/>
          <w:szCs w:val="21"/>
          <w:highlight w:val="none"/>
        </w:rPr>
        <w:t>注意：</w:t>
      </w:r>
    </w:p>
    <w:p w14:paraId="5F769168">
      <w:pPr>
        <w:spacing w:line="360" w:lineRule="exact"/>
        <w:jc w:val="left"/>
        <w:rPr>
          <w:rFonts w:hint="eastAsia" w:ascii="宋体" w:hAnsi="宋体" w:cs="宋体"/>
          <w:szCs w:val="21"/>
          <w:highlight w:val="none"/>
        </w:rPr>
      </w:pPr>
      <w:r>
        <w:rPr>
          <w:rFonts w:hint="eastAsia" w:ascii="宋体" w:hAnsi="宋体" w:cs="宋体"/>
          <w:szCs w:val="21"/>
          <w:highlight w:val="none"/>
          <w:lang w:eastAsia="zh-CN"/>
        </w:rPr>
        <w:t>1.</w:t>
      </w:r>
      <w:r>
        <w:rPr>
          <w:rFonts w:hint="eastAsia" w:ascii="宋体" w:hAnsi="宋体" w:cs="宋体"/>
          <w:szCs w:val="21"/>
          <w:highlight w:val="none"/>
        </w:rPr>
        <w:t>请投标人根据实际情况如实声明，否则</w:t>
      </w:r>
      <w:r>
        <w:rPr>
          <w:rFonts w:hint="eastAsia" w:ascii="宋体" w:hAnsi="宋体" w:cs="宋体"/>
          <w:b/>
          <w:szCs w:val="21"/>
          <w:highlight w:val="none"/>
        </w:rPr>
        <w:t>视为提供虚假材料。</w:t>
      </w:r>
    </w:p>
    <w:p w14:paraId="24CC9AB1">
      <w:pPr>
        <w:pStyle w:val="10"/>
        <w:rPr>
          <w:rFonts w:hint="eastAsia" w:ascii="宋体" w:hAnsi="宋体" w:cs="宋体"/>
          <w:highlight w:val="none"/>
        </w:rPr>
      </w:pPr>
      <w:r>
        <w:rPr>
          <w:rFonts w:hint="eastAsia" w:ascii="宋体" w:hAnsi="宋体" w:cs="宋体"/>
          <w:highlight w:val="none"/>
        </w:rPr>
        <w:t> </w:t>
      </w:r>
    </w:p>
    <w:p w14:paraId="2A7C41F1">
      <w:pPr>
        <w:pStyle w:val="10"/>
        <w:rPr>
          <w:rFonts w:hint="eastAsia" w:ascii="宋体" w:hAnsi="宋体" w:cs="宋体"/>
          <w:highlight w:val="none"/>
        </w:rPr>
      </w:pPr>
      <w:r>
        <w:rPr>
          <w:rFonts w:hint="eastAsia" w:ascii="宋体" w:hAnsi="宋体" w:cs="宋体"/>
          <w:highlight w:val="none"/>
        </w:rPr>
        <w:t> </w:t>
      </w:r>
    </w:p>
    <w:p w14:paraId="014D5651">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2039A92E">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122C4912">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7E4D4C02">
      <w:pPr>
        <w:pStyle w:val="10"/>
        <w:rPr>
          <w:rFonts w:hint="eastAsia" w:ascii="宋体" w:hAnsi="宋体" w:cs="宋体"/>
          <w:highlight w:val="none"/>
        </w:rPr>
      </w:pPr>
      <w:r>
        <w:rPr>
          <w:rFonts w:hint="eastAsia" w:ascii="宋体" w:hAnsi="宋体" w:cs="宋体"/>
          <w:highlight w:val="none"/>
        </w:rPr>
        <w:t> </w:t>
      </w:r>
    </w:p>
    <w:p w14:paraId="1B3E5168">
      <w:pPr>
        <w:pStyle w:val="10"/>
        <w:jc w:val="center"/>
        <w:rPr>
          <w:rFonts w:hint="eastAsia" w:ascii="宋体" w:hAnsi="宋体" w:cs="宋体"/>
          <w:highlight w:val="none"/>
        </w:rPr>
      </w:pPr>
    </w:p>
    <w:p w14:paraId="0DE77E28">
      <w:pPr>
        <w:pStyle w:val="11"/>
        <w:numPr>
          <w:ilvl w:val="1"/>
          <w:numId w:val="0"/>
        </w:numPr>
        <w:outlineLvl w:val="9"/>
        <w:rPr>
          <w:rFonts w:ascii="宋体" w:hAnsi="宋体" w:eastAsia="宋体"/>
          <w:highlight w:val="none"/>
        </w:rPr>
      </w:pPr>
    </w:p>
    <w:p w14:paraId="69BDB5FA">
      <w:pPr>
        <w:pStyle w:val="10"/>
        <w:jc w:val="center"/>
        <w:rPr>
          <w:rFonts w:hint="eastAsia" w:ascii="宋体" w:hAnsi="宋体" w:cs="宋体"/>
          <w:highlight w:val="none"/>
        </w:rPr>
      </w:pPr>
      <w:r>
        <w:rPr>
          <w:rFonts w:hint="eastAsia" w:ascii="宋体" w:hAnsi="宋体" w:cs="宋体"/>
          <w:highlight w:val="none"/>
        </w:rPr>
        <w:br w:type="page"/>
      </w:r>
      <w:r>
        <w:rPr>
          <w:rFonts w:hint="eastAsia" w:ascii="宋体" w:hAnsi="宋体" w:cs="宋体"/>
          <w:highlight w:val="none"/>
        </w:rPr>
        <w:t>二</w:t>
      </w:r>
      <w:r>
        <w:rPr>
          <w:rStyle w:val="34"/>
          <w:rFonts w:hint="eastAsia" w:ascii="宋体" w:hAnsi="宋体" w:cs="宋体"/>
          <w:highlight w:val="none"/>
        </w:rPr>
        <w:t>-7参加采购活动前三年内在经营活动中没有重大违法记录书面声明</w:t>
      </w:r>
    </w:p>
    <w:p w14:paraId="2705D2DD">
      <w:pPr>
        <w:pStyle w:val="10"/>
        <w:rPr>
          <w:rFonts w:hint="eastAsia" w:ascii="宋体" w:hAnsi="宋体" w:cs="宋体"/>
          <w:highlight w:val="none"/>
        </w:rPr>
      </w:pPr>
      <w:r>
        <w:rPr>
          <w:rFonts w:hint="eastAsia" w:ascii="宋体" w:hAnsi="宋体" w:cs="宋体"/>
          <w:highlight w:val="none"/>
        </w:rPr>
        <w:t> </w:t>
      </w:r>
    </w:p>
    <w:p w14:paraId="21716075">
      <w:pPr>
        <w:pStyle w:val="10"/>
        <w:rPr>
          <w:rFonts w:hint="eastAsia" w:ascii="宋体" w:hAnsi="宋体" w:cs="宋体"/>
          <w:highlight w:val="none"/>
        </w:rPr>
      </w:pPr>
      <w:r>
        <w:rPr>
          <w:rFonts w:hint="eastAsia" w:ascii="宋体" w:hAnsi="宋体" w:cs="宋体"/>
          <w:highlight w:val="none"/>
        </w:rPr>
        <w:t>致：</w:t>
      </w:r>
      <w:r>
        <w:rPr>
          <w:rFonts w:hint="eastAsia" w:ascii="宋体" w:hAnsi="宋体" w:cs="宋体"/>
          <w:highlight w:val="none"/>
          <w:u w:val="single"/>
        </w:rPr>
        <w:t>                     </w:t>
      </w:r>
    </w:p>
    <w:p w14:paraId="72BBA54B">
      <w:pPr>
        <w:pStyle w:val="10"/>
        <w:ind w:firstLine="330"/>
        <w:rPr>
          <w:rFonts w:hint="eastAsia" w:ascii="宋体" w:hAnsi="宋体" w:cs="宋体"/>
          <w:highlight w:val="none"/>
        </w:rPr>
      </w:pPr>
      <w:r>
        <w:rPr>
          <w:rFonts w:hint="eastAsia" w:ascii="宋体" w:hAnsi="宋体" w:cs="宋体"/>
          <w:highlight w:val="none"/>
        </w:rPr>
        <w:t>参加采购活动前三年内，我方在经营活动中没有重大违法记录，也无行贿犯罪记录，否则产生不利后果由我方承担责任。</w:t>
      </w:r>
    </w:p>
    <w:p w14:paraId="59B3685A">
      <w:pPr>
        <w:pStyle w:val="10"/>
        <w:ind w:firstLine="330"/>
        <w:rPr>
          <w:rFonts w:hint="eastAsia" w:ascii="宋体" w:hAnsi="宋体" w:cs="宋体"/>
          <w:highlight w:val="none"/>
        </w:rPr>
      </w:pPr>
      <w:r>
        <w:rPr>
          <w:rFonts w:hint="eastAsia" w:ascii="宋体" w:hAnsi="宋体" w:cs="宋体"/>
          <w:highlight w:val="none"/>
        </w:rPr>
        <w:t>特此声明。</w:t>
      </w:r>
    </w:p>
    <w:p w14:paraId="2E5EFFF5">
      <w:pPr>
        <w:pStyle w:val="10"/>
        <w:rPr>
          <w:rFonts w:hint="eastAsia" w:ascii="宋体" w:hAnsi="宋体" w:cs="宋体"/>
          <w:highlight w:val="none"/>
        </w:rPr>
      </w:pPr>
      <w:r>
        <w:rPr>
          <w:rFonts w:hint="eastAsia" w:ascii="宋体" w:hAnsi="宋体" w:cs="宋体"/>
          <w:highlight w:val="none"/>
        </w:rPr>
        <w:t> </w:t>
      </w:r>
    </w:p>
    <w:p w14:paraId="0461F523">
      <w:pPr>
        <w:spacing w:line="360" w:lineRule="exact"/>
        <w:jc w:val="left"/>
        <w:rPr>
          <w:rFonts w:hint="eastAsia" w:ascii="宋体" w:hAnsi="宋体" w:cs="宋体"/>
          <w:szCs w:val="21"/>
          <w:highlight w:val="none"/>
        </w:rPr>
      </w:pPr>
      <w:r>
        <w:rPr>
          <w:rFonts w:hint="eastAsia" w:ascii="宋体" w:hAnsi="宋体" w:cs="宋体"/>
          <w:szCs w:val="21"/>
          <w:highlight w:val="none"/>
        </w:rPr>
        <w:t>注意：</w:t>
      </w:r>
    </w:p>
    <w:p w14:paraId="559E69DF">
      <w:pPr>
        <w:spacing w:line="360" w:lineRule="exact"/>
        <w:jc w:val="left"/>
        <w:rPr>
          <w:rFonts w:hint="eastAsia" w:ascii="宋体" w:hAnsi="宋体" w:cs="宋体"/>
          <w:szCs w:val="21"/>
          <w:highlight w:val="none"/>
        </w:rPr>
      </w:pPr>
      <w:r>
        <w:rPr>
          <w:rFonts w:hint="eastAsia" w:ascii="宋体" w:hAnsi="宋体" w:cs="宋体"/>
          <w:szCs w:val="21"/>
          <w:highlight w:val="none"/>
          <w:lang w:eastAsia="zh-CN"/>
        </w:rPr>
        <w:t>1.</w:t>
      </w:r>
      <w:r>
        <w:rPr>
          <w:rFonts w:hint="eastAsia" w:ascii="宋体" w:hAnsi="宋体" w:cs="宋体"/>
          <w:szCs w:val="21"/>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E18E212">
      <w:pPr>
        <w:spacing w:line="360" w:lineRule="exact"/>
        <w:jc w:val="left"/>
        <w:rPr>
          <w:rFonts w:hint="eastAsia" w:ascii="宋体" w:hAnsi="宋体" w:cs="宋体"/>
          <w:szCs w:val="21"/>
          <w:highlight w:val="none"/>
        </w:rPr>
      </w:pPr>
      <w:r>
        <w:rPr>
          <w:rFonts w:hint="eastAsia" w:ascii="宋体" w:hAnsi="宋体" w:cs="宋体"/>
          <w:szCs w:val="21"/>
          <w:highlight w:val="none"/>
          <w:lang w:eastAsia="zh-CN"/>
        </w:rPr>
        <w:t>2.</w:t>
      </w:r>
      <w:r>
        <w:rPr>
          <w:rFonts w:hint="eastAsia" w:ascii="宋体" w:hAnsi="宋体" w:cs="宋体"/>
          <w:szCs w:val="21"/>
          <w:highlight w:val="none"/>
        </w:rPr>
        <w:t>请投标人根据实际情况如实声明，否则</w:t>
      </w:r>
      <w:r>
        <w:rPr>
          <w:rFonts w:hint="eastAsia" w:ascii="宋体" w:hAnsi="宋体" w:cs="宋体"/>
          <w:b/>
          <w:szCs w:val="21"/>
          <w:highlight w:val="none"/>
        </w:rPr>
        <w:t>视为提供虚假材料。</w:t>
      </w:r>
    </w:p>
    <w:p w14:paraId="566446F7">
      <w:pPr>
        <w:pStyle w:val="10"/>
        <w:rPr>
          <w:rFonts w:hint="eastAsia" w:ascii="宋体" w:hAnsi="宋体" w:cs="宋体"/>
          <w:highlight w:val="none"/>
        </w:rPr>
      </w:pPr>
      <w:r>
        <w:rPr>
          <w:rFonts w:hint="eastAsia" w:ascii="宋体" w:hAnsi="宋体" w:cs="宋体"/>
          <w:highlight w:val="none"/>
        </w:rPr>
        <w:t> </w:t>
      </w:r>
    </w:p>
    <w:p w14:paraId="1A41C423">
      <w:pPr>
        <w:pStyle w:val="10"/>
        <w:rPr>
          <w:rFonts w:hint="eastAsia" w:ascii="宋体" w:hAnsi="宋体" w:cs="宋体"/>
          <w:highlight w:val="none"/>
        </w:rPr>
      </w:pPr>
      <w:r>
        <w:rPr>
          <w:rFonts w:hint="eastAsia" w:ascii="宋体" w:hAnsi="宋体" w:cs="宋体"/>
          <w:highlight w:val="none"/>
        </w:rPr>
        <w:t> </w:t>
      </w:r>
    </w:p>
    <w:p w14:paraId="5B326190">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0174F3CC">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5CA4DFAD">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08A5FE1C">
      <w:pPr>
        <w:pStyle w:val="10"/>
        <w:rPr>
          <w:rFonts w:hint="eastAsia" w:ascii="宋体" w:hAnsi="宋体" w:cs="宋体"/>
          <w:highlight w:val="none"/>
        </w:rPr>
      </w:pPr>
      <w:r>
        <w:rPr>
          <w:rFonts w:hint="eastAsia" w:ascii="宋体" w:hAnsi="宋体" w:cs="宋体"/>
          <w:highlight w:val="none"/>
        </w:rPr>
        <w:t> </w:t>
      </w:r>
    </w:p>
    <w:p w14:paraId="3D31E5F1">
      <w:pPr>
        <w:pStyle w:val="10"/>
        <w:rPr>
          <w:rFonts w:hint="eastAsia" w:ascii="宋体" w:hAnsi="宋体" w:cs="宋体"/>
          <w:highlight w:val="none"/>
        </w:rPr>
      </w:pPr>
      <w:r>
        <w:rPr>
          <w:rFonts w:hint="eastAsia" w:ascii="宋体" w:hAnsi="宋体" w:cs="宋体"/>
          <w:sz w:val="17"/>
          <w:szCs w:val="17"/>
          <w:highlight w:val="none"/>
        </w:rPr>
        <w:t> </w:t>
      </w:r>
    </w:p>
    <w:p w14:paraId="30270976">
      <w:pPr>
        <w:pStyle w:val="11"/>
        <w:numPr>
          <w:ilvl w:val="1"/>
          <w:numId w:val="0"/>
        </w:numPr>
        <w:outlineLvl w:val="9"/>
        <w:rPr>
          <w:rFonts w:ascii="宋体" w:hAnsi="宋体" w:eastAsia="宋体"/>
          <w:highlight w:val="none"/>
        </w:rPr>
      </w:pPr>
    </w:p>
    <w:p w14:paraId="11E7DBBE">
      <w:pPr>
        <w:pStyle w:val="10"/>
        <w:jc w:val="center"/>
        <w:rPr>
          <w:rFonts w:hint="eastAsia" w:ascii="宋体" w:hAnsi="宋体" w:cs="宋体"/>
          <w:highlight w:val="none"/>
        </w:rPr>
      </w:pPr>
      <w:r>
        <w:rPr>
          <w:rFonts w:hint="eastAsia" w:ascii="宋体" w:hAnsi="宋体" w:cs="宋体"/>
          <w:sz w:val="17"/>
          <w:szCs w:val="17"/>
          <w:highlight w:val="none"/>
        </w:rPr>
        <w:br w:type="page"/>
      </w:r>
      <w:r>
        <w:rPr>
          <w:rFonts w:hint="eastAsia" w:ascii="宋体" w:hAnsi="宋体" w:cs="宋体"/>
          <w:highlight w:val="none"/>
        </w:rPr>
        <w:t>二</w:t>
      </w:r>
      <w:r>
        <w:rPr>
          <w:rStyle w:val="34"/>
          <w:rFonts w:hint="eastAsia" w:ascii="宋体" w:hAnsi="宋体" w:cs="宋体"/>
          <w:highlight w:val="none"/>
        </w:rPr>
        <w:t>-8信用记录查询结果</w:t>
      </w:r>
    </w:p>
    <w:p w14:paraId="78DDB573">
      <w:pPr>
        <w:pStyle w:val="10"/>
        <w:rPr>
          <w:rFonts w:hint="eastAsia" w:ascii="宋体" w:hAnsi="宋体" w:cs="宋体"/>
          <w:highlight w:val="none"/>
        </w:rPr>
      </w:pPr>
      <w:r>
        <w:rPr>
          <w:rFonts w:hint="eastAsia" w:ascii="宋体" w:hAnsi="宋体" w:cs="宋体"/>
          <w:highlight w:val="none"/>
        </w:rPr>
        <w:t> </w:t>
      </w:r>
    </w:p>
    <w:p w14:paraId="41BECD63">
      <w:pPr>
        <w:pStyle w:val="10"/>
        <w:rPr>
          <w:rFonts w:hint="eastAsia" w:ascii="宋体" w:hAnsi="宋体" w:cs="宋体"/>
          <w:highlight w:val="none"/>
        </w:rPr>
      </w:pPr>
      <w:r>
        <w:rPr>
          <w:rFonts w:hint="eastAsia" w:ascii="宋体" w:hAnsi="宋体" w:cs="宋体"/>
          <w:highlight w:val="none"/>
        </w:rPr>
        <w:t>致：</w:t>
      </w:r>
      <w:r>
        <w:rPr>
          <w:rFonts w:hint="eastAsia" w:ascii="宋体" w:hAnsi="宋体" w:cs="宋体"/>
          <w:highlight w:val="none"/>
          <w:u w:val="single"/>
        </w:rPr>
        <w:t>                     </w:t>
      </w:r>
    </w:p>
    <w:p w14:paraId="0EFD01F9">
      <w:pPr>
        <w:pStyle w:val="10"/>
        <w:ind w:firstLine="480" w:firstLineChars="200"/>
        <w:rPr>
          <w:rFonts w:hint="eastAsia" w:ascii="宋体" w:hAnsi="宋体" w:cs="宋体"/>
          <w:highlight w:val="none"/>
        </w:rPr>
      </w:pPr>
      <w:r>
        <w:rPr>
          <w:rFonts w:hint="eastAsia" w:ascii="宋体" w:hAnsi="宋体" w:cs="宋体"/>
          <w:highlight w:val="none"/>
        </w:rPr>
        <w:t>现附上截至</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r>
        <w:rPr>
          <w:rFonts w:hint="eastAsia" w:ascii="宋体" w:hAnsi="宋体" w:cs="宋体"/>
          <w:highlight w:val="none"/>
          <w:u w:val="single"/>
        </w:rPr>
        <w:t>   </w:t>
      </w:r>
      <w:r>
        <w:rPr>
          <w:rFonts w:hint="eastAsia" w:ascii="宋体" w:hAnsi="宋体" w:cs="宋体"/>
          <w:highlight w:val="none"/>
        </w:rPr>
        <w:t>时我方通过“信用中国”网站（www.creditchina.gov.cn）获取的我方信用信息查询结果</w:t>
      </w:r>
      <w:r>
        <w:rPr>
          <w:rFonts w:hint="eastAsia" w:ascii="宋体" w:hAnsi="宋体" w:cs="宋体"/>
          <w:highlight w:val="none"/>
          <w:u w:val="single"/>
        </w:rPr>
        <w:t>（填写具体份数）</w:t>
      </w:r>
      <w:r>
        <w:rPr>
          <w:rFonts w:hint="eastAsia" w:ascii="宋体" w:hAnsi="宋体" w:cs="宋体"/>
          <w:highlight w:val="none"/>
        </w:rPr>
        <w:t>份、通过中国政府采购网（www.ccgp.gov.cn）获取的我方信用信息查询结果</w:t>
      </w:r>
      <w:r>
        <w:rPr>
          <w:rFonts w:hint="eastAsia" w:ascii="宋体" w:hAnsi="宋体" w:cs="宋体"/>
          <w:highlight w:val="none"/>
          <w:u w:val="single"/>
        </w:rPr>
        <w:t>（填写具体份数）</w:t>
      </w:r>
      <w:r>
        <w:rPr>
          <w:rFonts w:hint="eastAsia" w:ascii="宋体" w:hAnsi="宋体" w:cs="宋体"/>
          <w:highlight w:val="none"/>
        </w:rPr>
        <w:t>份，上述信用信息查询结果真实有效，否则我方负全部责任。</w:t>
      </w:r>
    </w:p>
    <w:p w14:paraId="0DA6DE22">
      <w:pPr>
        <w:pStyle w:val="10"/>
        <w:rPr>
          <w:rFonts w:hint="eastAsia" w:ascii="宋体" w:hAnsi="宋体" w:cs="宋体"/>
          <w:highlight w:val="none"/>
        </w:rPr>
      </w:pPr>
      <w:r>
        <w:rPr>
          <w:rFonts w:hint="eastAsia" w:ascii="宋体" w:hAnsi="宋体" w:cs="宋体"/>
          <w:highlight w:val="none"/>
        </w:rPr>
        <w:t> </w:t>
      </w:r>
    </w:p>
    <w:p w14:paraId="58E8EE8D">
      <w:pPr>
        <w:pStyle w:val="10"/>
        <w:rPr>
          <w:rFonts w:hint="eastAsia" w:ascii="宋体" w:hAnsi="宋体" w:cs="宋体"/>
          <w:highlight w:val="none"/>
        </w:rPr>
      </w:pPr>
      <w:r>
        <w:rPr>
          <w:rFonts w:hint="eastAsia" w:ascii="宋体" w:hAnsi="宋体" w:cs="宋体"/>
          <w:highlight w:val="none"/>
        </w:rPr>
        <w:t>注意：投标人可通过“信用中国”网站（www.creditchina.gov.cn）、中国政府采购网（www.ccgp.gov.cn）查询。</w:t>
      </w:r>
    </w:p>
    <w:p w14:paraId="0C799FA5">
      <w:pPr>
        <w:pStyle w:val="10"/>
        <w:rPr>
          <w:rFonts w:hint="eastAsia" w:ascii="宋体" w:hAnsi="宋体" w:cs="宋体"/>
          <w:highlight w:val="none"/>
        </w:rPr>
      </w:pPr>
    </w:p>
    <w:p w14:paraId="36ED72A7">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55FD78EA">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5D87E8FF">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25CB1E45">
      <w:pPr>
        <w:pStyle w:val="10"/>
        <w:jc w:val="center"/>
        <w:rPr>
          <w:rFonts w:hint="eastAsia" w:ascii="宋体" w:hAnsi="宋体" w:cs="宋体"/>
          <w:b/>
          <w:bCs/>
          <w:sz w:val="17"/>
          <w:szCs w:val="17"/>
          <w:highlight w:val="none"/>
        </w:rPr>
      </w:pPr>
    </w:p>
    <w:p w14:paraId="4AE06F39">
      <w:pPr>
        <w:pStyle w:val="11"/>
        <w:numPr>
          <w:ilvl w:val="1"/>
          <w:numId w:val="0"/>
        </w:numPr>
        <w:outlineLvl w:val="9"/>
        <w:rPr>
          <w:rFonts w:ascii="宋体" w:hAnsi="宋体" w:eastAsia="宋体"/>
          <w:highlight w:val="none"/>
        </w:rPr>
      </w:pPr>
    </w:p>
    <w:p w14:paraId="4B495542">
      <w:pPr>
        <w:pStyle w:val="10"/>
        <w:jc w:val="center"/>
        <w:rPr>
          <w:rFonts w:hint="eastAsia" w:ascii="宋体" w:hAnsi="宋体" w:cs="宋体"/>
          <w:highlight w:val="none"/>
        </w:rPr>
      </w:pPr>
      <w:r>
        <w:rPr>
          <w:rFonts w:hint="eastAsia" w:ascii="宋体" w:hAnsi="宋体" w:cs="宋体"/>
          <w:b/>
          <w:bCs/>
          <w:sz w:val="17"/>
          <w:szCs w:val="17"/>
          <w:highlight w:val="none"/>
        </w:rPr>
        <w:br w:type="page"/>
      </w:r>
      <w:r>
        <w:rPr>
          <w:rStyle w:val="34"/>
          <w:rFonts w:hint="eastAsia" w:ascii="宋体" w:hAnsi="宋体" w:cs="宋体"/>
          <w:highlight w:val="none"/>
        </w:rPr>
        <w:t>二-9无行贿犯罪记录声明函</w:t>
      </w:r>
    </w:p>
    <w:p w14:paraId="73B1F943">
      <w:pPr>
        <w:pStyle w:val="10"/>
        <w:rPr>
          <w:rFonts w:hint="eastAsia" w:ascii="宋体" w:hAnsi="宋体" w:cs="宋体"/>
          <w:highlight w:val="none"/>
        </w:rPr>
      </w:pPr>
      <w:r>
        <w:rPr>
          <w:rFonts w:hint="eastAsia" w:ascii="宋体" w:hAnsi="宋体" w:cs="宋体"/>
          <w:highlight w:val="none"/>
        </w:rPr>
        <w:t>致：</w:t>
      </w:r>
      <w:r>
        <w:rPr>
          <w:rFonts w:hint="eastAsia" w:ascii="宋体" w:hAnsi="宋体" w:cs="宋体"/>
          <w:highlight w:val="none"/>
          <w:u w:val="single"/>
        </w:rPr>
        <w:t>                     </w:t>
      </w:r>
    </w:p>
    <w:p w14:paraId="71A3F09E">
      <w:pPr>
        <w:pStyle w:val="10"/>
        <w:ind w:firstLine="330"/>
        <w:rPr>
          <w:rFonts w:hint="eastAsia" w:ascii="宋体" w:hAnsi="宋体" w:cs="宋体"/>
          <w:highlight w:val="none"/>
        </w:rPr>
      </w:pPr>
      <w:r>
        <w:rPr>
          <w:rFonts w:hint="eastAsia" w:ascii="宋体" w:hAnsi="宋体" w:cs="宋体"/>
          <w:highlight w:val="none"/>
        </w:rPr>
        <w:t>参加采购活动前三年内，我方在经营活动中无行贿犯罪记录，否则产生不利后果由我方承担责任。</w:t>
      </w:r>
    </w:p>
    <w:p w14:paraId="33684D57">
      <w:pPr>
        <w:pStyle w:val="10"/>
        <w:ind w:firstLine="330"/>
        <w:rPr>
          <w:rFonts w:hint="eastAsia" w:ascii="宋体" w:hAnsi="宋体" w:cs="宋体"/>
          <w:highlight w:val="none"/>
        </w:rPr>
      </w:pPr>
      <w:r>
        <w:rPr>
          <w:rFonts w:hint="eastAsia" w:ascii="宋体" w:hAnsi="宋体" w:cs="宋体"/>
          <w:highlight w:val="none"/>
        </w:rPr>
        <w:t>特此声明。</w:t>
      </w:r>
    </w:p>
    <w:p w14:paraId="49215C5E">
      <w:pPr>
        <w:pStyle w:val="10"/>
        <w:rPr>
          <w:rFonts w:hint="eastAsia" w:ascii="宋体" w:hAnsi="宋体" w:cs="宋体"/>
          <w:highlight w:val="none"/>
        </w:rPr>
      </w:pPr>
      <w:r>
        <w:rPr>
          <w:rFonts w:hint="eastAsia" w:ascii="宋体" w:hAnsi="宋体" w:cs="宋体"/>
          <w:highlight w:val="none"/>
        </w:rPr>
        <w:t> </w:t>
      </w:r>
    </w:p>
    <w:p w14:paraId="35790D48">
      <w:pPr>
        <w:pStyle w:val="10"/>
        <w:rPr>
          <w:rFonts w:hint="eastAsia" w:ascii="宋体" w:hAnsi="宋体" w:cs="宋体"/>
          <w:highlight w:val="none"/>
        </w:rPr>
      </w:pPr>
      <w:r>
        <w:rPr>
          <w:rFonts w:hint="eastAsia" w:ascii="宋体" w:hAnsi="宋体" w:cs="宋体"/>
          <w:highlight w:val="none"/>
        </w:rPr>
        <w:t>注意：请投标人根据实际情况如实声明，否则</w:t>
      </w:r>
      <w:r>
        <w:rPr>
          <w:rStyle w:val="34"/>
          <w:rFonts w:hint="eastAsia" w:ascii="宋体" w:hAnsi="宋体" w:cs="宋体"/>
          <w:highlight w:val="none"/>
        </w:rPr>
        <w:t>视为提供虚假材料。</w:t>
      </w:r>
    </w:p>
    <w:p w14:paraId="21520B41">
      <w:pPr>
        <w:pStyle w:val="10"/>
        <w:rPr>
          <w:rFonts w:hint="eastAsia" w:ascii="宋体" w:hAnsi="宋体" w:cs="宋体"/>
          <w:highlight w:val="none"/>
        </w:rPr>
      </w:pPr>
      <w:r>
        <w:rPr>
          <w:rFonts w:hint="eastAsia" w:ascii="宋体" w:hAnsi="宋体" w:cs="宋体"/>
          <w:highlight w:val="none"/>
        </w:rPr>
        <w:t> </w:t>
      </w:r>
    </w:p>
    <w:p w14:paraId="2494F0AF">
      <w:pPr>
        <w:pStyle w:val="10"/>
        <w:rPr>
          <w:rFonts w:hint="eastAsia" w:ascii="宋体" w:hAnsi="宋体" w:cs="宋体"/>
          <w:highlight w:val="none"/>
        </w:rPr>
      </w:pPr>
      <w:r>
        <w:rPr>
          <w:rFonts w:hint="eastAsia" w:ascii="宋体" w:hAnsi="宋体" w:cs="宋体"/>
          <w:highlight w:val="none"/>
        </w:rPr>
        <w:t> </w:t>
      </w:r>
    </w:p>
    <w:p w14:paraId="3E53F5A3">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5D14CE3D">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1F3EBE15">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705A5853">
      <w:pPr>
        <w:pStyle w:val="11"/>
        <w:numPr>
          <w:ilvl w:val="1"/>
          <w:numId w:val="0"/>
        </w:numPr>
        <w:outlineLvl w:val="9"/>
        <w:rPr>
          <w:rFonts w:ascii="宋体" w:hAnsi="宋体" w:eastAsia="宋体"/>
          <w:highlight w:val="none"/>
        </w:rPr>
      </w:pPr>
    </w:p>
    <w:p w14:paraId="169C1257">
      <w:pPr>
        <w:pStyle w:val="10"/>
        <w:jc w:val="center"/>
        <w:rPr>
          <w:rFonts w:hint="eastAsia" w:ascii="宋体" w:hAnsi="宋体" w:cs="宋体"/>
          <w:highlight w:val="none"/>
        </w:rPr>
      </w:pPr>
      <w:r>
        <w:rPr>
          <w:rFonts w:hint="eastAsia" w:ascii="宋体" w:hAnsi="宋体" w:cs="宋体"/>
          <w:highlight w:val="none"/>
        </w:rPr>
        <w:br w:type="page"/>
      </w:r>
      <w:r>
        <w:rPr>
          <w:rStyle w:val="34"/>
          <w:rFonts w:hint="eastAsia" w:ascii="宋体" w:hAnsi="宋体" w:cs="宋体"/>
          <w:highlight w:val="none"/>
        </w:rPr>
        <w:t>二-10联合体协议（若有）</w:t>
      </w:r>
    </w:p>
    <w:p w14:paraId="43950905">
      <w:pPr>
        <w:pStyle w:val="10"/>
        <w:rPr>
          <w:rFonts w:hint="eastAsia" w:ascii="宋体" w:hAnsi="宋体" w:cs="宋体"/>
          <w:highlight w:val="none"/>
        </w:rPr>
      </w:pPr>
      <w:r>
        <w:rPr>
          <w:rFonts w:hint="eastAsia" w:ascii="宋体" w:hAnsi="宋体" w:cs="宋体"/>
          <w:highlight w:val="none"/>
        </w:rPr>
        <w:t>致：</w:t>
      </w:r>
      <w:r>
        <w:rPr>
          <w:rFonts w:hint="eastAsia" w:ascii="宋体" w:hAnsi="宋体" w:cs="宋体"/>
          <w:highlight w:val="none"/>
          <w:u w:val="single"/>
        </w:rPr>
        <w:t>                     </w:t>
      </w:r>
    </w:p>
    <w:p w14:paraId="30C28232">
      <w:pPr>
        <w:pStyle w:val="10"/>
        <w:ind w:firstLine="330"/>
        <w:rPr>
          <w:rFonts w:hint="eastAsia" w:ascii="宋体" w:hAnsi="宋体" w:cs="宋体"/>
          <w:highlight w:val="none"/>
        </w:rPr>
      </w:pPr>
      <w:r>
        <w:rPr>
          <w:rFonts w:hint="eastAsia" w:ascii="宋体" w:hAnsi="宋体" w:cs="宋体"/>
          <w:highlight w:val="none"/>
        </w:rPr>
        <w:t>兹有</w:t>
      </w:r>
      <w:r>
        <w:rPr>
          <w:rFonts w:hint="eastAsia" w:ascii="宋体" w:hAnsi="宋体" w:cs="宋体"/>
          <w:highlight w:val="none"/>
          <w:u w:val="single"/>
        </w:rPr>
        <w:t>（填写“联合体中各方的全称”，各方的全称之间请用</w:t>
      </w:r>
      <w:r>
        <w:rPr>
          <w:rFonts w:hint="eastAsia" w:ascii="宋体" w:hAnsi="宋体" w:cs="宋体"/>
          <w:highlight w:val="none"/>
          <w:u w:val="single"/>
          <w:lang w:eastAsia="zh-CN"/>
        </w:rPr>
        <w:t>“</w:t>
      </w:r>
      <w:r>
        <w:rPr>
          <w:rFonts w:hint="eastAsia" w:ascii="宋体" w:hAnsi="宋体" w:cs="宋体"/>
          <w:highlight w:val="none"/>
          <w:u w:val="single"/>
        </w:rPr>
        <w:t>”分割）</w:t>
      </w:r>
      <w:r>
        <w:rPr>
          <w:rFonts w:hint="eastAsia" w:ascii="宋体" w:hAnsi="宋体" w:cs="宋体"/>
          <w:highlight w:val="none"/>
        </w:rPr>
        <w:t>自愿组成联合体，共同参加</w:t>
      </w:r>
      <w:r>
        <w:rPr>
          <w:rFonts w:hint="eastAsia" w:ascii="宋体" w:hAnsi="宋体" w:cs="宋体"/>
          <w:highlight w:val="none"/>
          <w:u w:val="single"/>
        </w:rPr>
        <w:t xml:space="preserve">（填写“项目名称”） </w:t>
      </w:r>
      <w:r>
        <w:rPr>
          <w:rFonts w:hint="eastAsia" w:ascii="宋体" w:hAnsi="宋体" w:cs="宋体"/>
          <w:highlight w:val="none"/>
        </w:rPr>
        <w:t>项目（项目编号：</w:t>
      </w:r>
      <w:r>
        <w:rPr>
          <w:rFonts w:hint="eastAsia" w:ascii="宋体" w:hAnsi="宋体" w:cs="宋体"/>
          <w:highlight w:val="none"/>
          <w:u w:val="single"/>
        </w:rPr>
        <w:t>         </w:t>
      </w:r>
      <w:r>
        <w:rPr>
          <w:rFonts w:hint="eastAsia" w:ascii="宋体" w:hAnsi="宋体" w:cs="宋体"/>
          <w:highlight w:val="none"/>
        </w:rPr>
        <w:t>）的投标。现就联合体参加本项目投标的有关事宜达成下列协议：</w:t>
      </w:r>
    </w:p>
    <w:p w14:paraId="41298500">
      <w:pPr>
        <w:pStyle w:val="10"/>
        <w:ind w:firstLine="330"/>
        <w:rPr>
          <w:rFonts w:hint="eastAsia" w:ascii="宋体" w:hAnsi="宋体" w:cs="宋体"/>
          <w:highlight w:val="none"/>
        </w:rPr>
      </w:pPr>
      <w:r>
        <w:rPr>
          <w:rFonts w:hint="eastAsia" w:ascii="宋体" w:hAnsi="宋体" w:cs="宋体"/>
          <w:highlight w:val="none"/>
        </w:rPr>
        <w:t>一、联合体各方应承担的工作和义务具体如下：</w:t>
      </w:r>
    </w:p>
    <w:p w14:paraId="1B5E4C22">
      <w:pPr>
        <w:pStyle w:val="10"/>
        <w:ind w:firstLine="330"/>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牵头方（</w:t>
      </w:r>
      <w:r>
        <w:rPr>
          <w:rFonts w:hint="eastAsia" w:ascii="宋体" w:hAnsi="宋体" w:cs="宋体"/>
          <w:highlight w:val="none"/>
          <w:u w:val="single"/>
        </w:rPr>
        <w:t>全称</w:t>
      </w:r>
      <w:r>
        <w:rPr>
          <w:rFonts w:hint="eastAsia" w:ascii="宋体" w:hAnsi="宋体" w:cs="宋体"/>
          <w:highlight w:val="none"/>
        </w:rPr>
        <w:t>）：</w:t>
      </w:r>
      <w:r>
        <w:rPr>
          <w:rFonts w:hint="eastAsia" w:ascii="宋体" w:hAnsi="宋体" w:cs="宋体"/>
          <w:highlight w:val="none"/>
          <w:u w:val="single"/>
        </w:rPr>
        <w:t xml:space="preserve"> （填写“工作及义务的具体内容”） </w:t>
      </w:r>
      <w:r>
        <w:rPr>
          <w:rFonts w:hint="eastAsia" w:ascii="宋体" w:hAnsi="宋体" w:cs="宋体"/>
          <w:highlight w:val="none"/>
        </w:rPr>
        <w:t>；</w:t>
      </w:r>
    </w:p>
    <w:p w14:paraId="27E91086">
      <w:pPr>
        <w:pStyle w:val="10"/>
        <w:ind w:firstLine="330"/>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成员方：</w:t>
      </w:r>
    </w:p>
    <w:p w14:paraId="2BC920F4">
      <w:pPr>
        <w:pStyle w:val="10"/>
        <w:ind w:firstLine="330"/>
        <w:rPr>
          <w:rFonts w:hint="eastAsia" w:ascii="宋体" w:hAnsi="宋体" w:cs="宋体"/>
          <w:highlight w:val="none"/>
        </w:rPr>
      </w:pPr>
      <w:r>
        <w:rPr>
          <w:rFonts w:hint="eastAsia" w:ascii="宋体" w:hAnsi="宋体" w:cs="宋体"/>
          <w:highlight w:val="none"/>
        </w:rPr>
        <w:t>2.1</w:t>
      </w:r>
      <w:r>
        <w:rPr>
          <w:rFonts w:hint="eastAsia" w:ascii="宋体" w:hAnsi="宋体" w:cs="宋体"/>
          <w:highlight w:val="none"/>
          <w:u w:val="single"/>
        </w:rPr>
        <w:t>（成员一的全称）</w:t>
      </w:r>
      <w:r>
        <w:rPr>
          <w:rFonts w:hint="eastAsia" w:ascii="宋体" w:hAnsi="宋体" w:cs="宋体"/>
          <w:highlight w:val="none"/>
        </w:rPr>
        <w:t>：</w:t>
      </w:r>
      <w:r>
        <w:rPr>
          <w:rFonts w:hint="eastAsia" w:ascii="宋体" w:hAnsi="宋体" w:cs="宋体"/>
          <w:highlight w:val="none"/>
          <w:u w:val="single"/>
        </w:rPr>
        <w:t xml:space="preserve"> （填写“工作及义务的具体内容”） </w:t>
      </w:r>
      <w:r>
        <w:rPr>
          <w:rFonts w:hint="eastAsia" w:ascii="宋体" w:hAnsi="宋体" w:cs="宋体"/>
          <w:highlight w:val="none"/>
        </w:rPr>
        <w:t>；</w:t>
      </w:r>
    </w:p>
    <w:p w14:paraId="2629235D">
      <w:pPr>
        <w:pStyle w:val="10"/>
        <w:ind w:firstLine="330"/>
        <w:rPr>
          <w:rFonts w:hint="eastAsia" w:ascii="宋体" w:hAnsi="宋体" w:cs="宋体"/>
          <w:highlight w:val="none"/>
        </w:rPr>
      </w:pPr>
      <w:r>
        <w:rPr>
          <w:rFonts w:hint="eastAsia" w:ascii="宋体" w:hAnsi="宋体" w:cs="宋体"/>
          <w:highlight w:val="none"/>
        </w:rPr>
        <w:t>……。</w:t>
      </w:r>
    </w:p>
    <w:p w14:paraId="71094C9B">
      <w:pPr>
        <w:pStyle w:val="10"/>
        <w:ind w:firstLine="330"/>
        <w:rPr>
          <w:rFonts w:hint="eastAsia" w:ascii="宋体" w:hAnsi="宋体" w:cs="宋体"/>
          <w:highlight w:val="none"/>
        </w:rPr>
      </w:pPr>
      <w:r>
        <w:rPr>
          <w:rFonts w:hint="eastAsia" w:ascii="宋体" w:hAnsi="宋体" w:cs="宋体"/>
          <w:highlight w:val="none"/>
        </w:rPr>
        <w:t>二、联合体各方约定：</w:t>
      </w:r>
    </w:p>
    <w:p w14:paraId="67E01C75">
      <w:pPr>
        <w:pStyle w:val="10"/>
        <w:ind w:firstLine="330"/>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由</w:t>
      </w:r>
      <w:r>
        <w:rPr>
          <w:rFonts w:hint="eastAsia" w:ascii="宋体" w:hAnsi="宋体" w:cs="宋体"/>
          <w:highlight w:val="none"/>
          <w:u w:val="single"/>
        </w:rPr>
        <w:t>（填写“牵头方的全称”）</w:t>
      </w:r>
      <w:r>
        <w:rPr>
          <w:rFonts w:hint="eastAsia" w:ascii="宋体" w:hAnsi="宋体" w:cs="宋体"/>
          <w:highlight w:val="none"/>
        </w:rPr>
        <w:t>代表联合体办理参加本项目投标的有关事宜（包括但不限于：报名、派出投标人代表、提交投标文件及参加开标、谈判、澄清等），在此过程中，投标人代表签字的一切文件和处理结果，联合体均予以认可并对此承担责任。</w:t>
      </w:r>
    </w:p>
    <w:p w14:paraId="34D3B7AC">
      <w:pPr>
        <w:pStyle w:val="10"/>
        <w:ind w:firstLine="330"/>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联合体各方约定由</w:t>
      </w:r>
      <w:r>
        <w:rPr>
          <w:rFonts w:hint="eastAsia" w:ascii="宋体" w:hAnsi="宋体" w:cs="宋体"/>
          <w:highlight w:val="none"/>
          <w:u w:val="single"/>
        </w:rPr>
        <w:t>（填写“牵头方的全称”）</w:t>
      </w:r>
      <w:r>
        <w:rPr>
          <w:rFonts w:hint="eastAsia" w:ascii="宋体" w:hAnsi="宋体" w:cs="宋体"/>
          <w:highlight w:val="none"/>
        </w:rPr>
        <w:t>代表联合体办理投标保证金事宜。</w:t>
      </w:r>
    </w:p>
    <w:p w14:paraId="200B98D2">
      <w:pPr>
        <w:pStyle w:val="10"/>
        <w:rPr>
          <w:rFonts w:hint="eastAsia" w:ascii="宋体" w:hAnsi="宋体" w:cs="宋体"/>
          <w:highlight w:val="none"/>
        </w:rPr>
      </w:pPr>
      <w:r>
        <w:rPr>
          <w:rFonts w:hint="eastAsia" w:ascii="宋体" w:hAnsi="宋体" w:cs="宋体"/>
          <w:highlight w:val="none"/>
        </w:rPr>
        <w:t xml:space="preserve">  </w:t>
      </w:r>
      <w:r>
        <w:rPr>
          <w:rFonts w:hint="eastAsia" w:ascii="宋体" w:hAnsi="宋体" w:cs="宋体"/>
          <w:highlight w:val="none"/>
          <w:lang w:eastAsia="zh-CN"/>
        </w:rPr>
        <w:t>3.</w:t>
      </w:r>
      <w:r>
        <w:rPr>
          <w:rFonts w:hint="eastAsia" w:ascii="宋体" w:hAnsi="宋体" w:cs="宋体"/>
          <w:highlight w:val="none"/>
        </w:rPr>
        <w:t>若本项目采用综合评分法，则联合体只能确定由其中一方的条件参与商务部分的评标。因此，联合体各方约定以</w:t>
      </w:r>
      <w:r>
        <w:rPr>
          <w:rFonts w:hint="eastAsia" w:ascii="宋体" w:hAnsi="宋体" w:cs="宋体"/>
          <w:highlight w:val="none"/>
          <w:u w:val="single"/>
        </w:rPr>
        <w:t>（应填写“其中一方的全称”，如：联合体确定以成员一的条件参与商务部分的评标，则填写“成员一的全称”</w:t>
      </w:r>
      <w:r>
        <w:rPr>
          <w:rFonts w:hint="eastAsia" w:ascii="宋体" w:hAnsi="宋体" w:cs="宋体"/>
          <w:highlight w:val="none"/>
          <w:u w:val="single"/>
          <w:lang w:eastAsia="zh-CN"/>
        </w:rPr>
        <w:t>…</w:t>
      </w:r>
      <w:r>
        <w:rPr>
          <w:rFonts w:hint="eastAsia" w:ascii="宋体" w:hAnsi="宋体" w:cs="宋体"/>
          <w:highlight w:val="none"/>
          <w:u w:val="single"/>
        </w:rPr>
        <w:t>否则填写“无”）</w:t>
      </w:r>
      <w:r>
        <w:rPr>
          <w:rFonts w:hint="eastAsia" w:ascii="宋体" w:hAnsi="宋体" w:cs="宋体"/>
          <w:highlight w:val="none"/>
        </w:rPr>
        <w:t>的条件参与商务部分的评标。</w:t>
      </w:r>
    </w:p>
    <w:p w14:paraId="781E5A26">
      <w:pPr>
        <w:pStyle w:val="10"/>
        <w:ind w:firstLine="330"/>
        <w:rPr>
          <w:rFonts w:hint="eastAsia" w:ascii="宋体" w:hAnsi="宋体" w:cs="宋体"/>
          <w:highlight w:val="none"/>
        </w:rPr>
      </w:pPr>
      <w:r>
        <w:rPr>
          <w:rFonts w:hint="eastAsia" w:ascii="宋体" w:hAnsi="宋体" w:cs="宋体"/>
          <w:highlight w:val="none"/>
        </w:rPr>
        <w:t>三、若中标，牵头方将代表联合体与采购人就合同签订事宜进行协商；若协商一致，则联合体各方将共同与采购人签订采购合同，并就采购合同约定的事项对采购人承担连带责任。</w:t>
      </w:r>
    </w:p>
    <w:p w14:paraId="6A361B9A">
      <w:pPr>
        <w:pStyle w:val="10"/>
        <w:ind w:firstLine="330"/>
        <w:rPr>
          <w:rFonts w:hint="eastAsia" w:ascii="宋体" w:hAnsi="宋体" w:cs="宋体"/>
          <w:highlight w:val="none"/>
        </w:rPr>
      </w:pPr>
      <w:r>
        <w:rPr>
          <w:rFonts w:hint="eastAsia" w:ascii="宋体" w:hAnsi="宋体" w:cs="宋体"/>
          <w:highlight w:val="none"/>
        </w:rPr>
        <w:t>四、本协议自签署之日起生效，采购合同履行完毕后自动失效。</w:t>
      </w:r>
    </w:p>
    <w:p w14:paraId="6AE37CA4">
      <w:pPr>
        <w:pStyle w:val="10"/>
        <w:ind w:firstLine="330"/>
        <w:rPr>
          <w:rFonts w:hint="eastAsia" w:ascii="宋体" w:hAnsi="宋体" w:cs="宋体"/>
          <w:highlight w:val="none"/>
        </w:rPr>
      </w:pPr>
      <w:r>
        <w:rPr>
          <w:rFonts w:hint="eastAsia" w:ascii="宋体" w:hAnsi="宋体" w:cs="宋体"/>
          <w:highlight w:val="none"/>
        </w:rPr>
        <w:t>五、本协议一式</w:t>
      </w:r>
      <w:r>
        <w:rPr>
          <w:rFonts w:hint="eastAsia" w:ascii="宋体" w:hAnsi="宋体" w:cs="宋体"/>
          <w:highlight w:val="none"/>
          <w:u w:val="single"/>
        </w:rPr>
        <w:t>（填写具体份数）</w:t>
      </w:r>
      <w:r>
        <w:rPr>
          <w:rFonts w:hint="eastAsia" w:ascii="宋体" w:hAnsi="宋体" w:cs="宋体"/>
          <w:highlight w:val="none"/>
        </w:rPr>
        <w:t>份，联合体各方各执一份，投标文件中提交一份。</w:t>
      </w:r>
    </w:p>
    <w:p w14:paraId="3938E59E">
      <w:pPr>
        <w:pStyle w:val="10"/>
        <w:jc w:val="center"/>
        <w:rPr>
          <w:rFonts w:hint="eastAsia" w:ascii="宋体" w:hAnsi="宋体" w:cs="宋体"/>
          <w:highlight w:val="none"/>
        </w:rPr>
      </w:pPr>
      <w:r>
        <w:rPr>
          <w:rFonts w:hint="eastAsia" w:ascii="宋体" w:hAnsi="宋体" w:cs="宋体"/>
          <w:highlight w:val="none"/>
        </w:rPr>
        <w:t>（以下无正文）</w:t>
      </w:r>
    </w:p>
    <w:p w14:paraId="0FB946E7">
      <w:pPr>
        <w:pStyle w:val="10"/>
        <w:rPr>
          <w:rFonts w:hint="eastAsia" w:ascii="宋体" w:hAnsi="宋体" w:cs="宋体"/>
          <w:highlight w:val="none"/>
        </w:rPr>
      </w:pPr>
      <w:r>
        <w:rPr>
          <w:rFonts w:hint="eastAsia" w:ascii="宋体" w:hAnsi="宋体" w:cs="宋体"/>
          <w:highlight w:val="none"/>
        </w:rPr>
        <w:t> </w:t>
      </w:r>
    </w:p>
    <w:p w14:paraId="0D9B4E5F">
      <w:pPr>
        <w:pStyle w:val="10"/>
        <w:rPr>
          <w:rFonts w:hint="eastAsia" w:ascii="宋体" w:hAnsi="宋体" w:cs="宋体"/>
          <w:highlight w:val="none"/>
        </w:rPr>
      </w:pPr>
      <w:r>
        <w:rPr>
          <w:rFonts w:hint="eastAsia" w:ascii="宋体" w:hAnsi="宋体" w:cs="宋体"/>
          <w:highlight w:val="none"/>
        </w:rPr>
        <w:t>牵头方：</w:t>
      </w:r>
      <w:r>
        <w:rPr>
          <w:rFonts w:hint="eastAsia" w:ascii="宋体" w:hAnsi="宋体" w:cs="宋体"/>
          <w:highlight w:val="none"/>
          <w:u w:val="single"/>
        </w:rPr>
        <w:t>（全称并加盖单位公章）</w:t>
      </w:r>
    </w:p>
    <w:p w14:paraId="193F155D">
      <w:pPr>
        <w:pStyle w:val="10"/>
        <w:rPr>
          <w:rFonts w:hint="eastAsia" w:ascii="宋体" w:hAnsi="宋体" w:cs="宋体"/>
          <w:highlight w:val="none"/>
        </w:rPr>
      </w:pPr>
      <w:r>
        <w:rPr>
          <w:rFonts w:hint="eastAsia" w:ascii="宋体" w:hAnsi="宋体" w:cs="宋体"/>
          <w:highlight w:val="none"/>
        </w:rPr>
        <w:t>法定代表人或其委托代理人：</w:t>
      </w:r>
      <w:r>
        <w:rPr>
          <w:rFonts w:hint="eastAsia" w:ascii="宋体" w:hAnsi="宋体" w:cs="宋体"/>
          <w:highlight w:val="none"/>
          <w:u w:val="single"/>
        </w:rPr>
        <w:t>  （签字或盖章）  </w:t>
      </w:r>
    </w:p>
    <w:p w14:paraId="540842AB">
      <w:pPr>
        <w:pStyle w:val="10"/>
        <w:rPr>
          <w:rFonts w:hint="eastAsia" w:ascii="宋体" w:hAnsi="宋体" w:cs="宋体"/>
          <w:highlight w:val="none"/>
        </w:rPr>
      </w:pPr>
      <w:r>
        <w:rPr>
          <w:rFonts w:hint="eastAsia" w:ascii="宋体" w:hAnsi="宋体" w:cs="宋体"/>
          <w:highlight w:val="none"/>
        </w:rPr>
        <w:t> </w:t>
      </w:r>
    </w:p>
    <w:p w14:paraId="409DCFB1">
      <w:pPr>
        <w:pStyle w:val="10"/>
        <w:rPr>
          <w:rFonts w:hint="eastAsia" w:ascii="宋体" w:hAnsi="宋体" w:cs="宋体"/>
          <w:highlight w:val="none"/>
        </w:rPr>
      </w:pPr>
      <w:r>
        <w:rPr>
          <w:rFonts w:hint="eastAsia" w:ascii="宋体" w:hAnsi="宋体" w:cs="宋体"/>
          <w:highlight w:val="none"/>
        </w:rPr>
        <w:t>成员一：</w:t>
      </w:r>
      <w:r>
        <w:rPr>
          <w:rFonts w:hint="eastAsia" w:ascii="宋体" w:hAnsi="宋体" w:cs="宋体"/>
          <w:highlight w:val="none"/>
          <w:u w:val="single"/>
        </w:rPr>
        <w:t>（全称并加盖成员一的单位公章）</w:t>
      </w:r>
    </w:p>
    <w:p w14:paraId="29150478">
      <w:pPr>
        <w:pStyle w:val="10"/>
        <w:rPr>
          <w:rFonts w:hint="eastAsia" w:ascii="宋体" w:hAnsi="宋体" w:cs="宋体"/>
          <w:highlight w:val="none"/>
        </w:rPr>
      </w:pPr>
      <w:r>
        <w:rPr>
          <w:rFonts w:hint="eastAsia" w:ascii="宋体" w:hAnsi="宋体" w:cs="宋体"/>
          <w:highlight w:val="none"/>
        </w:rPr>
        <w:t>法定代表人或其委托代理人：</w:t>
      </w:r>
      <w:r>
        <w:rPr>
          <w:rFonts w:hint="eastAsia" w:ascii="宋体" w:hAnsi="宋体" w:cs="宋体"/>
          <w:highlight w:val="none"/>
          <w:u w:val="single"/>
        </w:rPr>
        <w:t>  （签字或盖章）  </w:t>
      </w:r>
    </w:p>
    <w:p w14:paraId="2B357AEC">
      <w:pPr>
        <w:pStyle w:val="10"/>
        <w:rPr>
          <w:rFonts w:hint="eastAsia" w:ascii="宋体" w:hAnsi="宋体" w:cs="宋体"/>
          <w:highlight w:val="none"/>
        </w:rPr>
      </w:pPr>
      <w:r>
        <w:rPr>
          <w:rFonts w:hint="eastAsia" w:ascii="宋体" w:hAnsi="宋体" w:cs="宋体"/>
          <w:highlight w:val="none"/>
        </w:rPr>
        <w:t>……</w:t>
      </w:r>
    </w:p>
    <w:p w14:paraId="0A338BE5">
      <w:pPr>
        <w:pStyle w:val="10"/>
        <w:rPr>
          <w:rFonts w:hint="eastAsia" w:ascii="宋体" w:hAnsi="宋体" w:cs="宋体"/>
          <w:highlight w:val="none"/>
        </w:rPr>
      </w:pPr>
      <w:r>
        <w:rPr>
          <w:rFonts w:hint="eastAsia" w:ascii="宋体" w:hAnsi="宋体" w:cs="宋体"/>
          <w:highlight w:val="none"/>
        </w:rPr>
        <w:t> </w:t>
      </w:r>
    </w:p>
    <w:p w14:paraId="0A6085BE">
      <w:pPr>
        <w:pStyle w:val="10"/>
        <w:rPr>
          <w:rFonts w:hint="eastAsia" w:ascii="宋体" w:hAnsi="宋体" w:cs="宋体"/>
          <w:highlight w:val="none"/>
        </w:rPr>
      </w:pPr>
      <w:r>
        <w:rPr>
          <w:rFonts w:hint="eastAsia" w:ascii="宋体" w:hAnsi="宋体" w:cs="宋体"/>
          <w:highlight w:val="none"/>
        </w:rPr>
        <w:t>成员**：</w:t>
      </w:r>
      <w:r>
        <w:rPr>
          <w:rFonts w:hint="eastAsia" w:ascii="宋体" w:hAnsi="宋体" w:cs="宋体"/>
          <w:highlight w:val="none"/>
          <w:u w:val="single"/>
        </w:rPr>
        <w:t>（全称并加盖成员**的单位公章）</w:t>
      </w:r>
    </w:p>
    <w:p w14:paraId="4168B01D">
      <w:pPr>
        <w:pStyle w:val="10"/>
        <w:rPr>
          <w:rFonts w:hint="eastAsia" w:ascii="宋体" w:hAnsi="宋体" w:cs="宋体"/>
          <w:highlight w:val="none"/>
        </w:rPr>
      </w:pPr>
      <w:r>
        <w:rPr>
          <w:rFonts w:hint="eastAsia" w:ascii="宋体" w:hAnsi="宋体" w:cs="宋体"/>
          <w:highlight w:val="none"/>
        </w:rPr>
        <w:t>法定代表人或其委托代理人：</w:t>
      </w:r>
      <w:r>
        <w:rPr>
          <w:rFonts w:hint="eastAsia" w:ascii="宋体" w:hAnsi="宋体" w:cs="宋体"/>
          <w:highlight w:val="none"/>
          <w:u w:val="single"/>
        </w:rPr>
        <w:t>  （签字或盖章）  </w:t>
      </w:r>
    </w:p>
    <w:p w14:paraId="2E655C2E">
      <w:pPr>
        <w:pStyle w:val="10"/>
        <w:rPr>
          <w:rFonts w:hint="eastAsia" w:ascii="宋体" w:hAnsi="宋体" w:cs="宋体"/>
          <w:highlight w:val="none"/>
        </w:rPr>
      </w:pPr>
      <w:r>
        <w:rPr>
          <w:rFonts w:hint="eastAsia" w:ascii="宋体" w:hAnsi="宋体" w:cs="宋体"/>
          <w:highlight w:val="none"/>
        </w:rPr>
        <w:t> </w:t>
      </w:r>
    </w:p>
    <w:p w14:paraId="2CACBDE3">
      <w:pPr>
        <w:pStyle w:val="10"/>
        <w:rPr>
          <w:rFonts w:hint="eastAsia" w:ascii="宋体" w:hAnsi="宋体" w:cs="宋体"/>
          <w:highlight w:val="none"/>
        </w:rPr>
      </w:pPr>
      <w:r>
        <w:rPr>
          <w:rFonts w:hint="eastAsia" w:ascii="宋体" w:hAnsi="宋体" w:cs="宋体"/>
          <w:highlight w:val="none"/>
        </w:rPr>
        <w:t> </w:t>
      </w:r>
    </w:p>
    <w:p w14:paraId="2A4E8F5B">
      <w:pPr>
        <w:pStyle w:val="10"/>
        <w:jc w:val="right"/>
        <w:rPr>
          <w:rFonts w:hint="eastAsia" w:ascii="宋体" w:hAnsi="宋体" w:cs="宋体"/>
          <w:highlight w:val="none"/>
        </w:rPr>
      </w:pPr>
      <w:r>
        <w:rPr>
          <w:rFonts w:hint="eastAsia" w:ascii="宋体" w:hAnsi="宋体" w:cs="宋体"/>
          <w:highlight w:val="none"/>
        </w:rPr>
        <w:t>签署日期：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0D2F9D42">
      <w:pPr>
        <w:pStyle w:val="10"/>
        <w:rPr>
          <w:rFonts w:hint="eastAsia" w:ascii="宋体" w:hAnsi="宋体" w:cs="宋体"/>
          <w:highlight w:val="none"/>
        </w:rPr>
      </w:pPr>
      <w:r>
        <w:rPr>
          <w:rFonts w:hint="eastAsia" w:ascii="宋体" w:hAnsi="宋体" w:cs="宋体"/>
          <w:highlight w:val="none"/>
        </w:rPr>
        <w:t> </w:t>
      </w:r>
    </w:p>
    <w:p w14:paraId="098657AA">
      <w:pPr>
        <w:pStyle w:val="10"/>
        <w:rPr>
          <w:rFonts w:hint="eastAsia" w:ascii="宋体" w:hAnsi="宋体" w:cs="宋体"/>
          <w:highlight w:val="none"/>
        </w:rPr>
      </w:pPr>
      <w:r>
        <w:rPr>
          <w:rFonts w:hint="eastAsia" w:ascii="宋体" w:hAnsi="宋体" w:cs="宋体"/>
          <w:highlight w:val="none"/>
        </w:rPr>
        <w:t>注意：</w:t>
      </w:r>
    </w:p>
    <w:p w14:paraId="63DCFBE0">
      <w:pPr>
        <w:pStyle w:val="10"/>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招标文件接受联合体投标且投标人为联合体的，投标人应提供本协议；否则无须提供。</w:t>
      </w:r>
    </w:p>
    <w:p w14:paraId="1B6EF29A">
      <w:pPr>
        <w:pStyle w:val="10"/>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本协议由委托代理人签字或盖章的，应按照本章载明的格式提供“单位负责人授权书”。</w:t>
      </w:r>
    </w:p>
    <w:p w14:paraId="73434CAE">
      <w:pPr>
        <w:pStyle w:val="10"/>
        <w:rPr>
          <w:rFonts w:hint="eastAsia" w:ascii="宋体" w:hAnsi="宋体" w:cs="宋体"/>
          <w:highlight w:val="none"/>
        </w:rPr>
      </w:pPr>
      <w:r>
        <w:rPr>
          <w:rFonts w:hint="eastAsia" w:ascii="宋体" w:hAnsi="宋体" w:cs="宋体"/>
          <w:highlight w:val="none"/>
          <w:lang w:eastAsia="zh-CN"/>
        </w:rPr>
        <w:t>3.</w:t>
      </w:r>
      <w:r>
        <w:rPr>
          <w:rFonts w:hint="eastAsia" w:ascii="宋体" w:hAnsi="宋体" w:cs="宋体"/>
          <w:highlight w:val="none"/>
        </w:rPr>
        <w:t>纸质投标文件正本中的本协议（若有）应为原件。</w:t>
      </w:r>
    </w:p>
    <w:p w14:paraId="129460B7">
      <w:pPr>
        <w:pStyle w:val="10"/>
        <w:rPr>
          <w:rFonts w:hint="eastAsia" w:ascii="宋体" w:hAnsi="宋体" w:cs="宋体"/>
          <w:highlight w:val="none"/>
        </w:rPr>
      </w:pPr>
      <w:r>
        <w:rPr>
          <w:rFonts w:hint="eastAsia" w:ascii="宋体" w:hAnsi="宋体" w:cs="宋体"/>
          <w:highlight w:val="none"/>
        </w:rPr>
        <w:t> </w:t>
      </w:r>
    </w:p>
    <w:p w14:paraId="5E643051">
      <w:pPr>
        <w:pStyle w:val="11"/>
        <w:numPr>
          <w:ilvl w:val="1"/>
          <w:numId w:val="0"/>
        </w:numPr>
        <w:outlineLvl w:val="9"/>
        <w:rPr>
          <w:rFonts w:ascii="宋体" w:hAnsi="宋体" w:eastAsia="宋体"/>
          <w:highlight w:val="none"/>
        </w:rPr>
      </w:pPr>
    </w:p>
    <w:p w14:paraId="25886063">
      <w:pPr>
        <w:pStyle w:val="10"/>
        <w:jc w:val="center"/>
        <w:rPr>
          <w:rFonts w:hint="eastAsia" w:ascii="宋体" w:hAnsi="宋体" w:cs="宋体"/>
          <w:highlight w:val="none"/>
        </w:rPr>
      </w:pPr>
      <w:r>
        <w:rPr>
          <w:rFonts w:hint="eastAsia" w:ascii="宋体" w:hAnsi="宋体" w:cs="宋体"/>
          <w:sz w:val="17"/>
          <w:szCs w:val="17"/>
          <w:highlight w:val="none"/>
        </w:rPr>
        <w:br w:type="page"/>
      </w:r>
      <w:r>
        <w:rPr>
          <w:rStyle w:val="34"/>
          <w:rFonts w:hint="eastAsia" w:ascii="宋体" w:hAnsi="宋体" w:cs="宋体"/>
          <w:highlight w:val="none"/>
        </w:rPr>
        <w:t>二-11中小企业声明函</w:t>
      </w:r>
    </w:p>
    <w:p w14:paraId="48E98952">
      <w:pPr>
        <w:pStyle w:val="10"/>
        <w:widowControl/>
        <w:spacing w:before="76" w:beforeAutospacing="0" w:after="76" w:afterAutospacing="0" w:line="360" w:lineRule="auto"/>
        <w:ind w:firstLine="420"/>
        <w:rPr>
          <w:rFonts w:hint="eastAsia" w:ascii="宋体" w:hAnsi="宋体" w:cs="宋体"/>
          <w:b/>
          <w:bCs/>
          <w:highlight w:val="none"/>
          <w:shd w:val="clear" w:color="auto" w:fill="FFFFFF"/>
        </w:rPr>
      </w:pPr>
      <w:r>
        <w:rPr>
          <w:rFonts w:hint="eastAsia" w:ascii="宋体" w:hAnsi="宋体" w:cs="宋体"/>
          <w:highlight w:val="none"/>
          <w:shd w:val="clear" w:color="auto" w:fill="FFFFFF"/>
        </w:rPr>
        <w:t xml:space="preserve">                          </w:t>
      </w:r>
      <w:r>
        <w:rPr>
          <w:rFonts w:hint="eastAsia" w:ascii="宋体" w:hAnsi="宋体" w:cs="宋体"/>
          <w:b/>
          <w:bCs/>
          <w:highlight w:val="none"/>
          <w:shd w:val="clear" w:color="auto" w:fill="FFFFFF"/>
        </w:rPr>
        <w:t>中小企业声明函（货物）</w:t>
      </w:r>
    </w:p>
    <w:p w14:paraId="64B9BF3E">
      <w:pPr>
        <w:pStyle w:val="10"/>
        <w:widowControl/>
        <w:spacing w:before="76" w:beforeAutospacing="0" w:after="76" w:afterAutospacing="0" w:line="360" w:lineRule="auto"/>
        <w:ind w:firstLine="420"/>
        <w:rPr>
          <w:rFonts w:hint="eastAsia" w:ascii="宋体" w:hAnsi="宋体" w:cs="宋体"/>
          <w:highlight w:val="none"/>
          <w:shd w:val="clear" w:color="auto" w:fill="FFFFFF"/>
        </w:rPr>
      </w:pPr>
      <w:r>
        <w:rPr>
          <w:rFonts w:hint="eastAsia" w:ascii="宋体" w:hAnsi="宋体" w:cs="宋体"/>
          <w:highlight w:val="none"/>
          <w:shd w:val="clear" w:color="auto" w:fill="FFFFFF"/>
        </w:rPr>
        <w:t>  本公司（联合体）郑重声明，根据《政府采购促进中小企业发展管理办法》（财库﹝2020﹞46 号）的规定，本公司（联合体）参加</w:t>
      </w:r>
      <w:r>
        <w:rPr>
          <w:rFonts w:hint="eastAsia" w:ascii="宋体" w:hAnsi="宋体" w:cs="宋体"/>
          <w:highlight w:val="none"/>
          <w:u w:val="single"/>
          <w:shd w:val="clear" w:color="auto" w:fill="FFFFFF"/>
        </w:rPr>
        <w:t>（单位名称）</w:t>
      </w:r>
      <w:r>
        <w:rPr>
          <w:rFonts w:hint="eastAsia" w:ascii="宋体" w:hAnsi="宋体" w:cs="宋体"/>
          <w:highlight w:val="none"/>
          <w:shd w:val="clear" w:color="auto" w:fill="FFFFFF"/>
        </w:rPr>
        <w:t>的</w:t>
      </w:r>
      <w:r>
        <w:rPr>
          <w:rFonts w:hint="eastAsia" w:ascii="宋体" w:hAnsi="宋体" w:cs="宋体"/>
          <w:highlight w:val="none"/>
          <w:u w:val="single"/>
          <w:shd w:val="clear" w:color="auto" w:fill="FFFFFF"/>
        </w:rPr>
        <w:t>（项目名称）</w:t>
      </w:r>
      <w:r>
        <w:rPr>
          <w:rFonts w:hint="eastAsia" w:ascii="宋体" w:hAnsi="宋体" w:cs="宋体"/>
          <w:highlight w:val="none"/>
          <w:shd w:val="clear" w:color="auto" w:fill="FFFFFF"/>
        </w:rPr>
        <w:t>采购活动，提供的货物全部由符合政策要求的中小企业制造。相关企业（含联合体中的中小企业、签订分包意向协议的中小企业） 的具体情况如下：</w:t>
      </w:r>
    </w:p>
    <w:p w14:paraId="2C526624">
      <w:pPr>
        <w:pStyle w:val="10"/>
        <w:widowControl/>
        <w:spacing w:before="76" w:beforeAutospacing="0" w:after="76" w:afterAutospacing="0" w:line="360" w:lineRule="auto"/>
        <w:ind w:firstLine="420"/>
        <w:rPr>
          <w:rFonts w:hint="eastAsia" w:ascii="宋体" w:hAnsi="宋体" w:cs="宋体"/>
          <w:highlight w:val="none"/>
          <w:shd w:val="clear" w:color="auto" w:fill="FFFFFF"/>
        </w:rPr>
      </w:pPr>
      <w:r>
        <w:rPr>
          <w:rFonts w:hint="eastAsia" w:ascii="宋体" w:hAnsi="宋体" w:cs="宋体"/>
          <w:highlight w:val="none"/>
          <w:shd w:val="clear" w:color="auto" w:fill="FFFFFF"/>
        </w:rPr>
        <w:t>   1.</w:t>
      </w:r>
      <w:r>
        <w:rPr>
          <w:rFonts w:hint="eastAsia" w:ascii="宋体" w:hAnsi="宋体" w:cs="宋体"/>
          <w:highlight w:val="none"/>
          <w:u w:val="single"/>
          <w:shd w:val="clear" w:color="auto" w:fill="FFFFFF"/>
        </w:rPr>
        <w:t>（标的名称） </w:t>
      </w:r>
      <w:r>
        <w:rPr>
          <w:rFonts w:hint="eastAsia" w:ascii="宋体" w:hAnsi="宋体" w:cs="宋体"/>
          <w:highlight w:val="none"/>
          <w:shd w:val="clear" w:color="auto" w:fill="FFFFFF"/>
        </w:rPr>
        <w:t>，属</w:t>
      </w:r>
      <w:r>
        <w:rPr>
          <w:rFonts w:hint="eastAsia" w:ascii="宋体" w:hAnsi="宋体" w:cs="宋体"/>
          <w:highlight w:val="none"/>
          <w:u w:val="single"/>
          <w:shd w:val="clear" w:color="auto" w:fill="FFFFFF"/>
        </w:rPr>
        <w:t>于（采购文件中明确的所属行业）行业</w:t>
      </w:r>
      <w:r>
        <w:rPr>
          <w:rFonts w:hint="eastAsia" w:ascii="宋体" w:hAnsi="宋体" w:cs="宋体"/>
          <w:highlight w:val="none"/>
          <w:shd w:val="clear" w:color="auto" w:fill="FFFFFF"/>
        </w:rPr>
        <w:t>；制造商为</w:t>
      </w:r>
      <w:r>
        <w:rPr>
          <w:rFonts w:hint="eastAsia" w:ascii="宋体" w:hAnsi="宋体" w:cs="宋体"/>
          <w:highlight w:val="none"/>
          <w:u w:val="single"/>
          <w:shd w:val="clear" w:color="auto" w:fill="FFFFFF"/>
        </w:rPr>
        <w:t>（企业名称）</w:t>
      </w:r>
      <w:r>
        <w:rPr>
          <w:rFonts w:hint="eastAsia" w:ascii="宋体" w:hAnsi="宋体" w:cs="宋体"/>
          <w:highlight w:val="none"/>
          <w:shd w:val="clear" w:color="auto" w:fill="FFFFFF"/>
        </w:rPr>
        <w:t>，从业人员</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人，营业收入为</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万元，资产总额为</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万元</w:t>
      </w:r>
      <w:r>
        <w:rPr>
          <w:rFonts w:hint="eastAsia" w:ascii="宋体" w:hAnsi="宋体" w:cs="宋体"/>
          <w:highlight w:val="none"/>
          <w:shd w:val="clear" w:color="auto" w:fill="FFFFFF"/>
          <w:vertAlign w:val="superscript"/>
        </w:rPr>
        <w:t>1</w:t>
      </w:r>
      <w:r>
        <w:rPr>
          <w:rFonts w:hint="eastAsia" w:ascii="宋体" w:hAnsi="宋体" w:cs="宋体"/>
          <w:highlight w:val="none"/>
          <w:shd w:val="clear" w:color="auto" w:fill="FFFFFF"/>
        </w:rPr>
        <w:t>，属于</w:t>
      </w:r>
      <w:r>
        <w:rPr>
          <w:rFonts w:hint="eastAsia" w:ascii="宋体" w:hAnsi="宋体" w:cs="宋体"/>
          <w:highlight w:val="none"/>
          <w:u w:val="single"/>
          <w:shd w:val="clear" w:color="auto" w:fill="FFFFFF"/>
        </w:rPr>
        <w:t>（中型企业、小型企业、微型企业）</w:t>
      </w:r>
      <w:r>
        <w:rPr>
          <w:rFonts w:hint="eastAsia" w:ascii="宋体" w:hAnsi="宋体" w:cs="宋体"/>
          <w:highlight w:val="none"/>
          <w:shd w:val="clear" w:color="auto" w:fill="FFFFFF"/>
        </w:rPr>
        <w:t>；</w:t>
      </w:r>
    </w:p>
    <w:p w14:paraId="00197DFC">
      <w:pPr>
        <w:pStyle w:val="10"/>
        <w:widowControl/>
        <w:spacing w:before="76" w:beforeAutospacing="0" w:after="76" w:afterAutospacing="0" w:line="360" w:lineRule="auto"/>
        <w:ind w:firstLine="420"/>
        <w:rPr>
          <w:rFonts w:hint="eastAsia" w:ascii="宋体" w:hAnsi="宋体" w:cs="宋体"/>
          <w:highlight w:val="none"/>
          <w:shd w:val="clear" w:color="auto" w:fill="FFFFFF"/>
        </w:rPr>
      </w:pPr>
      <w:r>
        <w:rPr>
          <w:rFonts w:hint="eastAsia" w:ascii="宋体" w:hAnsi="宋体" w:cs="宋体"/>
          <w:highlight w:val="none"/>
          <w:shd w:val="clear" w:color="auto" w:fill="FFFFFF"/>
        </w:rPr>
        <w:t>   2.</w:t>
      </w:r>
      <w:r>
        <w:rPr>
          <w:rFonts w:hint="eastAsia" w:ascii="宋体" w:hAnsi="宋体" w:cs="宋体"/>
          <w:highlight w:val="none"/>
          <w:u w:val="single"/>
          <w:shd w:val="clear" w:color="auto" w:fill="FFFFFF"/>
        </w:rPr>
        <w:t>（标的名称） </w:t>
      </w:r>
      <w:r>
        <w:rPr>
          <w:rFonts w:hint="eastAsia" w:ascii="宋体" w:hAnsi="宋体" w:cs="宋体"/>
          <w:highlight w:val="none"/>
          <w:shd w:val="clear" w:color="auto" w:fill="FFFFFF"/>
        </w:rPr>
        <w:t>， 属于</w:t>
      </w:r>
      <w:r>
        <w:rPr>
          <w:rFonts w:hint="eastAsia" w:ascii="宋体" w:hAnsi="宋体" w:cs="宋体"/>
          <w:highlight w:val="none"/>
          <w:u w:val="single"/>
          <w:shd w:val="clear" w:color="auto" w:fill="FFFFFF"/>
        </w:rPr>
        <w:t> （采购文件中明确的所属行业 ）行业</w:t>
      </w:r>
      <w:r>
        <w:rPr>
          <w:rFonts w:hint="eastAsia" w:ascii="宋体" w:hAnsi="宋体" w:cs="宋体"/>
          <w:highlight w:val="none"/>
          <w:shd w:val="clear" w:color="auto" w:fill="FFFFFF"/>
        </w:rPr>
        <w:t>；制造商为</w:t>
      </w:r>
      <w:r>
        <w:rPr>
          <w:rFonts w:hint="eastAsia" w:ascii="宋体" w:hAnsi="宋体" w:cs="宋体"/>
          <w:highlight w:val="none"/>
          <w:u w:val="single"/>
          <w:shd w:val="clear" w:color="auto" w:fill="FFFFFF"/>
        </w:rPr>
        <w:t>（企业名称）</w:t>
      </w:r>
      <w:r>
        <w:rPr>
          <w:rFonts w:hint="eastAsia" w:ascii="宋体" w:hAnsi="宋体" w:cs="宋体"/>
          <w:highlight w:val="none"/>
          <w:shd w:val="clear" w:color="auto" w:fill="FFFFFF"/>
        </w:rPr>
        <w:t>，从业人员</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人，营业收入为</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万元，资产总额为</w:t>
      </w:r>
      <w:r>
        <w:rPr>
          <w:rFonts w:hint="eastAsia" w:ascii="宋体" w:hAnsi="宋体" w:cs="宋体"/>
          <w:highlight w:val="none"/>
          <w:u w:val="single"/>
          <w:shd w:val="clear" w:color="auto" w:fill="FFFFFF"/>
        </w:rPr>
        <w:t>  万</w:t>
      </w:r>
      <w:r>
        <w:rPr>
          <w:rFonts w:hint="eastAsia" w:ascii="宋体" w:hAnsi="宋体" w:cs="宋体"/>
          <w:highlight w:val="none"/>
          <w:shd w:val="clear" w:color="auto" w:fill="FFFFFF"/>
        </w:rPr>
        <w:t>元，属于</w:t>
      </w:r>
      <w:r>
        <w:rPr>
          <w:rFonts w:hint="eastAsia" w:ascii="宋体" w:hAnsi="宋体" w:cs="宋体"/>
          <w:highlight w:val="none"/>
          <w:u w:val="single"/>
          <w:shd w:val="clear" w:color="auto" w:fill="FFFFFF"/>
        </w:rPr>
        <w:t>（中型企业、小型企业、微型企业）</w:t>
      </w:r>
      <w:r>
        <w:rPr>
          <w:rFonts w:hint="eastAsia" w:ascii="宋体" w:hAnsi="宋体" w:cs="宋体"/>
          <w:highlight w:val="none"/>
          <w:shd w:val="clear" w:color="auto" w:fill="FFFFFF"/>
        </w:rPr>
        <w:t>；  </w:t>
      </w:r>
    </w:p>
    <w:p w14:paraId="148B4DD7">
      <w:pPr>
        <w:pStyle w:val="10"/>
        <w:widowControl/>
        <w:spacing w:before="76" w:beforeAutospacing="0" w:after="76" w:afterAutospacing="0" w:line="360" w:lineRule="auto"/>
        <w:ind w:firstLine="420"/>
        <w:rPr>
          <w:rFonts w:hint="eastAsia" w:ascii="宋体" w:hAnsi="宋体" w:cs="宋体"/>
          <w:highlight w:val="none"/>
        </w:rPr>
      </w:pPr>
      <w:r>
        <w:rPr>
          <w:rFonts w:hint="eastAsia" w:ascii="宋体" w:hAnsi="宋体" w:cs="宋体"/>
          <w:highlight w:val="none"/>
          <w:shd w:val="clear" w:color="auto" w:fill="FFFFFF"/>
        </w:rPr>
        <w:t>……</w:t>
      </w:r>
    </w:p>
    <w:p w14:paraId="57415E42">
      <w:pPr>
        <w:pStyle w:val="10"/>
        <w:widowControl/>
        <w:spacing w:before="76" w:beforeAutospacing="0" w:after="76" w:afterAutospacing="0" w:line="360" w:lineRule="auto"/>
        <w:ind w:firstLine="420"/>
        <w:rPr>
          <w:rFonts w:hint="eastAsia" w:ascii="宋体" w:hAnsi="宋体" w:cs="宋体"/>
          <w:highlight w:val="none"/>
          <w:shd w:val="clear" w:color="auto" w:fill="FFFFFF"/>
        </w:rPr>
      </w:pPr>
      <w:r>
        <w:rPr>
          <w:rFonts w:hint="eastAsia" w:ascii="宋体" w:hAnsi="宋体" w:cs="宋体"/>
          <w:highlight w:val="none"/>
          <w:shd w:val="clear" w:color="auto" w:fill="FFFFFF"/>
        </w:rPr>
        <w:t>     以上企业，不属于大企业的分支机构，不存在控股股东为大企业的情形，也不存在与大企业的负责人为同一人的情形。</w:t>
      </w:r>
    </w:p>
    <w:p w14:paraId="5B1FC9A3">
      <w:pPr>
        <w:pStyle w:val="10"/>
        <w:widowControl/>
        <w:spacing w:before="76" w:beforeAutospacing="0" w:after="76" w:afterAutospacing="0" w:line="360" w:lineRule="auto"/>
        <w:rPr>
          <w:rFonts w:hint="eastAsia" w:ascii="宋体" w:hAnsi="宋体" w:cs="宋体"/>
          <w:highlight w:val="none"/>
          <w:shd w:val="clear" w:color="auto" w:fill="FFFFFF"/>
        </w:rPr>
      </w:pPr>
    </w:p>
    <w:p w14:paraId="0DCE50C3">
      <w:pPr>
        <w:pStyle w:val="10"/>
        <w:widowControl/>
        <w:spacing w:before="76" w:beforeAutospacing="0" w:after="76" w:afterAutospacing="0" w:line="360" w:lineRule="auto"/>
        <w:ind w:firstLine="480" w:firstLineChars="200"/>
        <w:rPr>
          <w:rFonts w:hint="eastAsia" w:ascii="宋体" w:hAnsi="宋体" w:cs="宋体"/>
          <w:highlight w:val="none"/>
          <w:shd w:val="clear" w:color="auto" w:fill="FFFFFF"/>
        </w:rPr>
      </w:pPr>
      <w:r>
        <w:rPr>
          <w:rFonts w:hint="eastAsia" w:ascii="宋体" w:hAnsi="宋体" w:cs="宋体"/>
          <w:highlight w:val="none"/>
          <w:shd w:val="clear" w:color="auto" w:fill="FFFFFF"/>
        </w:rPr>
        <w:t>本企业对上述声明内容的真实性负责。如有虚假，将依法承担相应责任。</w:t>
      </w:r>
    </w:p>
    <w:p w14:paraId="5ECB7A13">
      <w:pPr>
        <w:pStyle w:val="10"/>
        <w:widowControl/>
        <w:spacing w:before="76" w:beforeAutospacing="0" w:after="76" w:afterAutospacing="0" w:line="360" w:lineRule="auto"/>
        <w:rPr>
          <w:rFonts w:hint="eastAsia" w:ascii="宋体" w:hAnsi="宋体" w:cs="宋体"/>
          <w:highlight w:val="none"/>
          <w:shd w:val="clear" w:color="auto" w:fill="FFFFFF"/>
        </w:rPr>
      </w:pPr>
      <w:r>
        <w:rPr>
          <w:rFonts w:hint="eastAsia" w:ascii="宋体" w:hAnsi="宋体" w:cs="宋体"/>
          <w:highlight w:val="none"/>
          <w:shd w:val="clear" w:color="auto" w:fill="FFFFFF"/>
        </w:rPr>
        <w:t>                                                                                          企业名称（盖章）：        </w:t>
      </w:r>
    </w:p>
    <w:p w14:paraId="0D9E2F1E">
      <w:pPr>
        <w:pStyle w:val="10"/>
        <w:widowControl/>
        <w:spacing w:before="76" w:beforeAutospacing="0" w:after="76" w:afterAutospacing="0" w:line="360" w:lineRule="auto"/>
        <w:ind w:firstLine="420"/>
        <w:rPr>
          <w:rFonts w:hint="eastAsia" w:ascii="宋体" w:hAnsi="宋体" w:cs="宋体"/>
          <w:highlight w:val="none"/>
          <w:shd w:val="clear" w:color="auto" w:fill="FFFFFF"/>
        </w:rPr>
      </w:pPr>
      <w:r>
        <w:rPr>
          <w:rFonts w:hint="eastAsia" w:ascii="宋体" w:hAnsi="宋体" w:cs="宋体"/>
          <w:highlight w:val="none"/>
          <w:shd w:val="clear" w:color="auto" w:fill="FFFFFF"/>
        </w:rPr>
        <w:t>                                           日期：</w:t>
      </w:r>
    </w:p>
    <w:p w14:paraId="020D5A3A">
      <w:pPr>
        <w:pStyle w:val="11"/>
        <w:numPr>
          <w:ilvl w:val="1"/>
          <w:numId w:val="0"/>
        </w:numPr>
        <w:ind w:left="567"/>
        <w:outlineLvl w:val="9"/>
        <w:rPr>
          <w:rFonts w:ascii="宋体" w:hAnsi="宋体" w:eastAsia="宋体"/>
          <w:szCs w:val="24"/>
          <w:highlight w:val="none"/>
        </w:rPr>
      </w:pPr>
    </w:p>
    <w:p w14:paraId="2616687E">
      <w:pPr>
        <w:pStyle w:val="10"/>
        <w:widowControl/>
        <w:spacing w:before="76" w:beforeAutospacing="0" w:after="76" w:afterAutospacing="0" w:line="360" w:lineRule="auto"/>
        <w:ind w:firstLine="420"/>
        <w:rPr>
          <w:rFonts w:hint="eastAsia" w:ascii="宋体" w:hAnsi="宋体" w:cs="宋体"/>
          <w:highlight w:val="none"/>
          <w:shd w:val="clear" w:color="auto" w:fill="FFFFFF"/>
        </w:rPr>
      </w:pPr>
      <w:r>
        <w:rPr>
          <w:rFonts w:hint="eastAsia" w:ascii="宋体" w:hAnsi="宋体" w:cs="宋体"/>
          <w:highlight w:val="none"/>
          <w:shd w:val="clear" w:color="auto" w:fill="FFFFFF"/>
        </w:rPr>
        <w:t> </w:t>
      </w:r>
      <w:r>
        <w:rPr>
          <w:rFonts w:hint="eastAsia" w:ascii="宋体" w:hAnsi="宋体" w:cs="宋体"/>
          <w:highlight w:val="none"/>
          <w:shd w:val="clear" w:color="auto" w:fill="FFFFFF"/>
          <w:vertAlign w:val="superscript"/>
        </w:rPr>
        <w:t>1</w:t>
      </w:r>
      <w:r>
        <w:rPr>
          <w:rFonts w:hint="eastAsia" w:ascii="宋体" w:hAnsi="宋体" w:cs="宋体"/>
          <w:highlight w:val="none"/>
          <w:shd w:val="clear" w:color="auto" w:fill="FFFFFF"/>
        </w:rPr>
        <w:t>从业人员、营业收入、资产总额填报上一年度数据，无上一年度数据的新成立企业可不填报。</w:t>
      </w:r>
    </w:p>
    <w:p w14:paraId="27E11B05">
      <w:pPr>
        <w:pStyle w:val="11"/>
        <w:numPr>
          <w:ilvl w:val="1"/>
          <w:numId w:val="0"/>
        </w:numPr>
        <w:ind w:left="567"/>
        <w:outlineLvl w:val="9"/>
        <w:rPr>
          <w:rFonts w:ascii="宋体" w:hAnsi="宋体" w:eastAsia="宋体"/>
          <w:highlight w:val="none"/>
        </w:rPr>
      </w:pPr>
    </w:p>
    <w:p w14:paraId="0ED145A7">
      <w:pPr>
        <w:pStyle w:val="11"/>
        <w:numPr>
          <w:ilvl w:val="1"/>
          <w:numId w:val="0"/>
        </w:numPr>
        <w:ind w:left="567"/>
        <w:outlineLvl w:val="9"/>
        <w:rPr>
          <w:rFonts w:ascii="宋体" w:hAnsi="宋体" w:eastAsia="宋体"/>
          <w:highlight w:val="none"/>
        </w:rPr>
      </w:pPr>
    </w:p>
    <w:p w14:paraId="142F1709">
      <w:pPr>
        <w:pStyle w:val="10"/>
        <w:widowControl/>
        <w:spacing w:before="76" w:beforeAutospacing="0" w:after="76" w:afterAutospacing="0" w:line="360" w:lineRule="auto"/>
        <w:ind w:left="-3" w:firstLine="60" w:firstLineChars="25"/>
        <w:rPr>
          <w:rFonts w:hint="eastAsia" w:ascii="宋体" w:hAnsi="宋体" w:cs="宋体"/>
          <w:highlight w:val="none"/>
          <w:shd w:val="clear" w:color="auto" w:fill="FFFFFF"/>
        </w:rPr>
      </w:pPr>
      <w:r>
        <w:rPr>
          <w:rFonts w:hint="eastAsia" w:ascii="宋体" w:hAnsi="宋体" w:cs="宋体"/>
          <w:highlight w:val="none"/>
          <w:shd w:val="clear" w:color="auto" w:fill="FFFFFF"/>
        </w:rPr>
        <w:t>                 </w:t>
      </w:r>
    </w:p>
    <w:p w14:paraId="42211421">
      <w:pPr>
        <w:pStyle w:val="10"/>
        <w:widowControl/>
        <w:spacing w:before="76" w:beforeAutospacing="0" w:after="76" w:afterAutospacing="0" w:line="360" w:lineRule="auto"/>
        <w:jc w:val="center"/>
        <w:rPr>
          <w:rFonts w:hint="eastAsia" w:ascii="宋体" w:hAnsi="宋体" w:cs="宋体"/>
          <w:b/>
          <w:bCs/>
          <w:highlight w:val="none"/>
          <w:shd w:val="clear" w:color="auto" w:fill="FFFFFF"/>
        </w:rPr>
      </w:pPr>
      <w:r>
        <w:rPr>
          <w:rFonts w:hint="eastAsia" w:ascii="宋体" w:hAnsi="宋体" w:cs="宋体"/>
          <w:b/>
          <w:bCs/>
          <w:highlight w:val="none"/>
          <w:shd w:val="clear" w:color="auto" w:fill="FFFFFF"/>
        </w:rPr>
        <w:t>中小企业声明函（工程、服务）</w:t>
      </w:r>
    </w:p>
    <w:p w14:paraId="43B381B2">
      <w:pPr>
        <w:pStyle w:val="10"/>
        <w:widowControl/>
        <w:spacing w:before="76" w:beforeAutospacing="0" w:after="76" w:afterAutospacing="0" w:line="360" w:lineRule="auto"/>
        <w:ind w:left="-3" w:firstLine="60" w:firstLineChars="25"/>
        <w:rPr>
          <w:rFonts w:hint="eastAsia" w:ascii="宋体" w:hAnsi="宋体" w:cs="宋体"/>
          <w:highlight w:val="none"/>
          <w:shd w:val="clear" w:color="auto" w:fill="FFFFFF"/>
        </w:rPr>
      </w:pPr>
      <w:r>
        <w:rPr>
          <w:rFonts w:hint="eastAsia" w:ascii="宋体" w:hAnsi="宋体" w:cs="宋体"/>
          <w:highlight w:val="none"/>
          <w:shd w:val="clear" w:color="auto" w:fill="FFFFFF"/>
        </w:rPr>
        <w:t>    本公司（联合体）郑重声明，根据《政府采购促进中小企业发展管理办法》（财库﹝2020﹞46 号）的规定，本公司（联合体）参加</w:t>
      </w:r>
      <w:r>
        <w:rPr>
          <w:rFonts w:hint="eastAsia" w:ascii="宋体" w:hAnsi="宋体" w:cs="宋体"/>
          <w:highlight w:val="none"/>
          <w:u w:val="single"/>
          <w:shd w:val="clear" w:color="auto" w:fill="FFFFFF"/>
        </w:rPr>
        <w:t>  （单位名称）</w:t>
      </w:r>
      <w:r>
        <w:rPr>
          <w:rFonts w:hint="eastAsia" w:ascii="宋体" w:hAnsi="宋体" w:cs="宋体"/>
          <w:highlight w:val="none"/>
          <w:shd w:val="clear" w:color="auto" w:fill="FFFFFF"/>
        </w:rPr>
        <w:t>的</w:t>
      </w:r>
      <w:r>
        <w:rPr>
          <w:rFonts w:hint="eastAsia" w:ascii="宋体" w:hAnsi="宋体" w:cs="宋体"/>
          <w:highlight w:val="none"/>
          <w:u w:val="single"/>
          <w:shd w:val="clear" w:color="auto" w:fill="FFFFFF"/>
        </w:rPr>
        <w:t>  （项目名称）</w:t>
      </w:r>
      <w:r>
        <w:rPr>
          <w:rFonts w:hint="eastAsia" w:ascii="宋体" w:hAnsi="宋体" w:cs="宋体"/>
          <w:highlight w:val="none"/>
          <w:shd w:val="clear" w:color="auto" w:fill="FFFFFF"/>
        </w:rPr>
        <w:t>采购活动，工程的施工单位全部为符合政策要求的中小企业（或者：服务全部由符合政策要求的中小企业承接）。相关企业（含联合体中的中小企业、签订分包意向协议的中小企业）的具体情况如下：</w:t>
      </w:r>
    </w:p>
    <w:p w14:paraId="036786F2">
      <w:pPr>
        <w:pStyle w:val="10"/>
        <w:widowControl/>
        <w:spacing w:before="76" w:beforeAutospacing="0" w:after="76" w:afterAutospacing="0" w:line="360" w:lineRule="auto"/>
        <w:ind w:left="-3" w:firstLine="60" w:firstLineChars="25"/>
        <w:rPr>
          <w:rFonts w:hint="eastAsia" w:ascii="宋体" w:hAnsi="宋体" w:cs="宋体"/>
          <w:highlight w:val="none"/>
        </w:rPr>
      </w:pPr>
      <w:r>
        <w:rPr>
          <w:rFonts w:hint="eastAsia" w:ascii="宋体" w:hAnsi="宋体" w:cs="宋体"/>
          <w:highlight w:val="none"/>
          <w:shd w:val="clear" w:color="auto" w:fill="FFFFFF"/>
        </w:rPr>
        <w:t>    1.</w:t>
      </w:r>
      <w:r>
        <w:rPr>
          <w:rFonts w:hint="eastAsia" w:ascii="宋体" w:hAnsi="宋体" w:cs="宋体"/>
          <w:highlight w:val="none"/>
          <w:u w:val="single"/>
          <w:shd w:val="clear" w:color="auto" w:fill="FFFFFF"/>
        </w:rPr>
        <w:t>  （标的名称）</w:t>
      </w:r>
      <w:r>
        <w:rPr>
          <w:rFonts w:hint="eastAsia" w:ascii="宋体" w:hAnsi="宋体" w:cs="宋体"/>
          <w:highlight w:val="none"/>
          <w:shd w:val="clear" w:color="auto" w:fill="FFFFFF"/>
        </w:rPr>
        <w:t>，属于</w:t>
      </w:r>
      <w:r>
        <w:rPr>
          <w:rFonts w:hint="eastAsia" w:ascii="宋体" w:hAnsi="宋体" w:cs="宋体"/>
          <w:highlight w:val="none"/>
          <w:u w:val="single"/>
          <w:shd w:val="clear" w:color="auto" w:fill="FFFFFF"/>
        </w:rPr>
        <w:t>  （采购文件中明确的所属行业）</w:t>
      </w:r>
      <w:r>
        <w:rPr>
          <w:rFonts w:hint="eastAsia" w:ascii="宋体" w:hAnsi="宋体" w:cs="宋体"/>
          <w:highlight w:val="none"/>
          <w:shd w:val="clear" w:color="auto" w:fill="FFFFFF"/>
        </w:rPr>
        <w:t>；承建（承接）企业为</w:t>
      </w:r>
      <w:r>
        <w:rPr>
          <w:rFonts w:hint="eastAsia" w:ascii="宋体" w:hAnsi="宋体" w:cs="宋体"/>
          <w:highlight w:val="none"/>
          <w:u w:val="single"/>
          <w:shd w:val="clear" w:color="auto" w:fill="FFFFFF"/>
        </w:rPr>
        <w:t> （企业名称）</w:t>
      </w:r>
      <w:r>
        <w:rPr>
          <w:rFonts w:hint="eastAsia" w:ascii="宋体" w:hAnsi="宋体" w:cs="宋体"/>
          <w:highlight w:val="none"/>
          <w:shd w:val="clear" w:color="auto" w:fill="FFFFFF"/>
        </w:rPr>
        <w:t>，从业人员</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人，营业收入为</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万元，资产总额为</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万元</w:t>
      </w:r>
      <w:r>
        <w:rPr>
          <w:rFonts w:hint="eastAsia" w:ascii="宋体" w:hAnsi="宋体" w:cs="宋体"/>
          <w:highlight w:val="none"/>
          <w:shd w:val="clear" w:color="auto" w:fill="FFFFFF"/>
          <w:vertAlign w:val="superscript"/>
        </w:rPr>
        <w:t>1</w:t>
      </w:r>
      <w:r>
        <w:rPr>
          <w:rFonts w:hint="eastAsia" w:ascii="宋体" w:hAnsi="宋体" w:cs="宋体"/>
          <w:highlight w:val="none"/>
          <w:shd w:val="clear" w:color="auto" w:fill="FFFFFF"/>
        </w:rPr>
        <w:t>，属于</w:t>
      </w:r>
      <w:r>
        <w:rPr>
          <w:rFonts w:hint="eastAsia" w:ascii="宋体" w:hAnsi="宋体" w:cs="宋体"/>
          <w:highlight w:val="none"/>
          <w:u w:val="single"/>
          <w:shd w:val="clear" w:color="auto" w:fill="FFFFFF"/>
        </w:rPr>
        <w:t>  （中型企业、小型企业、微型企业）</w:t>
      </w:r>
      <w:r>
        <w:rPr>
          <w:rFonts w:hint="eastAsia" w:ascii="宋体" w:hAnsi="宋体" w:cs="宋体"/>
          <w:highlight w:val="none"/>
          <w:shd w:val="clear" w:color="auto" w:fill="FFFFFF"/>
        </w:rPr>
        <w:t>；</w:t>
      </w:r>
    </w:p>
    <w:p w14:paraId="18C25751">
      <w:pPr>
        <w:pStyle w:val="10"/>
        <w:widowControl/>
        <w:spacing w:before="0" w:beforeAutospacing="0" w:after="150" w:afterAutospacing="0" w:line="360" w:lineRule="auto"/>
        <w:ind w:left="-3" w:firstLine="60" w:firstLineChars="25"/>
        <w:rPr>
          <w:rFonts w:hint="eastAsia" w:ascii="宋体" w:hAnsi="宋体" w:cs="宋体"/>
          <w:highlight w:val="none"/>
        </w:rPr>
      </w:pPr>
      <w:r>
        <w:rPr>
          <w:rFonts w:hint="eastAsia" w:ascii="宋体" w:hAnsi="宋体" w:cs="宋体"/>
          <w:highlight w:val="none"/>
          <w:shd w:val="clear" w:color="auto" w:fill="FFFFFF"/>
        </w:rPr>
        <w:t>   2.</w:t>
      </w:r>
      <w:r>
        <w:rPr>
          <w:rFonts w:hint="eastAsia" w:ascii="宋体" w:hAnsi="宋体" w:cs="宋体"/>
          <w:highlight w:val="none"/>
          <w:u w:val="single"/>
          <w:shd w:val="clear" w:color="auto" w:fill="FFFFFF"/>
        </w:rPr>
        <w:t>  （标的名称）</w:t>
      </w:r>
      <w:r>
        <w:rPr>
          <w:rFonts w:hint="eastAsia" w:ascii="宋体" w:hAnsi="宋体" w:cs="宋体"/>
          <w:highlight w:val="none"/>
          <w:shd w:val="clear" w:color="auto" w:fill="FFFFFF"/>
        </w:rPr>
        <w:t>，属于</w:t>
      </w:r>
      <w:r>
        <w:rPr>
          <w:rFonts w:hint="eastAsia" w:ascii="宋体" w:hAnsi="宋体" w:cs="宋体"/>
          <w:highlight w:val="none"/>
          <w:u w:val="single"/>
          <w:shd w:val="clear" w:color="auto" w:fill="FFFFFF"/>
        </w:rPr>
        <w:t>  （采购文件中明确的所属行业）</w:t>
      </w:r>
      <w:r>
        <w:rPr>
          <w:rFonts w:hint="eastAsia" w:ascii="宋体" w:hAnsi="宋体" w:cs="宋体"/>
          <w:highlight w:val="none"/>
          <w:shd w:val="clear" w:color="auto" w:fill="FFFFFF"/>
        </w:rPr>
        <w:t>；承建（承接）企业为</w:t>
      </w:r>
      <w:r>
        <w:rPr>
          <w:rFonts w:hint="eastAsia" w:ascii="宋体" w:hAnsi="宋体" w:cs="宋体"/>
          <w:highlight w:val="none"/>
          <w:u w:val="single"/>
          <w:shd w:val="clear" w:color="auto" w:fill="FFFFFF"/>
        </w:rPr>
        <w:t> （企业名称）</w:t>
      </w:r>
      <w:r>
        <w:rPr>
          <w:rFonts w:hint="eastAsia" w:ascii="宋体" w:hAnsi="宋体" w:cs="宋体"/>
          <w:highlight w:val="none"/>
          <w:shd w:val="clear" w:color="auto" w:fill="FFFFFF"/>
        </w:rPr>
        <w:t>，从业人员</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人，营业收入为</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万元，资产总额为</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万元</w:t>
      </w:r>
      <w:r>
        <w:rPr>
          <w:rFonts w:hint="eastAsia" w:ascii="宋体" w:hAnsi="宋体" w:cs="宋体"/>
          <w:highlight w:val="none"/>
          <w:shd w:val="clear" w:color="auto" w:fill="FFFFFF"/>
          <w:vertAlign w:val="superscript"/>
        </w:rPr>
        <w:t>1</w:t>
      </w:r>
      <w:r>
        <w:rPr>
          <w:rFonts w:hint="eastAsia" w:ascii="宋体" w:hAnsi="宋体" w:cs="宋体"/>
          <w:highlight w:val="none"/>
          <w:shd w:val="clear" w:color="auto" w:fill="FFFFFF"/>
        </w:rPr>
        <w:t>，属于</w:t>
      </w:r>
      <w:r>
        <w:rPr>
          <w:rFonts w:hint="eastAsia" w:ascii="宋体" w:hAnsi="宋体" w:cs="宋体"/>
          <w:highlight w:val="none"/>
          <w:u w:val="single"/>
          <w:shd w:val="clear" w:color="auto" w:fill="FFFFFF"/>
        </w:rPr>
        <w:t>  （中型企业、小型企业、微型企业）</w:t>
      </w:r>
      <w:r>
        <w:rPr>
          <w:rFonts w:hint="eastAsia" w:ascii="宋体" w:hAnsi="宋体" w:cs="宋体"/>
          <w:highlight w:val="none"/>
          <w:shd w:val="clear" w:color="auto" w:fill="FFFFFF"/>
        </w:rPr>
        <w:t>；</w:t>
      </w:r>
    </w:p>
    <w:p w14:paraId="7498482C">
      <w:pPr>
        <w:pStyle w:val="10"/>
        <w:widowControl/>
        <w:spacing w:before="0" w:beforeAutospacing="0" w:after="150" w:afterAutospacing="0" w:line="360" w:lineRule="auto"/>
        <w:ind w:left="-3" w:firstLine="60" w:firstLineChars="25"/>
        <w:rPr>
          <w:rFonts w:hint="eastAsia" w:ascii="宋体" w:hAnsi="宋体" w:cs="宋体"/>
          <w:highlight w:val="none"/>
        </w:rPr>
      </w:pPr>
      <w:r>
        <w:rPr>
          <w:rFonts w:hint="eastAsia" w:ascii="宋体" w:hAnsi="宋体" w:cs="宋体"/>
          <w:highlight w:val="none"/>
          <w:shd w:val="clear" w:color="auto" w:fill="FFFFFF"/>
        </w:rPr>
        <w:t>……</w:t>
      </w:r>
    </w:p>
    <w:p w14:paraId="69961152">
      <w:pPr>
        <w:pStyle w:val="10"/>
        <w:widowControl/>
        <w:spacing w:before="0" w:beforeAutospacing="0" w:after="150" w:afterAutospacing="0" w:line="360" w:lineRule="auto"/>
        <w:ind w:left="-3" w:firstLine="60" w:firstLineChars="25"/>
        <w:rPr>
          <w:rFonts w:hint="eastAsia" w:ascii="宋体" w:hAnsi="宋体" w:cs="宋体"/>
          <w:highlight w:val="none"/>
        </w:rPr>
      </w:pPr>
      <w:r>
        <w:rPr>
          <w:rFonts w:hint="eastAsia" w:ascii="宋体" w:hAnsi="宋体" w:cs="宋体"/>
          <w:highlight w:val="none"/>
          <w:shd w:val="clear" w:color="auto" w:fill="FFFFFF"/>
        </w:rPr>
        <w:t>      以上企业，不属于大企业的分支机构，不存在控股股东为大企业的情形，也不存在与大企业的负责人为同一人的情形。</w:t>
      </w:r>
    </w:p>
    <w:p w14:paraId="17C2B142">
      <w:pPr>
        <w:pStyle w:val="10"/>
        <w:widowControl/>
        <w:spacing w:before="0" w:beforeAutospacing="0" w:after="150" w:afterAutospacing="0" w:line="360" w:lineRule="auto"/>
        <w:ind w:left="-3" w:firstLine="60" w:firstLineChars="25"/>
        <w:rPr>
          <w:rFonts w:hint="eastAsia" w:ascii="宋体" w:hAnsi="宋体" w:cs="宋体"/>
          <w:highlight w:val="none"/>
          <w:shd w:val="clear" w:color="auto" w:fill="FFFFFF"/>
        </w:rPr>
      </w:pPr>
      <w:r>
        <w:rPr>
          <w:rFonts w:hint="eastAsia" w:ascii="宋体" w:hAnsi="宋体" w:cs="宋体"/>
          <w:highlight w:val="none"/>
          <w:shd w:val="clear" w:color="auto" w:fill="FFFFFF"/>
        </w:rPr>
        <w:t>     本企业对上述声明内容的真实性负责。如有虚假，将依法承担相应责任。</w:t>
      </w:r>
    </w:p>
    <w:p w14:paraId="78982426">
      <w:pPr>
        <w:pStyle w:val="11"/>
        <w:numPr>
          <w:ilvl w:val="1"/>
          <w:numId w:val="0"/>
        </w:numPr>
        <w:outlineLvl w:val="9"/>
        <w:rPr>
          <w:rFonts w:ascii="宋体" w:hAnsi="宋体" w:eastAsia="宋体"/>
          <w:szCs w:val="24"/>
          <w:highlight w:val="none"/>
        </w:rPr>
      </w:pPr>
    </w:p>
    <w:p w14:paraId="28F3631F">
      <w:pPr>
        <w:pStyle w:val="10"/>
        <w:widowControl/>
        <w:spacing w:before="0" w:beforeAutospacing="0" w:after="150" w:afterAutospacing="0" w:line="360" w:lineRule="auto"/>
        <w:ind w:left="-3" w:firstLine="60" w:firstLineChars="25"/>
        <w:rPr>
          <w:rFonts w:hint="eastAsia" w:ascii="宋体" w:hAnsi="宋体" w:cs="宋体"/>
          <w:highlight w:val="none"/>
          <w:shd w:val="clear" w:color="auto" w:fill="FFFFFF"/>
        </w:rPr>
      </w:pPr>
      <w:r>
        <w:rPr>
          <w:rFonts w:hint="eastAsia" w:ascii="宋体" w:hAnsi="宋体" w:cs="宋体"/>
          <w:highlight w:val="none"/>
          <w:shd w:val="clear" w:color="auto" w:fill="FFFFFF"/>
        </w:rPr>
        <w:t>                                     企业名称（盖章）：        </w:t>
      </w:r>
    </w:p>
    <w:p w14:paraId="045E839F">
      <w:pPr>
        <w:pStyle w:val="10"/>
        <w:widowControl/>
        <w:spacing w:before="0" w:beforeAutospacing="0" w:after="150" w:afterAutospacing="0" w:line="360" w:lineRule="auto"/>
        <w:ind w:left="-3" w:firstLine="60" w:firstLineChars="25"/>
        <w:rPr>
          <w:rFonts w:hint="eastAsia" w:ascii="宋体" w:hAnsi="宋体" w:cs="宋体"/>
          <w:highlight w:val="none"/>
        </w:rPr>
      </w:pPr>
      <w:r>
        <w:rPr>
          <w:rFonts w:hint="eastAsia" w:ascii="宋体" w:hAnsi="宋体" w:cs="宋体"/>
          <w:highlight w:val="none"/>
          <w:shd w:val="clear" w:color="auto" w:fill="FFFFFF"/>
        </w:rPr>
        <w:t>                                            日期：</w:t>
      </w:r>
    </w:p>
    <w:p w14:paraId="0E2C5874">
      <w:pPr>
        <w:pStyle w:val="10"/>
        <w:widowControl/>
        <w:spacing w:before="0" w:beforeAutospacing="0" w:after="150" w:afterAutospacing="0" w:line="360" w:lineRule="auto"/>
        <w:ind w:left="-3" w:firstLine="60" w:firstLineChars="25"/>
        <w:rPr>
          <w:rFonts w:hint="eastAsia" w:ascii="宋体" w:hAnsi="宋体" w:cs="宋体"/>
          <w:highlight w:val="none"/>
        </w:rPr>
      </w:pPr>
      <w:r>
        <w:rPr>
          <w:rFonts w:hint="eastAsia" w:ascii="宋体" w:hAnsi="宋体" w:cs="宋体"/>
          <w:highlight w:val="none"/>
          <w:shd w:val="clear" w:color="auto" w:fill="FFFFFF"/>
        </w:rPr>
        <w:t xml:space="preserve">    </w:t>
      </w:r>
      <w:r>
        <w:rPr>
          <w:rFonts w:hint="eastAsia" w:ascii="宋体" w:hAnsi="宋体" w:cs="宋体"/>
          <w:highlight w:val="none"/>
          <w:shd w:val="clear" w:color="auto" w:fill="FFFFFF"/>
          <w:vertAlign w:val="superscript"/>
        </w:rPr>
        <w:t>1</w:t>
      </w:r>
      <w:r>
        <w:rPr>
          <w:rFonts w:hint="eastAsia" w:ascii="宋体" w:hAnsi="宋体" w:cs="宋体"/>
          <w:highlight w:val="none"/>
          <w:shd w:val="clear" w:color="auto" w:fill="FFFFFF"/>
        </w:rPr>
        <w:t>从业人员、营业收入、资产总额填报上一年度数据，无上一年度数据的新成立企业可不填报。</w:t>
      </w:r>
    </w:p>
    <w:p w14:paraId="49A0C752">
      <w:pPr>
        <w:pStyle w:val="10"/>
        <w:rPr>
          <w:rFonts w:hint="eastAsia" w:ascii="宋体" w:hAnsi="宋体" w:cs="宋体"/>
          <w:highlight w:val="none"/>
        </w:rPr>
      </w:pPr>
      <w:r>
        <w:rPr>
          <w:rFonts w:hint="eastAsia" w:ascii="宋体" w:hAnsi="宋体" w:cs="宋体"/>
          <w:highlight w:val="none"/>
        </w:rPr>
        <w:br w:type="page"/>
      </w:r>
      <w:r>
        <w:rPr>
          <w:rFonts w:hint="eastAsia" w:ascii="宋体" w:hAnsi="宋体" w:cs="宋体"/>
          <w:highlight w:val="none"/>
        </w:rPr>
        <w:t>附：</w:t>
      </w:r>
    </w:p>
    <w:p w14:paraId="3FC92C2A">
      <w:pPr>
        <w:pStyle w:val="10"/>
        <w:jc w:val="center"/>
        <w:rPr>
          <w:rFonts w:hint="eastAsia" w:ascii="宋体" w:hAnsi="宋体" w:cs="宋体"/>
          <w:highlight w:val="none"/>
        </w:rPr>
      </w:pPr>
      <w:r>
        <w:rPr>
          <w:rStyle w:val="34"/>
          <w:rFonts w:hint="eastAsia" w:ascii="宋体" w:hAnsi="宋体" w:cs="宋体"/>
          <w:highlight w:val="none"/>
        </w:rPr>
        <w:t>残疾人福利性单位声明函</w:t>
      </w:r>
    </w:p>
    <w:p w14:paraId="019B6052">
      <w:pPr>
        <w:pStyle w:val="10"/>
        <w:jc w:val="center"/>
        <w:rPr>
          <w:rFonts w:hint="eastAsia" w:ascii="宋体" w:hAnsi="宋体" w:cs="宋体"/>
          <w:highlight w:val="none"/>
        </w:rPr>
      </w:pPr>
      <w:r>
        <w:rPr>
          <w:rStyle w:val="34"/>
          <w:rFonts w:hint="eastAsia" w:ascii="宋体" w:hAnsi="宋体" w:cs="宋体"/>
          <w:highlight w:val="none"/>
        </w:rPr>
        <w:t>（专门面向中小企业或小型、微型企业适用，若有）</w:t>
      </w:r>
    </w:p>
    <w:p w14:paraId="103CD5B9">
      <w:pPr>
        <w:pStyle w:val="10"/>
        <w:ind w:firstLine="480" w:firstLineChars="200"/>
        <w:rPr>
          <w:rFonts w:hint="eastAsia" w:ascii="宋体" w:hAnsi="宋体" w:cs="宋体"/>
          <w:highlight w:val="none"/>
        </w:rPr>
      </w:pPr>
      <w:r>
        <w:rPr>
          <w:rFonts w:hint="eastAsia" w:ascii="宋体" w:hAnsi="宋体" w:cs="宋体"/>
          <w:highlight w:val="none"/>
        </w:rPr>
        <w:t>本投标人郑重声明，根据《财政部 民政部 中国残疾人联合会关于促进残疾人就业政府采购政策的通知》（财库</w:t>
      </w:r>
      <w:r>
        <w:rPr>
          <w:rFonts w:hint="eastAsia" w:ascii="宋体" w:hAnsi="宋体" w:cs="宋体"/>
          <w:highlight w:val="none"/>
          <w:lang w:eastAsia="zh-CN"/>
        </w:rPr>
        <w:t>〔2017〕141号</w:t>
      </w:r>
      <w:r>
        <w:rPr>
          <w:rFonts w:hint="eastAsia" w:ascii="宋体" w:hAnsi="宋体" w:cs="宋体"/>
          <w:highlight w:val="none"/>
        </w:rPr>
        <w:t>）、《政府采购促进中小企业发展管理办法》（财库〔2020〕46号）的规定，本投标人为符合条件的残疾人福利性单位，且本投标人参加贵单位的（填写“项目名称”）项目采购活动：</w:t>
      </w:r>
    </w:p>
    <w:p w14:paraId="72477031">
      <w:pPr>
        <w:pStyle w:val="10"/>
        <w:rPr>
          <w:rFonts w:hint="eastAsia" w:ascii="宋体" w:hAnsi="宋体" w:cs="宋体"/>
          <w:highlight w:val="none"/>
        </w:rPr>
      </w:pPr>
      <w:r>
        <w:rPr>
          <w:rFonts w:hint="eastAsia" w:ascii="宋体" w:hAnsi="宋体" w:cs="宋体"/>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58A1896">
      <w:pPr>
        <w:pStyle w:val="10"/>
        <w:rPr>
          <w:rFonts w:hint="eastAsia" w:ascii="宋体" w:hAnsi="宋体" w:cs="宋体"/>
          <w:highlight w:val="none"/>
        </w:rPr>
      </w:pPr>
      <w:r>
        <w:rPr>
          <w:rFonts w:hint="eastAsia" w:ascii="宋体" w:hAnsi="宋体" w:cs="宋体"/>
          <w:highlight w:val="none"/>
        </w:rPr>
        <w:t>（ ）由本投标人承建的（填写“所投采购包、品目号”）工程</w:t>
      </w:r>
    </w:p>
    <w:p w14:paraId="6723625D">
      <w:pPr>
        <w:pStyle w:val="10"/>
        <w:rPr>
          <w:rFonts w:hint="eastAsia" w:ascii="宋体" w:hAnsi="宋体" w:cs="宋体"/>
          <w:highlight w:val="none"/>
        </w:rPr>
      </w:pPr>
      <w:r>
        <w:rPr>
          <w:rFonts w:hint="eastAsia" w:ascii="宋体" w:hAnsi="宋体" w:cs="宋体"/>
          <w:highlight w:val="none"/>
        </w:rPr>
        <w:t>（ ）由本投标人承接的（填写“所投采购包、品目号”）服务；</w:t>
      </w:r>
    </w:p>
    <w:p w14:paraId="0F09747F">
      <w:pPr>
        <w:pStyle w:val="10"/>
        <w:rPr>
          <w:rFonts w:hint="eastAsia" w:ascii="宋体" w:hAnsi="宋体" w:cs="宋体"/>
          <w:highlight w:val="none"/>
        </w:rPr>
      </w:pPr>
      <w:r>
        <w:rPr>
          <w:rFonts w:hint="eastAsia" w:ascii="宋体" w:hAnsi="宋体" w:cs="宋体"/>
          <w:highlight w:val="none"/>
        </w:rPr>
        <w:t>本投标人对上述声明的真实性负责。如有虚假，将依法承担相应责任。</w:t>
      </w:r>
    </w:p>
    <w:p w14:paraId="5D707F27">
      <w:pPr>
        <w:pStyle w:val="10"/>
        <w:rPr>
          <w:rFonts w:hint="eastAsia" w:ascii="宋体" w:hAnsi="宋体" w:cs="宋体"/>
          <w:highlight w:val="none"/>
        </w:rPr>
      </w:pPr>
      <w:r>
        <w:rPr>
          <w:rFonts w:hint="eastAsia" w:ascii="宋体" w:hAnsi="宋体" w:cs="宋体"/>
          <w:highlight w:val="none"/>
        </w:rPr>
        <w:t>备注：</w:t>
      </w:r>
    </w:p>
    <w:p w14:paraId="10BF5B52">
      <w:pPr>
        <w:pStyle w:val="10"/>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请投标人按照实际情况编制填写本声明函，并在相应的（）中打“√”。</w:t>
      </w:r>
    </w:p>
    <w:p w14:paraId="1DA0B90F">
      <w:pPr>
        <w:pStyle w:val="10"/>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若《残疾人福利性单位声明函》内容不真实，视为提供虚假材料。</w:t>
      </w:r>
    </w:p>
    <w:p w14:paraId="7C52BB30">
      <w:pPr>
        <w:pStyle w:val="10"/>
        <w:rPr>
          <w:rFonts w:hint="eastAsia" w:ascii="宋体" w:hAnsi="宋体" w:cs="宋体"/>
          <w:highlight w:val="none"/>
        </w:rPr>
      </w:pPr>
    </w:p>
    <w:p w14:paraId="05807980">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0C50E2D6">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79824544">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62514B42">
      <w:pPr>
        <w:pStyle w:val="10"/>
        <w:rPr>
          <w:rFonts w:hint="eastAsia" w:ascii="宋体" w:hAnsi="宋体" w:cs="宋体"/>
          <w:highlight w:val="none"/>
        </w:rPr>
      </w:pPr>
    </w:p>
    <w:p w14:paraId="0BEC38F7">
      <w:pPr>
        <w:pStyle w:val="10"/>
        <w:rPr>
          <w:rFonts w:hint="eastAsia" w:ascii="宋体" w:hAnsi="宋体" w:cs="宋体"/>
          <w:highlight w:val="none"/>
        </w:rPr>
      </w:pPr>
      <w:r>
        <w:rPr>
          <w:rFonts w:hint="eastAsia" w:ascii="宋体" w:hAnsi="宋体" w:cs="宋体"/>
          <w:highlight w:val="none"/>
        </w:rPr>
        <w:t> </w:t>
      </w:r>
    </w:p>
    <w:p w14:paraId="1DF57B97">
      <w:pPr>
        <w:pStyle w:val="10"/>
        <w:rPr>
          <w:rFonts w:hint="eastAsia" w:ascii="宋体" w:hAnsi="宋体" w:cs="宋体"/>
          <w:highlight w:val="none"/>
        </w:rPr>
      </w:pPr>
      <w:r>
        <w:rPr>
          <w:rFonts w:hint="eastAsia" w:ascii="宋体" w:hAnsi="宋体" w:cs="宋体"/>
          <w:highlight w:val="none"/>
        </w:rPr>
        <w:t> </w:t>
      </w:r>
    </w:p>
    <w:p w14:paraId="3BE6595E">
      <w:pPr>
        <w:pStyle w:val="10"/>
        <w:jc w:val="center"/>
        <w:rPr>
          <w:rFonts w:hint="eastAsia" w:ascii="宋体" w:hAnsi="宋体" w:cs="宋体"/>
          <w:highlight w:val="none"/>
        </w:rPr>
      </w:pPr>
    </w:p>
    <w:p w14:paraId="6940746B">
      <w:pPr>
        <w:pStyle w:val="11"/>
        <w:numPr>
          <w:ilvl w:val="1"/>
          <w:numId w:val="0"/>
        </w:numPr>
        <w:outlineLvl w:val="9"/>
        <w:rPr>
          <w:rFonts w:ascii="宋体" w:hAnsi="宋体" w:eastAsia="宋体"/>
          <w:highlight w:val="none"/>
        </w:rPr>
      </w:pPr>
    </w:p>
    <w:p w14:paraId="68D40E1F">
      <w:pPr>
        <w:pStyle w:val="10"/>
        <w:jc w:val="center"/>
        <w:rPr>
          <w:rFonts w:hint="eastAsia" w:ascii="宋体" w:hAnsi="宋体" w:cs="宋体"/>
          <w:highlight w:val="none"/>
        </w:rPr>
      </w:pPr>
      <w:r>
        <w:rPr>
          <w:rFonts w:hint="eastAsia" w:ascii="宋体" w:hAnsi="宋体" w:cs="宋体"/>
          <w:highlight w:val="none"/>
        </w:rPr>
        <w:br w:type="page"/>
      </w:r>
      <w:r>
        <w:rPr>
          <w:rStyle w:val="34"/>
          <w:rFonts w:hint="eastAsia" w:ascii="宋体" w:hAnsi="宋体" w:cs="宋体"/>
          <w:highlight w:val="none"/>
        </w:rPr>
        <w:t>二-12其他资格证明文件（若有）</w:t>
      </w:r>
    </w:p>
    <w:p w14:paraId="4D9C1311">
      <w:pPr>
        <w:pStyle w:val="10"/>
        <w:jc w:val="center"/>
        <w:rPr>
          <w:rFonts w:hint="eastAsia" w:ascii="宋体" w:hAnsi="宋体" w:cs="宋体"/>
          <w:highlight w:val="none"/>
        </w:rPr>
      </w:pPr>
      <w:r>
        <w:rPr>
          <w:rFonts w:hint="eastAsia" w:ascii="宋体" w:hAnsi="宋体" w:cs="宋体"/>
          <w:highlight w:val="none"/>
        </w:rPr>
        <w:t>二</w:t>
      </w:r>
      <w:r>
        <w:rPr>
          <w:rStyle w:val="34"/>
          <w:rFonts w:hint="eastAsia" w:ascii="宋体" w:hAnsi="宋体" w:cs="宋体"/>
          <w:highlight w:val="none"/>
        </w:rPr>
        <w:t>-12-①招标文件规定的其他资格证明文件（若有）</w:t>
      </w:r>
    </w:p>
    <w:p w14:paraId="478020F8">
      <w:pPr>
        <w:pStyle w:val="10"/>
        <w:jc w:val="center"/>
        <w:rPr>
          <w:rFonts w:hint="eastAsia" w:ascii="宋体" w:hAnsi="宋体" w:cs="宋体"/>
          <w:highlight w:val="none"/>
        </w:rPr>
      </w:pPr>
      <w:r>
        <w:rPr>
          <w:rFonts w:hint="eastAsia" w:ascii="宋体" w:hAnsi="宋体" w:cs="宋体"/>
          <w:highlight w:val="none"/>
        </w:rPr>
        <w:t>编制说明</w:t>
      </w:r>
    </w:p>
    <w:p w14:paraId="7EFE7A2F">
      <w:pPr>
        <w:pStyle w:val="10"/>
        <w:jc w:val="center"/>
        <w:rPr>
          <w:rFonts w:hint="eastAsia" w:ascii="宋体" w:hAnsi="宋体" w:cs="宋体"/>
          <w:highlight w:val="none"/>
        </w:rPr>
      </w:pPr>
      <w:r>
        <w:rPr>
          <w:rFonts w:hint="eastAsia" w:ascii="宋体" w:hAnsi="宋体" w:cs="宋体"/>
          <w:highlight w:val="none"/>
        </w:rPr>
        <w:t> </w:t>
      </w:r>
    </w:p>
    <w:p w14:paraId="13641324">
      <w:pPr>
        <w:pStyle w:val="10"/>
        <w:ind w:firstLine="330"/>
        <w:rPr>
          <w:rFonts w:hint="eastAsia" w:ascii="宋体" w:hAnsi="宋体" w:cs="宋体"/>
          <w:highlight w:val="none"/>
        </w:rPr>
      </w:pPr>
      <w:r>
        <w:rPr>
          <w:rFonts w:hint="eastAsia" w:ascii="宋体" w:hAnsi="宋体" w:cs="宋体"/>
          <w:highlight w:val="none"/>
        </w:rPr>
        <w:t>除招标文件另有规定外，招标文件要求提交的除前述资格证明文件外的其他资格证明文件（若有）加盖投标人的单位公章后应在此项下提交。</w:t>
      </w:r>
    </w:p>
    <w:p w14:paraId="554EAA60">
      <w:pPr>
        <w:pStyle w:val="10"/>
        <w:rPr>
          <w:rFonts w:hint="eastAsia" w:ascii="宋体" w:hAnsi="宋体" w:cs="宋体"/>
          <w:highlight w:val="none"/>
        </w:rPr>
      </w:pPr>
      <w:r>
        <w:rPr>
          <w:rStyle w:val="34"/>
          <w:rFonts w:hint="eastAsia" w:ascii="宋体" w:hAnsi="宋体" w:cs="宋体"/>
          <w:highlight w:val="none"/>
        </w:rPr>
        <w:t> </w:t>
      </w:r>
    </w:p>
    <w:p w14:paraId="135E77BC">
      <w:pPr>
        <w:pStyle w:val="10"/>
        <w:jc w:val="center"/>
        <w:outlineLvl w:val="0"/>
        <w:rPr>
          <w:rFonts w:hint="eastAsia" w:ascii="宋体" w:hAnsi="宋体" w:cs="宋体"/>
          <w:highlight w:val="none"/>
        </w:rPr>
      </w:pPr>
      <w:r>
        <w:rPr>
          <w:rFonts w:hint="eastAsia" w:ascii="宋体" w:hAnsi="宋体" w:cs="宋体"/>
          <w:highlight w:val="none"/>
        </w:rPr>
        <w:br w:type="page"/>
      </w:r>
      <w:bookmarkStart w:id="195" w:name="_Toc20961"/>
      <w:r>
        <w:rPr>
          <w:rFonts w:hint="eastAsia" w:ascii="宋体" w:hAnsi="宋体" w:cs="宋体"/>
          <w:highlight w:val="none"/>
        </w:rPr>
        <w:t>三</w:t>
      </w:r>
      <w:r>
        <w:rPr>
          <w:rStyle w:val="34"/>
          <w:rFonts w:hint="eastAsia" w:ascii="宋体" w:hAnsi="宋体" w:cs="宋体"/>
          <w:highlight w:val="none"/>
        </w:rPr>
        <w:t>、投标保证金</w:t>
      </w:r>
      <w:bookmarkEnd w:id="195"/>
    </w:p>
    <w:p w14:paraId="5EB7EBA5">
      <w:pPr>
        <w:pStyle w:val="10"/>
        <w:rPr>
          <w:rFonts w:hint="eastAsia" w:ascii="宋体" w:hAnsi="宋体" w:cs="宋体"/>
          <w:highlight w:val="none"/>
        </w:rPr>
      </w:pPr>
    </w:p>
    <w:p w14:paraId="1C1B8FFA">
      <w:pPr>
        <w:pStyle w:val="10"/>
        <w:rPr>
          <w:rFonts w:hint="eastAsia" w:ascii="宋体" w:hAnsi="宋体" w:cs="宋体"/>
          <w:highlight w:val="none"/>
        </w:rPr>
      </w:pPr>
    </w:p>
    <w:p w14:paraId="46028408">
      <w:pPr>
        <w:pStyle w:val="10"/>
        <w:jc w:val="center"/>
        <w:outlineLvl w:val="0"/>
        <w:rPr>
          <w:rFonts w:hint="eastAsia" w:ascii="宋体" w:hAnsi="宋体" w:cs="宋体"/>
          <w:highlight w:val="none"/>
        </w:rPr>
      </w:pPr>
      <w:bookmarkStart w:id="196" w:name="_Toc23959"/>
      <w:r>
        <w:rPr>
          <w:rFonts w:hint="eastAsia" w:ascii="宋体" w:hAnsi="宋体" w:cs="宋体"/>
          <w:highlight w:val="none"/>
        </w:rPr>
        <w:t>编制说明</w:t>
      </w:r>
      <w:bookmarkEnd w:id="196"/>
    </w:p>
    <w:p w14:paraId="1DA1CE08">
      <w:pPr>
        <w:pStyle w:val="10"/>
        <w:rPr>
          <w:rFonts w:hint="eastAsia" w:ascii="宋体" w:hAnsi="宋体" w:cs="宋体"/>
          <w:highlight w:val="none"/>
        </w:rPr>
      </w:pPr>
    </w:p>
    <w:p w14:paraId="3C4AA22C">
      <w:pPr>
        <w:pStyle w:val="10"/>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在此项下提交的</w:t>
      </w:r>
      <w:r>
        <w:rPr>
          <w:rStyle w:val="34"/>
          <w:rFonts w:hint="eastAsia" w:ascii="宋体" w:hAnsi="宋体" w:cs="宋体"/>
          <w:highlight w:val="none"/>
        </w:rPr>
        <w:t>“投标保证金”</w:t>
      </w:r>
      <w:r>
        <w:rPr>
          <w:rFonts w:hint="eastAsia" w:ascii="宋体" w:hAnsi="宋体" w:cs="宋体"/>
          <w:highlight w:val="none"/>
        </w:rPr>
        <w:t>材料可使用转账凭证复印件有关原始页面的打印件。</w:t>
      </w:r>
    </w:p>
    <w:p w14:paraId="26D95ED8">
      <w:pPr>
        <w:pStyle w:val="10"/>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投标保证金是否已提交的认定按照招标文件第三章规定执行。</w:t>
      </w:r>
    </w:p>
    <w:p w14:paraId="2529684A">
      <w:pPr>
        <w:rPr>
          <w:rFonts w:hint="eastAsia" w:ascii="宋体" w:hAnsi="宋体" w:cs="宋体"/>
          <w:highlight w:val="none"/>
        </w:rPr>
      </w:pPr>
      <w:r>
        <w:rPr>
          <w:rFonts w:hint="eastAsia" w:ascii="宋体" w:hAnsi="宋体" w:cs="宋体"/>
          <w:highlight w:val="none"/>
        </w:rPr>
        <w:br w:type="page"/>
      </w:r>
    </w:p>
    <w:p w14:paraId="3AAD1BDC">
      <w:pPr>
        <w:spacing w:line="370" w:lineRule="exact"/>
        <w:rPr>
          <w:rFonts w:hint="eastAsia" w:ascii="宋体" w:hAnsi="宋体" w:cs="宋体"/>
          <w:szCs w:val="21"/>
          <w:highlight w:val="none"/>
        </w:rPr>
      </w:pPr>
      <w:r>
        <w:rPr>
          <w:rFonts w:hint="eastAsia" w:ascii="宋体" w:hAnsi="宋体" w:cs="宋体"/>
          <w:szCs w:val="21"/>
          <w:highlight w:val="none"/>
        </w:rPr>
        <w:t>附件：</w:t>
      </w:r>
    </w:p>
    <w:p w14:paraId="4176F45C">
      <w:pPr>
        <w:keepNext/>
        <w:keepLines/>
        <w:spacing w:before="340" w:after="330" w:line="370" w:lineRule="exact"/>
        <w:jc w:val="center"/>
        <w:outlineLvl w:val="0"/>
        <w:rPr>
          <w:rFonts w:hint="eastAsia" w:ascii="宋体" w:hAnsi="宋体" w:cs="宋体"/>
          <w:b/>
          <w:kern w:val="44"/>
          <w:sz w:val="24"/>
          <w:highlight w:val="none"/>
        </w:rPr>
      </w:pPr>
      <w:bookmarkStart w:id="197" w:name="_Toc17016"/>
      <w:r>
        <w:rPr>
          <w:rFonts w:hint="eastAsia" w:ascii="宋体" w:hAnsi="宋体" w:cs="宋体"/>
          <w:b/>
          <w:kern w:val="44"/>
          <w:sz w:val="24"/>
          <w:highlight w:val="none"/>
        </w:rPr>
        <w:t>供应商资格承诺函</w:t>
      </w:r>
      <w:bookmarkEnd w:id="197"/>
    </w:p>
    <w:p w14:paraId="05D65AFD">
      <w:pPr>
        <w:spacing w:line="370" w:lineRule="exact"/>
        <w:rPr>
          <w:rFonts w:hint="eastAsia" w:ascii="宋体" w:hAnsi="宋体" w:cs="宋体"/>
          <w:sz w:val="24"/>
          <w:highlight w:val="none"/>
        </w:rPr>
      </w:pPr>
      <w:r>
        <w:rPr>
          <w:rFonts w:hint="eastAsia" w:ascii="宋体" w:hAnsi="宋体" w:cs="宋体"/>
          <w:sz w:val="24"/>
          <w:highlight w:val="none"/>
        </w:rPr>
        <w:t>致（采购人或采购代理机构）</w:t>
      </w:r>
      <w:r>
        <w:rPr>
          <w:rFonts w:hint="eastAsia" w:ascii="宋体" w:hAnsi="宋体" w:cs="宋体"/>
          <w:sz w:val="24"/>
          <w:highlight w:val="none"/>
          <w:lang w:eastAsia="zh-CN"/>
        </w:rPr>
        <w:t>：</w:t>
      </w:r>
    </w:p>
    <w:p w14:paraId="31AC8E05">
      <w:pPr>
        <w:spacing w:line="370" w:lineRule="exact"/>
        <w:rPr>
          <w:rFonts w:hint="eastAsia" w:ascii="宋体" w:hAnsi="宋体" w:cs="宋体"/>
          <w:sz w:val="24"/>
          <w:highlight w:val="none"/>
        </w:rPr>
      </w:pPr>
      <w:r>
        <w:rPr>
          <w:rFonts w:hint="eastAsia" w:ascii="宋体" w:hAnsi="宋体" w:cs="宋体"/>
          <w:sz w:val="24"/>
          <w:highlight w:val="none"/>
        </w:rPr>
        <w:t>单位名称（自然人姓名）</w:t>
      </w:r>
      <w:r>
        <w:rPr>
          <w:rFonts w:hint="eastAsia" w:ascii="宋体" w:hAnsi="宋体" w:cs="宋体"/>
          <w:sz w:val="24"/>
          <w:highlight w:val="none"/>
          <w:lang w:eastAsia="zh-CN"/>
        </w:rPr>
        <w:t>：</w:t>
      </w:r>
    </w:p>
    <w:p w14:paraId="6E30A1D7">
      <w:pPr>
        <w:spacing w:line="370" w:lineRule="exact"/>
        <w:rPr>
          <w:rFonts w:hint="eastAsia" w:ascii="宋体" w:hAnsi="宋体" w:cs="宋体"/>
          <w:sz w:val="24"/>
          <w:highlight w:val="none"/>
        </w:rPr>
      </w:pPr>
      <w:r>
        <w:rPr>
          <w:rFonts w:hint="eastAsia" w:ascii="宋体" w:hAnsi="宋体" w:cs="宋体"/>
          <w:sz w:val="24"/>
          <w:highlight w:val="none"/>
        </w:rPr>
        <w:t>统一社会信用代码（身份证号码）</w:t>
      </w:r>
      <w:r>
        <w:rPr>
          <w:rFonts w:hint="eastAsia" w:ascii="宋体" w:hAnsi="宋体" w:cs="宋体"/>
          <w:sz w:val="24"/>
          <w:highlight w:val="none"/>
          <w:lang w:eastAsia="zh-CN"/>
        </w:rPr>
        <w:t>：</w:t>
      </w:r>
    </w:p>
    <w:p w14:paraId="0E0D3A6A">
      <w:pPr>
        <w:spacing w:line="370" w:lineRule="exact"/>
        <w:rPr>
          <w:rFonts w:hint="eastAsia" w:ascii="宋体" w:hAnsi="宋体" w:cs="宋体"/>
          <w:sz w:val="24"/>
          <w:highlight w:val="none"/>
        </w:rPr>
      </w:pPr>
      <w:r>
        <w:rPr>
          <w:rFonts w:hint="eastAsia" w:ascii="宋体" w:hAnsi="宋体" w:cs="宋体"/>
          <w:sz w:val="24"/>
          <w:highlight w:val="none"/>
        </w:rPr>
        <w:t>法定代表人（负责人）</w:t>
      </w:r>
      <w:r>
        <w:rPr>
          <w:rFonts w:hint="eastAsia" w:ascii="宋体" w:hAnsi="宋体" w:cs="宋体"/>
          <w:sz w:val="24"/>
          <w:highlight w:val="none"/>
          <w:lang w:eastAsia="zh-CN"/>
        </w:rPr>
        <w:t>：</w:t>
      </w:r>
    </w:p>
    <w:p w14:paraId="22D64186">
      <w:pPr>
        <w:spacing w:line="370" w:lineRule="exact"/>
        <w:rPr>
          <w:rFonts w:hint="eastAsia" w:ascii="宋体" w:hAnsi="宋体" w:cs="宋体"/>
          <w:sz w:val="24"/>
          <w:highlight w:val="none"/>
        </w:rPr>
      </w:pPr>
      <w:r>
        <w:rPr>
          <w:rFonts w:hint="eastAsia" w:ascii="宋体" w:hAnsi="宋体" w:cs="宋体"/>
          <w:sz w:val="24"/>
          <w:highlight w:val="none"/>
        </w:rPr>
        <w:t>联系地址和电话</w:t>
      </w:r>
      <w:r>
        <w:rPr>
          <w:rFonts w:hint="eastAsia" w:ascii="宋体" w:hAnsi="宋体" w:cs="宋体"/>
          <w:sz w:val="24"/>
          <w:highlight w:val="none"/>
          <w:lang w:eastAsia="zh-CN"/>
        </w:rPr>
        <w:t>：</w:t>
      </w:r>
    </w:p>
    <w:p w14:paraId="37C6BD0A">
      <w:pPr>
        <w:spacing w:line="370" w:lineRule="exact"/>
        <w:rPr>
          <w:rFonts w:hint="eastAsia" w:ascii="宋体" w:hAnsi="宋体" w:cs="宋体"/>
          <w:sz w:val="24"/>
          <w:highlight w:val="none"/>
        </w:rPr>
      </w:pPr>
    </w:p>
    <w:p w14:paraId="7B2D8E5A">
      <w:pPr>
        <w:spacing w:line="370" w:lineRule="exact"/>
        <w:ind w:firstLine="480" w:firstLineChars="200"/>
        <w:rPr>
          <w:rFonts w:hint="eastAsia" w:ascii="宋体" w:hAnsi="宋体" w:cs="宋体"/>
          <w:sz w:val="24"/>
          <w:highlight w:val="none"/>
        </w:rPr>
      </w:pPr>
      <w:r>
        <w:rPr>
          <w:rFonts w:hint="eastAsia" w:ascii="宋体" w:hAnsi="宋体" w:cs="宋体"/>
          <w:sz w:val="24"/>
          <w:highlight w:val="none"/>
        </w:rPr>
        <w:t>我单位（本人）自愿参加本次政府采购活动，严格遵守《中华人民共和国政府采购法》及相关法律法规，坚守公开、公平公正和诚实信用等原则，依法诚信经营，并郑重承诺</w:t>
      </w:r>
      <w:r>
        <w:rPr>
          <w:rFonts w:hint="eastAsia" w:ascii="宋体" w:hAnsi="宋体" w:cs="宋体"/>
          <w:sz w:val="24"/>
          <w:highlight w:val="none"/>
          <w:lang w:eastAsia="zh-CN"/>
        </w:rPr>
        <w:t>：</w:t>
      </w:r>
    </w:p>
    <w:p w14:paraId="27AA5BDF">
      <w:pPr>
        <w:spacing w:line="370" w:lineRule="exact"/>
        <w:ind w:firstLine="480" w:firstLineChars="200"/>
        <w:rPr>
          <w:rFonts w:hint="eastAsia" w:ascii="宋体" w:hAnsi="宋体" w:cs="宋体"/>
          <w:sz w:val="24"/>
          <w:highlight w:val="none"/>
        </w:rPr>
      </w:pPr>
      <w:r>
        <w:rPr>
          <w:rFonts w:hint="eastAsia" w:ascii="宋体" w:hAnsi="宋体" w:cs="宋体"/>
          <w:sz w:val="24"/>
          <w:highlight w:val="none"/>
        </w:rPr>
        <w:t>一、我单位（本人）具备采购文件要求以及《中华人民共和国政府采购法》第二十二条规定的条件</w:t>
      </w:r>
      <w:r>
        <w:rPr>
          <w:rFonts w:hint="eastAsia" w:ascii="宋体" w:hAnsi="宋体" w:cs="宋体"/>
          <w:sz w:val="24"/>
          <w:highlight w:val="none"/>
          <w:lang w:eastAsia="zh-CN"/>
        </w:rPr>
        <w:t>：</w:t>
      </w:r>
    </w:p>
    <w:p w14:paraId="2555638C">
      <w:pPr>
        <w:spacing w:line="370" w:lineRule="exact"/>
        <w:ind w:firstLine="480" w:firstLineChars="200"/>
        <w:outlineLvl w:val="0"/>
        <w:rPr>
          <w:rFonts w:hint="eastAsia" w:ascii="宋体" w:hAnsi="宋体" w:cs="宋体"/>
          <w:sz w:val="24"/>
          <w:highlight w:val="none"/>
        </w:rPr>
      </w:pPr>
      <w:bookmarkStart w:id="198" w:name="_Toc3702"/>
      <w:r>
        <w:rPr>
          <w:rFonts w:hint="eastAsia" w:ascii="宋体" w:hAnsi="宋体" w:cs="宋体"/>
          <w:sz w:val="24"/>
          <w:highlight w:val="none"/>
        </w:rPr>
        <w:t>1.具有独立承担民事责任的能力</w:t>
      </w:r>
      <w:bookmarkEnd w:id="198"/>
      <w:r>
        <w:rPr>
          <w:rFonts w:hint="eastAsia" w:ascii="宋体" w:hAnsi="宋体" w:cs="宋体"/>
          <w:sz w:val="24"/>
          <w:highlight w:val="none"/>
        </w:rPr>
        <w:t>；</w:t>
      </w:r>
    </w:p>
    <w:p w14:paraId="7DA21880">
      <w:pPr>
        <w:spacing w:line="370" w:lineRule="exact"/>
        <w:ind w:firstLine="480" w:firstLineChars="200"/>
        <w:outlineLvl w:val="0"/>
        <w:rPr>
          <w:rFonts w:hint="eastAsia" w:ascii="宋体" w:hAnsi="宋体" w:cs="宋体"/>
          <w:sz w:val="24"/>
          <w:highlight w:val="none"/>
        </w:rPr>
      </w:pPr>
      <w:bookmarkStart w:id="199" w:name="_Toc17034"/>
      <w:r>
        <w:rPr>
          <w:rFonts w:hint="eastAsia" w:ascii="宋体" w:hAnsi="宋体" w:cs="宋体"/>
          <w:sz w:val="24"/>
          <w:highlight w:val="none"/>
        </w:rPr>
        <w:t>2.具有良好的商业信誉和健全的财务会计制度</w:t>
      </w:r>
      <w:bookmarkEnd w:id="199"/>
      <w:r>
        <w:rPr>
          <w:rFonts w:hint="eastAsia" w:ascii="宋体" w:hAnsi="宋体" w:cs="宋体"/>
          <w:sz w:val="24"/>
          <w:highlight w:val="none"/>
        </w:rPr>
        <w:t>；</w:t>
      </w:r>
    </w:p>
    <w:p w14:paraId="0D5A54FF">
      <w:pPr>
        <w:spacing w:line="370" w:lineRule="exact"/>
        <w:ind w:firstLine="480" w:firstLineChars="200"/>
        <w:outlineLvl w:val="0"/>
        <w:rPr>
          <w:rFonts w:hint="eastAsia" w:ascii="宋体" w:hAnsi="宋体" w:cs="宋体"/>
          <w:sz w:val="24"/>
          <w:highlight w:val="none"/>
        </w:rPr>
      </w:pPr>
      <w:bookmarkStart w:id="200" w:name="_Toc1623"/>
      <w:r>
        <w:rPr>
          <w:rFonts w:hint="eastAsia" w:ascii="宋体" w:hAnsi="宋体" w:cs="宋体"/>
          <w:sz w:val="24"/>
          <w:highlight w:val="none"/>
        </w:rPr>
        <w:t>3.具有履行合同所必需的设备和专业技术能力</w:t>
      </w:r>
      <w:bookmarkEnd w:id="200"/>
      <w:r>
        <w:rPr>
          <w:rFonts w:hint="eastAsia" w:ascii="宋体" w:hAnsi="宋体" w:cs="宋体"/>
          <w:sz w:val="24"/>
          <w:highlight w:val="none"/>
        </w:rPr>
        <w:t>；</w:t>
      </w:r>
    </w:p>
    <w:p w14:paraId="22A66C7D">
      <w:pPr>
        <w:spacing w:line="370" w:lineRule="exact"/>
        <w:ind w:firstLine="480" w:firstLineChars="200"/>
        <w:outlineLvl w:val="0"/>
        <w:rPr>
          <w:rFonts w:hint="eastAsia" w:ascii="宋体" w:hAnsi="宋体" w:cs="宋体"/>
          <w:sz w:val="24"/>
          <w:highlight w:val="none"/>
        </w:rPr>
      </w:pPr>
      <w:bookmarkStart w:id="201" w:name="_Toc25153"/>
      <w:r>
        <w:rPr>
          <w:rFonts w:hint="eastAsia" w:ascii="宋体" w:hAnsi="宋体" w:cs="宋体"/>
          <w:sz w:val="24"/>
          <w:highlight w:val="none"/>
        </w:rPr>
        <w:t>4.有依法缴纳税收和社会保障资金的良好记录</w:t>
      </w:r>
      <w:bookmarkEnd w:id="201"/>
      <w:r>
        <w:rPr>
          <w:rFonts w:hint="eastAsia" w:ascii="宋体" w:hAnsi="宋体" w:cs="宋体"/>
          <w:sz w:val="24"/>
          <w:highlight w:val="none"/>
        </w:rPr>
        <w:t>；</w:t>
      </w:r>
    </w:p>
    <w:p w14:paraId="2B08683F">
      <w:pPr>
        <w:spacing w:line="370" w:lineRule="exact"/>
        <w:ind w:firstLine="480" w:firstLineChars="200"/>
        <w:outlineLvl w:val="0"/>
        <w:rPr>
          <w:rFonts w:hint="eastAsia" w:ascii="宋体" w:hAnsi="宋体" w:cs="宋体"/>
          <w:sz w:val="24"/>
          <w:highlight w:val="none"/>
        </w:rPr>
      </w:pPr>
      <w:bookmarkStart w:id="202" w:name="_Toc16967"/>
      <w:r>
        <w:rPr>
          <w:rFonts w:hint="eastAsia" w:ascii="宋体" w:hAnsi="宋体" w:cs="宋体"/>
          <w:sz w:val="24"/>
          <w:highlight w:val="none"/>
        </w:rPr>
        <w:t>5.参加政府采购活动前三年内，在经营活动中没有重大违法记录；</w:t>
      </w:r>
      <w:bookmarkEnd w:id="202"/>
    </w:p>
    <w:p w14:paraId="4763DF43">
      <w:pPr>
        <w:spacing w:line="370" w:lineRule="exact"/>
        <w:ind w:firstLine="480" w:firstLineChars="200"/>
        <w:outlineLvl w:val="0"/>
        <w:rPr>
          <w:rFonts w:hint="eastAsia" w:ascii="宋体" w:hAnsi="宋体" w:cs="宋体"/>
          <w:sz w:val="24"/>
          <w:highlight w:val="none"/>
        </w:rPr>
      </w:pPr>
      <w:bookmarkStart w:id="203" w:name="_Toc18903"/>
      <w:r>
        <w:rPr>
          <w:rFonts w:hint="eastAsia" w:ascii="宋体" w:hAnsi="宋体" w:cs="宋体"/>
          <w:sz w:val="24"/>
          <w:highlight w:val="none"/>
        </w:rPr>
        <w:t>6.法律、行政法规规定的其他条件。</w:t>
      </w:r>
      <w:bookmarkEnd w:id="203"/>
    </w:p>
    <w:p w14:paraId="7EF1DC98">
      <w:pPr>
        <w:spacing w:line="370" w:lineRule="exact"/>
        <w:ind w:firstLine="480" w:firstLineChars="200"/>
        <w:rPr>
          <w:rFonts w:hint="eastAsia" w:ascii="宋体" w:hAnsi="宋体" w:cs="宋体"/>
          <w:sz w:val="24"/>
          <w:highlight w:val="none"/>
        </w:rPr>
      </w:pPr>
      <w:r>
        <w:rPr>
          <w:rFonts w:hint="eastAsia" w:ascii="宋体" w:hAnsi="宋体" w:cs="宋体"/>
          <w:sz w:val="24"/>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739A4E04">
      <w:pPr>
        <w:spacing w:line="370" w:lineRule="exact"/>
        <w:ind w:firstLine="480" w:firstLineChars="200"/>
        <w:rPr>
          <w:rFonts w:hint="eastAsia" w:ascii="宋体" w:hAnsi="宋体" w:cs="宋体"/>
          <w:sz w:val="24"/>
          <w:highlight w:val="none"/>
        </w:rPr>
      </w:pPr>
      <w:r>
        <w:rPr>
          <w:rFonts w:hint="eastAsia" w:ascii="宋体" w:hAnsi="宋体" w:cs="宋体"/>
          <w:sz w:val="24"/>
          <w:highlight w:val="none"/>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w:t>
      </w:r>
      <w:r>
        <w:rPr>
          <w:rFonts w:hint="eastAsia" w:ascii="宋体" w:hAnsi="宋体" w:cs="宋体"/>
          <w:sz w:val="24"/>
          <w:highlight w:val="none"/>
          <w:lang w:eastAsia="zh-CN"/>
        </w:rPr>
        <w:t>：</w:t>
      </w:r>
      <w:r>
        <w:rPr>
          <w:rFonts w:hint="eastAsia" w:ascii="宋体" w:hAnsi="宋体" w:cs="宋体"/>
          <w:sz w:val="24"/>
          <w:highlight w:val="none"/>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AE462A8">
      <w:pPr>
        <w:spacing w:line="370" w:lineRule="exact"/>
        <w:rPr>
          <w:rFonts w:hint="eastAsia" w:ascii="宋体" w:hAnsi="宋体" w:cs="宋体"/>
          <w:sz w:val="24"/>
          <w:highlight w:val="none"/>
        </w:rPr>
      </w:pPr>
    </w:p>
    <w:p w14:paraId="05CB12B0">
      <w:pPr>
        <w:spacing w:line="370" w:lineRule="exact"/>
        <w:ind w:firstLine="2640" w:firstLineChars="1100"/>
        <w:rPr>
          <w:rFonts w:hint="eastAsia" w:ascii="宋体" w:hAnsi="宋体" w:cs="宋体"/>
          <w:sz w:val="24"/>
          <w:highlight w:val="none"/>
        </w:rPr>
      </w:pPr>
      <w:r>
        <w:rPr>
          <w:rFonts w:hint="eastAsia" w:ascii="宋体" w:hAnsi="宋体" w:cs="宋体"/>
          <w:sz w:val="24"/>
          <w:highlight w:val="none"/>
        </w:rPr>
        <w:t>供应商名称（单位公章）</w:t>
      </w:r>
      <w:r>
        <w:rPr>
          <w:rFonts w:hint="eastAsia" w:ascii="宋体" w:hAnsi="宋体" w:cs="宋体"/>
          <w:sz w:val="24"/>
          <w:highlight w:val="none"/>
          <w:lang w:eastAsia="zh-CN"/>
        </w:rPr>
        <w:t>：</w:t>
      </w:r>
    </w:p>
    <w:p w14:paraId="0190FF3B">
      <w:pPr>
        <w:spacing w:line="370" w:lineRule="exact"/>
        <w:ind w:firstLine="2640" w:firstLineChars="1100"/>
        <w:rPr>
          <w:rFonts w:hint="eastAsia" w:ascii="宋体" w:hAnsi="宋体" w:cs="宋体"/>
          <w:sz w:val="24"/>
          <w:highlight w:val="none"/>
        </w:rPr>
      </w:pPr>
      <w:r>
        <w:rPr>
          <w:rFonts w:hint="eastAsia" w:ascii="宋体" w:hAnsi="宋体" w:cs="宋体"/>
          <w:sz w:val="24"/>
          <w:highlight w:val="none"/>
        </w:rPr>
        <w:t xml:space="preserve"> 年   月   日</w:t>
      </w:r>
    </w:p>
    <w:p w14:paraId="55B031B6">
      <w:pPr>
        <w:spacing w:line="370" w:lineRule="exact"/>
        <w:ind w:firstLine="480" w:firstLineChars="200"/>
        <w:rPr>
          <w:rFonts w:hint="eastAsia" w:ascii="宋体" w:hAnsi="宋体" w:cs="宋体"/>
          <w:sz w:val="24"/>
          <w:highlight w:val="none"/>
        </w:rPr>
      </w:pPr>
      <w:r>
        <w:rPr>
          <w:rFonts w:hint="eastAsia" w:ascii="宋体" w:hAnsi="宋体" w:cs="宋体"/>
          <w:sz w:val="24"/>
          <w:highlight w:val="none"/>
        </w:rPr>
        <w:t>注</w:t>
      </w:r>
      <w:r>
        <w:rPr>
          <w:rFonts w:hint="eastAsia" w:ascii="宋体" w:hAnsi="宋体" w:cs="宋体"/>
          <w:sz w:val="24"/>
          <w:highlight w:val="none"/>
          <w:lang w:eastAsia="zh-CN"/>
        </w:rPr>
        <w:t>：</w:t>
      </w:r>
    </w:p>
    <w:p w14:paraId="2CD941FF">
      <w:pPr>
        <w:spacing w:line="370" w:lineRule="exact"/>
        <w:ind w:firstLine="480" w:firstLineChars="200"/>
        <w:rPr>
          <w:rFonts w:hint="eastAsia" w:ascii="宋体" w:hAnsi="宋体" w:cs="宋体"/>
          <w:sz w:val="24"/>
          <w:highlight w:val="none"/>
        </w:rPr>
      </w:pPr>
      <w:r>
        <w:rPr>
          <w:rFonts w:hint="eastAsia" w:ascii="宋体" w:hAnsi="宋体" w:cs="宋体"/>
          <w:sz w:val="24"/>
          <w:highlight w:val="none"/>
        </w:rPr>
        <w:t>1.我单位（本人）专指参加政府采购活动的供应商（含自然人）；</w:t>
      </w:r>
    </w:p>
    <w:p w14:paraId="19D3BA28">
      <w:pPr>
        <w:spacing w:line="370" w:lineRule="exact"/>
        <w:ind w:firstLine="480" w:firstLineChars="200"/>
        <w:rPr>
          <w:rFonts w:hint="eastAsia" w:ascii="宋体" w:hAnsi="宋体" w:cs="宋体"/>
          <w:sz w:val="24"/>
          <w:highlight w:val="none"/>
        </w:rPr>
      </w:pPr>
      <w:r>
        <w:rPr>
          <w:rFonts w:hint="eastAsia" w:ascii="宋体" w:hAnsi="宋体" w:cs="宋体"/>
          <w:sz w:val="24"/>
          <w:highlight w:val="none"/>
        </w:rPr>
        <w:t>2.资格承诺的供应商应在投标（响应）文件中按此模板提供承诺函，否则，视为未按照招标文件规定提交投标人的资格及资信文件，按资格审查不通过处理。</w:t>
      </w:r>
    </w:p>
    <w:p w14:paraId="1310BDC3">
      <w:pPr>
        <w:pStyle w:val="10"/>
        <w:outlineLvl w:val="0"/>
        <w:rPr>
          <w:rFonts w:hint="eastAsia" w:ascii="宋体" w:hAnsi="宋体" w:cs="宋体"/>
          <w:highlight w:val="none"/>
        </w:rPr>
      </w:pPr>
      <w:r>
        <w:rPr>
          <w:rStyle w:val="34"/>
          <w:rFonts w:hint="eastAsia" w:ascii="宋体" w:hAnsi="宋体" w:cs="宋体"/>
          <w:sz w:val="22"/>
          <w:szCs w:val="22"/>
          <w:highlight w:val="none"/>
        </w:rPr>
        <w:br w:type="page"/>
      </w:r>
      <w:bookmarkStart w:id="204" w:name="_Toc29547"/>
      <w:r>
        <w:rPr>
          <w:rStyle w:val="34"/>
          <w:rFonts w:hint="eastAsia" w:ascii="宋体" w:hAnsi="宋体" w:cs="宋体"/>
          <w:sz w:val="22"/>
          <w:szCs w:val="22"/>
          <w:highlight w:val="none"/>
        </w:rPr>
        <w:t>封面格式</w:t>
      </w:r>
      <w:bookmarkEnd w:id="204"/>
    </w:p>
    <w:p w14:paraId="2D7AE3F5">
      <w:pPr>
        <w:pStyle w:val="10"/>
        <w:rPr>
          <w:rFonts w:hint="eastAsia" w:ascii="宋体" w:hAnsi="宋体" w:cs="宋体"/>
          <w:highlight w:val="none"/>
        </w:rPr>
      </w:pPr>
    </w:p>
    <w:p w14:paraId="2ECEC610">
      <w:pPr>
        <w:pStyle w:val="10"/>
        <w:jc w:val="center"/>
        <w:rPr>
          <w:rFonts w:hint="eastAsia" w:ascii="宋体" w:hAnsi="宋体" w:cs="宋体"/>
          <w:sz w:val="72"/>
          <w:szCs w:val="72"/>
          <w:highlight w:val="none"/>
        </w:rPr>
      </w:pPr>
      <w:r>
        <w:rPr>
          <w:rStyle w:val="34"/>
          <w:rFonts w:hint="eastAsia" w:ascii="宋体" w:hAnsi="宋体" w:cs="宋体"/>
          <w:sz w:val="72"/>
          <w:szCs w:val="72"/>
          <w:highlight w:val="none"/>
        </w:rPr>
        <w:t>投 标 文 件</w:t>
      </w:r>
    </w:p>
    <w:p w14:paraId="2E143959">
      <w:pPr>
        <w:pStyle w:val="10"/>
        <w:jc w:val="center"/>
        <w:rPr>
          <w:rFonts w:hint="eastAsia" w:ascii="宋体" w:hAnsi="宋体" w:cs="宋体"/>
          <w:highlight w:val="none"/>
        </w:rPr>
      </w:pPr>
      <w:r>
        <w:rPr>
          <w:rStyle w:val="34"/>
          <w:rFonts w:hint="eastAsia" w:ascii="宋体" w:hAnsi="宋体" w:cs="宋体"/>
          <w:sz w:val="72"/>
          <w:szCs w:val="72"/>
          <w:highlight w:val="none"/>
        </w:rPr>
        <w:t>（报价部分）</w:t>
      </w:r>
    </w:p>
    <w:p w14:paraId="78E974BF">
      <w:pPr>
        <w:pStyle w:val="10"/>
        <w:rPr>
          <w:rFonts w:hint="eastAsia" w:ascii="宋体" w:hAnsi="宋体" w:cs="宋体"/>
          <w:highlight w:val="none"/>
        </w:rPr>
      </w:pPr>
    </w:p>
    <w:p w14:paraId="408CBAD7">
      <w:pPr>
        <w:pStyle w:val="11"/>
        <w:numPr>
          <w:ilvl w:val="1"/>
          <w:numId w:val="0"/>
        </w:numPr>
        <w:ind w:left="567"/>
        <w:outlineLvl w:val="9"/>
        <w:rPr>
          <w:rFonts w:ascii="宋体" w:hAnsi="宋体" w:eastAsia="宋体"/>
          <w:highlight w:val="none"/>
        </w:rPr>
      </w:pPr>
    </w:p>
    <w:p w14:paraId="4A2B12A9">
      <w:pPr>
        <w:pStyle w:val="10"/>
        <w:jc w:val="center"/>
        <w:outlineLvl w:val="0"/>
        <w:rPr>
          <w:rFonts w:hint="eastAsia" w:ascii="宋体" w:hAnsi="宋体" w:cs="宋体"/>
          <w:sz w:val="44"/>
          <w:szCs w:val="44"/>
          <w:highlight w:val="none"/>
        </w:rPr>
      </w:pPr>
      <w:bookmarkStart w:id="205" w:name="_Toc20565"/>
      <w:r>
        <w:rPr>
          <w:rStyle w:val="34"/>
          <w:rFonts w:hint="eastAsia" w:ascii="宋体" w:hAnsi="宋体" w:cs="宋体"/>
          <w:sz w:val="44"/>
          <w:szCs w:val="44"/>
          <w:highlight w:val="none"/>
          <w:u w:val="single"/>
        </w:rPr>
        <w:t>（填写正本或副本）</w:t>
      </w:r>
      <w:bookmarkEnd w:id="205"/>
    </w:p>
    <w:p w14:paraId="019CF83C">
      <w:pPr>
        <w:pStyle w:val="10"/>
        <w:rPr>
          <w:rFonts w:hint="eastAsia" w:ascii="宋体" w:hAnsi="宋体" w:cs="宋体"/>
          <w:highlight w:val="none"/>
        </w:rPr>
      </w:pPr>
    </w:p>
    <w:p w14:paraId="488D8240">
      <w:pPr>
        <w:pStyle w:val="11"/>
        <w:numPr>
          <w:ilvl w:val="1"/>
          <w:numId w:val="0"/>
        </w:numPr>
        <w:ind w:left="567"/>
        <w:outlineLvl w:val="9"/>
        <w:rPr>
          <w:rFonts w:ascii="宋体" w:hAnsi="宋体" w:eastAsia="宋体"/>
          <w:highlight w:val="none"/>
        </w:rPr>
      </w:pPr>
    </w:p>
    <w:p w14:paraId="45CA1F8E">
      <w:pPr>
        <w:pStyle w:val="10"/>
        <w:ind w:firstLine="3057" w:firstLineChars="1218"/>
        <w:outlineLvl w:val="1"/>
        <w:rPr>
          <w:rFonts w:hint="eastAsia" w:ascii="宋体" w:hAnsi="宋体" w:cs="宋体"/>
          <w:highlight w:val="none"/>
        </w:rPr>
      </w:pPr>
      <w:bookmarkStart w:id="206" w:name="_Toc7513"/>
      <w:r>
        <w:rPr>
          <w:rStyle w:val="34"/>
          <w:rFonts w:hint="eastAsia" w:ascii="宋体" w:hAnsi="宋体" w:cs="宋体"/>
          <w:sz w:val="25"/>
          <w:szCs w:val="25"/>
          <w:highlight w:val="none"/>
        </w:rPr>
        <w:t>项目名称：</w:t>
      </w:r>
      <w:r>
        <w:rPr>
          <w:rStyle w:val="34"/>
          <w:rFonts w:hint="eastAsia" w:ascii="宋体" w:hAnsi="宋体" w:cs="宋体"/>
          <w:sz w:val="25"/>
          <w:szCs w:val="25"/>
          <w:highlight w:val="none"/>
          <w:u w:val="single"/>
        </w:rPr>
        <w:t>（由投标人填写）</w:t>
      </w:r>
      <w:bookmarkEnd w:id="206"/>
    </w:p>
    <w:p w14:paraId="08767F2A">
      <w:pPr>
        <w:pStyle w:val="10"/>
        <w:ind w:firstLine="3057" w:firstLineChars="1218"/>
        <w:outlineLvl w:val="1"/>
        <w:rPr>
          <w:rFonts w:hint="eastAsia" w:ascii="宋体" w:hAnsi="宋体" w:cs="宋体"/>
          <w:highlight w:val="none"/>
        </w:rPr>
      </w:pPr>
      <w:bookmarkStart w:id="207" w:name="_Toc30965"/>
      <w:r>
        <w:rPr>
          <w:rStyle w:val="34"/>
          <w:rFonts w:hint="eastAsia" w:ascii="宋体" w:hAnsi="宋体" w:cs="宋体"/>
          <w:sz w:val="25"/>
          <w:szCs w:val="25"/>
          <w:highlight w:val="none"/>
        </w:rPr>
        <w:t>项目编号：</w:t>
      </w:r>
      <w:r>
        <w:rPr>
          <w:rStyle w:val="34"/>
          <w:rFonts w:hint="eastAsia" w:ascii="宋体" w:hAnsi="宋体" w:cs="宋体"/>
          <w:sz w:val="25"/>
          <w:szCs w:val="25"/>
          <w:highlight w:val="none"/>
          <w:u w:val="single"/>
        </w:rPr>
        <w:t>（由投标人填写）</w:t>
      </w:r>
      <w:bookmarkEnd w:id="207"/>
    </w:p>
    <w:p w14:paraId="34530315">
      <w:pPr>
        <w:pStyle w:val="10"/>
        <w:ind w:firstLine="3057" w:firstLineChars="1218"/>
        <w:outlineLvl w:val="1"/>
        <w:rPr>
          <w:rFonts w:hint="eastAsia" w:ascii="宋体" w:hAnsi="宋体" w:cs="宋体"/>
          <w:highlight w:val="none"/>
        </w:rPr>
      </w:pPr>
      <w:bookmarkStart w:id="208" w:name="_Toc5210"/>
      <w:r>
        <w:rPr>
          <w:rStyle w:val="34"/>
          <w:rFonts w:hint="eastAsia" w:ascii="宋体" w:hAnsi="宋体" w:cs="宋体"/>
          <w:sz w:val="25"/>
          <w:szCs w:val="25"/>
          <w:highlight w:val="none"/>
        </w:rPr>
        <w:t>所投采购包：</w:t>
      </w:r>
      <w:r>
        <w:rPr>
          <w:rStyle w:val="34"/>
          <w:rFonts w:hint="eastAsia" w:ascii="宋体" w:hAnsi="宋体" w:cs="宋体"/>
          <w:sz w:val="25"/>
          <w:szCs w:val="25"/>
          <w:highlight w:val="none"/>
          <w:u w:val="single"/>
        </w:rPr>
        <w:t>（由投标人填写）</w:t>
      </w:r>
      <w:bookmarkEnd w:id="208"/>
    </w:p>
    <w:p w14:paraId="78910603">
      <w:pPr>
        <w:pStyle w:val="10"/>
        <w:rPr>
          <w:rFonts w:hint="eastAsia" w:ascii="宋体" w:hAnsi="宋体" w:cs="宋体"/>
          <w:highlight w:val="none"/>
        </w:rPr>
      </w:pPr>
    </w:p>
    <w:p w14:paraId="3A148A03">
      <w:pPr>
        <w:pStyle w:val="10"/>
        <w:rPr>
          <w:rFonts w:hint="eastAsia" w:ascii="宋体" w:hAnsi="宋体" w:cs="宋体"/>
          <w:highlight w:val="none"/>
        </w:rPr>
      </w:pPr>
    </w:p>
    <w:p w14:paraId="25DB4B7E">
      <w:pPr>
        <w:pStyle w:val="10"/>
        <w:ind w:firstLine="3514" w:firstLineChars="1400"/>
        <w:jc w:val="both"/>
        <w:outlineLvl w:val="1"/>
        <w:rPr>
          <w:rFonts w:hint="eastAsia" w:ascii="宋体" w:hAnsi="宋体" w:cs="宋体"/>
          <w:highlight w:val="none"/>
        </w:rPr>
      </w:pPr>
      <w:bookmarkStart w:id="209" w:name="_Toc5359"/>
      <w:r>
        <w:rPr>
          <w:rStyle w:val="34"/>
          <w:rFonts w:hint="eastAsia" w:ascii="宋体" w:hAnsi="宋体" w:cs="宋体"/>
          <w:sz w:val="25"/>
          <w:szCs w:val="25"/>
          <w:highlight w:val="none"/>
        </w:rPr>
        <w:t>投标人：</w:t>
      </w:r>
      <w:r>
        <w:rPr>
          <w:rStyle w:val="34"/>
          <w:rFonts w:hint="eastAsia" w:ascii="宋体" w:hAnsi="宋体" w:cs="宋体"/>
          <w:sz w:val="25"/>
          <w:szCs w:val="25"/>
          <w:highlight w:val="none"/>
          <w:u w:val="single"/>
        </w:rPr>
        <w:t>（填写“全称”）</w:t>
      </w:r>
      <w:bookmarkEnd w:id="209"/>
    </w:p>
    <w:p w14:paraId="215C38B5">
      <w:pPr>
        <w:pStyle w:val="10"/>
        <w:jc w:val="center"/>
        <w:rPr>
          <w:rFonts w:hint="eastAsia" w:ascii="宋体" w:hAnsi="宋体" w:cs="宋体"/>
          <w:highlight w:val="none"/>
        </w:rPr>
      </w:pPr>
      <w:r>
        <w:rPr>
          <w:rStyle w:val="34"/>
          <w:rFonts w:hint="eastAsia" w:ascii="宋体" w:hAnsi="宋体" w:cs="宋体"/>
          <w:sz w:val="25"/>
          <w:szCs w:val="25"/>
          <w:highlight w:val="none"/>
          <w:u w:val="single"/>
        </w:rPr>
        <w:t>（由投标人填写）</w:t>
      </w:r>
      <w:r>
        <w:rPr>
          <w:rStyle w:val="34"/>
          <w:rFonts w:hint="eastAsia" w:ascii="宋体" w:hAnsi="宋体" w:cs="宋体"/>
          <w:sz w:val="25"/>
          <w:szCs w:val="25"/>
          <w:highlight w:val="none"/>
        </w:rPr>
        <w:t>年</w:t>
      </w:r>
      <w:r>
        <w:rPr>
          <w:rStyle w:val="34"/>
          <w:rFonts w:hint="eastAsia" w:ascii="宋体" w:hAnsi="宋体" w:cs="宋体"/>
          <w:sz w:val="25"/>
          <w:szCs w:val="25"/>
          <w:highlight w:val="none"/>
          <w:u w:val="single"/>
        </w:rPr>
        <w:t>（由投标人填写）</w:t>
      </w:r>
      <w:r>
        <w:rPr>
          <w:rStyle w:val="34"/>
          <w:rFonts w:hint="eastAsia" w:ascii="宋体" w:hAnsi="宋体" w:cs="宋体"/>
          <w:sz w:val="25"/>
          <w:szCs w:val="25"/>
          <w:highlight w:val="none"/>
        </w:rPr>
        <w:t>月</w:t>
      </w:r>
    </w:p>
    <w:p w14:paraId="64F38B01">
      <w:pPr>
        <w:pStyle w:val="11"/>
        <w:numPr>
          <w:ilvl w:val="1"/>
          <w:numId w:val="0"/>
        </w:numPr>
        <w:ind w:left="567"/>
        <w:outlineLvl w:val="9"/>
        <w:rPr>
          <w:rFonts w:ascii="宋体" w:hAnsi="宋体" w:eastAsia="宋体"/>
          <w:highlight w:val="none"/>
        </w:rPr>
      </w:pPr>
    </w:p>
    <w:p w14:paraId="2E983F19">
      <w:pPr>
        <w:pStyle w:val="10"/>
        <w:jc w:val="center"/>
        <w:rPr>
          <w:rFonts w:hint="eastAsia" w:ascii="宋体" w:hAnsi="宋体" w:cs="宋体"/>
          <w:sz w:val="17"/>
          <w:szCs w:val="17"/>
          <w:highlight w:val="none"/>
        </w:rPr>
      </w:pPr>
    </w:p>
    <w:p w14:paraId="37F228C8">
      <w:pPr>
        <w:pStyle w:val="11"/>
        <w:numPr>
          <w:ilvl w:val="1"/>
          <w:numId w:val="0"/>
        </w:numPr>
        <w:ind w:left="567"/>
        <w:outlineLvl w:val="9"/>
        <w:rPr>
          <w:rFonts w:ascii="宋体" w:hAnsi="宋体" w:eastAsia="宋体"/>
          <w:highlight w:val="none"/>
        </w:rPr>
      </w:pPr>
    </w:p>
    <w:p w14:paraId="43F80475">
      <w:pPr>
        <w:pStyle w:val="10"/>
        <w:jc w:val="center"/>
        <w:rPr>
          <w:rFonts w:hint="eastAsia" w:ascii="宋体" w:hAnsi="宋体" w:cs="宋体"/>
          <w:highlight w:val="none"/>
        </w:rPr>
      </w:pPr>
      <w:r>
        <w:rPr>
          <w:rStyle w:val="34"/>
          <w:rFonts w:hint="eastAsia" w:ascii="宋体" w:hAnsi="宋体" w:cs="宋体"/>
          <w:sz w:val="22"/>
          <w:szCs w:val="22"/>
          <w:highlight w:val="none"/>
        </w:rPr>
        <w:t>索引</w:t>
      </w:r>
    </w:p>
    <w:p w14:paraId="2237A25F">
      <w:pPr>
        <w:pStyle w:val="10"/>
        <w:rPr>
          <w:rFonts w:hint="eastAsia" w:ascii="宋体" w:hAnsi="宋体" w:cs="宋体"/>
          <w:highlight w:val="none"/>
        </w:rPr>
      </w:pPr>
      <w:r>
        <w:rPr>
          <w:rFonts w:hint="eastAsia" w:ascii="宋体" w:hAnsi="宋体" w:cs="宋体"/>
          <w:sz w:val="22"/>
          <w:szCs w:val="22"/>
          <w:highlight w:val="none"/>
        </w:rPr>
        <w:t>一、开标一览表…………………………………………………………………………………（页码）</w:t>
      </w:r>
    </w:p>
    <w:p w14:paraId="15DB6EED">
      <w:pPr>
        <w:pStyle w:val="10"/>
        <w:rPr>
          <w:rFonts w:hint="eastAsia" w:ascii="宋体" w:hAnsi="宋体" w:cs="宋体"/>
          <w:highlight w:val="none"/>
        </w:rPr>
      </w:pPr>
      <w:r>
        <w:rPr>
          <w:rFonts w:hint="eastAsia" w:ascii="宋体" w:hAnsi="宋体" w:cs="宋体"/>
          <w:sz w:val="22"/>
          <w:szCs w:val="22"/>
          <w:highlight w:val="none"/>
        </w:rPr>
        <w:t>二、投标分项报价表……………………………………………………………………………（页码）</w:t>
      </w:r>
    </w:p>
    <w:p w14:paraId="73FF13F8">
      <w:pPr>
        <w:pStyle w:val="10"/>
        <w:rPr>
          <w:rFonts w:hint="eastAsia" w:ascii="宋体" w:hAnsi="宋体" w:cs="宋体"/>
          <w:highlight w:val="none"/>
        </w:rPr>
      </w:pPr>
      <w:r>
        <w:rPr>
          <w:rFonts w:hint="eastAsia" w:ascii="宋体" w:hAnsi="宋体" w:cs="宋体"/>
          <w:sz w:val="22"/>
          <w:szCs w:val="22"/>
          <w:highlight w:val="none"/>
        </w:rPr>
        <w:t>三、招标文件规定的价格扣除证明材料（若有）……………………………………………（页码）</w:t>
      </w:r>
    </w:p>
    <w:p w14:paraId="6A62FFF8">
      <w:pPr>
        <w:pStyle w:val="10"/>
        <w:rPr>
          <w:rFonts w:hint="eastAsia" w:ascii="宋体" w:hAnsi="宋体" w:cs="宋体"/>
          <w:sz w:val="22"/>
          <w:szCs w:val="22"/>
          <w:highlight w:val="none"/>
          <w:lang w:bidi="ar"/>
        </w:rPr>
      </w:pPr>
      <w:r>
        <w:rPr>
          <w:rFonts w:hint="eastAsia" w:ascii="宋体" w:hAnsi="宋体" w:cs="宋体"/>
          <w:sz w:val="22"/>
          <w:szCs w:val="22"/>
          <w:highlight w:val="none"/>
        </w:rPr>
        <w:t>四、</w:t>
      </w:r>
      <w:r>
        <w:rPr>
          <w:rFonts w:hint="eastAsia" w:ascii="宋体" w:hAnsi="宋体" w:cs="宋体"/>
          <w:sz w:val="22"/>
          <w:szCs w:val="22"/>
          <w:highlight w:val="none"/>
          <w:lang w:eastAsia="zh-CN" w:bidi="ar"/>
        </w:rPr>
        <w:t>退还投标保证金的函</w:t>
      </w:r>
      <w:r>
        <w:rPr>
          <w:rFonts w:hint="eastAsia" w:ascii="宋体" w:hAnsi="宋体" w:cs="宋体"/>
          <w:sz w:val="22"/>
          <w:szCs w:val="22"/>
          <w:highlight w:val="none"/>
        </w:rPr>
        <w:t>…………………………………………………………………………（页码）</w:t>
      </w:r>
    </w:p>
    <w:p w14:paraId="745549C5">
      <w:pPr>
        <w:pStyle w:val="10"/>
        <w:rPr>
          <w:rFonts w:hint="eastAsia" w:ascii="宋体" w:hAnsi="宋体" w:cs="宋体"/>
          <w:highlight w:val="none"/>
        </w:rPr>
      </w:pPr>
    </w:p>
    <w:p w14:paraId="549AC0E3">
      <w:pPr>
        <w:pStyle w:val="10"/>
        <w:rPr>
          <w:rFonts w:hint="eastAsia" w:ascii="宋体" w:hAnsi="宋体" w:cs="宋体"/>
          <w:highlight w:val="none"/>
        </w:rPr>
      </w:pPr>
      <w:r>
        <w:rPr>
          <w:rFonts w:hint="eastAsia" w:ascii="宋体" w:hAnsi="宋体" w:cs="宋体"/>
          <w:sz w:val="17"/>
          <w:szCs w:val="17"/>
          <w:highlight w:val="none"/>
        </w:rPr>
        <w:t> </w:t>
      </w:r>
    </w:p>
    <w:p w14:paraId="08A6FDB2">
      <w:pPr>
        <w:pStyle w:val="10"/>
        <w:jc w:val="center"/>
        <w:rPr>
          <w:rFonts w:hint="eastAsia" w:ascii="宋体" w:hAnsi="宋体" w:cs="宋体"/>
          <w:sz w:val="17"/>
          <w:szCs w:val="17"/>
          <w:highlight w:val="none"/>
        </w:rPr>
      </w:pPr>
    </w:p>
    <w:p w14:paraId="2E230E0B">
      <w:pPr>
        <w:pStyle w:val="11"/>
        <w:numPr>
          <w:ilvl w:val="1"/>
          <w:numId w:val="0"/>
        </w:numPr>
        <w:ind w:left="567"/>
        <w:outlineLvl w:val="9"/>
        <w:rPr>
          <w:rFonts w:ascii="宋体" w:hAnsi="宋体" w:eastAsia="宋体"/>
          <w:highlight w:val="none"/>
        </w:rPr>
      </w:pPr>
    </w:p>
    <w:p w14:paraId="17C8270D">
      <w:pPr>
        <w:pStyle w:val="10"/>
        <w:jc w:val="center"/>
        <w:outlineLvl w:val="1"/>
        <w:rPr>
          <w:rFonts w:hint="eastAsia" w:ascii="宋体" w:hAnsi="宋体" w:cs="宋体"/>
          <w:highlight w:val="none"/>
        </w:rPr>
      </w:pPr>
      <w:r>
        <w:rPr>
          <w:rFonts w:hint="eastAsia" w:ascii="宋体" w:hAnsi="宋体" w:cs="宋体"/>
          <w:sz w:val="17"/>
          <w:szCs w:val="17"/>
          <w:highlight w:val="none"/>
        </w:rPr>
        <w:br w:type="page"/>
      </w:r>
      <w:bookmarkStart w:id="210" w:name="_Toc17038"/>
      <w:r>
        <w:rPr>
          <w:rStyle w:val="34"/>
          <w:rFonts w:hint="eastAsia" w:ascii="宋体" w:hAnsi="宋体" w:cs="宋体"/>
          <w:highlight w:val="none"/>
        </w:rPr>
        <w:t>一、开标一览表</w:t>
      </w:r>
      <w:bookmarkEnd w:id="210"/>
    </w:p>
    <w:p w14:paraId="4DE76B1A">
      <w:pPr>
        <w:pStyle w:val="10"/>
        <w:rPr>
          <w:rFonts w:hint="eastAsia" w:ascii="宋体" w:hAnsi="宋体" w:cs="宋体"/>
          <w:highlight w:val="none"/>
        </w:rPr>
      </w:pPr>
      <w:r>
        <w:rPr>
          <w:rFonts w:hint="eastAsia" w:ascii="宋体" w:hAnsi="宋体" w:cs="宋体"/>
          <w:highlight w:val="none"/>
        </w:rPr>
        <w:t>项目编号：</w:t>
      </w:r>
      <w:r>
        <w:rPr>
          <w:rFonts w:hint="eastAsia" w:ascii="宋体" w:hAnsi="宋体" w:cs="宋体"/>
          <w:highlight w:val="none"/>
          <w:u w:val="single"/>
        </w:rPr>
        <w:t xml:space="preserve">                    </w:t>
      </w:r>
      <w:r>
        <w:rPr>
          <w:rFonts w:hint="eastAsia" w:ascii="宋体" w:hAnsi="宋体" w:cs="宋体"/>
          <w:highlight w:val="none"/>
        </w:rPr>
        <w:t xml:space="preserve">                           货币及单位：人民币</w:t>
      </w:r>
      <w:r>
        <w:rPr>
          <w:rFonts w:hint="eastAsia" w:ascii="宋体" w:hAnsi="宋体" w:cs="宋体"/>
          <w:b/>
          <w:bCs/>
          <w:color w:val="auto"/>
          <w:highlight w:val="none"/>
        </w:rPr>
        <w:t>万元</w:t>
      </w:r>
    </w:p>
    <w:tbl>
      <w:tblPr>
        <w:tblStyle w:val="31"/>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79"/>
        <w:gridCol w:w="3509"/>
        <w:gridCol w:w="1905"/>
        <w:gridCol w:w="3650"/>
      </w:tblGrid>
      <w:tr w14:paraId="48AC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4" w:type="dxa"/>
            <w:tcMar>
              <w:top w:w="0" w:type="dxa"/>
              <w:left w:w="83" w:type="dxa"/>
              <w:bottom w:w="0" w:type="dxa"/>
              <w:right w:w="83" w:type="dxa"/>
            </w:tcMar>
            <w:vAlign w:val="center"/>
          </w:tcPr>
          <w:p w14:paraId="60545F75">
            <w:pPr>
              <w:pStyle w:val="10"/>
              <w:jc w:val="center"/>
              <w:rPr>
                <w:rFonts w:hint="eastAsia" w:ascii="宋体" w:hAnsi="宋体" w:cs="宋体"/>
                <w:highlight w:val="none"/>
              </w:rPr>
            </w:pPr>
            <w:r>
              <w:rPr>
                <w:rFonts w:hint="eastAsia" w:ascii="宋体" w:hAnsi="宋体" w:cs="宋体"/>
                <w:highlight w:val="none"/>
              </w:rPr>
              <w:t>采购包</w:t>
            </w:r>
          </w:p>
        </w:tc>
        <w:tc>
          <w:tcPr>
            <w:tcW w:w="3479" w:type="dxa"/>
            <w:tcMar>
              <w:top w:w="0" w:type="dxa"/>
              <w:left w:w="83" w:type="dxa"/>
              <w:bottom w:w="0" w:type="dxa"/>
              <w:right w:w="83" w:type="dxa"/>
            </w:tcMar>
            <w:vAlign w:val="center"/>
          </w:tcPr>
          <w:p w14:paraId="20D9EFD3">
            <w:pPr>
              <w:pStyle w:val="10"/>
              <w:jc w:val="center"/>
              <w:rPr>
                <w:rFonts w:hint="eastAsia" w:ascii="宋体" w:hAnsi="宋体" w:cs="宋体"/>
                <w:highlight w:val="none"/>
              </w:rPr>
            </w:pPr>
            <w:r>
              <w:rPr>
                <w:rFonts w:hint="eastAsia" w:ascii="宋体" w:hAnsi="宋体" w:cs="宋体"/>
                <w:highlight w:val="none"/>
              </w:rPr>
              <w:t>投标报价</w:t>
            </w:r>
          </w:p>
        </w:tc>
        <w:tc>
          <w:tcPr>
            <w:tcW w:w="1875" w:type="dxa"/>
            <w:tcMar>
              <w:top w:w="0" w:type="dxa"/>
              <w:left w:w="83" w:type="dxa"/>
              <w:bottom w:w="0" w:type="dxa"/>
              <w:right w:w="83" w:type="dxa"/>
            </w:tcMar>
            <w:vAlign w:val="center"/>
          </w:tcPr>
          <w:p w14:paraId="05126322">
            <w:pPr>
              <w:pStyle w:val="10"/>
              <w:jc w:val="center"/>
              <w:rPr>
                <w:rFonts w:hint="eastAsia" w:ascii="宋体" w:hAnsi="宋体" w:cs="宋体"/>
                <w:highlight w:val="none"/>
              </w:rPr>
            </w:pPr>
            <w:r>
              <w:rPr>
                <w:rFonts w:hint="eastAsia" w:ascii="宋体" w:hAnsi="宋体" w:cs="宋体"/>
                <w:highlight w:val="none"/>
              </w:rPr>
              <w:t>投标保证金</w:t>
            </w:r>
          </w:p>
        </w:tc>
        <w:tc>
          <w:tcPr>
            <w:tcW w:w="3605" w:type="dxa"/>
            <w:tcMar>
              <w:top w:w="0" w:type="dxa"/>
              <w:left w:w="83" w:type="dxa"/>
              <w:bottom w:w="0" w:type="dxa"/>
              <w:right w:w="83" w:type="dxa"/>
            </w:tcMar>
            <w:vAlign w:val="center"/>
          </w:tcPr>
          <w:p w14:paraId="3DA47A17">
            <w:pPr>
              <w:pStyle w:val="10"/>
              <w:rPr>
                <w:rFonts w:hint="eastAsia" w:ascii="宋体" w:hAnsi="宋体" w:cs="宋体"/>
                <w:highlight w:val="none"/>
              </w:rPr>
            </w:pPr>
            <w:r>
              <w:rPr>
                <w:rFonts w:hint="eastAsia" w:ascii="宋体" w:hAnsi="宋体" w:cs="宋体"/>
                <w:highlight w:val="none"/>
              </w:rPr>
              <w:t>备注</w:t>
            </w:r>
          </w:p>
        </w:tc>
      </w:tr>
      <w:tr w14:paraId="5232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16" w:hRule="atLeast"/>
          <w:tblCellSpacing w:w="15" w:type="dxa"/>
        </w:trPr>
        <w:tc>
          <w:tcPr>
            <w:tcW w:w="734" w:type="dxa"/>
            <w:tcMar>
              <w:top w:w="0" w:type="dxa"/>
              <w:left w:w="83" w:type="dxa"/>
              <w:bottom w:w="0" w:type="dxa"/>
              <w:right w:w="83" w:type="dxa"/>
            </w:tcMar>
            <w:vAlign w:val="center"/>
          </w:tcPr>
          <w:p w14:paraId="074FB1FD">
            <w:pPr>
              <w:pStyle w:val="10"/>
              <w:jc w:val="center"/>
              <w:rPr>
                <w:rFonts w:hint="eastAsia" w:ascii="宋体" w:hAnsi="宋体" w:cs="宋体"/>
                <w:highlight w:val="none"/>
              </w:rPr>
            </w:pPr>
            <w:r>
              <w:rPr>
                <w:rFonts w:hint="eastAsia" w:ascii="宋体" w:hAnsi="宋体" w:cs="宋体"/>
                <w:highlight w:val="none"/>
              </w:rPr>
              <w:t>1</w:t>
            </w:r>
          </w:p>
        </w:tc>
        <w:tc>
          <w:tcPr>
            <w:tcW w:w="3479" w:type="dxa"/>
            <w:tcMar>
              <w:top w:w="0" w:type="dxa"/>
              <w:left w:w="83" w:type="dxa"/>
              <w:bottom w:w="0" w:type="dxa"/>
              <w:right w:w="83" w:type="dxa"/>
            </w:tcMar>
            <w:vAlign w:val="center"/>
          </w:tcPr>
          <w:p w14:paraId="6BA31D33">
            <w:pPr>
              <w:pStyle w:val="10"/>
              <w:rPr>
                <w:rFonts w:hint="eastAsia" w:ascii="宋体" w:hAnsi="宋体" w:cs="宋体"/>
                <w:highlight w:val="none"/>
              </w:rPr>
            </w:pPr>
          </w:p>
        </w:tc>
        <w:tc>
          <w:tcPr>
            <w:tcW w:w="1875" w:type="dxa"/>
            <w:tcMar>
              <w:top w:w="0" w:type="dxa"/>
              <w:left w:w="83" w:type="dxa"/>
              <w:bottom w:w="0" w:type="dxa"/>
              <w:right w:w="83" w:type="dxa"/>
            </w:tcMar>
            <w:vAlign w:val="center"/>
          </w:tcPr>
          <w:p w14:paraId="1B762930">
            <w:pPr>
              <w:rPr>
                <w:rFonts w:hint="eastAsia" w:ascii="宋体" w:hAnsi="宋体" w:cs="宋体"/>
                <w:sz w:val="24"/>
                <w:highlight w:val="none"/>
              </w:rPr>
            </w:pPr>
          </w:p>
        </w:tc>
        <w:tc>
          <w:tcPr>
            <w:tcW w:w="3605" w:type="dxa"/>
            <w:tcMar>
              <w:top w:w="0" w:type="dxa"/>
              <w:left w:w="83" w:type="dxa"/>
              <w:bottom w:w="0" w:type="dxa"/>
              <w:right w:w="83" w:type="dxa"/>
            </w:tcMar>
            <w:vAlign w:val="center"/>
          </w:tcPr>
          <w:p w14:paraId="43CF61D1">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a.投标报价的明细：详见《投标分项报价表》。</w:t>
            </w:r>
          </w:p>
          <w:p w14:paraId="1A95CCC4">
            <w:pPr>
              <w:pStyle w:val="10"/>
              <w:spacing w:before="0" w:beforeAutospacing="0" w:after="0" w:afterAutospacing="0" w:line="420" w:lineRule="exact"/>
              <w:rPr>
                <w:rFonts w:hint="eastAsia" w:ascii="宋体" w:hAnsi="宋体" w:cs="宋体"/>
                <w:highlight w:val="none"/>
              </w:rPr>
            </w:pPr>
            <w:r>
              <w:rPr>
                <w:rFonts w:hint="eastAsia" w:ascii="宋体" w:hAnsi="宋体" w:cs="宋体"/>
                <w:highlight w:val="none"/>
              </w:rPr>
              <w:t>b.招标文件规定的价格扣除证明材料（若有）：详见报价部分。</w:t>
            </w:r>
          </w:p>
        </w:tc>
      </w:tr>
    </w:tbl>
    <w:p w14:paraId="6B0C72C1">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20A0E7A1">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644114E5">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4256C6C8">
      <w:pPr>
        <w:pStyle w:val="10"/>
        <w:rPr>
          <w:rFonts w:hint="eastAsia" w:ascii="宋体" w:hAnsi="宋体" w:cs="宋体"/>
          <w:highlight w:val="none"/>
        </w:rPr>
      </w:pPr>
      <w:r>
        <w:rPr>
          <w:rFonts w:hint="eastAsia" w:ascii="宋体" w:hAnsi="宋体" w:cs="宋体"/>
          <w:highlight w:val="none"/>
        </w:rPr>
        <w:t> </w:t>
      </w:r>
    </w:p>
    <w:p w14:paraId="33888027">
      <w:pPr>
        <w:pStyle w:val="10"/>
        <w:jc w:val="center"/>
        <w:outlineLvl w:val="1"/>
        <w:rPr>
          <w:rFonts w:hint="eastAsia" w:ascii="宋体" w:hAnsi="宋体" w:cs="宋体"/>
          <w:highlight w:val="none"/>
        </w:rPr>
      </w:pPr>
      <w:r>
        <w:rPr>
          <w:rStyle w:val="34"/>
          <w:rFonts w:hint="eastAsia" w:ascii="宋体" w:hAnsi="宋体" w:cs="宋体"/>
          <w:highlight w:val="none"/>
        </w:rPr>
        <w:br w:type="page"/>
      </w:r>
      <w:bookmarkStart w:id="211" w:name="_Toc29833"/>
      <w:r>
        <w:rPr>
          <w:rStyle w:val="34"/>
          <w:rFonts w:hint="eastAsia" w:ascii="宋体" w:hAnsi="宋体" w:cs="宋体"/>
          <w:highlight w:val="none"/>
        </w:rPr>
        <w:t>二、投标分项报价表</w:t>
      </w:r>
      <w:bookmarkEnd w:id="211"/>
    </w:p>
    <w:p w14:paraId="1896A6B3">
      <w:pPr>
        <w:pStyle w:val="10"/>
        <w:widowControl/>
        <w:rPr>
          <w:rFonts w:hint="eastAsia" w:ascii="宋体" w:hAnsi="宋体" w:cs="宋体"/>
          <w:highlight w:val="none"/>
        </w:rPr>
      </w:pPr>
      <w:r>
        <w:rPr>
          <w:rFonts w:hint="eastAsia" w:ascii="宋体" w:hAnsi="宋体" w:cs="宋体"/>
          <w:highlight w:val="none"/>
        </w:rPr>
        <w:t>项目编号：</w:t>
      </w:r>
      <w:r>
        <w:rPr>
          <w:rFonts w:hint="eastAsia" w:ascii="宋体" w:hAnsi="宋体" w:cs="宋体"/>
          <w:highlight w:val="none"/>
          <w:u w:val="single"/>
        </w:rPr>
        <w:t>        </w:t>
      </w:r>
      <w:r>
        <w:rPr>
          <w:rFonts w:hint="eastAsia" w:ascii="宋体" w:hAnsi="宋体" w:cs="宋体"/>
          <w:highlight w:val="none"/>
        </w:rPr>
        <w:t xml:space="preserve">                                </w:t>
      </w:r>
    </w:p>
    <w:p w14:paraId="33F08D17">
      <w:pPr>
        <w:pStyle w:val="2"/>
        <w:outlineLvl w:val="3"/>
        <w:rPr>
          <w:rFonts w:hint="eastAsia" w:ascii="宋体" w:hAnsi="宋体" w:eastAsia="宋体" w:cs="宋体"/>
          <w:b/>
          <w:bCs/>
          <w:sz w:val="24"/>
          <w:highlight w:val="none"/>
          <w:shd w:val="clear" w:color="auto" w:fill="auto"/>
        </w:rPr>
      </w:pPr>
      <w:r>
        <w:rPr>
          <w:rFonts w:hint="eastAsia" w:ascii="宋体" w:hAnsi="宋体" w:eastAsia="宋体" w:cs="宋体"/>
          <w:b/>
          <w:bCs/>
          <w:sz w:val="24"/>
          <w:highlight w:val="none"/>
          <w:shd w:val="clear" w:color="auto" w:fill="auto"/>
        </w:rPr>
        <w:t>1-1采购人投资</w:t>
      </w:r>
    </w:p>
    <w:tbl>
      <w:tblPr>
        <w:tblStyle w:val="31"/>
        <w:tblW w:w="4996" w:type="pct"/>
        <w:tblInd w:w="0" w:type="dxa"/>
        <w:tblLayout w:type="autofit"/>
        <w:tblCellMar>
          <w:top w:w="0" w:type="dxa"/>
          <w:left w:w="108" w:type="dxa"/>
          <w:bottom w:w="0" w:type="dxa"/>
          <w:right w:w="108" w:type="dxa"/>
        </w:tblCellMar>
      </w:tblPr>
      <w:tblGrid>
        <w:gridCol w:w="842"/>
        <w:gridCol w:w="2754"/>
        <w:gridCol w:w="1006"/>
        <w:gridCol w:w="1314"/>
        <w:gridCol w:w="1454"/>
        <w:gridCol w:w="1387"/>
        <w:gridCol w:w="1089"/>
      </w:tblGrid>
      <w:tr w14:paraId="381F0F9E">
        <w:trPr>
          <w:trHeight w:val="374" w:hRule="atLeast"/>
        </w:trPr>
        <w:tc>
          <w:tcPr>
            <w:tcW w:w="428"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08488619">
            <w:pPr>
              <w:widowControl/>
              <w:jc w:val="center"/>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序号</w:t>
            </w:r>
          </w:p>
        </w:tc>
        <w:tc>
          <w:tcPr>
            <w:tcW w:w="1398"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57B118B0">
            <w:pPr>
              <w:widowControl/>
              <w:jc w:val="center"/>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项目名称</w:t>
            </w:r>
          </w:p>
        </w:tc>
        <w:tc>
          <w:tcPr>
            <w:tcW w:w="511"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05D9CB89">
            <w:pPr>
              <w:widowControl/>
              <w:jc w:val="center"/>
              <w:textAlignment w:val="center"/>
              <w:rPr>
                <w:rFonts w:hint="eastAsia"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t>数量</w:t>
            </w:r>
          </w:p>
        </w:tc>
        <w:tc>
          <w:tcPr>
            <w:tcW w:w="667"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3D162E58">
            <w:pPr>
              <w:widowControl/>
              <w:jc w:val="center"/>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总价限价（万元）</w:t>
            </w:r>
          </w:p>
        </w:tc>
        <w:tc>
          <w:tcPr>
            <w:tcW w:w="738"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3E5ECCD1">
            <w:pPr>
              <w:widowControl/>
              <w:jc w:val="center"/>
              <w:textAlignment w:val="center"/>
              <w:rPr>
                <w:rFonts w:hint="eastAsia"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t>单价报价（</w:t>
            </w:r>
            <w:r>
              <w:rPr>
                <w:rFonts w:hint="eastAsia" w:ascii="宋体" w:hAnsi="宋体" w:cs="宋体"/>
                <w:b/>
                <w:bCs/>
                <w:color w:val="000000"/>
                <w:kern w:val="0"/>
                <w:sz w:val="22"/>
                <w:szCs w:val="22"/>
                <w:highlight w:val="none"/>
                <w:lang w:bidi="ar"/>
              </w:rPr>
              <w:t>含税价/</w:t>
            </w:r>
            <w:r>
              <w:rPr>
                <w:rFonts w:hint="eastAsia" w:ascii="宋体" w:hAnsi="宋体" w:cs="宋体"/>
                <w:b/>
                <w:bCs/>
                <w:color w:val="000000"/>
                <w:kern w:val="0"/>
                <w:sz w:val="24"/>
                <w:highlight w:val="none"/>
                <w:lang w:bidi="ar"/>
              </w:rPr>
              <w:t>万元）</w:t>
            </w:r>
          </w:p>
        </w:tc>
        <w:tc>
          <w:tcPr>
            <w:tcW w:w="704"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5B18479B">
            <w:pPr>
              <w:widowControl/>
              <w:jc w:val="center"/>
              <w:textAlignment w:val="center"/>
              <w:rPr>
                <w:rFonts w:hint="eastAsia"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t>合计报价（</w:t>
            </w:r>
            <w:r>
              <w:rPr>
                <w:rFonts w:hint="eastAsia" w:ascii="宋体" w:hAnsi="宋体" w:cs="宋体"/>
                <w:b/>
                <w:bCs/>
                <w:color w:val="000000"/>
                <w:kern w:val="0"/>
                <w:sz w:val="22"/>
                <w:szCs w:val="22"/>
                <w:highlight w:val="none"/>
                <w:lang w:bidi="ar"/>
              </w:rPr>
              <w:t>含税价/</w:t>
            </w:r>
            <w:r>
              <w:rPr>
                <w:rFonts w:hint="eastAsia" w:ascii="宋体" w:hAnsi="宋体" w:cs="宋体"/>
                <w:b/>
                <w:bCs/>
                <w:color w:val="000000"/>
                <w:kern w:val="0"/>
                <w:sz w:val="24"/>
                <w:highlight w:val="none"/>
                <w:lang w:bidi="ar"/>
              </w:rPr>
              <w:t>万元）</w:t>
            </w:r>
          </w:p>
        </w:tc>
        <w:tc>
          <w:tcPr>
            <w:tcW w:w="551"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3FB47F3D">
            <w:pPr>
              <w:widowControl/>
              <w:jc w:val="center"/>
              <w:textAlignment w:val="center"/>
              <w:rPr>
                <w:rFonts w:hint="eastAsia"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t>备注</w:t>
            </w:r>
          </w:p>
        </w:tc>
      </w:tr>
      <w:tr w14:paraId="49F9FD29">
        <w:tblPrEx>
          <w:tblCellMar>
            <w:top w:w="0" w:type="dxa"/>
            <w:left w:w="108" w:type="dxa"/>
            <w:bottom w:w="0" w:type="dxa"/>
            <w:right w:w="108" w:type="dxa"/>
          </w:tblCellMar>
        </w:tblPrEx>
        <w:trPr>
          <w:trHeight w:val="316" w:hRule="atLeast"/>
        </w:trPr>
        <w:tc>
          <w:tcPr>
            <w:tcW w:w="428" w:type="pct"/>
            <w:tcBorders>
              <w:top w:val="single" w:color="000000" w:sz="4" w:space="0"/>
              <w:left w:val="single" w:color="000000" w:sz="4" w:space="0"/>
              <w:bottom w:val="single" w:color="000000" w:sz="4" w:space="0"/>
              <w:right w:val="single" w:color="000000" w:sz="4" w:space="0"/>
            </w:tcBorders>
            <w:vAlign w:val="center"/>
          </w:tcPr>
          <w:p w14:paraId="49217886">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一</w:t>
            </w:r>
          </w:p>
        </w:tc>
        <w:tc>
          <w:tcPr>
            <w:tcW w:w="1398" w:type="pct"/>
            <w:tcBorders>
              <w:top w:val="single" w:color="000000" w:sz="4" w:space="0"/>
              <w:left w:val="single" w:color="000000" w:sz="4" w:space="0"/>
              <w:bottom w:val="single" w:color="000000" w:sz="4" w:space="0"/>
              <w:right w:val="single" w:color="000000" w:sz="4" w:space="0"/>
            </w:tcBorders>
            <w:vAlign w:val="center"/>
          </w:tcPr>
          <w:p w14:paraId="3FF8D79B">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建设费用</w:t>
            </w:r>
          </w:p>
        </w:tc>
        <w:tc>
          <w:tcPr>
            <w:tcW w:w="511" w:type="pct"/>
            <w:tcBorders>
              <w:top w:val="single" w:color="000000" w:sz="4" w:space="0"/>
              <w:left w:val="single" w:color="000000" w:sz="4" w:space="0"/>
              <w:bottom w:val="single" w:color="000000" w:sz="4" w:space="0"/>
              <w:right w:val="single" w:color="000000" w:sz="4" w:space="0"/>
            </w:tcBorders>
            <w:vAlign w:val="center"/>
          </w:tcPr>
          <w:p w14:paraId="2D137367">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w:t>
            </w:r>
          </w:p>
        </w:tc>
        <w:tc>
          <w:tcPr>
            <w:tcW w:w="667" w:type="pct"/>
            <w:tcBorders>
              <w:top w:val="single" w:color="000000" w:sz="4" w:space="0"/>
              <w:left w:val="single" w:color="000000" w:sz="4" w:space="0"/>
              <w:bottom w:val="single" w:color="000000" w:sz="4" w:space="0"/>
              <w:right w:val="single" w:color="000000" w:sz="4" w:space="0"/>
            </w:tcBorders>
            <w:vAlign w:val="center"/>
          </w:tcPr>
          <w:p w14:paraId="05C75887">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775</w:t>
            </w:r>
          </w:p>
        </w:tc>
        <w:tc>
          <w:tcPr>
            <w:tcW w:w="738" w:type="pct"/>
            <w:tcBorders>
              <w:top w:val="single" w:color="000000" w:sz="4" w:space="0"/>
              <w:left w:val="single" w:color="000000" w:sz="4" w:space="0"/>
              <w:bottom w:val="single" w:color="000000" w:sz="4" w:space="0"/>
              <w:right w:val="single" w:color="000000" w:sz="4" w:space="0"/>
            </w:tcBorders>
            <w:vAlign w:val="center"/>
          </w:tcPr>
          <w:p w14:paraId="273F9FCA">
            <w:pPr>
              <w:widowControl/>
              <w:jc w:val="center"/>
              <w:textAlignment w:val="center"/>
              <w:rPr>
                <w:rFonts w:hint="eastAsia" w:ascii="宋体" w:hAnsi="宋体" w:cs="宋体"/>
                <w:color w:val="000000"/>
                <w:kern w:val="0"/>
                <w:sz w:val="24"/>
                <w:highlight w:val="none"/>
                <w:lang w:bidi="ar"/>
              </w:rPr>
            </w:pPr>
          </w:p>
        </w:tc>
        <w:tc>
          <w:tcPr>
            <w:tcW w:w="704" w:type="pct"/>
            <w:tcBorders>
              <w:top w:val="single" w:color="000000" w:sz="4" w:space="0"/>
              <w:left w:val="single" w:color="000000" w:sz="4" w:space="0"/>
              <w:bottom w:val="single" w:color="000000" w:sz="4" w:space="0"/>
              <w:right w:val="single" w:color="000000" w:sz="4" w:space="0"/>
            </w:tcBorders>
            <w:vAlign w:val="center"/>
          </w:tcPr>
          <w:p w14:paraId="3D7ACBED">
            <w:pPr>
              <w:widowControl/>
              <w:jc w:val="center"/>
              <w:textAlignment w:val="center"/>
              <w:rPr>
                <w:rFonts w:hint="eastAsia" w:ascii="宋体" w:hAnsi="宋体" w:cs="宋体"/>
                <w:color w:val="000000"/>
                <w:kern w:val="0"/>
                <w:sz w:val="24"/>
                <w:highlight w:val="none"/>
                <w:lang w:bidi="ar"/>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39E04A55">
            <w:pPr>
              <w:widowControl/>
              <w:jc w:val="center"/>
              <w:textAlignment w:val="center"/>
              <w:rPr>
                <w:rFonts w:hint="eastAsia" w:ascii="宋体" w:hAnsi="宋体" w:cs="宋体"/>
                <w:color w:val="000000"/>
                <w:kern w:val="0"/>
                <w:sz w:val="24"/>
                <w:highlight w:val="none"/>
                <w:lang w:bidi="ar"/>
              </w:rPr>
            </w:pPr>
          </w:p>
        </w:tc>
      </w:tr>
      <w:tr w14:paraId="79D99E40">
        <w:tblPrEx>
          <w:tblCellMar>
            <w:top w:w="0" w:type="dxa"/>
            <w:left w:w="108" w:type="dxa"/>
            <w:bottom w:w="0" w:type="dxa"/>
            <w:right w:w="108" w:type="dxa"/>
          </w:tblCellMar>
        </w:tblPrEx>
        <w:trPr>
          <w:trHeight w:val="316" w:hRule="atLeast"/>
        </w:trPr>
        <w:tc>
          <w:tcPr>
            <w:tcW w:w="428" w:type="pct"/>
            <w:tcBorders>
              <w:top w:val="single" w:color="000000" w:sz="4" w:space="0"/>
              <w:left w:val="single" w:color="000000" w:sz="4" w:space="0"/>
              <w:bottom w:val="single" w:color="000000" w:sz="4" w:space="0"/>
              <w:right w:val="single" w:color="000000" w:sz="4" w:space="0"/>
            </w:tcBorders>
            <w:vAlign w:val="center"/>
          </w:tcPr>
          <w:p w14:paraId="1B0E73D9">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w:t>
            </w:r>
          </w:p>
        </w:tc>
        <w:tc>
          <w:tcPr>
            <w:tcW w:w="1398" w:type="pct"/>
            <w:tcBorders>
              <w:top w:val="single" w:color="000000" w:sz="4" w:space="0"/>
              <w:left w:val="single" w:color="000000" w:sz="4" w:space="0"/>
              <w:bottom w:val="single" w:color="000000" w:sz="4" w:space="0"/>
              <w:right w:val="single" w:color="000000" w:sz="4" w:space="0"/>
            </w:tcBorders>
            <w:vAlign w:val="center"/>
          </w:tcPr>
          <w:p w14:paraId="4BD59C7B">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可信数据空间平台</w:t>
            </w:r>
          </w:p>
        </w:tc>
        <w:tc>
          <w:tcPr>
            <w:tcW w:w="511" w:type="pct"/>
            <w:tcBorders>
              <w:top w:val="single" w:color="000000" w:sz="4" w:space="0"/>
              <w:left w:val="single" w:color="000000" w:sz="4" w:space="0"/>
              <w:bottom w:val="single" w:color="000000" w:sz="4" w:space="0"/>
              <w:right w:val="single" w:color="000000" w:sz="4" w:space="0"/>
            </w:tcBorders>
            <w:vAlign w:val="center"/>
          </w:tcPr>
          <w:p w14:paraId="7BCE0E1E">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w:t>
            </w:r>
          </w:p>
        </w:tc>
        <w:tc>
          <w:tcPr>
            <w:tcW w:w="667" w:type="pct"/>
            <w:tcBorders>
              <w:top w:val="single" w:color="000000" w:sz="4" w:space="0"/>
              <w:left w:val="single" w:color="000000" w:sz="4" w:space="0"/>
              <w:bottom w:val="single" w:color="000000" w:sz="4" w:space="0"/>
              <w:right w:val="single" w:color="000000" w:sz="4" w:space="0"/>
            </w:tcBorders>
            <w:vAlign w:val="center"/>
          </w:tcPr>
          <w:p w14:paraId="04C1D817">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363</w:t>
            </w:r>
          </w:p>
        </w:tc>
        <w:tc>
          <w:tcPr>
            <w:tcW w:w="738" w:type="pct"/>
            <w:tcBorders>
              <w:top w:val="single" w:color="000000" w:sz="4" w:space="0"/>
              <w:left w:val="single" w:color="000000" w:sz="4" w:space="0"/>
              <w:bottom w:val="single" w:color="000000" w:sz="4" w:space="0"/>
              <w:right w:val="single" w:color="000000" w:sz="4" w:space="0"/>
            </w:tcBorders>
            <w:vAlign w:val="center"/>
          </w:tcPr>
          <w:p w14:paraId="76CF3E4E">
            <w:pPr>
              <w:widowControl/>
              <w:jc w:val="center"/>
              <w:textAlignment w:val="center"/>
              <w:rPr>
                <w:rFonts w:hint="eastAsia" w:ascii="宋体" w:hAnsi="宋体" w:cs="宋体"/>
                <w:color w:val="000000"/>
                <w:kern w:val="0"/>
                <w:sz w:val="24"/>
                <w:highlight w:val="none"/>
                <w:lang w:bidi="ar"/>
              </w:rPr>
            </w:pPr>
          </w:p>
        </w:tc>
        <w:tc>
          <w:tcPr>
            <w:tcW w:w="704" w:type="pct"/>
            <w:tcBorders>
              <w:top w:val="single" w:color="000000" w:sz="4" w:space="0"/>
              <w:left w:val="single" w:color="000000" w:sz="4" w:space="0"/>
              <w:bottom w:val="single" w:color="000000" w:sz="4" w:space="0"/>
              <w:right w:val="single" w:color="000000" w:sz="4" w:space="0"/>
            </w:tcBorders>
            <w:vAlign w:val="center"/>
          </w:tcPr>
          <w:p w14:paraId="138BB57E">
            <w:pPr>
              <w:widowControl/>
              <w:jc w:val="center"/>
              <w:textAlignment w:val="center"/>
              <w:rPr>
                <w:rFonts w:hint="eastAsia" w:ascii="宋体" w:hAnsi="宋体" w:cs="宋体"/>
                <w:color w:val="000000"/>
                <w:kern w:val="0"/>
                <w:sz w:val="24"/>
                <w:highlight w:val="none"/>
                <w:lang w:bidi="ar"/>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34F949FB">
            <w:pPr>
              <w:widowControl/>
              <w:jc w:val="center"/>
              <w:textAlignment w:val="center"/>
              <w:rPr>
                <w:rFonts w:hint="eastAsia" w:ascii="宋体" w:hAnsi="宋体" w:cs="宋体"/>
                <w:color w:val="000000"/>
                <w:kern w:val="0"/>
                <w:sz w:val="24"/>
                <w:highlight w:val="none"/>
                <w:lang w:bidi="ar"/>
              </w:rPr>
            </w:pPr>
          </w:p>
        </w:tc>
      </w:tr>
      <w:tr w14:paraId="644C68E6">
        <w:tblPrEx>
          <w:tblCellMar>
            <w:top w:w="0" w:type="dxa"/>
            <w:left w:w="108" w:type="dxa"/>
            <w:bottom w:w="0" w:type="dxa"/>
            <w:right w:w="108" w:type="dxa"/>
          </w:tblCellMar>
        </w:tblPrEx>
        <w:trPr>
          <w:trHeight w:val="316" w:hRule="atLeast"/>
        </w:trPr>
        <w:tc>
          <w:tcPr>
            <w:tcW w:w="428" w:type="pct"/>
            <w:tcBorders>
              <w:top w:val="single" w:color="000000" w:sz="4" w:space="0"/>
              <w:left w:val="single" w:color="000000" w:sz="4" w:space="0"/>
              <w:bottom w:val="single" w:color="000000" w:sz="4" w:space="0"/>
              <w:right w:val="single" w:color="000000" w:sz="4" w:space="0"/>
            </w:tcBorders>
            <w:vAlign w:val="center"/>
          </w:tcPr>
          <w:p w14:paraId="2D357056">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1.1</w:t>
            </w:r>
          </w:p>
        </w:tc>
        <w:tc>
          <w:tcPr>
            <w:tcW w:w="1398" w:type="pct"/>
            <w:tcBorders>
              <w:top w:val="single" w:color="000000" w:sz="4" w:space="0"/>
              <w:left w:val="single" w:color="000000" w:sz="4" w:space="0"/>
              <w:bottom w:val="single" w:color="000000" w:sz="4" w:space="0"/>
              <w:right w:val="single" w:color="000000" w:sz="4" w:space="0"/>
            </w:tcBorders>
            <w:vAlign w:val="center"/>
          </w:tcPr>
          <w:p w14:paraId="7CE710EF">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可信身份认证</w:t>
            </w:r>
          </w:p>
        </w:tc>
        <w:tc>
          <w:tcPr>
            <w:tcW w:w="511" w:type="pct"/>
            <w:tcBorders>
              <w:top w:val="single" w:color="000000" w:sz="4" w:space="0"/>
              <w:left w:val="single" w:color="000000" w:sz="4" w:space="0"/>
              <w:bottom w:val="single" w:color="000000" w:sz="4" w:space="0"/>
              <w:right w:val="single" w:color="000000" w:sz="4" w:space="0"/>
            </w:tcBorders>
            <w:vAlign w:val="center"/>
          </w:tcPr>
          <w:p w14:paraId="5B5C0F53">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667" w:type="pct"/>
            <w:tcBorders>
              <w:top w:val="single" w:color="000000" w:sz="4" w:space="0"/>
              <w:left w:val="single" w:color="000000" w:sz="4" w:space="0"/>
              <w:bottom w:val="single" w:color="000000" w:sz="4" w:space="0"/>
              <w:right w:val="single" w:color="000000" w:sz="4" w:space="0"/>
            </w:tcBorders>
            <w:vAlign w:val="center"/>
          </w:tcPr>
          <w:p w14:paraId="5A11836F">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21</w:t>
            </w:r>
          </w:p>
        </w:tc>
        <w:tc>
          <w:tcPr>
            <w:tcW w:w="738" w:type="pct"/>
            <w:tcBorders>
              <w:top w:val="single" w:color="000000" w:sz="4" w:space="0"/>
              <w:left w:val="single" w:color="000000" w:sz="4" w:space="0"/>
              <w:bottom w:val="single" w:color="000000" w:sz="4" w:space="0"/>
              <w:right w:val="single" w:color="000000" w:sz="4" w:space="0"/>
            </w:tcBorders>
            <w:vAlign w:val="center"/>
          </w:tcPr>
          <w:p w14:paraId="7C3BEE81">
            <w:pPr>
              <w:widowControl/>
              <w:jc w:val="center"/>
              <w:textAlignment w:val="center"/>
              <w:rPr>
                <w:rFonts w:hint="eastAsia" w:ascii="宋体" w:hAnsi="宋体" w:cs="宋体"/>
                <w:color w:val="000000"/>
                <w:kern w:val="0"/>
                <w:sz w:val="24"/>
                <w:highlight w:val="none"/>
                <w:lang w:bidi="ar"/>
              </w:rPr>
            </w:pPr>
          </w:p>
        </w:tc>
        <w:tc>
          <w:tcPr>
            <w:tcW w:w="704" w:type="pct"/>
            <w:tcBorders>
              <w:top w:val="single" w:color="000000" w:sz="4" w:space="0"/>
              <w:left w:val="single" w:color="000000" w:sz="4" w:space="0"/>
              <w:bottom w:val="single" w:color="000000" w:sz="4" w:space="0"/>
              <w:right w:val="single" w:color="000000" w:sz="4" w:space="0"/>
            </w:tcBorders>
            <w:vAlign w:val="center"/>
          </w:tcPr>
          <w:p w14:paraId="7434DD7D">
            <w:pPr>
              <w:widowControl/>
              <w:jc w:val="center"/>
              <w:textAlignment w:val="center"/>
              <w:rPr>
                <w:rFonts w:hint="eastAsia" w:ascii="宋体" w:hAnsi="宋体" w:cs="宋体"/>
                <w:color w:val="000000"/>
                <w:kern w:val="0"/>
                <w:sz w:val="24"/>
                <w:highlight w:val="none"/>
                <w:lang w:bidi="ar"/>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28942A18">
            <w:pPr>
              <w:widowControl/>
              <w:jc w:val="center"/>
              <w:textAlignment w:val="center"/>
              <w:rPr>
                <w:rFonts w:hint="eastAsia" w:ascii="宋体" w:hAnsi="宋体" w:cs="宋体"/>
                <w:color w:val="000000"/>
                <w:kern w:val="0"/>
                <w:sz w:val="24"/>
                <w:highlight w:val="none"/>
                <w:lang w:bidi="ar"/>
              </w:rPr>
            </w:pPr>
          </w:p>
        </w:tc>
      </w:tr>
      <w:tr w14:paraId="2C8AD916">
        <w:tblPrEx>
          <w:tblCellMar>
            <w:top w:w="0" w:type="dxa"/>
            <w:left w:w="108" w:type="dxa"/>
            <w:bottom w:w="0" w:type="dxa"/>
            <w:right w:w="108" w:type="dxa"/>
          </w:tblCellMar>
        </w:tblPrEx>
        <w:trPr>
          <w:trHeight w:val="316" w:hRule="atLeast"/>
        </w:trPr>
        <w:tc>
          <w:tcPr>
            <w:tcW w:w="428" w:type="pct"/>
            <w:tcBorders>
              <w:top w:val="single" w:color="000000" w:sz="4" w:space="0"/>
              <w:left w:val="single" w:color="000000" w:sz="4" w:space="0"/>
              <w:bottom w:val="single" w:color="000000" w:sz="4" w:space="0"/>
              <w:right w:val="single" w:color="000000" w:sz="4" w:space="0"/>
            </w:tcBorders>
            <w:vAlign w:val="center"/>
          </w:tcPr>
          <w:p w14:paraId="2C6E349F">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1.2</w:t>
            </w:r>
          </w:p>
        </w:tc>
        <w:tc>
          <w:tcPr>
            <w:tcW w:w="1398" w:type="pct"/>
            <w:tcBorders>
              <w:top w:val="single" w:color="000000" w:sz="4" w:space="0"/>
              <w:left w:val="single" w:color="000000" w:sz="4" w:space="0"/>
              <w:bottom w:val="single" w:color="000000" w:sz="4" w:space="0"/>
              <w:right w:val="single" w:color="000000" w:sz="4" w:space="0"/>
            </w:tcBorders>
            <w:vAlign w:val="center"/>
          </w:tcPr>
          <w:p w14:paraId="70519D2C">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隐私计算</w:t>
            </w:r>
          </w:p>
        </w:tc>
        <w:tc>
          <w:tcPr>
            <w:tcW w:w="511" w:type="pct"/>
            <w:tcBorders>
              <w:top w:val="single" w:color="000000" w:sz="4" w:space="0"/>
              <w:left w:val="single" w:color="000000" w:sz="4" w:space="0"/>
              <w:bottom w:val="single" w:color="000000" w:sz="4" w:space="0"/>
              <w:right w:val="single" w:color="000000" w:sz="4" w:space="0"/>
            </w:tcBorders>
            <w:vAlign w:val="center"/>
          </w:tcPr>
          <w:p w14:paraId="020A64E1">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667" w:type="pct"/>
            <w:tcBorders>
              <w:top w:val="single" w:color="000000" w:sz="4" w:space="0"/>
              <w:left w:val="single" w:color="000000" w:sz="4" w:space="0"/>
              <w:bottom w:val="single" w:color="000000" w:sz="4" w:space="0"/>
              <w:right w:val="single" w:color="000000" w:sz="4" w:space="0"/>
            </w:tcBorders>
            <w:vAlign w:val="center"/>
          </w:tcPr>
          <w:p w14:paraId="30438386">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69</w:t>
            </w:r>
          </w:p>
        </w:tc>
        <w:tc>
          <w:tcPr>
            <w:tcW w:w="738" w:type="pct"/>
            <w:tcBorders>
              <w:top w:val="single" w:color="000000" w:sz="4" w:space="0"/>
              <w:left w:val="single" w:color="000000" w:sz="4" w:space="0"/>
              <w:bottom w:val="single" w:color="000000" w:sz="4" w:space="0"/>
              <w:right w:val="single" w:color="000000" w:sz="4" w:space="0"/>
            </w:tcBorders>
            <w:vAlign w:val="center"/>
          </w:tcPr>
          <w:p w14:paraId="349410A8">
            <w:pPr>
              <w:widowControl/>
              <w:jc w:val="center"/>
              <w:textAlignment w:val="center"/>
              <w:rPr>
                <w:rFonts w:hint="eastAsia" w:ascii="宋体" w:hAnsi="宋体" w:cs="宋体"/>
                <w:color w:val="000000"/>
                <w:kern w:val="0"/>
                <w:sz w:val="24"/>
                <w:highlight w:val="none"/>
                <w:lang w:bidi="ar"/>
              </w:rPr>
            </w:pPr>
          </w:p>
        </w:tc>
        <w:tc>
          <w:tcPr>
            <w:tcW w:w="704" w:type="pct"/>
            <w:tcBorders>
              <w:top w:val="single" w:color="000000" w:sz="4" w:space="0"/>
              <w:left w:val="single" w:color="000000" w:sz="4" w:space="0"/>
              <w:bottom w:val="single" w:color="000000" w:sz="4" w:space="0"/>
              <w:right w:val="single" w:color="000000" w:sz="4" w:space="0"/>
            </w:tcBorders>
            <w:vAlign w:val="center"/>
          </w:tcPr>
          <w:p w14:paraId="21166A6B">
            <w:pPr>
              <w:widowControl/>
              <w:jc w:val="center"/>
              <w:textAlignment w:val="center"/>
              <w:rPr>
                <w:rFonts w:hint="eastAsia" w:ascii="宋体" w:hAnsi="宋体" w:cs="宋体"/>
                <w:color w:val="000000"/>
                <w:kern w:val="0"/>
                <w:sz w:val="24"/>
                <w:highlight w:val="none"/>
                <w:lang w:bidi="ar"/>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570A69B8">
            <w:pPr>
              <w:widowControl/>
              <w:jc w:val="center"/>
              <w:textAlignment w:val="center"/>
              <w:rPr>
                <w:rFonts w:hint="eastAsia" w:ascii="宋体" w:hAnsi="宋体" w:cs="宋体"/>
                <w:color w:val="000000"/>
                <w:kern w:val="0"/>
                <w:sz w:val="24"/>
                <w:highlight w:val="none"/>
                <w:lang w:bidi="ar"/>
              </w:rPr>
            </w:pPr>
          </w:p>
        </w:tc>
      </w:tr>
      <w:tr w14:paraId="34869C56">
        <w:tblPrEx>
          <w:tblCellMar>
            <w:top w:w="0" w:type="dxa"/>
            <w:left w:w="108" w:type="dxa"/>
            <w:bottom w:w="0" w:type="dxa"/>
            <w:right w:w="108" w:type="dxa"/>
          </w:tblCellMar>
        </w:tblPrEx>
        <w:trPr>
          <w:trHeight w:val="316" w:hRule="atLeast"/>
        </w:trPr>
        <w:tc>
          <w:tcPr>
            <w:tcW w:w="428" w:type="pct"/>
            <w:tcBorders>
              <w:top w:val="single" w:color="000000" w:sz="4" w:space="0"/>
              <w:left w:val="single" w:color="000000" w:sz="4" w:space="0"/>
              <w:bottom w:val="single" w:color="000000" w:sz="4" w:space="0"/>
              <w:right w:val="single" w:color="000000" w:sz="4" w:space="0"/>
            </w:tcBorders>
            <w:vAlign w:val="center"/>
          </w:tcPr>
          <w:p w14:paraId="44DBFD14">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w:t>
            </w:r>
          </w:p>
        </w:tc>
        <w:tc>
          <w:tcPr>
            <w:tcW w:w="1398" w:type="pct"/>
            <w:tcBorders>
              <w:top w:val="single" w:color="000000" w:sz="4" w:space="0"/>
              <w:left w:val="single" w:color="000000" w:sz="4" w:space="0"/>
              <w:bottom w:val="single" w:color="000000" w:sz="4" w:space="0"/>
              <w:right w:val="single" w:color="000000" w:sz="4" w:space="0"/>
            </w:tcBorders>
            <w:vAlign w:val="center"/>
          </w:tcPr>
          <w:p w14:paraId="1557A68C">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数据沙箱</w:t>
            </w:r>
          </w:p>
        </w:tc>
        <w:tc>
          <w:tcPr>
            <w:tcW w:w="511" w:type="pct"/>
            <w:tcBorders>
              <w:top w:val="single" w:color="000000" w:sz="4" w:space="0"/>
              <w:left w:val="single" w:color="000000" w:sz="4" w:space="0"/>
              <w:bottom w:val="single" w:color="000000" w:sz="4" w:space="0"/>
              <w:right w:val="single" w:color="000000" w:sz="4" w:space="0"/>
            </w:tcBorders>
            <w:vAlign w:val="center"/>
          </w:tcPr>
          <w:p w14:paraId="0EF4CA7D">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667" w:type="pct"/>
            <w:tcBorders>
              <w:top w:val="single" w:color="000000" w:sz="4" w:space="0"/>
              <w:left w:val="single" w:color="000000" w:sz="4" w:space="0"/>
              <w:bottom w:val="single" w:color="000000" w:sz="4" w:space="0"/>
              <w:right w:val="single" w:color="000000" w:sz="4" w:space="0"/>
            </w:tcBorders>
            <w:vAlign w:val="center"/>
          </w:tcPr>
          <w:p w14:paraId="4D9E892F">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96</w:t>
            </w:r>
          </w:p>
        </w:tc>
        <w:tc>
          <w:tcPr>
            <w:tcW w:w="738" w:type="pct"/>
            <w:tcBorders>
              <w:top w:val="single" w:color="000000" w:sz="4" w:space="0"/>
              <w:left w:val="single" w:color="000000" w:sz="4" w:space="0"/>
              <w:bottom w:val="single" w:color="000000" w:sz="4" w:space="0"/>
              <w:right w:val="single" w:color="000000" w:sz="4" w:space="0"/>
            </w:tcBorders>
            <w:vAlign w:val="center"/>
          </w:tcPr>
          <w:p w14:paraId="1779276E">
            <w:pPr>
              <w:widowControl/>
              <w:jc w:val="center"/>
              <w:textAlignment w:val="center"/>
              <w:rPr>
                <w:rFonts w:hint="eastAsia" w:ascii="宋体" w:hAnsi="宋体" w:cs="宋体"/>
                <w:color w:val="000000"/>
                <w:kern w:val="0"/>
                <w:sz w:val="24"/>
                <w:highlight w:val="none"/>
                <w:lang w:bidi="ar"/>
              </w:rPr>
            </w:pPr>
          </w:p>
        </w:tc>
        <w:tc>
          <w:tcPr>
            <w:tcW w:w="704" w:type="pct"/>
            <w:tcBorders>
              <w:top w:val="single" w:color="000000" w:sz="4" w:space="0"/>
              <w:left w:val="single" w:color="000000" w:sz="4" w:space="0"/>
              <w:bottom w:val="single" w:color="000000" w:sz="4" w:space="0"/>
              <w:right w:val="single" w:color="000000" w:sz="4" w:space="0"/>
            </w:tcBorders>
            <w:vAlign w:val="center"/>
          </w:tcPr>
          <w:p w14:paraId="6D5F46DA">
            <w:pPr>
              <w:widowControl/>
              <w:jc w:val="center"/>
              <w:textAlignment w:val="center"/>
              <w:rPr>
                <w:rFonts w:hint="eastAsia" w:ascii="宋体" w:hAnsi="宋体" w:cs="宋体"/>
                <w:color w:val="000000"/>
                <w:kern w:val="0"/>
                <w:sz w:val="24"/>
                <w:highlight w:val="none"/>
                <w:lang w:bidi="ar"/>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04C919FF">
            <w:pPr>
              <w:widowControl/>
              <w:jc w:val="center"/>
              <w:textAlignment w:val="center"/>
              <w:rPr>
                <w:rFonts w:hint="eastAsia" w:ascii="宋体" w:hAnsi="宋体" w:cs="宋体"/>
                <w:color w:val="000000"/>
                <w:kern w:val="0"/>
                <w:sz w:val="24"/>
                <w:highlight w:val="none"/>
                <w:lang w:bidi="ar"/>
              </w:rPr>
            </w:pPr>
          </w:p>
        </w:tc>
      </w:tr>
      <w:tr w14:paraId="455B5CCD">
        <w:tblPrEx>
          <w:tblCellMar>
            <w:top w:w="0" w:type="dxa"/>
            <w:left w:w="108" w:type="dxa"/>
            <w:bottom w:w="0" w:type="dxa"/>
            <w:right w:w="108" w:type="dxa"/>
          </w:tblCellMar>
        </w:tblPrEx>
        <w:trPr>
          <w:trHeight w:val="316" w:hRule="atLeast"/>
        </w:trPr>
        <w:tc>
          <w:tcPr>
            <w:tcW w:w="428" w:type="pct"/>
            <w:tcBorders>
              <w:top w:val="single" w:color="000000" w:sz="4" w:space="0"/>
              <w:left w:val="single" w:color="000000" w:sz="4" w:space="0"/>
              <w:bottom w:val="single" w:color="000000" w:sz="4" w:space="0"/>
              <w:right w:val="single" w:color="000000" w:sz="4" w:space="0"/>
            </w:tcBorders>
            <w:vAlign w:val="center"/>
          </w:tcPr>
          <w:p w14:paraId="47CD23DB">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1.4</w:t>
            </w:r>
          </w:p>
        </w:tc>
        <w:tc>
          <w:tcPr>
            <w:tcW w:w="1398" w:type="pct"/>
            <w:tcBorders>
              <w:top w:val="single" w:color="000000" w:sz="4" w:space="0"/>
              <w:left w:val="single" w:color="000000" w:sz="4" w:space="0"/>
              <w:bottom w:val="single" w:color="000000" w:sz="4" w:space="0"/>
              <w:right w:val="single" w:color="000000" w:sz="4" w:space="0"/>
            </w:tcBorders>
            <w:vAlign w:val="center"/>
          </w:tcPr>
          <w:p w14:paraId="1234A808">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区块链存证</w:t>
            </w:r>
          </w:p>
        </w:tc>
        <w:tc>
          <w:tcPr>
            <w:tcW w:w="511" w:type="pct"/>
            <w:tcBorders>
              <w:top w:val="single" w:color="000000" w:sz="4" w:space="0"/>
              <w:left w:val="single" w:color="000000" w:sz="4" w:space="0"/>
              <w:bottom w:val="single" w:color="000000" w:sz="4" w:space="0"/>
              <w:right w:val="single" w:color="000000" w:sz="4" w:space="0"/>
            </w:tcBorders>
            <w:vAlign w:val="center"/>
          </w:tcPr>
          <w:p w14:paraId="4D8D1548">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667" w:type="pct"/>
            <w:tcBorders>
              <w:top w:val="single" w:color="000000" w:sz="4" w:space="0"/>
              <w:left w:val="single" w:color="000000" w:sz="4" w:space="0"/>
              <w:bottom w:val="single" w:color="000000" w:sz="4" w:space="0"/>
              <w:right w:val="single" w:color="000000" w:sz="4" w:space="0"/>
            </w:tcBorders>
            <w:vAlign w:val="center"/>
          </w:tcPr>
          <w:p w14:paraId="610EBB0D">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18</w:t>
            </w:r>
          </w:p>
        </w:tc>
        <w:tc>
          <w:tcPr>
            <w:tcW w:w="738" w:type="pct"/>
            <w:tcBorders>
              <w:top w:val="single" w:color="000000" w:sz="4" w:space="0"/>
              <w:left w:val="single" w:color="000000" w:sz="4" w:space="0"/>
              <w:bottom w:val="single" w:color="000000" w:sz="4" w:space="0"/>
              <w:right w:val="single" w:color="000000" w:sz="4" w:space="0"/>
            </w:tcBorders>
            <w:vAlign w:val="center"/>
          </w:tcPr>
          <w:p w14:paraId="3F8E00D5">
            <w:pPr>
              <w:widowControl/>
              <w:jc w:val="center"/>
              <w:textAlignment w:val="center"/>
              <w:rPr>
                <w:rFonts w:hint="eastAsia" w:ascii="宋体" w:hAnsi="宋体" w:cs="宋体"/>
                <w:color w:val="000000"/>
                <w:kern w:val="0"/>
                <w:sz w:val="24"/>
                <w:highlight w:val="none"/>
                <w:lang w:bidi="ar"/>
              </w:rPr>
            </w:pPr>
          </w:p>
        </w:tc>
        <w:tc>
          <w:tcPr>
            <w:tcW w:w="704" w:type="pct"/>
            <w:tcBorders>
              <w:top w:val="single" w:color="000000" w:sz="4" w:space="0"/>
              <w:left w:val="single" w:color="000000" w:sz="4" w:space="0"/>
              <w:bottom w:val="single" w:color="000000" w:sz="4" w:space="0"/>
              <w:right w:val="single" w:color="000000" w:sz="4" w:space="0"/>
            </w:tcBorders>
            <w:vAlign w:val="center"/>
          </w:tcPr>
          <w:p w14:paraId="08183D6F">
            <w:pPr>
              <w:widowControl/>
              <w:jc w:val="center"/>
              <w:textAlignment w:val="center"/>
              <w:rPr>
                <w:rFonts w:hint="eastAsia" w:ascii="宋体" w:hAnsi="宋体" w:cs="宋体"/>
                <w:color w:val="000000"/>
                <w:kern w:val="0"/>
                <w:sz w:val="24"/>
                <w:highlight w:val="none"/>
                <w:lang w:bidi="ar"/>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76F4C20B">
            <w:pPr>
              <w:widowControl/>
              <w:jc w:val="center"/>
              <w:textAlignment w:val="center"/>
              <w:rPr>
                <w:rFonts w:hint="eastAsia" w:ascii="宋体" w:hAnsi="宋体" w:cs="宋体"/>
                <w:color w:val="000000"/>
                <w:kern w:val="0"/>
                <w:sz w:val="24"/>
                <w:highlight w:val="none"/>
                <w:lang w:bidi="ar"/>
              </w:rPr>
            </w:pPr>
          </w:p>
        </w:tc>
      </w:tr>
      <w:tr w14:paraId="0349E827">
        <w:tblPrEx>
          <w:tblCellMar>
            <w:top w:w="0" w:type="dxa"/>
            <w:left w:w="108" w:type="dxa"/>
            <w:bottom w:w="0" w:type="dxa"/>
            <w:right w:w="108" w:type="dxa"/>
          </w:tblCellMar>
        </w:tblPrEx>
        <w:trPr>
          <w:trHeight w:val="316" w:hRule="atLeast"/>
        </w:trPr>
        <w:tc>
          <w:tcPr>
            <w:tcW w:w="428" w:type="pct"/>
            <w:tcBorders>
              <w:top w:val="single" w:color="000000" w:sz="4" w:space="0"/>
              <w:left w:val="single" w:color="000000" w:sz="4" w:space="0"/>
              <w:bottom w:val="single" w:color="000000" w:sz="4" w:space="0"/>
              <w:right w:val="single" w:color="000000" w:sz="4" w:space="0"/>
            </w:tcBorders>
            <w:vAlign w:val="center"/>
          </w:tcPr>
          <w:p w14:paraId="348ECC7E">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1.5</w:t>
            </w:r>
          </w:p>
        </w:tc>
        <w:tc>
          <w:tcPr>
            <w:tcW w:w="1398" w:type="pct"/>
            <w:tcBorders>
              <w:top w:val="single" w:color="000000" w:sz="4" w:space="0"/>
              <w:left w:val="single" w:color="000000" w:sz="4" w:space="0"/>
              <w:bottom w:val="single" w:color="000000" w:sz="4" w:space="0"/>
              <w:right w:val="single" w:color="000000" w:sz="4" w:space="0"/>
            </w:tcBorders>
            <w:vAlign w:val="center"/>
          </w:tcPr>
          <w:p w14:paraId="35F664B4">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智能合约</w:t>
            </w:r>
          </w:p>
        </w:tc>
        <w:tc>
          <w:tcPr>
            <w:tcW w:w="511" w:type="pct"/>
            <w:tcBorders>
              <w:top w:val="single" w:color="000000" w:sz="4" w:space="0"/>
              <w:left w:val="single" w:color="000000" w:sz="4" w:space="0"/>
              <w:bottom w:val="single" w:color="000000" w:sz="4" w:space="0"/>
              <w:right w:val="single" w:color="000000" w:sz="4" w:space="0"/>
            </w:tcBorders>
            <w:vAlign w:val="center"/>
          </w:tcPr>
          <w:p w14:paraId="5D50A7CA">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667" w:type="pct"/>
            <w:tcBorders>
              <w:top w:val="single" w:color="000000" w:sz="4" w:space="0"/>
              <w:left w:val="single" w:color="000000" w:sz="4" w:space="0"/>
              <w:bottom w:val="single" w:color="000000" w:sz="4" w:space="0"/>
              <w:right w:val="single" w:color="000000" w:sz="4" w:space="0"/>
            </w:tcBorders>
            <w:vAlign w:val="center"/>
          </w:tcPr>
          <w:p w14:paraId="2B36AF3A">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66</w:t>
            </w:r>
          </w:p>
        </w:tc>
        <w:tc>
          <w:tcPr>
            <w:tcW w:w="738" w:type="pct"/>
            <w:tcBorders>
              <w:top w:val="single" w:color="000000" w:sz="4" w:space="0"/>
              <w:left w:val="single" w:color="000000" w:sz="4" w:space="0"/>
              <w:bottom w:val="single" w:color="000000" w:sz="4" w:space="0"/>
              <w:right w:val="single" w:color="000000" w:sz="4" w:space="0"/>
            </w:tcBorders>
            <w:vAlign w:val="center"/>
          </w:tcPr>
          <w:p w14:paraId="651655B7">
            <w:pPr>
              <w:widowControl/>
              <w:jc w:val="center"/>
              <w:textAlignment w:val="center"/>
              <w:rPr>
                <w:rFonts w:hint="eastAsia" w:ascii="宋体" w:hAnsi="宋体" w:cs="宋体"/>
                <w:color w:val="000000"/>
                <w:kern w:val="0"/>
                <w:sz w:val="24"/>
                <w:highlight w:val="none"/>
                <w:lang w:bidi="ar"/>
              </w:rPr>
            </w:pPr>
          </w:p>
        </w:tc>
        <w:tc>
          <w:tcPr>
            <w:tcW w:w="704" w:type="pct"/>
            <w:tcBorders>
              <w:top w:val="single" w:color="000000" w:sz="4" w:space="0"/>
              <w:left w:val="single" w:color="000000" w:sz="4" w:space="0"/>
              <w:bottom w:val="single" w:color="000000" w:sz="4" w:space="0"/>
              <w:right w:val="single" w:color="000000" w:sz="4" w:space="0"/>
            </w:tcBorders>
            <w:vAlign w:val="center"/>
          </w:tcPr>
          <w:p w14:paraId="02F802E4">
            <w:pPr>
              <w:widowControl/>
              <w:jc w:val="center"/>
              <w:textAlignment w:val="center"/>
              <w:rPr>
                <w:rFonts w:hint="eastAsia" w:ascii="宋体" w:hAnsi="宋体" w:cs="宋体"/>
                <w:color w:val="000000"/>
                <w:kern w:val="0"/>
                <w:sz w:val="24"/>
                <w:highlight w:val="none"/>
                <w:lang w:bidi="ar"/>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222307D9">
            <w:pPr>
              <w:widowControl/>
              <w:jc w:val="center"/>
              <w:textAlignment w:val="center"/>
              <w:rPr>
                <w:rFonts w:hint="eastAsia" w:ascii="宋体" w:hAnsi="宋体" w:cs="宋体"/>
                <w:color w:val="000000"/>
                <w:kern w:val="0"/>
                <w:sz w:val="24"/>
                <w:highlight w:val="none"/>
                <w:lang w:bidi="ar"/>
              </w:rPr>
            </w:pPr>
          </w:p>
        </w:tc>
      </w:tr>
      <w:tr w14:paraId="32D318B0">
        <w:tblPrEx>
          <w:tblCellMar>
            <w:top w:w="0" w:type="dxa"/>
            <w:left w:w="108" w:type="dxa"/>
            <w:bottom w:w="0" w:type="dxa"/>
            <w:right w:w="108" w:type="dxa"/>
          </w:tblCellMar>
        </w:tblPrEx>
        <w:trPr>
          <w:trHeight w:val="316" w:hRule="atLeast"/>
        </w:trPr>
        <w:tc>
          <w:tcPr>
            <w:tcW w:w="428" w:type="pct"/>
            <w:tcBorders>
              <w:top w:val="single" w:color="000000" w:sz="4" w:space="0"/>
              <w:left w:val="single" w:color="000000" w:sz="4" w:space="0"/>
              <w:bottom w:val="single" w:color="000000" w:sz="4" w:space="0"/>
              <w:right w:val="single" w:color="000000" w:sz="4" w:space="0"/>
            </w:tcBorders>
            <w:vAlign w:val="center"/>
          </w:tcPr>
          <w:p w14:paraId="577B9FCF">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1.6</w:t>
            </w:r>
          </w:p>
        </w:tc>
        <w:tc>
          <w:tcPr>
            <w:tcW w:w="1398" w:type="pct"/>
            <w:tcBorders>
              <w:top w:val="single" w:color="000000" w:sz="4" w:space="0"/>
              <w:left w:val="single" w:color="000000" w:sz="4" w:space="0"/>
              <w:bottom w:val="single" w:color="000000" w:sz="4" w:space="0"/>
              <w:right w:val="single" w:color="000000" w:sz="4" w:space="0"/>
            </w:tcBorders>
            <w:vAlign w:val="center"/>
          </w:tcPr>
          <w:p w14:paraId="498164B0">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数据连接器</w:t>
            </w:r>
          </w:p>
        </w:tc>
        <w:tc>
          <w:tcPr>
            <w:tcW w:w="511" w:type="pct"/>
            <w:tcBorders>
              <w:top w:val="single" w:color="000000" w:sz="4" w:space="0"/>
              <w:left w:val="single" w:color="000000" w:sz="4" w:space="0"/>
              <w:bottom w:val="single" w:color="000000" w:sz="4" w:space="0"/>
              <w:right w:val="single" w:color="000000" w:sz="4" w:space="0"/>
            </w:tcBorders>
            <w:vAlign w:val="center"/>
          </w:tcPr>
          <w:p w14:paraId="2FEF49EB">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667" w:type="pct"/>
            <w:tcBorders>
              <w:top w:val="single" w:color="000000" w:sz="4" w:space="0"/>
              <w:left w:val="single" w:color="000000" w:sz="4" w:space="0"/>
              <w:bottom w:val="single" w:color="000000" w:sz="4" w:space="0"/>
              <w:right w:val="single" w:color="000000" w:sz="4" w:space="0"/>
            </w:tcBorders>
            <w:vAlign w:val="center"/>
          </w:tcPr>
          <w:p w14:paraId="267D4E98">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93</w:t>
            </w:r>
          </w:p>
        </w:tc>
        <w:tc>
          <w:tcPr>
            <w:tcW w:w="738" w:type="pct"/>
            <w:tcBorders>
              <w:top w:val="single" w:color="000000" w:sz="4" w:space="0"/>
              <w:left w:val="single" w:color="000000" w:sz="4" w:space="0"/>
              <w:bottom w:val="single" w:color="000000" w:sz="4" w:space="0"/>
              <w:right w:val="single" w:color="000000" w:sz="4" w:space="0"/>
            </w:tcBorders>
            <w:vAlign w:val="center"/>
          </w:tcPr>
          <w:p w14:paraId="5F6DD4B6">
            <w:pPr>
              <w:widowControl/>
              <w:jc w:val="center"/>
              <w:textAlignment w:val="center"/>
              <w:rPr>
                <w:rFonts w:hint="eastAsia" w:ascii="宋体" w:hAnsi="宋体" w:cs="宋体"/>
                <w:color w:val="000000"/>
                <w:kern w:val="0"/>
                <w:sz w:val="24"/>
                <w:highlight w:val="none"/>
                <w:lang w:bidi="ar"/>
              </w:rPr>
            </w:pPr>
          </w:p>
        </w:tc>
        <w:tc>
          <w:tcPr>
            <w:tcW w:w="704" w:type="pct"/>
            <w:tcBorders>
              <w:top w:val="single" w:color="000000" w:sz="4" w:space="0"/>
              <w:left w:val="single" w:color="000000" w:sz="4" w:space="0"/>
              <w:bottom w:val="single" w:color="000000" w:sz="4" w:space="0"/>
              <w:right w:val="single" w:color="000000" w:sz="4" w:space="0"/>
            </w:tcBorders>
            <w:vAlign w:val="center"/>
          </w:tcPr>
          <w:p w14:paraId="35B34F5B">
            <w:pPr>
              <w:widowControl/>
              <w:jc w:val="center"/>
              <w:textAlignment w:val="center"/>
              <w:rPr>
                <w:rFonts w:hint="eastAsia" w:ascii="宋体" w:hAnsi="宋体" w:cs="宋体"/>
                <w:color w:val="000000"/>
                <w:kern w:val="0"/>
                <w:sz w:val="24"/>
                <w:highlight w:val="none"/>
                <w:lang w:bidi="ar"/>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027C6CAD">
            <w:pPr>
              <w:widowControl/>
              <w:jc w:val="center"/>
              <w:textAlignment w:val="center"/>
              <w:rPr>
                <w:rFonts w:hint="eastAsia" w:ascii="宋体" w:hAnsi="宋体" w:cs="宋体"/>
                <w:color w:val="000000"/>
                <w:kern w:val="0"/>
                <w:sz w:val="24"/>
                <w:highlight w:val="none"/>
                <w:lang w:bidi="ar"/>
              </w:rPr>
            </w:pPr>
          </w:p>
        </w:tc>
      </w:tr>
      <w:tr w14:paraId="769861EF">
        <w:tblPrEx>
          <w:tblCellMar>
            <w:top w:w="0" w:type="dxa"/>
            <w:left w:w="108" w:type="dxa"/>
            <w:bottom w:w="0" w:type="dxa"/>
            <w:right w:w="108" w:type="dxa"/>
          </w:tblCellMar>
        </w:tblPrEx>
        <w:trPr>
          <w:trHeight w:val="316" w:hRule="atLeast"/>
        </w:trPr>
        <w:tc>
          <w:tcPr>
            <w:tcW w:w="428" w:type="pct"/>
            <w:tcBorders>
              <w:top w:val="single" w:color="000000" w:sz="4" w:space="0"/>
              <w:left w:val="single" w:color="000000" w:sz="4" w:space="0"/>
              <w:bottom w:val="single" w:color="000000" w:sz="4" w:space="0"/>
              <w:right w:val="single" w:color="000000" w:sz="4" w:space="0"/>
            </w:tcBorders>
            <w:vAlign w:val="center"/>
          </w:tcPr>
          <w:p w14:paraId="60A6767C">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w:t>
            </w:r>
          </w:p>
        </w:tc>
        <w:tc>
          <w:tcPr>
            <w:tcW w:w="1398" w:type="pct"/>
            <w:tcBorders>
              <w:top w:val="single" w:color="000000" w:sz="4" w:space="0"/>
              <w:left w:val="single" w:color="000000" w:sz="4" w:space="0"/>
              <w:bottom w:val="single" w:color="000000" w:sz="4" w:space="0"/>
              <w:right w:val="single" w:color="000000" w:sz="4" w:space="0"/>
            </w:tcBorders>
            <w:vAlign w:val="center"/>
          </w:tcPr>
          <w:p w14:paraId="78AE2E1E">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配套硬件设备建设</w:t>
            </w:r>
          </w:p>
        </w:tc>
        <w:tc>
          <w:tcPr>
            <w:tcW w:w="511" w:type="pct"/>
            <w:tcBorders>
              <w:top w:val="single" w:color="000000" w:sz="4" w:space="0"/>
              <w:left w:val="single" w:color="000000" w:sz="4" w:space="0"/>
              <w:bottom w:val="single" w:color="000000" w:sz="4" w:space="0"/>
              <w:right w:val="single" w:color="000000" w:sz="4" w:space="0"/>
            </w:tcBorders>
            <w:vAlign w:val="center"/>
          </w:tcPr>
          <w:p w14:paraId="75A75AE3">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w:t>
            </w:r>
          </w:p>
        </w:tc>
        <w:tc>
          <w:tcPr>
            <w:tcW w:w="667" w:type="pct"/>
            <w:tcBorders>
              <w:top w:val="single" w:color="000000" w:sz="4" w:space="0"/>
              <w:left w:val="single" w:color="000000" w:sz="4" w:space="0"/>
              <w:bottom w:val="single" w:color="000000" w:sz="4" w:space="0"/>
              <w:right w:val="single" w:color="000000" w:sz="4" w:space="0"/>
            </w:tcBorders>
            <w:vAlign w:val="center"/>
          </w:tcPr>
          <w:p w14:paraId="52AD7CEF">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412</w:t>
            </w:r>
          </w:p>
        </w:tc>
        <w:tc>
          <w:tcPr>
            <w:tcW w:w="738" w:type="pct"/>
            <w:tcBorders>
              <w:top w:val="single" w:color="000000" w:sz="4" w:space="0"/>
              <w:left w:val="single" w:color="000000" w:sz="4" w:space="0"/>
              <w:bottom w:val="single" w:color="000000" w:sz="4" w:space="0"/>
              <w:right w:val="single" w:color="000000" w:sz="4" w:space="0"/>
            </w:tcBorders>
            <w:vAlign w:val="center"/>
          </w:tcPr>
          <w:p w14:paraId="289AEE75">
            <w:pPr>
              <w:widowControl/>
              <w:jc w:val="center"/>
              <w:textAlignment w:val="center"/>
              <w:rPr>
                <w:rFonts w:hint="eastAsia" w:ascii="宋体" w:hAnsi="宋体" w:cs="宋体"/>
                <w:color w:val="000000"/>
                <w:kern w:val="0"/>
                <w:sz w:val="24"/>
                <w:highlight w:val="none"/>
                <w:lang w:bidi="ar"/>
              </w:rPr>
            </w:pPr>
          </w:p>
        </w:tc>
        <w:tc>
          <w:tcPr>
            <w:tcW w:w="704" w:type="pct"/>
            <w:tcBorders>
              <w:top w:val="single" w:color="000000" w:sz="4" w:space="0"/>
              <w:left w:val="single" w:color="000000" w:sz="4" w:space="0"/>
              <w:bottom w:val="single" w:color="000000" w:sz="4" w:space="0"/>
              <w:right w:val="single" w:color="000000" w:sz="4" w:space="0"/>
            </w:tcBorders>
            <w:vAlign w:val="center"/>
          </w:tcPr>
          <w:p w14:paraId="0345165B">
            <w:pPr>
              <w:widowControl/>
              <w:jc w:val="center"/>
              <w:textAlignment w:val="center"/>
              <w:rPr>
                <w:rFonts w:hint="eastAsia" w:ascii="宋体" w:hAnsi="宋体" w:cs="宋体"/>
                <w:color w:val="000000"/>
                <w:kern w:val="0"/>
                <w:sz w:val="24"/>
                <w:highlight w:val="none"/>
                <w:lang w:bidi="ar"/>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7D43771C">
            <w:pPr>
              <w:widowControl/>
              <w:jc w:val="center"/>
              <w:textAlignment w:val="center"/>
              <w:rPr>
                <w:rFonts w:hint="eastAsia" w:ascii="宋体" w:hAnsi="宋体" w:cs="宋体"/>
                <w:color w:val="000000"/>
                <w:kern w:val="0"/>
                <w:sz w:val="24"/>
                <w:highlight w:val="none"/>
                <w:lang w:bidi="ar"/>
              </w:rPr>
            </w:pPr>
          </w:p>
        </w:tc>
      </w:tr>
      <w:tr w14:paraId="747916F2">
        <w:tblPrEx>
          <w:tblCellMar>
            <w:top w:w="0" w:type="dxa"/>
            <w:left w:w="108" w:type="dxa"/>
            <w:bottom w:w="0" w:type="dxa"/>
            <w:right w:w="108" w:type="dxa"/>
          </w:tblCellMar>
        </w:tblPrEx>
        <w:trPr>
          <w:trHeight w:val="316" w:hRule="atLeast"/>
        </w:trPr>
        <w:tc>
          <w:tcPr>
            <w:tcW w:w="428" w:type="pct"/>
            <w:tcBorders>
              <w:top w:val="single" w:color="000000" w:sz="4" w:space="0"/>
              <w:left w:val="single" w:color="000000" w:sz="4" w:space="0"/>
              <w:bottom w:val="single" w:color="000000" w:sz="4" w:space="0"/>
              <w:right w:val="single" w:color="000000" w:sz="4" w:space="0"/>
            </w:tcBorders>
            <w:vAlign w:val="center"/>
          </w:tcPr>
          <w:p w14:paraId="4D27AB34">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2.1</w:t>
            </w:r>
          </w:p>
        </w:tc>
        <w:tc>
          <w:tcPr>
            <w:tcW w:w="1398" w:type="pct"/>
            <w:tcBorders>
              <w:top w:val="single" w:color="000000" w:sz="4" w:space="0"/>
              <w:left w:val="single" w:color="000000" w:sz="4" w:space="0"/>
              <w:bottom w:val="single" w:color="000000" w:sz="4" w:space="0"/>
              <w:right w:val="single" w:color="000000" w:sz="4" w:space="0"/>
            </w:tcBorders>
            <w:vAlign w:val="center"/>
          </w:tcPr>
          <w:p w14:paraId="028C5415">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核心防火墙</w:t>
            </w:r>
          </w:p>
        </w:tc>
        <w:tc>
          <w:tcPr>
            <w:tcW w:w="511" w:type="pct"/>
            <w:tcBorders>
              <w:top w:val="single" w:color="000000" w:sz="4" w:space="0"/>
              <w:left w:val="single" w:color="000000" w:sz="4" w:space="0"/>
              <w:bottom w:val="single" w:color="000000" w:sz="4" w:space="0"/>
              <w:right w:val="single" w:color="000000" w:sz="4" w:space="0"/>
            </w:tcBorders>
            <w:vAlign w:val="center"/>
          </w:tcPr>
          <w:p w14:paraId="01739CCB">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2台</w:t>
            </w:r>
          </w:p>
        </w:tc>
        <w:tc>
          <w:tcPr>
            <w:tcW w:w="667" w:type="pct"/>
            <w:tcBorders>
              <w:top w:val="single" w:color="000000" w:sz="4" w:space="0"/>
              <w:left w:val="single" w:color="000000" w:sz="4" w:space="0"/>
              <w:bottom w:val="single" w:color="000000" w:sz="4" w:space="0"/>
              <w:right w:val="single" w:color="000000" w:sz="4" w:space="0"/>
            </w:tcBorders>
            <w:vAlign w:val="center"/>
          </w:tcPr>
          <w:p w14:paraId="25DEBA3A">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34</w:t>
            </w:r>
          </w:p>
        </w:tc>
        <w:tc>
          <w:tcPr>
            <w:tcW w:w="738" w:type="pct"/>
            <w:tcBorders>
              <w:top w:val="single" w:color="000000" w:sz="4" w:space="0"/>
              <w:left w:val="single" w:color="000000" w:sz="4" w:space="0"/>
              <w:bottom w:val="single" w:color="000000" w:sz="4" w:space="0"/>
              <w:right w:val="single" w:color="000000" w:sz="4" w:space="0"/>
            </w:tcBorders>
            <w:vAlign w:val="center"/>
          </w:tcPr>
          <w:p w14:paraId="1360E2E6">
            <w:pPr>
              <w:widowControl/>
              <w:jc w:val="center"/>
              <w:textAlignment w:val="center"/>
              <w:rPr>
                <w:rFonts w:hint="eastAsia" w:ascii="宋体" w:hAnsi="宋体" w:cs="宋体"/>
                <w:color w:val="000000"/>
                <w:kern w:val="0"/>
                <w:sz w:val="24"/>
                <w:highlight w:val="none"/>
                <w:lang w:bidi="ar"/>
              </w:rPr>
            </w:pPr>
          </w:p>
        </w:tc>
        <w:tc>
          <w:tcPr>
            <w:tcW w:w="704" w:type="pct"/>
            <w:tcBorders>
              <w:top w:val="single" w:color="000000" w:sz="4" w:space="0"/>
              <w:left w:val="single" w:color="000000" w:sz="4" w:space="0"/>
              <w:bottom w:val="single" w:color="000000" w:sz="4" w:space="0"/>
              <w:right w:val="single" w:color="000000" w:sz="4" w:space="0"/>
            </w:tcBorders>
            <w:vAlign w:val="center"/>
          </w:tcPr>
          <w:p w14:paraId="5FA2FB67">
            <w:pPr>
              <w:widowControl/>
              <w:jc w:val="center"/>
              <w:textAlignment w:val="center"/>
              <w:rPr>
                <w:rFonts w:hint="eastAsia" w:ascii="宋体" w:hAnsi="宋体" w:cs="宋体"/>
                <w:color w:val="000000"/>
                <w:kern w:val="0"/>
                <w:sz w:val="24"/>
                <w:highlight w:val="none"/>
                <w:lang w:bidi="ar"/>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5EBF4BDE">
            <w:pPr>
              <w:widowControl/>
              <w:jc w:val="center"/>
              <w:textAlignment w:val="center"/>
              <w:rPr>
                <w:rFonts w:hint="eastAsia" w:ascii="宋体" w:hAnsi="宋体" w:cs="宋体"/>
                <w:color w:val="000000"/>
                <w:kern w:val="0"/>
                <w:sz w:val="24"/>
                <w:highlight w:val="none"/>
                <w:lang w:bidi="ar"/>
              </w:rPr>
            </w:pPr>
          </w:p>
        </w:tc>
      </w:tr>
      <w:tr w14:paraId="03FCFBC2">
        <w:tblPrEx>
          <w:tblCellMar>
            <w:top w:w="0" w:type="dxa"/>
            <w:left w:w="108" w:type="dxa"/>
            <w:bottom w:w="0" w:type="dxa"/>
            <w:right w:w="108" w:type="dxa"/>
          </w:tblCellMar>
        </w:tblPrEx>
        <w:trPr>
          <w:trHeight w:val="316" w:hRule="atLeast"/>
        </w:trPr>
        <w:tc>
          <w:tcPr>
            <w:tcW w:w="428" w:type="pct"/>
            <w:tcBorders>
              <w:top w:val="single" w:color="000000" w:sz="4" w:space="0"/>
              <w:left w:val="single" w:color="000000" w:sz="4" w:space="0"/>
              <w:bottom w:val="single" w:color="000000" w:sz="4" w:space="0"/>
              <w:right w:val="single" w:color="000000" w:sz="4" w:space="0"/>
            </w:tcBorders>
            <w:vAlign w:val="center"/>
          </w:tcPr>
          <w:p w14:paraId="035E6544">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2.2</w:t>
            </w:r>
          </w:p>
        </w:tc>
        <w:tc>
          <w:tcPr>
            <w:tcW w:w="1398" w:type="pct"/>
            <w:tcBorders>
              <w:top w:val="single" w:color="000000" w:sz="4" w:space="0"/>
              <w:left w:val="single" w:color="000000" w:sz="4" w:space="0"/>
              <w:bottom w:val="single" w:color="000000" w:sz="4" w:space="0"/>
              <w:right w:val="single" w:color="000000" w:sz="4" w:space="0"/>
            </w:tcBorders>
            <w:vAlign w:val="center"/>
          </w:tcPr>
          <w:p w14:paraId="56BFB2BB">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Web应用防火墙</w:t>
            </w:r>
          </w:p>
        </w:tc>
        <w:tc>
          <w:tcPr>
            <w:tcW w:w="511" w:type="pct"/>
            <w:tcBorders>
              <w:top w:val="single" w:color="000000" w:sz="4" w:space="0"/>
              <w:left w:val="single" w:color="000000" w:sz="4" w:space="0"/>
              <w:bottom w:val="single" w:color="000000" w:sz="4" w:space="0"/>
              <w:right w:val="single" w:color="000000" w:sz="4" w:space="0"/>
            </w:tcBorders>
            <w:vAlign w:val="center"/>
          </w:tcPr>
          <w:p w14:paraId="1E3DC12C">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2台</w:t>
            </w:r>
          </w:p>
        </w:tc>
        <w:tc>
          <w:tcPr>
            <w:tcW w:w="667" w:type="pct"/>
            <w:tcBorders>
              <w:top w:val="single" w:color="000000" w:sz="4" w:space="0"/>
              <w:left w:val="single" w:color="000000" w:sz="4" w:space="0"/>
              <w:bottom w:val="single" w:color="000000" w:sz="4" w:space="0"/>
              <w:right w:val="single" w:color="000000" w:sz="4" w:space="0"/>
            </w:tcBorders>
            <w:vAlign w:val="center"/>
          </w:tcPr>
          <w:p w14:paraId="6688E6C5">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16</w:t>
            </w:r>
          </w:p>
        </w:tc>
        <w:tc>
          <w:tcPr>
            <w:tcW w:w="738" w:type="pct"/>
            <w:tcBorders>
              <w:top w:val="single" w:color="000000" w:sz="4" w:space="0"/>
              <w:left w:val="single" w:color="000000" w:sz="4" w:space="0"/>
              <w:bottom w:val="single" w:color="000000" w:sz="4" w:space="0"/>
              <w:right w:val="single" w:color="000000" w:sz="4" w:space="0"/>
            </w:tcBorders>
            <w:vAlign w:val="center"/>
          </w:tcPr>
          <w:p w14:paraId="31E655E2">
            <w:pPr>
              <w:widowControl/>
              <w:jc w:val="center"/>
              <w:textAlignment w:val="center"/>
              <w:rPr>
                <w:rFonts w:hint="eastAsia" w:ascii="宋体" w:hAnsi="宋体" w:cs="宋体"/>
                <w:color w:val="000000"/>
                <w:kern w:val="0"/>
                <w:sz w:val="24"/>
                <w:highlight w:val="none"/>
                <w:lang w:bidi="ar"/>
              </w:rPr>
            </w:pPr>
          </w:p>
        </w:tc>
        <w:tc>
          <w:tcPr>
            <w:tcW w:w="704" w:type="pct"/>
            <w:tcBorders>
              <w:top w:val="single" w:color="000000" w:sz="4" w:space="0"/>
              <w:left w:val="single" w:color="000000" w:sz="4" w:space="0"/>
              <w:bottom w:val="single" w:color="000000" w:sz="4" w:space="0"/>
              <w:right w:val="single" w:color="000000" w:sz="4" w:space="0"/>
            </w:tcBorders>
            <w:vAlign w:val="center"/>
          </w:tcPr>
          <w:p w14:paraId="208DD9D7">
            <w:pPr>
              <w:widowControl/>
              <w:jc w:val="center"/>
              <w:textAlignment w:val="center"/>
              <w:rPr>
                <w:rFonts w:hint="eastAsia" w:ascii="宋体" w:hAnsi="宋体" w:cs="宋体"/>
                <w:color w:val="000000"/>
                <w:kern w:val="0"/>
                <w:sz w:val="24"/>
                <w:highlight w:val="none"/>
                <w:lang w:bidi="ar"/>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78C9E354">
            <w:pPr>
              <w:widowControl/>
              <w:jc w:val="center"/>
              <w:textAlignment w:val="center"/>
              <w:rPr>
                <w:rFonts w:hint="eastAsia" w:ascii="宋体" w:hAnsi="宋体" w:cs="宋体"/>
                <w:color w:val="000000"/>
                <w:kern w:val="0"/>
                <w:sz w:val="24"/>
                <w:highlight w:val="none"/>
                <w:lang w:bidi="ar"/>
              </w:rPr>
            </w:pPr>
          </w:p>
        </w:tc>
      </w:tr>
      <w:tr w14:paraId="41ADB0DE">
        <w:tblPrEx>
          <w:tblCellMar>
            <w:top w:w="0" w:type="dxa"/>
            <w:left w:w="108" w:type="dxa"/>
            <w:bottom w:w="0" w:type="dxa"/>
            <w:right w:w="108" w:type="dxa"/>
          </w:tblCellMar>
        </w:tblPrEx>
        <w:trPr>
          <w:trHeight w:val="316" w:hRule="atLeast"/>
        </w:trPr>
        <w:tc>
          <w:tcPr>
            <w:tcW w:w="428" w:type="pct"/>
            <w:tcBorders>
              <w:top w:val="single" w:color="000000" w:sz="4" w:space="0"/>
              <w:left w:val="single" w:color="000000" w:sz="4" w:space="0"/>
              <w:bottom w:val="single" w:color="000000" w:sz="4" w:space="0"/>
              <w:right w:val="single" w:color="000000" w:sz="4" w:space="0"/>
            </w:tcBorders>
            <w:vAlign w:val="center"/>
          </w:tcPr>
          <w:p w14:paraId="2620EBE7">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2.3</w:t>
            </w:r>
          </w:p>
        </w:tc>
        <w:tc>
          <w:tcPr>
            <w:tcW w:w="1398" w:type="pct"/>
            <w:tcBorders>
              <w:top w:val="single" w:color="000000" w:sz="4" w:space="0"/>
              <w:left w:val="single" w:color="000000" w:sz="4" w:space="0"/>
              <w:bottom w:val="single" w:color="000000" w:sz="4" w:space="0"/>
              <w:right w:val="single" w:color="000000" w:sz="4" w:space="0"/>
            </w:tcBorders>
            <w:vAlign w:val="center"/>
          </w:tcPr>
          <w:p w14:paraId="4C5E3279">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核心交换机</w:t>
            </w:r>
          </w:p>
        </w:tc>
        <w:tc>
          <w:tcPr>
            <w:tcW w:w="511" w:type="pct"/>
            <w:tcBorders>
              <w:top w:val="single" w:color="000000" w:sz="4" w:space="0"/>
              <w:left w:val="single" w:color="000000" w:sz="4" w:space="0"/>
              <w:bottom w:val="single" w:color="000000" w:sz="4" w:space="0"/>
              <w:right w:val="single" w:color="000000" w:sz="4" w:space="0"/>
            </w:tcBorders>
            <w:vAlign w:val="center"/>
          </w:tcPr>
          <w:p w14:paraId="21FDA0F8">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2台</w:t>
            </w:r>
          </w:p>
        </w:tc>
        <w:tc>
          <w:tcPr>
            <w:tcW w:w="667" w:type="pct"/>
            <w:tcBorders>
              <w:top w:val="single" w:color="000000" w:sz="4" w:space="0"/>
              <w:left w:val="single" w:color="000000" w:sz="4" w:space="0"/>
              <w:bottom w:val="single" w:color="000000" w:sz="4" w:space="0"/>
              <w:right w:val="single" w:color="000000" w:sz="4" w:space="0"/>
            </w:tcBorders>
            <w:vAlign w:val="center"/>
          </w:tcPr>
          <w:p w14:paraId="6D3BE57D">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57</w:t>
            </w:r>
          </w:p>
        </w:tc>
        <w:tc>
          <w:tcPr>
            <w:tcW w:w="738" w:type="pct"/>
            <w:tcBorders>
              <w:top w:val="single" w:color="000000" w:sz="4" w:space="0"/>
              <w:left w:val="single" w:color="000000" w:sz="4" w:space="0"/>
              <w:bottom w:val="single" w:color="000000" w:sz="4" w:space="0"/>
              <w:right w:val="single" w:color="000000" w:sz="4" w:space="0"/>
            </w:tcBorders>
            <w:vAlign w:val="center"/>
          </w:tcPr>
          <w:p w14:paraId="6367FD64">
            <w:pPr>
              <w:widowControl/>
              <w:jc w:val="center"/>
              <w:textAlignment w:val="center"/>
              <w:rPr>
                <w:rFonts w:hint="eastAsia" w:ascii="宋体" w:hAnsi="宋体" w:cs="宋体"/>
                <w:color w:val="000000"/>
                <w:kern w:val="0"/>
                <w:sz w:val="24"/>
                <w:highlight w:val="none"/>
                <w:lang w:bidi="ar"/>
              </w:rPr>
            </w:pPr>
          </w:p>
        </w:tc>
        <w:tc>
          <w:tcPr>
            <w:tcW w:w="704" w:type="pct"/>
            <w:tcBorders>
              <w:top w:val="single" w:color="000000" w:sz="4" w:space="0"/>
              <w:left w:val="single" w:color="000000" w:sz="4" w:space="0"/>
              <w:bottom w:val="single" w:color="000000" w:sz="4" w:space="0"/>
              <w:right w:val="single" w:color="000000" w:sz="4" w:space="0"/>
            </w:tcBorders>
            <w:vAlign w:val="center"/>
          </w:tcPr>
          <w:p w14:paraId="52E49A8D">
            <w:pPr>
              <w:widowControl/>
              <w:jc w:val="center"/>
              <w:textAlignment w:val="center"/>
              <w:rPr>
                <w:rFonts w:hint="eastAsia" w:ascii="宋体" w:hAnsi="宋体" w:cs="宋体"/>
                <w:color w:val="000000"/>
                <w:kern w:val="0"/>
                <w:sz w:val="24"/>
                <w:highlight w:val="none"/>
                <w:lang w:bidi="ar"/>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2E3C1483">
            <w:pPr>
              <w:widowControl/>
              <w:jc w:val="center"/>
              <w:textAlignment w:val="center"/>
              <w:rPr>
                <w:rFonts w:hint="eastAsia" w:ascii="宋体" w:hAnsi="宋体" w:cs="宋体"/>
                <w:color w:val="000000"/>
                <w:kern w:val="0"/>
                <w:sz w:val="24"/>
                <w:highlight w:val="none"/>
                <w:lang w:bidi="ar"/>
              </w:rPr>
            </w:pPr>
          </w:p>
        </w:tc>
      </w:tr>
      <w:tr w14:paraId="7B735842">
        <w:tblPrEx>
          <w:tblCellMar>
            <w:top w:w="0" w:type="dxa"/>
            <w:left w:w="108" w:type="dxa"/>
            <w:bottom w:w="0" w:type="dxa"/>
            <w:right w:w="108" w:type="dxa"/>
          </w:tblCellMar>
        </w:tblPrEx>
        <w:trPr>
          <w:trHeight w:val="316" w:hRule="atLeast"/>
        </w:trPr>
        <w:tc>
          <w:tcPr>
            <w:tcW w:w="428" w:type="pct"/>
            <w:tcBorders>
              <w:top w:val="single" w:color="000000" w:sz="4" w:space="0"/>
              <w:left w:val="single" w:color="000000" w:sz="4" w:space="0"/>
              <w:bottom w:val="single" w:color="000000" w:sz="4" w:space="0"/>
              <w:right w:val="single" w:color="000000" w:sz="4" w:space="0"/>
            </w:tcBorders>
            <w:vAlign w:val="center"/>
          </w:tcPr>
          <w:p w14:paraId="55E9B219">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2.4</w:t>
            </w:r>
          </w:p>
        </w:tc>
        <w:tc>
          <w:tcPr>
            <w:tcW w:w="1398" w:type="pct"/>
            <w:tcBorders>
              <w:top w:val="single" w:color="000000" w:sz="4" w:space="0"/>
              <w:left w:val="single" w:color="000000" w:sz="4" w:space="0"/>
              <w:bottom w:val="single" w:color="000000" w:sz="4" w:space="0"/>
              <w:right w:val="single" w:color="000000" w:sz="4" w:space="0"/>
            </w:tcBorders>
            <w:vAlign w:val="center"/>
          </w:tcPr>
          <w:p w14:paraId="7A468F87">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接入交换机</w:t>
            </w:r>
          </w:p>
        </w:tc>
        <w:tc>
          <w:tcPr>
            <w:tcW w:w="511" w:type="pct"/>
            <w:tcBorders>
              <w:top w:val="single" w:color="000000" w:sz="4" w:space="0"/>
              <w:left w:val="single" w:color="000000" w:sz="4" w:space="0"/>
              <w:bottom w:val="single" w:color="000000" w:sz="4" w:space="0"/>
              <w:right w:val="single" w:color="000000" w:sz="4" w:space="0"/>
            </w:tcBorders>
            <w:vAlign w:val="center"/>
          </w:tcPr>
          <w:p w14:paraId="40703CB1">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4台</w:t>
            </w:r>
          </w:p>
        </w:tc>
        <w:tc>
          <w:tcPr>
            <w:tcW w:w="667" w:type="pct"/>
            <w:tcBorders>
              <w:top w:val="single" w:color="000000" w:sz="4" w:space="0"/>
              <w:left w:val="single" w:color="000000" w:sz="4" w:space="0"/>
              <w:bottom w:val="single" w:color="000000" w:sz="4" w:space="0"/>
              <w:right w:val="single" w:color="000000" w:sz="4" w:space="0"/>
            </w:tcBorders>
            <w:vAlign w:val="center"/>
          </w:tcPr>
          <w:p w14:paraId="56BB3C11">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28</w:t>
            </w:r>
          </w:p>
        </w:tc>
        <w:tc>
          <w:tcPr>
            <w:tcW w:w="738" w:type="pct"/>
            <w:tcBorders>
              <w:top w:val="single" w:color="000000" w:sz="4" w:space="0"/>
              <w:left w:val="single" w:color="000000" w:sz="4" w:space="0"/>
              <w:bottom w:val="single" w:color="000000" w:sz="4" w:space="0"/>
              <w:right w:val="single" w:color="000000" w:sz="4" w:space="0"/>
            </w:tcBorders>
            <w:vAlign w:val="center"/>
          </w:tcPr>
          <w:p w14:paraId="7D3664F0">
            <w:pPr>
              <w:widowControl/>
              <w:jc w:val="center"/>
              <w:textAlignment w:val="center"/>
              <w:rPr>
                <w:rFonts w:hint="eastAsia" w:ascii="宋体" w:hAnsi="宋体" w:cs="宋体"/>
                <w:color w:val="000000"/>
                <w:kern w:val="0"/>
                <w:sz w:val="24"/>
                <w:highlight w:val="none"/>
                <w:lang w:bidi="ar"/>
              </w:rPr>
            </w:pPr>
          </w:p>
        </w:tc>
        <w:tc>
          <w:tcPr>
            <w:tcW w:w="704" w:type="pct"/>
            <w:tcBorders>
              <w:top w:val="single" w:color="000000" w:sz="4" w:space="0"/>
              <w:left w:val="single" w:color="000000" w:sz="4" w:space="0"/>
              <w:bottom w:val="single" w:color="000000" w:sz="4" w:space="0"/>
              <w:right w:val="single" w:color="000000" w:sz="4" w:space="0"/>
            </w:tcBorders>
            <w:vAlign w:val="center"/>
          </w:tcPr>
          <w:p w14:paraId="76722FBD">
            <w:pPr>
              <w:widowControl/>
              <w:jc w:val="center"/>
              <w:textAlignment w:val="center"/>
              <w:rPr>
                <w:rFonts w:hint="eastAsia" w:ascii="宋体" w:hAnsi="宋体" w:cs="宋体"/>
                <w:color w:val="000000"/>
                <w:kern w:val="0"/>
                <w:sz w:val="24"/>
                <w:highlight w:val="none"/>
                <w:lang w:bidi="ar"/>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6AB186BA">
            <w:pPr>
              <w:widowControl/>
              <w:jc w:val="center"/>
              <w:textAlignment w:val="center"/>
              <w:rPr>
                <w:rFonts w:hint="eastAsia" w:ascii="宋体" w:hAnsi="宋体" w:cs="宋体"/>
                <w:color w:val="000000"/>
                <w:kern w:val="0"/>
                <w:sz w:val="24"/>
                <w:highlight w:val="none"/>
                <w:lang w:bidi="ar"/>
              </w:rPr>
            </w:pPr>
          </w:p>
        </w:tc>
      </w:tr>
      <w:tr w14:paraId="5BA2929F">
        <w:tblPrEx>
          <w:tblCellMar>
            <w:top w:w="0" w:type="dxa"/>
            <w:left w:w="108" w:type="dxa"/>
            <w:bottom w:w="0" w:type="dxa"/>
            <w:right w:w="108" w:type="dxa"/>
          </w:tblCellMar>
        </w:tblPrEx>
        <w:trPr>
          <w:trHeight w:val="316" w:hRule="atLeast"/>
        </w:trPr>
        <w:tc>
          <w:tcPr>
            <w:tcW w:w="428" w:type="pct"/>
            <w:tcBorders>
              <w:top w:val="single" w:color="000000" w:sz="4" w:space="0"/>
              <w:left w:val="single" w:color="000000" w:sz="4" w:space="0"/>
              <w:bottom w:val="single" w:color="000000" w:sz="4" w:space="0"/>
              <w:right w:val="single" w:color="000000" w:sz="4" w:space="0"/>
            </w:tcBorders>
            <w:vAlign w:val="center"/>
          </w:tcPr>
          <w:p w14:paraId="2A90791A">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2.5</w:t>
            </w:r>
          </w:p>
        </w:tc>
        <w:tc>
          <w:tcPr>
            <w:tcW w:w="1398" w:type="pct"/>
            <w:tcBorders>
              <w:top w:val="single" w:color="000000" w:sz="4" w:space="0"/>
              <w:left w:val="single" w:color="000000" w:sz="4" w:space="0"/>
              <w:bottom w:val="single" w:color="000000" w:sz="4" w:space="0"/>
              <w:right w:val="single" w:color="000000" w:sz="4" w:space="0"/>
            </w:tcBorders>
            <w:vAlign w:val="center"/>
          </w:tcPr>
          <w:p w14:paraId="4CD481BA">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计算节点</w:t>
            </w:r>
          </w:p>
        </w:tc>
        <w:tc>
          <w:tcPr>
            <w:tcW w:w="511" w:type="pct"/>
            <w:tcBorders>
              <w:top w:val="single" w:color="000000" w:sz="4" w:space="0"/>
              <w:left w:val="single" w:color="000000" w:sz="4" w:space="0"/>
              <w:bottom w:val="single" w:color="000000" w:sz="4" w:space="0"/>
              <w:right w:val="single" w:color="000000" w:sz="4" w:space="0"/>
            </w:tcBorders>
            <w:vAlign w:val="center"/>
          </w:tcPr>
          <w:p w14:paraId="28B4BC8B">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3台</w:t>
            </w:r>
          </w:p>
        </w:tc>
        <w:tc>
          <w:tcPr>
            <w:tcW w:w="667" w:type="pct"/>
            <w:tcBorders>
              <w:top w:val="single" w:color="000000" w:sz="4" w:space="0"/>
              <w:left w:val="single" w:color="000000" w:sz="4" w:space="0"/>
              <w:bottom w:val="single" w:color="000000" w:sz="4" w:space="0"/>
              <w:right w:val="single" w:color="000000" w:sz="4" w:space="0"/>
            </w:tcBorders>
            <w:vAlign w:val="center"/>
          </w:tcPr>
          <w:p w14:paraId="14D885E5">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102</w:t>
            </w:r>
          </w:p>
        </w:tc>
        <w:tc>
          <w:tcPr>
            <w:tcW w:w="738" w:type="pct"/>
            <w:tcBorders>
              <w:top w:val="single" w:color="000000" w:sz="4" w:space="0"/>
              <w:left w:val="single" w:color="000000" w:sz="4" w:space="0"/>
              <w:bottom w:val="single" w:color="000000" w:sz="4" w:space="0"/>
              <w:right w:val="single" w:color="000000" w:sz="4" w:space="0"/>
            </w:tcBorders>
            <w:vAlign w:val="center"/>
          </w:tcPr>
          <w:p w14:paraId="5CBB7AD5">
            <w:pPr>
              <w:widowControl/>
              <w:jc w:val="center"/>
              <w:textAlignment w:val="center"/>
              <w:rPr>
                <w:rFonts w:hint="eastAsia" w:ascii="宋体" w:hAnsi="宋体" w:cs="宋体"/>
                <w:color w:val="000000"/>
                <w:kern w:val="0"/>
                <w:sz w:val="24"/>
                <w:highlight w:val="none"/>
                <w:lang w:bidi="ar"/>
              </w:rPr>
            </w:pPr>
          </w:p>
        </w:tc>
        <w:tc>
          <w:tcPr>
            <w:tcW w:w="704" w:type="pct"/>
            <w:tcBorders>
              <w:top w:val="single" w:color="000000" w:sz="4" w:space="0"/>
              <w:left w:val="single" w:color="000000" w:sz="4" w:space="0"/>
              <w:bottom w:val="single" w:color="000000" w:sz="4" w:space="0"/>
              <w:right w:val="single" w:color="000000" w:sz="4" w:space="0"/>
            </w:tcBorders>
            <w:vAlign w:val="center"/>
          </w:tcPr>
          <w:p w14:paraId="4849EEFA">
            <w:pPr>
              <w:widowControl/>
              <w:jc w:val="center"/>
              <w:textAlignment w:val="center"/>
              <w:rPr>
                <w:rFonts w:hint="eastAsia" w:ascii="宋体" w:hAnsi="宋体" w:cs="宋体"/>
                <w:color w:val="000000"/>
                <w:kern w:val="0"/>
                <w:sz w:val="24"/>
                <w:highlight w:val="none"/>
                <w:lang w:bidi="ar"/>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03E4455D">
            <w:pPr>
              <w:widowControl/>
              <w:jc w:val="center"/>
              <w:textAlignment w:val="center"/>
              <w:rPr>
                <w:rFonts w:hint="eastAsia" w:ascii="宋体" w:hAnsi="宋体" w:cs="宋体"/>
                <w:color w:val="000000"/>
                <w:kern w:val="0"/>
                <w:sz w:val="24"/>
                <w:highlight w:val="none"/>
                <w:lang w:bidi="ar"/>
              </w:rPr>
            </w:pPr>
          </w:p>
        </w:tc>
      </w:tr>
      <w:tr w14:paraId="3BC472FA">
        <w:tblPrEx>
          <w:tblCellMar>
            <w:top w:w="0" w:type="dxa"/>
            <w:left w:w="108" w:type="dxa"/>
            <w:bottom w:w="0" w:type="dxa"/>
            <w:right w:w="108" w:type="dxa"/>
          </w:tblCellMar>
        </w:tblPrEx>
        <w:trPr>
          <w:trHeight w:val="316" w:hRule="atLeast"/>
        </w:trPr>
        <w:tc>
          <w:tcPr>
            <w:tcW w:w="428" w:type="pct"/>
            <w:tcBorders>
              <w:top w:val="single" w:color="000000" w:sz="4" w:space="0"/>
              <w:left w:val="single" w:color="000000" w:sz="4" w:space="0"/>
              <w:bottom w:val="single" w:color="000000" w:sz="4" w:space="0"/>
              <w:right w:val="single" w:color="000000" w:sz="4" w:space="0"/>
            </w:tcBorders>
            <w:vAlign w:val="center"/>
          </w:tcPr>
          <w:p w14:paraId="25A8C689">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2.6</w:t>
            </w:r>
          </w:p>
        </w:tc>
        <w:tc>
          <w:tcPr>
            <w:tcW w:w="1398" w:type="pct"/>
            <w:tcBorders>
              <w:top w:val="single" w:color="000000" w:sz="4" w:space="0"/>
              <w:left w:val="single" w:color="000000" w:sz="4" w:space="0"/>
              <w:bottom w:val="single" w:color="000000" w:sz="4" w:space="0"/>
              <w:right w:val="single" w:color="000000" w:sz="4" w:space="0"/>
            </w:tcBorders>
            <w:vAlign w:val="center"/>
          </w:tcPr>
          <w:p w14:paraId="443876F2">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管理节点</w:t>
            </w:r>
          </w:p>
        </w:tc>
        <w:tc>
          <w:tcPr>
            <w:tcW w:w="511" w:type="pct"/>
            <w:tcBorders>
              <w:top w:val="single" w:color="000000" w:sz="4" w:space="0"/>
              <w:left w:val="single" w:color="000000" w:sz="4" w:space="0"/>
              <w:bottom w:val="single" w:color="000000" w:sz="4" w:space="0"/>
              <w:right w:val="single" w:color="000000" w:sz="4" w:space="0"/>
            </w:tcBorders>
            <w:vAlign w:val="center"/>
          </w:tcPr>
          <w:p w14:paraId="26A442D6">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3台</w:t>
            </w:r>
          </w:p>
        </w:tc>
        <w:tc>
          <w:tcPr>
            <w:tcW w:w="667" w:type="pct"/>
            <w:tcBorders>
              <w:top w:val="single" w:color="000000" w:sz="4" w:space="0"/>
              <w:left w:val="single" w:color="000000" w:sz="4" w:space="0"/>
              <w:bottom w:val="single" w:color="000000" w:sz="4" w:space="0"/>
              <w:right w:val="single" w:color="000000" w:sz="4" w:space="0"/>
            </w:tcBorders>
            <w:vAlign w:val="center"/>
          </w:tcPr>
          <w:p w14:paraId="41A91FFD">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75</w:t>
            </w:r>
          </w:p>
        </w:tc>
        <w:tc>
          <w:tcPr>
            <w:tcW w:w="738" w:type="pct"/>
            <w:tcBorders>
              <w:top w:val="single" w:color="000000" w:sz="4" w:space="0"/>
              <w:left w:val="single" w:color="000000" w:sz="4" w:space="0"/>
              <w:bottom w:val="single" w:color="000000" w:sz="4" w:space="0"/>
              <w:right w:val="single" w:color="000000" w:sz="4" w:space="0"/>
            </w:tcBorders>
            <w:vAlign w:val="center"/>
          </w:tcPr>
          <w:p w14:paraId="5520B5B9">
            <w:pPr>
              <w:widowControl/>
              <w:jc w:val="center"/>
              <w:textAlignment w:val="center"/>
              <w:rPr>
                <w:rFonts w:hint="eastAsia" w:ascii="宋体" w:hAnsi="宋体" w:cs="宋体"/>
                <w:color w:val="000000"/>
                <w:kern w:val="0"/>
                <w:sz w:val="24"/>
                <w:highlight w:val="none"/>
                <w:lang w:bidi="ar"/>
              </w:rPr>
            </w:pPr>
          </w:p>
        </w:tc>
        <w:tc>
          <w:tcPr>
            <w:tcW w:w="704" w:type="pct"/>
            <w:tcBorders>
              <w:top w:val="single" w:color="000000" w:sz="4" w:space="0"/>
              <w:left w:val="single" w:color="000000" w:sz="4" w:space="0"/>
              <w:bottom w:val="single" w:color="000000" w:sz="4" w:space="0"/>
              <w:right w:val="single" w:color="000000" w:sz="4" w:space="0"/>
            </w:tcBorders>
            <w:vAlign w:val="center"/>
          </w:tcPr>
          <w:p w14:paraId="4D5C6337">
            <w:pPr>
              <w:widowControl/>
              <w:jc w:val="center"/>
              <w:textAlignment w:val="center"/>
              <w:rPr>
                <w:rFonts w:hint="eastAsia" w:ascii="宋体" w:hAnsi="宋体" w:cs="宋体"/>
                <w:color w:val="000000"/>
                <w:kern w:val="0"/>
                <w:sz w:val="24"/>
                <w:highlight w:val="none"/>
                <w:lang w:bidi="ar"/>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5FEAAD93">
            <w:pPr>
              <w:widowControl/>
              <w:jc w:val="center"/>
              <w:textAlignment w:val="center"/>
              <w:rPr>
                <w:rFonts w:hint="eastAsia" w:ascii="宋体" w:hAnsi="宋体" w:cs="宋体"/>
                <w:color w:val="000000"/>
                <w:kern w:val="0"/>
                <w:sz w:val="24"/>
                <w:highlight w:val="none"/>
                <w:lang w:bidi="ar"/>
              </w:rPr>
            </w:pPr>
          </w:p>
        </w:tc>
      </w:tr>
      <w:tr w14:paraId="05070881">
        <w:tblPrEx>
          <w:tblCellMar>
            <w:top w:w="0" w:type="dxa"/>
            <w:left w:w="108" w:type="dxa"/>
            <w:bottom w:w="0" w:type="dxa"/>
            <w:right w:w="108" w:type="dxa"/>
          </w:tblCellMar>
        </w:tblPrEx>
        <w:trPr>
          <w:trHeight w:val="316" w:hRule="atLeast"/>
        </w:trPr>
        <w:tc>
          <w:tcPr>
            <w:tcW w:w="428" w:type="pct"/>
            <w:tcBorders>
              <w:top w:val="single" w:color="000000" w:sz="4" w:space="0"/>
              <w:left w:val="single" w:color="000000" w:sz="4" w:space="0"/>
              <w:bottom w:val="single" w:color="000000" w:sz="4" w:space="0"/>
              <w:right w:val="single" w:color="000000" w:sz="4" w:space="0"/>
            </w:tcBorders>
            <w:vAlign w:val="center"/>
          </w:tcPr>
          <w:p w14:paraId="5412A74E">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2.7</w:t>
            </w:r>
          </w:p>
        </w:tc>
        <w:tc>
          <w:tcPr>
            <w:tcW w:w="1398" w:type="pct"/>
            <w:tcBorders>
              <w:top w:val="single" w:color="000000" w:sz="4" w:space="0"/>
              <w:left w:val="single" w:color="000000" w:sz="4" w:space="0"/>
              <w:bottom w:val="single" w:color="000000" w:sz="4" w:space="0"/>
              <w:right w:val="single" w:color="000000" w:sz="4" w:space="0"/>
            </w:tcBorders>
            <w:vAlign w:val="center"/>
          </w:tcPr>
          <w:p w14:paraId="5D670FB4">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云管理平台软件</w:t>
            </w:r>
          </w:p>
        </w:tc>
        <w:tc>
          <w:tcPr>
            <w:tcW w:w="511" w:type="pct"/>
            <w:tcBorders>
              <w:top w:val="single" w:color="000000" w:sz="4" w:space="0"/>
              <w:left w:val="single" w:color="000000" w:sz="4" w:space="0"/>
              <w:bottom w:val="single" w:color="000000" w:sz="4" w:space="0"/>
              <w:right w:val="single" w:color="000000" w:sz="4" w:space="0"/>
            </w:tcBorders>
            <w:vAlign w:val="center"/>
          </w:tcPr>
          <w:p w14:paraId="762EFF49">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667" w:type="pct"/>
            <w:tcBorders>
              <w:top w:val="single" w:color="000000" w:sz="4" w:space="0"/>
              <w:left w:val="single" w:color="000000" w:sz="4" w:space="0"/>
              <w:bottom w:val="single" w:color="000000" w:sz="4" w:space="0"/>
              <w:right w:val="single" w:color="000000" w:sz="4" w:space="0"/>
            </w:tcBorders>
            <w:vAlign w:val="center"/>
          </w:tcPr>
          <w:p w14:paraId="7C147924">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100</w:t>
            </w:r>
          </w:p>
        </w:tc>
        <w:tc>
          <w:tcPr>
            <w:tcW w:w="738" w:type="pct"/>
            <w:tcBorders>
              <w:top w:val="single" w:color="000000" w:sz="4" w:space="0"/>
              <w:left w:val="single" w:color="000000" w:sz="4" w:space="0"/>
              <w:bottom w:val="single" w:color="000000" w:sz="4" w:space="0"/>
              <w:right w:val="single" w:color="000000" w:sz="4" w:space="0"/>
            </w:tcBorders>
            <w:vAlign w:val="center"/>
          </w:tcPr>
          <w:p w14:paraId="4C8B7BDA">
            <w:pPr>
              <w:widowControl/>
              <w:jc w:val="center"/>
              <w:textAlignment w:val="center"/>
              <w:rPr>
                <w:rFonts w:hint="eastAsia" w:ascii="宋体" w:hAnsi="宋体" w:cs="宋体"/>
                <w:color w:val="000000"/>
                <w:kern w:val="0"/>
                <w:sz w:val="24"/>
                <w:highlight w:val="none"/>
                <w:lang w:bidi="ar"/>
              </w:rPr>
            </w:pPr>
          </w:p>
        </w:tc>
        <w:tc>
          <w:tcPr>
            <w:tcW w:w="704" w:type="pct"/>
            <w:tcBorders>
              <w:top w:val="single" w:color="000000" w:sz="4" w:space="0"/>
              <w:left w:val="single" w:color="000000" w:sz="4" w:space="0"/>
              <w:bottom w:val="single" w:color="000000" w:sz="4" w:space="0"/>
              <w:right w:val="single" w:color="000000" w:sz="4" w:space="0"/>
            </w:tcBorders>
            <w:vAlign w:val="center"/>
          </w:tcPr>
          <w:p w14:paraId="63EDAFCF">
            <w:pPr>
              <w:widowControl/>
              <w:jc w:val="center"/>
              <w:textAlignment w:val="center"/>
              <w:rPr>
                <w:rFonts w:hint="eastAsia" w:ascii="宋体" w:hAnsi="宋体" w:cs="宋体"/>
                <w:color w:val="000000"/>
                <w:kern w:val="0"/>
                <w:sz w:val="24"/>
                <w:highlight w:val="none"/>
                <w:lang w:bidi="ar"/>
              </w:rPr>
            </w:pPr>
          </w:p>
        </w:tc>
        <w:tc>
          <w:tcPr>
            <w:tcW w:w="551" w:type="pct"/>
            <w:tcBorders>
              <w:top w:val="single" w:color="000000" w:sz="4" w:space="0"/>
              <w:left w:val="single" w:color="000000" w:sz="4" w:space="0"/>
              <w:bottom w:val="single" w:color="000000" w:sz="4" w:space="0"/>
              <w:right w:val="single" w:color="000000" w:sz="4" w:space="0"/>
            </w:tcBorders>
            <w:vAlign w:val="center"/>
          </w:tcPr>
          <w:p w14:paraId="62BCE246">
            <w:pPr>
              <w:widowControl/>
              <w:jc w:val="center"/>
              <w:textAlignment w:val="center"/>
              <w:rPr>
                <w:rFonts w:hint="eastAsia" w:ascii="宋体" w:hAnsi="宋体" w:cs="宋体"/>
                <w:color w:val="000000"/>
                <w:kern w:val="0"/>
                <w:sz w:val="24"/>
                <w:highlight w:val="none"/>
                <w:lang w:bidi="ar"/>
              </w:rPr>
            </w:pPr>
          </w:p>
        </w:tc>
      </w:tr>
      <w:tr w14:paraId="18E35E10">
        <w:tblPrEx>
          <w:tblCellMar>
            <w:top w:w="0" w:type="dxa"/>
            <w:left w:w="108" w:type="dxa"/>
            <w:bottom w:w="0" w:type="dxa"/>
            <w:right w:w="108" w:type="dxa"/>
          </w:tblCellMar>
        </w:tblPrEx>
        <w:trPr>
          <w:trHeight w:val="1051" w:hRule="atLeast"/>
        </w:trPr>
        <w:tc>
          <w:tcPr>
            <w:tcW w:w="3004" w:type="pct"/>
            <w:gridSpan w:val="4"/>
            <w:tcBorders>
              <w:top w:val="single" w:color="000000" w:sz="4" w:space="0"/>
              <w:left w:val="single" w:color="000000" w:sz="4" w:space="0"/>
              <w:bottom w:val="single" w:color="000000" w:sz="4" w:space="0"/>
              <w:right w:val="single" w:color="000000" w:sz="4" w:space="0"/>
            </w:tcBorders>
            <w:noWrap/>
            <w:vAlign w:val="center"/>
          </w:tcPr>
          <w:p w14:paraId="78F7E9BF">
            <w:pPr>
              <w:widowControl/>
              <w:jc w:val="center"/>
              <w:textAlignment w:val="center"/>
              <w:rPr>
                <w:rFonts w:hint="eastAsia" w:ascii="宋体" w:hAnsi="宋体" w:cs="宋体"/>
                <w:color w:val="000000"/>
                <w:sz w:val="24"/>
                <w:highlight w:val="none"/>
              </w:rPr>
            </w:pPr>
            <w:r>
              <w:rPr>
                <w:rFonts w:hint="eastAsia" w:ascii="宋体" w:hAnsi="宋体" w:cs="宋体"/>
                <w:b/>
                <w:bCs/>
                <w:sz w:val="24"/>
                <w:highlight w:val="none"/>
              </w:rPr>
              <w:t>采购人投资部分合计总报价（万元）</w:t>
            </w:r>
          </w:p>
        </w:tc>
        <w:tc>
          <w:tcPr>
            <w:tcW w:w="1995" w:type="pct"/>
            <w:gridSpan w:val="3"/>
            <w:tcBorders>
              <w:top w:val="single" w:color="000000" w:sz="4" w:space="0"/>
              <w:left w:val="single" w:color="000000" w:sz="4" w:space="0"/>
              <w:bottom w:val="single" w:color="000000" w:sz="4" w:space="0"/>
              <w:right w:val="single" w:color="000000" w:sz="4" w:space="0"/>
            </w:tcBorders>
            <w:noWrap/>
            <w:vAlign w:val="center"/>
          </w:tcPr>
          <w:p w14:paraId="0F666483">
            <w:pPr>
              <w:widowControl/>
              <w:jc w:val="left"/>
              <w:textAlignment w:val="center"/>
              <w:rPr>
                <w:rFonts w:hint="eastAsia" w:ascii="宋体" w:hAnsi="宋体" w:cs="宋体"/>
                <w:sz w:val="24"/>
                <w:highlight w:val="none"/>
              </w:rPr>
            </w:pPr>
            <w:r>
              <w:rPr>
                <w:rFonts w:hint="eastAsia" w:ascii="宋体" w:hAnsi="宋体" w:cs="宋体"/>
                <w:sz w:val="24"/>
                <w:highlight w:val="none"/>
              </w:rPr>
              <w:t>小写：</w:t>
            </w:r>
          </w:p>
          <w:p w14:paraId="74B2E84C">
            <w:pPr>
              <w:pStyle w:val="2"/>
              <w:spacing w:line="400" w:lineRule="exact"/>
              <w:rPr>
                <w:rFonts w:hint="eastAsia" w:ascii="宋体" w:hAnsi="宋体" w:eastAsia="宋体" w:cs="宋体"/>
                <w:sz w:val="24"/>
                <w:highlight w:val="none"/>
              </w:rPr>
            </w:pPr>
            <w:r>
              <w:rPr>
                <w:rFonts w:hint="eastAsia" w:ascii="宋体" w:hAnsi="宋体" w:eastAsia="宋体" w:cs="宋体"/>
                <w:sz w:val="24"/>
                <w:highlight w:val="none"/>
                <w:shd w:val="clear" w:color="auto" w:fill="auto"/>
              </w:rPr>
              <w:t>大写：</w:t>
            </w:r>
          </w:p>
        </w:tc>
      </w:tr>
    </w:tbl>
    <w:p w14:paraId="2C0A81B6">
      <w:pPr>
        <w:pStyle w:val="2"/>
        <w:outlineLvl w:val="3"/>
        <w:rPr>
          <w:rFonts w:hint="eastAsia" w:ascii="宋体" w:hAnsi="宋体" w:eastAsia="宋体" w:cs="宋体"/>
          <w:b/>
          <w:bCs/>
          <w:sz w:val="24"/>
          <w:highlight w:val="none"/>
          <w:shd w:val="clear" w:color="auto" w:fill="auto"/>
        </w:rPr>
      </w:pPr>
      <w:r>
        <w:rPr>
          <w:rFonts w:hint="eastAsia" w:ascii="宋体" w:hAnsi="宋体" w:eastAsia="宋体" w:cs="宋体"/>
          <w:b/>
          <w:bCs/>
          <w:sz w:val="24"/>
          <w:highlight w:val="none"/>
          <w:shd w:val="clear" w:color="auto" w:fill="auto"/>
        </w:rPr>
        <w:t>1-2中标企业自筹</w:t>
      </w:r>
    </w:p>
    <w:tbl>
      <w:tblPr>
        <w:tblStyle w:val="31"/>
        <w:tblW w:w="5032" w:type="pct"/>
        <w:tblInd w:w="0" w:type="dxa"/>
        <w:tblLayout w:type="autofit"/>
        <w:tblCellMar>
          <w:top w:w="0" w:type="dxa"/>
          <w:left w:w="108" w:type="dxa"/>
          <w:bottom w:w="0" w:type="dxa"/>
          <w:right w:w="108" w:type="dxa"/>
        </w:tblCellMar>
      </w:tblPr>
      <w:tblGrid>
        <w:gridCol w:w="937"/>
        <w:gridCol w:w="3013"/>
        <w:gridCol w:w="815"/>
        <w:gridCol w:w="1293"/>
        <w:gridCol w:w="1285"/>
        <w:gridCol w:w="1285"/>
        <w:gridCol w:w="1289"/>
      </w:tblGrid>
      <w:tr w14:paraId="01E1AE08">
        <w:tblPrEx>
          <w:tblCellMar>
            <w:top w:w="0" w:type="dxa"/>
            <w:left w:w="108" w:type="dxa"/>
            <w:bottom w:w="0" w:type="dxa"/>
            <w:right w:w="108" w:type="dxa"/>
          </w:tblCellMar>
        </w:tblPrEx>
        <w:trPr>
          <w:trHeight w:val="324" w:hRule="atLeast"/>
        </w:trPr>
        <w:tc>
          <w:tcPr>
            <w:tcW w:w="469"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430E9A7C">
            <w:pPr>
              <w:widowControl/>
              <w:jc w:val="center"/>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序号</w:t>
            </w:r>
          </w:p>
        </w:tc>
        <w:tc>
          <w:tcPr>
            <w:tcW w:w="1508"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094FDBA0">
            <w:pPr>
              <w:widowControl/>
              <w:jc w:val="center"/>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项目名称</w:t>
            </w:r>
          </w:p>
        </w:tc>
        <w:tc>
          <w:tcPr>
            <w:tcW w:w="408"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1AF7A461">
            <w:pPr>
              <w:widowControl/>
              <w:jc w:val="center"/>
              <w:textAlignment w:val="center"/>
              <w:rPr>
                <w:rFonts w:hint="eastAsia"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t>数量</w:t>
            </w:r>
          </w:p>
        </w:tc>
        <w:tc>
          <w:tcPr>
            <w:tcW w:w="645"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16972078">
            <w:pPr>
              <w:widowControl/>
              <w:jc w:val="center"/>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总价限价（万元）</w:t>
            </w:r>
          </w:p>
        </w:tc>
        <w:tc>
          <w:tcPr>
            <w:tcW w:w="643"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14A3FE16">
            <w:pPr>
              <w:widowControl/>
              <w:jc w:val="center"/>
              <w:textAlignment w:val="center"/>
              <w:rPr>
                <w:rFonts w:hint="eastAsia"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t>单价报价（</w:t>
            </w:r>
            <w:r>
              <w:rPr>
                <w:rFonts w:hint="eastAsia" w:ascii="宋体" w:hAnsi="宋体" w:cs="宋体"/>
                <w:b/>
                <w:bCs/>
                <w:color w:val="000000"/>
                <w:kern w:val="0"/>
                <w:sz w:val="22"/>
                <w:szCs w:val="22"/>
                <w:highlight w:val="none"/>
                <w:lang w:bidi="ar"/>
              </w:rPr>
              <w:t>含税价/</w:t>
            </w:r>
            <w:r>
              <w:rPr>
                <w:rFonts w:hint="eastAsia" w:ascii="宋体" w:hAnsi="宋体" w:cs="宋体"/>
                <w:b/>
                <w:bCs/>
                <w:color w:val="000000"/>
                <w:kern w:val="0"/>
                <w:sz w:val="24"/>
                <w:highlight w:val="none"/>
                <w:lang w:bidi="ar"/>
              </w:rPr>
              <w:t>万元）</w:t>
            </w:r>
          </w:p>
        </w:tc>
        <w:tc>
          <w:tcPr>
            <w:tcW w:w="643"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3C302E68">
            <w:pPr>
              <w:widowControl/>
              <w:jc w:val="center"/>
              <w:textAlignment w:val="center"/>
              <w:rPr>
                <w:rFonts w:hint="eastAsia"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t>合计报价（</w:t>
            </w:r>
            <w:r>
              <w:rPr>
                <w:rFonts w:hint="eastAsia" w:ascii="宋体" w:hAnsi="宋体" w:cs="宋体"/>
                <w:b/>
                <w:bCs/>
                <w:color w:val="000000"/>
                <w:kern w:val="0"/>
                <w:sz w:val="22"/>
                <w:szCs w:val="22"/>
                <w:highlight w:val="none"/>
                <w:lang w:bidi="ar"/>
              </w:rPr>
              <w:t>含税价/</w:t>
            </w:r>
            <w:r>
              <w:rPr>
                <w:rFonts w:hint="eastAsia" w:ascii="宋体" w:hAnsi="宋体" w:cs="宋体"/>
                <w:b/>
                <w:bCs/>
                <w:color w:val="000000"/>
                <w:kern w:val="0"/>
                <w:sz w:val="24"/>
                <w:highlight w:val="none"/>
                <w:lang w:bidi="ar"/>
              </w:rPr>
              <w:t>万元）</w:t>
            </w:r>
          </w:p>
        </w:tc>
        <w:tc>
          <w:tcPr>
            <w:tcW w:w="644"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77D58676">
            <w:pPr>
              <w:widowControl/>
              <w:jc w:val="center"/>
              <w:textAlignment w:val="center"/>
              <w:rPr>
                <w:rFonts w:hint="eastAsia"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t>备注</w:t>
            </w:r>
          </w:p>
        </w:tc>
      </w:tr>
      <w:tr w14:paraId="04CCC59F">
        <w:tblPrEx>
          <w:tblCellMar>
            <w:top w:w="0" w:type="dxa"/>
            <w:left w:w="108" w:type="dxa"/>
            <w:bottom w:w="0" w:type="dxa"/>
            <w:right w:w="108" w:type="dxa"/>
          </w:tblCellMar>
        </w:tblPrEx>
        <w:trPr>
          <w:trHeight w:val="312" w:hRule="atLeast"/>
        </w:trPr>
        <w:tc>
          <w:tcPr>
            <w:tcW w:w="469" w:type="pct"/>
            <w:tcBorders>
              <w:top w:val="single" w:color="000000" w:sz="4" w:space="0"/>
              <w:left w:val="single" w:color="000000" w:sz="4" w:space="0"/>
              <w:bottom w:val="single" w:color="000000" w:sz="4" w:space="0"/>
              <w:right w:val="single" w:color="000000" w:sz="4" w:space="0"/>
            </w:tcBorders>
            <w:vAlign w:val="center"/>
          </w:tcPr>
          <w:p w14:paraId="15C2C883">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一</w:t>
            </w:r>
          </w:p>
        </w:tc>
        <w:tc>
          <w:tcPr>
            <w:tcW w:w="1508" w:type="pct"/>
            <w:tcBorders>
              <w:top w:val="single" w:color="000000" w:sz="4" w:space="0"/>
              <w:left w:val="single" w:color="000000" w:sz="4" w:space="0"/>
              <w:bottom w:val="single" w:color="000000" w:sz="4" w:space="0"/>
              <w:right w:val="single" w:color="000000" w:sz="4" w:space="0"/>
            </w:tcBorders>
            <w:vAlign w:val="center"/>
          </w:tcPr>
          <w:p w14:paraId="3B545419">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建设费用</w:t>
            </w:r>
          </w:p>
        </w:tc>
        <w:tc>
          <w:tcPr>
            <w:tcW w:w="408" w:type="pct"/>
            <w:tcBorders>
              <w:top w:val="single" w:color="000000" w:sz="4" w:space="0"/>
              <w:left w:val="single" w:color="000000" w:sz="4" w:space="0"/>
              <w:bottom w:val="single" w:color="000000" w:sz="4" w:space="0"/>
              <w:right w:val="single" w:color="000000" w:sz="4" w:space="0"/>
            </w:tcBorders>
            <w:vAlign w:val="center"/>
          </w:tcPr>
          <w:p w14:paraId="46C00BAA">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w:t>
            </w:r>
          </w:p>
        </w:tc>
        <w:tc>
          <w:tcPr>
            <w:tcW w:w="645" w:type="pct"/>
            <w:tcBorders>
              <w:top w:val="single" w:color="000000" w:sz="4" w:space="0"/>
              <w:left w:val="single" w:color="000000" w:sz="4" w:space="0"/>
              <w:bottom w:val="single" w:color="000000" w:sz="4" w:space="0"/>
              <w:right w:val="single" w:color="000000" w:sz="4" w:space="0"/>
            </w:tcBorders>
            <w:vAlign w:val="center"/>
          </w:tcPr>
          <w:p w14:paraId="09365A13">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2114</w:t>
            </w:r>
          </w:p>
        </w:tc>
        <w:tc>
          <w:tcPr>
            <w:tcW w:w="643" w:type="pct"/>
            <w:tcBorders>
              <w:top w:val="single" w:color="000000" w:sz="4" w:space="0"/>
              <w:left w:val="single" w:color="000000" w:sz="4" w:space="0"/>
              <w:bottom w:val="single" w:color="000000" w:sz="4" w:space="0"/>
              <w:right w:val="single" w:color="000000" w:sz="4" w:space="0"/>
            </w:tcBorders>
            <w:vAlign w:val="center"/>
          </w:tcPr>
          <w:p w14:paraId="547102A7">
            <w:pPr>
              <w:widowControl/>
              <w:jc w:val="center"/>
              <w:textAlignment w:val="center"/>
              <w:rPr>
                <w:rFonts w:hint="eastAsia" w:ascii="宋体" w:hAnsi="宋体" w:cs="宋体"/>
                <w:color w:val="000000"/>
                <w:kern w:val="0"/>
                <w:sz w:val="24"/>
                <w:highlight w:val="none"/>
                <w:lang w:bidi="ar"/>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1D8AF6A3">
            <w:pPr>
              <w:widowControl/>
              <w:jc w:val="center"/>
              <w:textAlignment w:val="center"/>
              <w:rPr>
                <w:rFonts w:hint="eastAsia" w:ascii="宋体" w:hAnsi="宋体" w:cs="宋体"/>
                <w:color w:val="000000"/>
                <w:kern w:val="0"/>
                <w:sz w:val="24"/>
                <w:highlight w:val="none"/>
                <w:lang w:bidi="ar"/>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60A60C1C">
            <w:pPr>
              <w:widowControl/>
              <w:jc w:val="center"/>
              <w:textAlignment w:val="center"/>
              <w:rPr>
                <w:rFonts w:hint="eastAsia" w:ascii="宋体" w:hAnsi="宋体" w:cs="宋体"/>
                <w:color w:val="000000"/>
                <w:kern w:val="0"/>
                <w:sz w:val="24"/>
                <w:highlight w:val="none"/>
                <w:lang w:bidi="ar"/>
              </w:rPr>
            </w:pPr>
          </w:p>
        </w:tc>
      </w:tr>
      <w:tr w14:paraId="022B5F1B">
        <w:tblPrEx>
          <w:tblCellMar>
            <w:top w:w="0" w:type="dxa"/>
            <w:left w:w="108" w:type="dxa"/>
            <w:bottom w:w="0" w:type="dxa"/>
            <w:right w:w="108" w:type="dxa"/>
          </w:tblCellMar>
        </w:tblPrEx>
        <w:trPr>
          <w:trHeight w:val="312" w:hRule="atLeast"/>
        </w:trPr>
        <w:tc>
          <w:tcPr>
            <w:tcW w:w="469" w:type="pct"/>
            <w:tcBorders>
              <w:top w:val="single" w:color="000000" w:sz="4" w:space="0"/>
              <w:left w:val="single" w:color="000000" w:sz="4" w:space="0"/>
              <w:bottom w:val="single" w:color="000000" w:sz="4" w:space="0"/>
              <w:right w:val="single" w:color="000000" w:sz="4" w:space="0"/>
            </w:tcBorders>
            <w:vAlign w:val="center"/>
          </w:tcPr>
          <w:p w14:paraId="59327F53">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w:t>
            </w:r>
          </w:p>
        </w:tc>
        <w:tc>
          <w:tcPr>
            <w:tcW w:w="1508" w:type="pct"/>
            <w:tcBorders>
              <w:top w:val="single" w:color="000000" w:sz="4" w:space="0"/>
              <w:left w:val="single" w:color="000000" w:sz="4" w:space="0"/>
              <w:bottom w:val="single" w:color="000000" w:sz="4" w:space="0"/>
              <w:right w:val="single" w:color="000000" w:sz="4" w:space="0"/>
            </w:tcBorders>
            <w:vAlign w:val="center"/>
          </w:tcPr>
          <w:p w14:paraId="3EC8C498">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数据资产全过程管理平台</w:t>
            </w:r>
          </w:p>
        </w:tc>
        <w:tc>
          <w:tcPr>
            <w:tcW w:w="408" w:type="pct"/>
            <w:tcBorders>
              <w:top w:val="single" w:color="000000" w:sz="4" w:space="0"/>
              <w:left w:val="single" w:color="000000" w:sz="4" w:space="0"/>
              <w:bottom w:val="single" w:color="000000" w:sz="4" w:space="0"/>
              <w:right w:val="single" w:color="000000" w:sz="4" w:space="0"/>
            </w:tcBorders>
            <w:vAlign w:val="center"/>
          </w:tcPr>
          <w:p w14:paraId="37166DFB">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w:t>
            </w:r>
          </w:p>
        </w:tc>
        <w:tc>
          <w:tcPr>
            <w:tcW w:w="645" w:type="pct"/>
            <w:tcBorders>
              <w:top w:val="single" w:color="000000" w:sz="4" w:space="0"/>
              <w:left w:val="single" w:color="000000" w:sz="4" w:space="0"/>
              <w:bottom w:val="single" w:color="000000" w:sz="4" w:space="0"/>
              <w:right w:val="single" w:color="000000" w:sz="4" w:space="0"/>
            </w:tcBorders>
            <w:vAlign w:val="center"/>
          </w:tcPr>
          <w:p w14:paraId="440B5A81">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2114</w:t>
            </w:r>
          </w:p>
        </w:tc>
        <w:tc>
          <w:tcPr>
            <w:tcW w:w="643" w:type="pct"/>
            <w:tcBorders>
              <w:top w:val="single" w:color="000000" w:sz="4" w:space="0"/>
              <w:left w:val="single" w:color="000000" w:sz="4" w:space="0"/>
              <w:bottom w:val="single" w:color="000000" w:sz="4" w:space="0"/>
              <w:right w:val="single" w:color="000000" w:sz="4" w:space="0"/>
            </w:tcBorders>
            <w:vAlign w:val="center"/>
          </w:tcPr>
          <w:p w14:paraId="4EBA22E9">
            <w:pPr>
              <w:widowControl/>
              <w:jc w:val="center"/>
              <w:textAlignment w:val="center"/>
              <w:rPr>
                <w:rFonts w:hint="eastAsia" w:ascii="宋体" w:hAnsi="宋体" w:cs="宋体"/>
                <w:color w:val="000000"/>
                <w:kern w:val="0"/>
                <w:sz w:val="24"/>
                <w:highlight w:val="none"/>
                <w:lang w:bidi="ar"/>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1760F0A8">
            <w:pPr>
              <w:widowControl/>
              <w:jc w:val="center"/>
              <w:textAlignment w:val="center"/>
              <w:rPr>
                <w:rFonts w:hint="eastAsia" w:ascii="宋体" w:hAnsi="宋体" w:cs="宋体"/>
                <w:color w:val="000000"/>
                <w:kern w:val="0"/>
                <w:sz w:val="24"/>
                <w:highlight w:val="none"/>
                <w:lang w:bidi="ar"/>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5052E77C">
            <w:pPr>
              <w:widowControl/>
              <w:jc w:val="center"/>
              <w:textAlignment w:val="center"/>
              <w:rPr>
                <w:rFonts w:hint="eastAsia" w:ascii="宋体" w:hAnsi="宋体" w:cs="宋体"/>
                <w:color w:val="000000"/>
                <w:kern w:val="0"/>
                <w:sz w:val="24"/>
                <w:highlight w:val="none"/>
                <w:lang w:bidi="ar"/>
              </w:rPr>
            </w:pPr>
          </w:p>
        </w:tc>
      </w:tr>
      <w:tr w14:paraId="34982F8E">
        <w:tblPrEx>
          <w:tblCellMar>
            <w:top w:w="0" w:type="dxa"/>
            <w:left w:w="108" w:type="dxa"/>
            <w:bottom w:w="0" w:type="dxa"/>
            <w:right w:w="108" w:type="dxa"/>
          </w:tblCellMar>
        </w:tblPrEx>
        <w:trPr>
          <w:trHeight w:val="312" w:hRule="atLeast"/>
        </w:trPr>
        <w:tc>
          <w:tcPr>
            <w:tcW w:w="469" w:type="pct"/>
            <w:tcBorders>
              <w:top w:val="single" w:color="000000" w:sz="4" w:space="0"/>
              <w:left w:val="single" w:color="000000" w:sz="4" w:space="0"/>
              <w:bottom w:val="single" w:color="000000" w:sz="4" w:space="0"/>
              <w:right w:val="single" w:color="000000" w:sz="4" w:space="0"/>
            </w:tcBorders>
            <w:vAlign w:val="center"/>
          </w:tcPr>
          <w:p w14:paraId="5D3743A0">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1.1</w:t>
            </w:r>
          </w:p>
        </w:tc>
        <w:tc>
          <w:tcPr>
            <w:tcW w:w="1508" w:type="pct"/>
            <w:tcBorders>
              <w:top w:val="single" w:color="000000" w:sz="4" w:space="0"/>
              <w:left w:val="single" w:color="000000" w:sz="4" w:space="0"/>
              <w:bottom w:val="single" w:color="000000" w:sz="4" w:space="0"/>
              <w:right w:val="single" w:color="000000" w:sz="4" w:space="0"/>
            </w:tcBorders>
            <w:vAlign w:val="center"/>
          </w:tcPr>
          <w:p w14:paraId="22FF8F35">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数据资产管理系统</w:t>
            </w:r>
          </w:p>
        </w:tc>
        <w:tc>
          <w:tcPr>
            <w:tcW w:w="408" w:type="pct"/>
            <w:tcBorders>
              <w:top w:val="single" w:color="000000" w:sz="4" w:space="0"/>
              <w:left w:val="single" w:color="000000" w:sz="4" w:space="0"/>
              <w:bottom w:val="single" w:color="000000" w:sz="4" w:space="0"/>
              <w:right w:val="single" w:color="000000" w:sz="4" w:space="0"/>
            </w:tcBorders>
            <w:vAlign w:val="center"/>
          </w:tcPr>
          <w:p w14:paraId="7CB4A4D7">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645" w:type="pct"/>
            <w:tcBorders>
              <w:top w:val="single" w:color="000000" w:sz="4" w:space="0"/>
              <w:left w:val="single" w:color="000000" w:sz="4" w:space="0"/>
              <w:bottom w:val="single" w:color="000000" w:sz="4" w:space="0"/>
              <w:right w:val="single" w:color="000000" w:sz="4" w:space="0"/>
            </w:tcBorders>
            <w:vAlign w:val="center"/>
          </w:tcPr>
          <w:p w14:paraId="5D5C22EE">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213</w:t>
            </w:r>
          </w:p>
        </w:tc>
        <w:tc>
          <w:tcPr>
            <w:tcW w:w="643" w:type="pct"/>
            <w:tcBorders>
              <w:top w:val="single" w:color="000000" w:sz="4" w:space="0"/>
              <w:left w:val="single" w:color="000000" w:sz="4" w:space="0"/>
              <w:bottom w:val="single" w:color="000000" w:sz="4" w:space="0"/>
              <w:right w:val="single" w:color="000000" w:sz="4" w:space="0"/>
            </w:tcBorders>
            <w:vAlign w:val="center"/>
          </w:tcPr>
          <w:p w14:paraId="38E2552D">
            <w:pPr>
              <w:widowControl/>
              <w:jc w:val="center"/>
              <w:textAlignment w:val="center"/>
              <w:rPr>
                <w:rFonts w:hint="eastAsia" w:ascii="宋体" w:hAnsi="宋体" w:cs="宋体"/>
                <w:color w:val="000000"/>
                <w:kern w:val="0"/>
                <w:sz w:val="24"/>
                <w:highlight w:val="none"/>
                <w:lang w:bidi="ar"/>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55022ABE">
            <w:pPr>
              <w:widowControl/>
              <w:jc w:val="center"/>
              <w:textAlignment w:val="center"/>
              <w:rPr>
                <w:rFonts w:hint="eastAsia" w:ascii="宋体" w:hAnsi="宋体" w:cs="宋体"/>
                <w:color w:val="000000"/>
                <w:kern w:val="0"/>
                <w:sz w:val="24"/>
                <w:highlight w:val="none"/>
                <w:lang w:bidi="ar"/>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041B99EE">
            <w:pPr>
              <w:widowControl/>
              <w:jc w:val="center"/>
              <w:textAlignment w:val="center"/>
              <w:rPr>
                <w:rFonts w:hint="eastAsia" w:ascii="宋体" w:hAnsi="宋体" w:cs="宋体"/>
                <w:color w:val="000000"/>
                <w:kern w:val="0"/>
                <w:sz w:val="24"/>
                <w:highlight w:val="none"/>
                <w:lang w:bidi="ar"/>
              </w:rPr>
            </w:pPr>
          </w:p>
        </w:tc>
      </w:tr>
      <w:tr w14:paraId="3D8841CB">
        <w:tblPrEx>
          <w:tblCellMar>
            <w:top w:w="0" w:type="dxa"/>
            <w:left w:w="108" w:type="dxa"/>
            <w:bottom w:w="0" w:type="dxa"/>
            <w:right w:w="108" w:type="dxa"/>
          </w:tblCellMar>
        </w:tblPrEx>
        <w:trPr>
          <w:trHeight w:val="312" w:hRule="atLeast"/>
        </w:trPr>
        <w:tc>
          <w:tcPr>
            <w:tcW w:w="469" w:type="pct"/>
            <w:tcBorders>
              <w:top w:val="single" w:color="000000" w:sz="4" w:space="0"/>
              <w:left w:val="single" w:color="000000" w:sz="4" w:space="0"/>
              <w:bottom w:val="single" w:color="000000" w:sz="4" w:space="0"/>
              <w:right w:val="single" w:color="000000" w:sz="4" w:space="0"/>
            </w:tcBorders>
            <w:vAlign w:val="center"/>
          </w:tcPr>
          <w:p w14:paraId="7FDFA6BB">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1.2</w:t>
            </w:r>
          </w:p>
        </w:tc>
        <w:tc>
          <w:tcPr>
            <w:tcW w:w="1508" w:type="pct"/>
            <w:tcBorders>
              <w:top w:val="single" w:color="000000" w:sz="4" w:space="0"/>
              <w:left w:val="single" w:color="000000" w:sz="4" w:space="0"/>
              <w:bottom w:val="single" w:color="000000" w:sz="4" w:space="0"/>
              <w:right w:val="single" w:color="000000" w:sz="4" w:space="0"/>
            </w:tcBorders>
            <w:vAlign w:val="center"/>
          </w:tcPr>
          <w:p w14:paraId="41B8624C">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AI数据开发利用系统</w:t>
            </w:r>
          </w:p>
        </w:tc>
        <w:tc>
          <w:tcPr>
            <w:tcW w:w="408" w:type="pct"/>
            <w:tcBorders>
              <w:top w:val="single" w:color="000000" w:sz="4" w:space="0"/>
              <w:left w:val="single" w:color="000000" w:sz="4" w:space="0"/>
              <w:bottom w:val="single" w:color="000000" w:sz="4" w:space="0"/>
              <w:right w:val="single" w:color="000000" w:sz="4" w:space="0"/>
            </w:tcBorders>
            <w:vAlign w:val="center"/>
          </w:tcPr>
          <w:p w14:paraId="648AC2DC">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645" w:type="pct"/>
            <w:tcBorders>
              <w:top w:val="single" w:color="000000" w:sz="4" w:space="0"/>
              <w:left w:val="single" w:color="000000" w:sz="4" w:space="0"/>
              <w:bottom w:val="single" w:color="000000" w:sz="4" w:space="0"/>
              <w:right w:val="single" w:color="000000" w:sz="4" w:space="0"/>
            </w:tcBorders>
            <w:vAlign w:val="center"/>
          </w:tcPr>
          <w:p w14:paraId="4FA524C9">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150</w:t>
            </w:r>
          </w:p>
        </w:tc>
        <w:tc>
          <w:tcPr>
            <w:tcW w:w="643" w:type="pct"/>
            <w:tcBorders>
              <w:top w:val="single" w:color="000000" w:sz="4" w:space="0"/>
              <w:left w:val="single" w:color="000000" w:sz="4" w:space="0"/>
              <w:bottom w:val="single" w:color="000000" w:sz="4" w:space="0"/>
              <w:right w:val="single" w:color="000000" w:sz="4" w:space="0"/>
            </w:tcBorders>
            <w:vAlign w:val="center"/>
          </w:tcPr>
          <w:p w14:paraId="1ABE8B73">
            <w:pPr>
              <w:widowControl/>
              <w:jc w:val="center"/>
              <w:textAlignment w:val="center"/>
              <w:rPr>
                <w:rFonts w:hint="eastAsia" w:ascii="宋体" w:hAnsi="宋体" w:cs="宋体"/>
                <w:color w:val="000000"/>
                <w:kern w:val="0"/>
                <w:sz w:val="24"/>
                <w:highlight w:val="none"/>
                <w:lang w:bidi="ar"/>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76E2466F">
            <w:pPr>
              <w:widowControl/>
              <w:jc w:val="center"/>
              <w:textAlignment w:val="center"/>
              <w:rPr>
                <w:rFonts w:hint="eastAsia" w:ascii="宋体" w:hAnsi="宋体" w:cs="宋体"/>
                <w:color w:val="000000"/>
                <w:kern w:val="0"/>
                <w:sz w:val="24"/>
                <w:highlight w:val="none"/>
                <w:lang w:bidi="ar"/>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7AB30A86">
            <w:pPr>
              <w:widowControl/>
              <w:jc w:val="center"/>
              <w:textAlignment w:val="center"/>
              <w:rPr>
                <w:rFonts w:hint="eastAsia" w:ascii="宋体" w:hAnsi="宋体" w:cs="宋体"/>
                <w:color w:val="000000"/>
                <w:kern w:val="0"/>
                <w:sz w:val="24"/>
                <w:highlight w:val="none"/>
                <w:lang w:bidi="ar"/>
              </w:rPr>
            </w:pPr>
          </w:p>
        </w:tc>
      </w:tr>
      <w:tr w14:paraId="14AB4513">
        <w:tblPrEx>
          <w:tblCellMar>
            <w:top w:w="0" w:type="dxa"/>
            <w:left w:w="108" w:type="dxa"/>
            <w:bottom w:w="0" w:type="dxa"/>
            <w:right w:w="108" w:type="dxa"/>
          </w:tblCellMar>
        </w:tblPrEx>
        <w:trPr>
          <w:trHeight w:val="312" w:hRule="atLeast"/>
        </w:trPr>
        <w:tc>
          <w:tcPr>
            <w:tcW w:w="469" w:type="pct"/>
            <w:tcBorders>
              <w:top w:val="single" w:color="000000" w:sz="4" w:space="0"/>
              <w:left w:val="single" w:color="000000" w:sz="4" w:space="0"/>
              <w:bottom w:val="single" w:color="000000" w:sz="4" w:space="0"/>
              <w:right w:val="single" w:color="000000" w:sz="4" w:space="0"/>
            </w:tcBorders>
            <w:vAlign w:val="center"/>
          </w:tcPr>
          <w:p w14:paraId="7F397331">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w:t>
            </w:r>
          </w:p>
        </w:tc>
        <w:tc>
          <w:tcPr>
            <w:tcW w:w="1508" w:type="pct"/>
            <w:tcBorders>
              <w:top w:val="single" w:color="000000" w:sz="4" w:space="0"/>
              <w:left w:val="single" w:color="000000" w:sz="4" w:space="0"/>
              <w:bottom w:val="single" w:color="000000" w:sz="4" w:space="0"/>
              <w:right w:val="single" w:color="000000" w:sz="4" w:space="0"/>
            </w:tcBorders>
            <w:vAlign w:val="center"/>
          </w:tcPr>
          <w:p w14:paraId="65BFDBA9">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数据交易流通平台</w:t>
            </w:r>
          </w:p>
        </w:tc>
        <w:tc>
          <w:tcPr>
            <w:tcW w:w="408" w:type="pct"/>
            <w:tcBorders>
              <w:top w:val="single" w:color="000000" w:sz="4" w:space="0"/>
              <w:left w:val="single" w:color="000000" w:sz="4" w:space="0"/>
              <w:bottom w:val="single" w:color="000000" w:sz="4" w:space="0"/>
              <w:right w:val="single" w:color="000000" w:sz="4" w:space="0"/>
            </w:tcBorders>
            <w:vAlign w:val="center"/>
          </w:tcPr>
          <w:p w14:paraId="5C37F1B6">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w:t>
            </w:r>
          </w:p>
        </w:tc>
        <w:tc>
          <w:tcPr>
            <w:tcW w:w="645" w:type="pct"/>
            <w:tcBorders>
              <w:top w:val="single" w:color="000000" w:sz="4" w:space="0"/>
              <w:left w:val="single" w:color="000000" w:sz="4" w:space="0"/>
              <w:bottom w:val="single" w:color="000000" w:sz="4" w:space="0"/>
              <w:right w:val="single" w:color="000000" w:sz="4" w:space="0"/>
            </w:tcBorders>
            <w:vAlign w:val="center"/>
          </w:tcPr>
          <w:p w14:paraId="72ACE8AA">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1751</w:t>
            </w:r>
          </w:p>
        </w:tc>
        <w:tc>
          <w:tcPr>
            <w:tcW w:w="643" w:type="pct"/>
            <w:tcBorders>
              <w:top w:val="single" w:color="000000" w:sz="4" w:space="0"/>
              <w:left w:val="single" w:color="000000" w:sz="4" w:space="0"/>
              <w:bottom w:val="single" w:color="000000" w:sz="4" w:space="0"/>
              <w:right w:val="single" w:color="000000" w:sz="4" w:space="0"/>
            </w:tcBorders>
            <w:vAlign w:val="center"/>
          </w:tcPr>
          <w:p w14:paraId="4077091B">
            <w:pPr>
              <w:widowControl/>
              <w:jc w:val="center"/>
              <w:textAlignment w:val="center"/>
              <w:rPr>
                <w:rFonts w:hint="eastAsia" w:ascii="宋体" w:hAnsi="宋体" w:cs="宋体"/>
                <w:color w:val="000000"/>
                <w:kern w:val="0"/>
                <w:sz w:val="24"/>
                <w:highlight w:val="none"/>
                <w:lang w:bidi="ar"/>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5D8DB323">
            <w:pPr>
              <w:widowControl/>
              <w:jc w:val="center"/>
              <w:textAlignment w:val="center"/>
              <w:rPr>
                <w:rFonts w:hint="eastAsia" w:ascii="宋体" w:hAnsi="宋体" w:cs="宋体"/>
                <w:color w:val="000000"/>
                <w:kern w:val="0"/>
                <w:sz w:val="24"/>
                <w:highlight w:val="none"/>
                <w:lang w:bidi="ar"/>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3C4888CA">
            <w:pPr>
              <w:widowControl/>
              <w:jc w:val="center"/>
              <w:textAlignment w:val="center"/>
              <w:rPr>
                <w:rFonts w:hint="eastAsia" w:ascii="宋体" w:hAnsi="宋体" w:cs="宋体"/>
                <w:color w:val="000000"/>
                <w:kern w:val="0"/>
                <w:sz w:val="24"/>
                <w:highlight w:val="none"/>
                <w:lang w:bidi="ar"/>
              </w:rPr>
            </w:pPr>
          </w:p>
        </w:tc>
      </w:tr>
      <w:tr w14:paraId="517B0553">
        <w:tblPrEx>
          <w:tblCellMar>
            <w:top w:w="0" w:type="dxa"/>
            <w:left w:w="108" w:type="dxa"/>
            <w:bottom w:w="0" w:type="dxa"/>
            <w:right w:w="108" w:type="dxa"/>
          </w:tblCellMar>
        </w:tblPrEx>
        <w:trPr>
          <w:trHeight w:val="312" w:hRule="atLeast"/>
        </w:trPr>
        <w:tc>
          <w:tcPr>
            <w:tcW w:w="469" w:type="pct"/>
            <w:tcBorders>
              <w:top w:val="single" w:color="000000" w:sz="4" w:space="0"/>
              <w:left w:val="single" w:color="000000" w:sz="4" w:space="0"/>
              <w:bottom w:val="single" w:color="000000" w:sz="4" w:space="0"/>
              <w:right w:val="single" w:color="000000" w:sz="4" w:space="0"/>
            </w:tcBorders>
            <w:vAlign w:val="center"/>
          </w:tcPr>
          <w:p w14:paraId="00CCFAE2">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1.3.1</w:t>
            </w:r>
          </w:p>
        </w:tc>
        <w:tc>
          <w:tcPr>
            <w:tcW w:w="1508" w:type="pct"/>
            <w:tcBorders>
              <w:top w:val="single" w:color="000000" w:sz="4" w:space="0"/>
              <w:left w:val="single" w:color="000000" w:sz="4" w:space="0"/>
              <w:bottom w:val="single" w:color="000000" w:sz="4" w:space="0"/>
              <w:right w:val="single" w:color="000000" w:sz="4" w:space="0"/>
            </w:tcBorders>
            <w:vAlign w:val="center"/>
          </w:tcPr>
          <w:p w14:paraId="4E9AE55B">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企业服务门户</w:t>
            </w:r>
          </w:p>
        </w:tc>
        <w:tc>
          <w:tcPr>
            <w:tcW w:w="408" w:type="pct"/>
            <w:tcBorders>
              <w:top w:val="single" w:color="000000" w:sz="4" w:space="0"/>
              <w:left w:val="single" w:color="000000" w:sz="4" w:space="0"/>
              <w:bottom w:val="single" w:color="000000" w:sz="4" w:space="0"/>
              <w:right w:val="single" w:color="000000" w:sz="4" w:space="0"/>
            </w:tcBorders>
            <w:vAlign w:val="center"/>
          </w:tcPr>
          <w:p w14:paraId="37F4608F">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645" w:type="pct"/>
            <w:tcBorders>
              <w:top w:val="single" w:color="000000" w:sz="4" w:space="0"/>
              <w:left w:val="single" w:color="000000" w:sz="4" w:space="0"/>
              <w:bottom w:val="single" w:color="000000" w:sz="4" w:space="0"/>
              <w:right w:val="single" w:color="000000" w:sz="4" w:space="0"/>
            </w:tcBorders>
            <w:vAlign w:val="center"/>
          </w:tcPr>
          <w:p w14:paraId="79C7D27F">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144</w:t>
            </w:r>
          </w:p>
        </w:tc>
        <w:tc>
          <w:tcPr>
            <w:tcW w:w="643" w:type="pct"/>
            <w:tcBorders>
              <w:top w:val="single" w:color="000000" w:sz="4" w:space="0"/>
              <w:left w:val="single" w:color="000000" w:sz="4" w:space="0"/>
              <w:bottom w:val="single" w:color="000000" w:sz="4" w:space="0"/>
              <w:right w:val="single" w:color="000000" w:sz="4" w:space="0"/>
            </w:tcBorders>
            <w:vAlign w:val="center"/>
          </w:tcPr>
          <w:p w14:paraId="45AB0CC3">
            <w:pPr>
              <w:widowControl/>
              <w:jc w:val="center"/>
              <w:textAlignment w:val="center"/>
              <w:rPr>
                <w:rFonts w:hint="eastAsia" w:ascii="宋体" w:hAnsi="宋体" w:cs="宋体"/>
                <w:color w:val="000000"/>
                <w:kern w:val="0"/>
                <w:sz w:val="24"/>
                <w:highlight w:val="none"/>
                <w:lang w:bidi="ar"/>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5E240534">
            <w:pPr>
              <w:widowControl/>
              <w:jc w:val="center"/>
              <w:textAlignment w:val="center"/>
              <w:rPr>
                <w:rFonts w:hint="eastAsia" w:ascii="宋体" w:hAnsi="宋体" w:cs="宋体"/>
                <w:color w:val="000000"/>
                <w:kern w:val="0"/>
                <w:sz w:val="24"/>
                <w:highlight w:val="none"/>
                <w:lang w:bidi="ar"/>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6667A92E">
            <w:pPr>
              <w:widowControl/>
              <w:jc w:val="center"/>
              <w:textAlignment w:val="center"/>
              <w:rPr>
                <w:rFonts w:hint="eastAsia" w:ascii="宋体" w:hAnsi="宋体" w:cs="宋体"/>
                <w:color w:val="000000"/>
                <w:kern w:val="0"/>
                <w:sz w:val="24"/>
                <w:highlight w:val="none"/>
                <w:lang w:bidi="ar"/>
              </w:rPr>
            </w:pPr>
          </w:p>
        </w:tc>
      </w:tr>
      <w:tr w14:paraId="63A84E95">
        <w:tblPrEx>
          <w:tblCellMar>
            <w:top w:w="0" w:type="dxa"/>
            <w:left w:w="108" w:type="dxa"/>
            <w:bottom w:w="0" w:type="dxa"/>
            <w:right w:w="108" w:type="dxa"/>
          </w:tblCellMar>
        </w:tblPrEx>
        <w:trPr>
          <w:trHeight w:val="312" w:hRule="atLeast"/>
        </w:trPr>
        <w:tc>
          <w:tcPr>
            <w:tcW w:w="469" w:type="pct"/>
            <w:tcBorders>
              <w:top w:val="single" w:color="000000" w:sz="4" w:space="0"/>
              <w:left w:val="single" w:color="000000" w:sz="4" w:space="0"/>
              <w:bottom w:val="single" w:color="000000" w:sz="4" w:space="0"/>
              <w:right w:val="single" w:color="000000" w:sz="4" w:space="0"/>
            </w:tcBorders>
            <w:vAlign w:val="center"/>
          </w:tcPr>
          <w:p w14:paraId="739685A9">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1.3.2</w:t>
            </w:r>
          </w:p>
        </w:tc>
        <w:tc>
          <w:tcPr>
            <w:tcW w:w="1508" w:type="pct"/>
            <w:tcBorders>
              <w:top w:val="single" w:color="000000" w:sz="4" w:space="0"/>
              <w:left w:val="single" w:color="000000" w:sz="4" w:space="0"/>
              <w:bottom w:val="single" w:color="000000" w:sz="4" w:space="0"/>
              <w:right w:val="single" w:color="000000" w:sz="4" w:space="0"/>
            </w:tcBorders>
            <w:vAlign w:val="center"/>
          </w:tcPr>
          <w:p w14:paraId="374CB872">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资源供需对接系统</w:t>
            </w:r>
          </w:p>
        </w:tc>
        <w:tc>
          <w:tcPr>
            <w:tcW w:w="408" w:type="pct"/>
            <w:tcBorders>
              <w:top w:val="single" w:color="000000" w:sz="4" w:space="0"/>
              <w:left w:val="single" w:color="000000" w:sz="4" w:space="0"/>
              <w:bottom w:val="single" w:color="000000" w:sz="4" w:space="0"/>
              <w:right w:val="single" w:color="000000" w:sz="4" w:space="0"/>
            </w:tcBorders>
            <w:vAlign w:val="center"/>
          </w:tcPr>
          <w:p w14:paraId="220CD42B">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645" w:type="pct"/>
            <w:tcBorders>
              <w:top w:val="single" w:color="000000" w:sz="4" w:space="0"/>
              <w:left w:val="single" w:color="000000" w:sz="4" w:space="0"/>
              <w:bottom w:val="single" w:color="000000" w:sz="4" w:space="0"/>
              <w:right w:val="single" w:color="000000" w:sz="4" w:space="0"/>
            </w:tcBorders>
            <w:vAlign w:val="center"/>
          </w:tcPr>
          <w:p w14:paraId="563B6140">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105</w:t>
            </w:r>
          </w:p>
        </w:tc>
        <w:tc>
          <w:tcPr>
            <w:tcW w:w="643" w:type="pct"/>
            <w:tcBorders>
              <w:top w:val="single" w:color="000000" w:sz="4" w:space="0"/>
              <w:left w:val="single" w:color="000000" w:sz="4" w:space="0"/>
              <w:bottom w:val="single" w:color="000000" w:sz="4" w:space="0"/>
              <w:right w:val="single" w:color="000000" w:sz="4" w:space="0"/>
            </w:tcBorders>
            <w:vAlign w:val="center"/>
          </w:tcPr>
          <w:p w14:paraId="331F6354">
            <w:pPr>
              <w:widowControl/>
              <w:jc w:val="center"/>
              <w:textAlignment w:val="center"/>
              <w:rPr>
                <w:rFonts w:hint="eastAsia" w:ascii="宋体" w:hAnsi="宋体" w:cs="宋体"/>
                <w:color w:val="000000"/>
                <w:kern w:val="0"/>
                <w:sz w:val="24"/>
                <w:highlight w:val="none"/>
                <w:lang w:bidi="ar"/>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71752C19">
            <w:pPr>
              <w:widowControl/>
              <w:jc w:val="center"/>
              <w:textAlignment w:val="center"/>
              <w:rPr>
                <w:rFonts w:hint="eastAsia" w:ascii="宋体" w:hAnsi="宋体" w:cs="宋体"/>
                <w:color w:val="000000"/>
                <w:kern w:val="0"/>
                <w:sz w:val="24"/>
                <w:highlight w:val="none"/>
                <w:lang w:bidi="ar"/>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5D4CD12C">
            <w:pPr>
              <w:widowControl/>
              <w:jc w:val="center"/>
              <w:textAlignment w:val="center"/>
              <w:rPr>
                <w:rFonts w:hint="eastAsia" w:ascii="宋体" w:hAnsi="宋体" w:cs="宋体"/>
                <w:color w:val="000000"/>
                <w:kern w:val="0"/>
                <w:sz w:val="24"/>
                <w:highlight w:val="none"/>
                <w:lang w:bidi="ar"/>
              </w:rPr>
            </w:pPr>
          </w:p>
        </w:tc>
      </w:tr>
      <w:tr w14:paraId="385D4003">
        <w:tblPrEx>
          <w:tblCellMar>
            <w:top w:w="0" w:type="dxa"/>
            <w:left w:w="108" w:type="dxa"/>
            <w:bottom w:w="0" w:type="dxa"/>
            <w:right w:w="108" w:type="dxa"/>
          </w:tblCellMar>
        </w:tblPrEx>
        <w:trPr>
          <w:trHeight w:val="312" w:hRule="atLeast"/>
        </w:trPr>
        <w:tc>
          <w:tcPr>
            <w:tcW w:w="469" w:type="pct"/>
            <w:tcBorders>
              <w:top w:val="single" w:color="000000" w:sz="4" w:space="0"/>
              <w:left w:val="single" w:color="000000" w:sz="4" w:space="0"/>
              <w:bottom w:val="single" w:color="000000" w:sz="4" w:space="0"/>
              <w:right w:val="single" w:color="000000" w:sz="4" w:space="0"/>
            </w:tcBorders>
            <w:vAlign w:val="center"/>
          </w:tcPr>
          <w:p w14:paraId="6284FAC6">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1.3.3</w:t>
            </w:r>
          </w:p>
        </w:tc>
        <w:tc>
          <w:tcPr>
            <w:tcW w:w="1508" w:type="pct"/>
            <w:tcBorders>
              <w:top w:val="single" w:color="000000" w:sz="4" w:space="0"/>
              <w:left w:val="single" w:color="000000" w:sz="4" w:space="0"/>
              <w:bottom w:val="single" w:color="000000" w:sz="4" w:space="0"/>
              <w:right w:val="single" w:color="000000" w:sz="4" w:space="0"/>
            </w:tcBorders>
            <w:vAlign w:val="center"/>
          </w:tcPr>
          <w:p w14:paraId="038F613E">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数据产品管理系统</w:t>
            </w:r>
          </w:p>
        </w:tc>
        <w:tc>
          <w:tcPr>
            <w:tcW w:w="408" w:type="pct"/>
            <w:tcBorders>
              <w:top w:val="single" w:color="000000" w:sz="4" w:space="0"/>
              <w:left w:val="single" w:color="000000" w:sz="4" w:space="0"/>
              <w:bottom w:val="single" w:color="000000" w:sz="4" w:space="0"/>
              <w:right w:val="single" w:color="000000" w:sz="4" w:space="0"/>
            </w:tcBorders>
            <w:vAlign w:val="center"/>
          </w:tcPr>
          <w:p w14:paraId="19BF8E29">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645" w:type="pct"/>
            <w:tcBorders>
              <w:top w:val="single" w:color="000000" w:sz="4" w:space="0"/>
              <w:left w:val="single" w:color="000000" w:sz="4" w:space="0"/>
              <w:bottom w:val="single" w:color="000000" w:sz="4" w:space="0"/>
              <w:right w:val="single" w:color="000000" w:sz="4" w:space="0"/>
            </w:tcBorders>
            <w:vAlign w:val="center"/>
          </w:tcPr>
          <w:p w14:paraId="52727E5D">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440</w:t>
            </w:r>
          </w:p>
        </w:tc>
        <w:tc>
          <w:tcPr>
            <w:tcW w:w="643" w:type="pct"/>
            <w:tcBorders>
              <w:top w:val="single" w:color="000000" w:sz="4" w:space="0"/>
              <w:left w:val="single" w:color="000000" w:sz="4" w:space="0"/>
              <w:bottom w:val="single" w:color="000000" w:sz="4" w:space="0"/>
              <w:right w:val="single" w:color="000000" w:sz="4" w:space="0"/>
            </w:tcBorders>
            <w:vAlign w:val="center"/>
          </w:tcPr>
          <w:p w14:paraId="6D8B85C2">
            <w:pPr>
              <w:widowControl/>
              <w:jc w:val="center"/>
              <w:textAlignment w:val="center"/>
              <w:rPr>
                <w:rFonts w:hint="eastAsia" w:ascii="宋体" w:hAnsi="宋体" w:cs="宋体"/>
                <w:color w:val="000000"/>
                <w:kern w:val="0"/>
                <w:sz w:val="24"/>
                <w:highlight w:val="none"/>
                <w:lang w:bidi="ar"/>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6331EB5A">
            <w:pPr>
              <w:widowControl/>
              <w:jc w:val="center"/>
              <w:textAlignment w:val="center"/>
              <w:rPr>
                <w:rFonts w:hint="eastAsia" w:ascii="宋体" w:hAnsi="宋体" w:cs="宋体"/>
                <w:color w:val="000000"/>
                <w:kern w:val="0"/>
                <w:sz w:val="24"/>
                <w:highlight w:val="none"/>
                <w:lang w:bidi="ar"/>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3244052A">
            <w:pPr>
              <w:widowControl/>
              <w:jc w:val="center"/>
              <w:textAlignment w:val="center"/>
              <w:rPr>
                <w:rFonts w:hint="eastAsia" w:ascii="宋体" w:hAnsi="宋体" w:cs="宋体"/>
                <w:color w:val="000000"/>
                <w:kern w:val="0"/>
                <w:sz w:val="24"/>
                <w:highlight w:val="none"/>
                <w:lang w:bidi="ar"/>
              </w:rPr>
            </w:pPr>
          </w:p>
        </w:tc>
      </w:tr>
      <w:tr w14:paraId="291633B4">
        <w:tblPrEx>
          <w:tblCellMar>
            <w:top w:w="0" w:type="dxa"/>
            <w:left w:w="108" w:type="dxa"/>
            <w:bottom w:w="0" w:type="dxa"/>
            <w:right w:w="108" w:type="dxa"/>
          </w:tblCellMar>
        </w:tblPrEx>
        <w:trPr>
          <w:trHeight w:val="312" w:hRule="atLeast"/>
        </w:trPr>
        <w:tc>
          <w:tcPr>
            <w:tcW w:w="469" w:type="pct"/>
            <w:tcBorders>
              <w:top w:val="single" w:color="000000" w:sz="4" w:space="0"/>
              <w:left w:val="single" w:color="000000" w:sz="4" w:space="0"/>
              <w:bottom w:val="single" w:color="000000" w:sz="4" w:space="0"/>
              <w:right w:val="single" w:color="000000" w:sz="4" w:space="0"/>
            </w:tcBorders>
            <w:vAlign w:val="center"/>
          </w:tcPr>
          <w:p w14:paraId="76DD6BA7">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1.3.4</w:t>
            </w:r>
          </w:p>
        </w:tc>
        <w:tc>
          <w:tcPr>
            <w:tcW w:w="1508" w:type="pct"/>
            <w:tcBorders>
              <w:top w:val="single" w:color="000000" w:sz="4" w:space="0"/>
              <w:left w:val="single" w:color="000000" w:sz="4" w:space="0"/>
              <w:bottom w:val="single" w:color="000000" w:sz="4" w:space="0"/>
              <w:right w:val="single" w:color="000000" w:sz="4" w:space="0"/>
            </w:tcBorders>
            <w:vAlign w:val="center"/>
          </w:tcPr>
          <w:p w14:paraId="5D437FC7">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平台运营管理系统</w:t>
            </w:r>
          </w:p>
        </w:tc>
        <w:tc>
          <w:tcPr>
            <w:tcW w:w="408" w:type="pct"/>
            <w:tcBorders>
              <w:top w:val="single" w:color="000000" w:sz="4" w:space="0"/>
              <w:left w:val="single" w:color="000000" w:sz="4" w:space="0"/>
              <w:bottom w:val="single" w:color="000000" w:sz="4" w:space="0"/>
              <w:right w:val="single" w:color="000000" w:sz="4" w:space="0"/>
            </w:tcBorders>
            <w:vAlign w:val="center"/>
          </w:tcPr>
          <w:p w14:paraId="683EAA23">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645" w:type="pct"/>
            <w:tcBorders>
              <w:top w:val="single" w:color="000000" w:sz="4" w:space="0"/>
              <w:left w:val="single" w:color="000000" w:sz="4" w:space="0"/>
              <w:bottom w:val="single" w:color="000000" w:sz="4" w:space="0"/>
              <w:right w:val="single" w:color="000000" w:sz="4" w:space="0"/>
            </w:tcBorders>
            <w:vAlign w:val="center"/>
          </w:tcPr>
          <w:p w14:paraId="308B0A36">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360</w:t>
            </w:r>
          </w:p>
        </w:tc>
        <w:tc>
          <w:tcPr>
            <w:tcW w:w="643" w:type="pct"/>
            <w:tcBorders>
              <w:top w:val="single" w:color="000000" w:sz="4" w:space="0"/>
              <w:left w:val="single" w:color="000000" w:sz="4" w:space="0"/>
              <w:bottom w:val="single" w:color="000000" w:sz="4" w:space="0"/>
              <w:right w:val="single" w:color="000000" w:sz="4" w:space="0"/>
            </w:tcBorders>
            <w:vAlign w:val="center"/>
          </w:tcPr>
          <w:p w14:paraId="70272920">
            <w:pPr>
              <w:widowControl/>
              <w:jc w:val="center"/>
              <w:textAlignment w:val="center"/>
              <w:rPr>
                <w:rFonts w:hint="eastAsia" w:ascii="宋体" w:hAnsi="宋体" w:cs="宋体"/>
                <w:color w:val="000000"/>
                <w:kern w:val="0"/>
                <w:sz w:val="24"/>
                <w:highlight w:val="none"/>
                <w:lang w:bidi="ar"/>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0C5E1578">
            <w:pPr>
              <w:widowControl/>
              <w:jc w:val="center"/>
              <w:textAlignment w:val="center"/>
              <w:rPr>
                <w:rFonts w:hint="eastAsia" w:ascii="宋体" w:hAnsi="宋体" w:cs="宋体"/>
                <w:color w:val="000000"/>
                <w:kern w:val="0"/>
                <w:sz w:val="24"/>
                <w:highlight w:val="none"/>
                <w:lang w:bidi="ar"/>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75C91E07">
            <w:pPr>
              <w:widowControl/>
              <w:jc w:val="center"/>
              <w:textAlignment w:val="center"/>
              <w:rPr>
                <w:rFonts w:hint="eastAsia" w:ascii="宋体" w:hAnsi="宋体" w:cs="宋体"/>
                <w:color w:val="000000"/>
                <w:kern w:val="0"/>
                <w:sz w:val="24"/>
                <w:highlight w:val="none"/>
                <w:lang w:bidi="ar"/>
              </w:rPr>
            </w:pPr>
          </w:p>
        </w:tc>
      </w:tr>
      <w:tr w14:paraId="3182A0FF">
        <w:tblPrEx>
          <w:tblCellMar>
            <w:top w:w="0" w:type="dxa"/>
            <w:left w:w="108" w:type="dxa"/>
            <w:bottom w:w="0" w:type="dxa"/>
            <w:right w:w="108" w:type="dxa"/>
          </w:tblCellMar>
        </w:tblPrEx>
        <w:trPr>
          <w:trHeight w:val="312" w:hRule="atLeast"/>
        </w:trPr>
        <w:tc>
          <w:tcPr>
            <w:tcW w:w="469" w:type="pct"/>
            <w:tcBorders>
              <w:top w:val="single" w:color="000000" w:sz="4" w:space="0"/>
              <w:left w:val="single" w:color="000000" w:sz="4" w:space="0"/>
              <w:bottom w:val="single" w:color="000000" w:sz="4" w:space="0"/>
              <w:right w:val="single" w:color="000000" w:sz="4" w:space="0"/>
            </w:tcBorders>
            <w:vAlign w:val="center"/>
          </w:tcPr>
          <w:p w14:paraId="59BAF79E">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1.3.5</w:t>
            </w:r>
          </w:p>
        </w:tc>
        <w:tc>
          <w:tcPr>
            <w:tcW w:w="1508" w:type="pct"/>
            <w:tcBorders>
              <w:top w:val="single" w:color="000000" w:sz="4" w:space="0"/>
              <w:left w:val="single" w:color="000000" w:sz="4" w:space="0"/>
              <w:bottom w:val="single" w:color="000000" w:sz="4" w:space="0"/>
              <w:right w:val="single" w:color="000000" w:sz="4" w:space="0"/>
            </w:tcBorders>
            <w:vAlign w:val="center"/>
          </w:tcPr>
          <w:p w14:paraId="7BD28BAC">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平台基础支撑系统</w:t>
            </w:r>
          </w:p>
        </w:tc>
        <w:tc>
          <w:tcPr>
            <w:tcW w:w="408" w:type="pct"/>
            <w:tcBorders>
              <w:top w:val="single" w:color="000000" w:sz="4" w:space="0"/>
              <w:left w:val="single" w:color="000000" w:sz="4" w:space="0"/>
              <w:bottom w:val="single" w:color="000000" w:sz="4" w:space="0"/>
              <w:right w:val="single" w:color="000000" w:sz="4" w:space="0"/>
            </w:tcBorders>
            <w:vAlign w:val="center"/>
          </w:tcPr>
          <w:p w14:paraId="5B61F139">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645" w:type="pct"/>
            <w:tcBorders>
              <w:top w:val="single" w:color="000000" w:sz="4" w:space="0"/>
              <w:left w:val="single" w:color="000000" w:sz="4" w:space="0"/>
              <w:bottom w:val="single" w:color="000000" w:sz="4" w:space="0"/>
              <w:right w:val="single" w:color="000000" w:sz="4" w:space="0"/>
            </w:tcBorders>
            <w:vAlign w:val="center"/>
          </w:tcPr>
          <w:p w14:paraId="0B8FA519">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180</w:t>
            </w:r>
          </w:p>
        </w:tc>
        <w:tc>
          <w:tcPr>
            <w:tcW w:w="643" w:type="pct"/>
            <w:tcBorders>
              <w:top w:val="single" w:color="000000" w:sz="4" w:space="0"/>
              <w:left w:val="single" w:color="000000" w:sz="4" w:space="0"/>
              <w:bottom w:val="single" w:color="000000" w:sz="4" w:space="0"/>
              <w:right w:val="single" w:color="000000" w:sz="4" w:space="0"/>
            </w:tcBorders>
            <w:vAlign w:val="center"/>
          </w:tcPr>
          <w:p w14:paraId="3750F925">
            <w:pPr>
              <w:widowControl/>
              <w:jc w:val="center"/>
              <w:textAlignment w:val="center"/>
              <w:rPr>
                <w:rFonts w:hint="eastAsia" w:ascii="宋体" w:hAnsi="宋体" w:cs="宋体"/>
                <w:color w:val="000000"/>
                <w:kern w:val="0"/>
                <w:sz w:val="24"/>
                <w:highlight w:val="none"/>
                <w:lang w:bidi="ar"/>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35ACC77F">
            <w:pPr>
              <w:widowControl/>
              <w:jc w:val="center"/>
              <w:textAlignment w:val="center"/>
              <w:rPr>
                <w:rFonts w:hint="eastAsia" w:ascii="宋体" w:hAnsi="宋体" w:cs="宋体"/>
                <w:color w:val="000000"/>
                <w:kern w:val="0"/>
                <w:sz w:val="24"/>
                <w:highlight w:val="none"/>
                <w:lang w:bidi="ar"/>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5A9454D3">
            <w:pPr>
              <w:widowControl/>
              <w:jc w:val="center"/>
              <w:textAlignment w:val="center"/>
              <w:rPr>
                <w:rFonts w:hint="eastAsia" w:ascii="宋体" w:hAnsi="宋体" w:cs="宋体"/>
                <w:color w:val="000000"/>
                <w:kern w:val="0"/>
                <w:sz w:val="24"/>
                <w:highlight w:val="none"/>
                <w:lang w:bidi="ar"/>
              </w:rPr>
            </w:pPr>
          </w:p>
        </w:tc>
      </w:tr>
      <w:tr w14:paraId="0E41592E">
        <w:tblPrEx>
          <w:tblCellMar>
            <w:top w:w="0" w:type="dxa"/>
            <w:left w:w="108" w:type="dxa"/>
            <w:bottom w:w="0" w:type="dxa"/>
            <w:right w:w="108" w:type="dxa"/>
          </w:tblCellMar>
        </w:tblPrEx>
        <w:trPr>
          <w:trHeight w:val="312" w:hRule="atLeast"/>
        </w:trPr>
        <w:tc>
          <w:tcPr>
            <w:tcW w:w="469" w:type="pct"/>
            <w:tcBorders>
              <w:top w:val="single" w:color="000000" w:sz="4" w:space="0"/>
              <w:left w:val="single" w:color="000000" w:sz="4" w:space="0"/>
              <w:bottom w:val="single" w:color="000000" w:sz="4" w:space="0"/>
              <w:right w:val="single" w:color="000000" w:sz="4" w:space="0"/>
            </w:tcBorders>
            <w:vAlign w:val="center"/>
          </w:tcPr>
          <w:p w14:paraId="5F1CA476">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1.3.6</w:t>
            </w:r>
          </w:p>
        </w:tc>
        <w:tc>
          <w:tcPr>
            <w:tcW w:w="1508" w:type="pct"/>
            <w:tcBorders>
              <w:top w:val="single" w:color="000000" w:sz="4" w:space="0"/>
              <w:left w:val="single" w:color="000000" w:sz="4" w:space="0"/>
              <w:bottom w:val="single" w:color="000000" w:sz="4" w:space="0"/>
              <w:right w:val="single" w:color="000000" w:sz="4" w:space="0"/>
            </w:tcBorders>
            <w:vAlign w:val="center"/>
          </w:tcPr>
          <w:p w14:paraId="7618E448">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合规管理系统</w:t>
            </w:r>
          </w:p>
        </w:tc>
        <w:tc>
          <w:tcPr>
            <w:tcW w:w="408" w:type="pct"/>
            <w:tcBorders>
              <w:top w:val="single" w:color="000000" w:sz="4" w:space="0"/>
              <w:left w:val="single" w:color="000000" w:sz="4" w:space="0"/>
              <w:bottom w:val="single" w:color="000000" w:sz="4" w:space="0"/>
              <w:right w:val="single" w:color="000000" w:sz="4" w:space="0"/>
            </w:tcBorders>
            <w:vAlign w:val="center"/>
          </w:tcPr>
          <w:p w14:paraId="71FAD6A7">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645" w:type="pct"/>
            <w:tcBorders>
              <w:top w:val="single" w:color="000000" w:sz="4" w:space="0"/>
              <w:left w:val="single" w:color="000000" w:sz="4" w:space="0"/>
              <w:bottom w:val="single" w:color="000000" w:sz="4" w:space="0"/>
              <w:right w:val="single" w:color="000000" w:sz="4" w:space="0"/>
            </w:tcBorders>
            <w:vAlign w:val="center"/>
          </w:tcPr>
          <w:p w14:paraId="01F3B882">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240</w:t>
            </w:r>
          </w:p>
        </w:tc>
        <w:tc>
          <w:tcPr>
            <w:tcW w:w="643" w:type="pct"/>
            <w:tcBorders>
              <w:top w:val="single" w:color="000000" w:sz="4" w:space="0"/>
              <w:left w:val="single" w:color="000000" w:sz="4" w:space="0"/>
              <w:bottom w:val="single" w:color="000000" w:sz="4" w:space="0"/>
              <w:right w:val="single" w:color="000000" w:sz="4" w:space="0"/>
            </w:tcBorders>
            <w:vAlign w:val="center"/>
          </w:tcPr>
          <w:p w14:paraId="475FC7FB">
            <w:pPr>
              <w:widowControl/>
              <w:jc w:val="center"/>
              <w:textAlignment w:val="center"/>
              <w:rPr>
                <w:rFonts w:hint="eastAsia" w:ascii="宋体" w:hAnsi="宋体" w:cs="宋体"/>
                <w:color w:val="000000"/>
                <w:kern w:val="0"/>
                <w:sz w:val="24"/>
                <w:highlight w:val="none"/>
                <w:lang w:bidi="ar"/>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3D23951B">
            <w:pPr>
              <w:widowControl/>
              <w:jc w:val="center"/>
              <w:textAlignment w:val="center"/>
              <w:rPr>
                <w:rFonts w:hint="eastAsia" w:ascii="宋体" w:hAnsi="宋体" w:cs="宋体"/>
                <w:color w:val="000000"/>
                <w:kern w:val="0"/>
                <w:sz w:val="24"/>
                <w:highlight w:val="none"/>
                <w:lang w:bidi="ar"/>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0BCFF156">
            <w:pPr>
              <w:widowControl/>
              <w:jc w:val="center"/>
              <w:textAlignment w:val="center"/>
              <w:rPr>
                <w:rFonts w:hint="eastAsia" w:ascii="宋体" w:hAnsi="宋体" w:cs="宋体"/>
                <w:color w:val="000000"/>
                <w:kern w:val="0"/>
                <w:sz w:val="24"/>
                <w:highlight w:val="none"/>
                <w:lang w:bidi="ar"/>
              </w:rPr>
            </w:pPr>
          </w:p>
        </w:tc>
      </w:tr>
      <w:tr w14:paraId="30A63B78">
        <w:tblPrEx>
          <w:tblCellMar>
            <w:top w:w="0" w:type="dxa"/>
            <w:left w:w="108" w:type="dxa"/>
            <w:bottom w:w="0" w:type="dxa"/>
            <w:right w:w="108" w:type="dxa"/>
          </w:tblCellMar>
        </w:tblPrEx>
        <w:trPr>
          <w:trHeight w:val="312" w:hRule="atLeast"/>
        </w:trPr>
        <w:tc>
          <w:tcPr>
            <w:tcW w:w="469" w:type="pct"/>
            <w:tcBorders>
              <w:top w:val="single" w:color="000000" w:sz="4" w:space="0"/>
              <w:left w:val="single" w:color="000000" w:sz="4" w:space="0"/>
              <w:bottom w:val="single" w:color="000000" w:sz="4" w:space="0"/>
              <w:right w:val="single" w:color="000000" w:sz="4" w:space="0"/>
            </w:tcBorders>
            <w:vAlign w:val="center"/>
          </w:tcPr>
          <w:p w14:paraId="65C684A7">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1.3.7</w:t>
            </w:r>
          </w:p>
        </w:tc>
        <w:tc>
          <w:tcPr>
            <w:tcW w:w="1508" w:type="pct"/>
            <w:tcBorders>
              <w:top w:val="single" w:color="000000" w:sz="4" w:space="0"/>
              <w:left w:val="single" w:color="000000" w:sz="4" w:space="0"/>
              <w:bottom w:val="single" w:color="000000" w:sz="4" w:space="0"/>
              <w:right w:val="single" w:color="000000" w:sz="4" w:space="0"/>
            </w:tcBorders>
            <w:vAlign w:val="center"/>
          </w:tcPr>
          <w:p w14:paraId="21FFEACB">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数据接入应用</w:t>
            </w:r>
          </w:p>
        </w:tc>
        <w:tc>
          <w:tcPr>
            <w:tcW w:w="408" w:type="pct"/>
            <w:tcBorders>
              <w:top w:val="single" w:color="000000" w:sz="4" w:space="0"/>
              <w:left w:val="single" w:color="000000" w:sz="4" w:space="0"/>
              <w:bottom w:val="single" w:color="000000" w:sz="4" w:space="0"/>
              <w:right w:val="single" w:color="000000" w:sz="4" w:space="0"/>
            </w:tcBorders>
            <w:vAlign w:val="center"/>
          </w:tcPr>
          <w:p w14:paraId="6A786EE5">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645" w:type="pct"/>
            <w:tcBorders>
              <w:top w:val="single" w:color="000000" w:sz="4" w:space="0"/>
              <w:left w:val="single" w:color="000000" w:sz="4" w:space="0"/>
              <w:bottom w:val="single" w:color="000000" w:sz="4" w:space="0"/>
              <w:right w:val="single" w:color="000000" w:sz="4" w:space="0"/>
            </w:tcBorders>
            <w:vAlign w:val="center"/>
          </w:tcPr>
          <w:p w14:paraId="08DE82C2">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282</w:t>
            </w:r>
          </w:p>
        </w:tc>
        <w:tc>
          <w:tcPr>
            <w:tcW w:w="643" w:type="pct"/>
            <w:tcBorders>
              <w:top w:val="single" w:color="000000" w:sz="4" w:space="0"/>
              <w:left w:val="single" w:color="000000" w:sz="4" w:space="0"/>
              <w:bottom w:val="single" w:color="000000" w:sz="4" w:space="0"/>
              <w:right w:val="single" w:color="000000" w:sz="4" w:space="0"/>
            </w:tcBorders>
            <w:vAlign w:val="center"/>
          </w:tcPr>
          <w:p w14:paraId="701B041F">
            <w:pPr>
              <w:widowControl/>
              <w:jc w:val="center"/>
              <w:textAlignment w:val="center"/>
              <w:rPr>
                <w:rFonts w:hint="eastAsia" w:ascii="宋体" w:hAnsi="宋体" w:cs="宋体"/>
                <w:color w:val="000000"/>
                <w:kern w:val="0"/>
                <w:sz w:val="24"/>
                <w:highlight w:val="none"/>
                <w:lang w:bidi="ar"/>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06430731">
            <w:pPr>
              <w:widowControl/>
              <w:jc w:val="center"/>
              <w:textAlignment w:val="center"/>
              <w:rPr>
                <w:rFonts w:hint="eastAsia" w:ascii="宋体" w:hAnsi="宋体" w:cs="宋体"/>
                <w:color w:val="000000"/>
                <w:kern w:val="0"/>
                <w:sz w:val="24"/>
                <w:highlight w:val="none"/>
                <w:lang w:bidi="ar"/>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4F95F996">
            <w:pPr>
              <w:widowControl/>
              <w:jc w:val="center"/>
              <w:textAlignment w:val="center"/>
              <w:rPr>
                <w:rFonts w:hint="eastAsia" w:ascii="宋体" w:hAnsi="宋体" w:cs="宋体"/>
                <w:color w:val="000000"/>
                <w:kern w:val="0"/>
                <w:sz w:val="24"/>
                <w:highlight w:val="none"/>
                <w:lang w:bidi="ar"/>
              </w:rPr>
            </w:pPr>
          </w:p>
        </w:tc>
      </w:tr>
      <w:tr w14:paraId="1DC995D3">
        <w:tblPrEx>
          <w:tblCellMar>
            <w:top w:w="0" w:type="dxa"/>
            <w:left w:w="108" w:type="dxa"/>
            <w:bottom w:w="0" w:type="dxa"/>
            <w:right w:w="108" w:type="dxa"/>
          </w:tblCellMar>
        </w:tblPrEx>
        <w:trPr>
          <w:trHeight w:val="312" w:hRule="atLeast"/>
        </w:trPr>
        <w:tc>
          <w:tcPr>
            <w:tcW w:w="469" w:type="pct"/>
            <w:tcBorders>
              <w:top w:val="single" w:color="000000" w:sz="4" w:space="0"/>
              <w:left w:val="single" w:color="000000" w:sz="4" w:space="0"/>
              <w:bottom w:val="single" w:color="000000" w:sz="4" w:space="0"/>
              <w:right w:val="single" w:color="000000" w:sz="4" w:space="0"/>
            </w:tcBorders>
            <w:vAlign w:val="center"/>
          </w:tcPr>
          <w:p w14:paraId="606B10FE">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二</w:t>
            </w:r>
          </w:p>
        </w:tc>
        <w:tc>
          <w:tcPr>
            <w:tcW w:w="1508" w:type="pct"/>
            <w:tcBorders>
              <w:top w:val="single" w:color="000000" w:sz="4" w:space="0"/>
              <w:left w:val="single" w:color="000000" w:sz="4" w:space="0"/>
              <w:bottom w:val="single" w:color="000000" w:sz="4" w:space="0"/>
              <w:right w:val="single" w:color="000000" w:sz="4" w:space="0"/>
            </w:tcBorders>
            <w:vAlign w:val="center"/>
          </w:tcPr>
          <w:p w14:paraId="5DF23719">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其他费用</w:t>
            </w:r>
          </w:p>
        </w:tc>
        <w:tc>
          <w:tcPr>
            <w:tcW w:w="408" w:type="pct"/>
            <w:tcBorders>
              <w:top w:val="single" w:color="000000" w:sz="4" w:space="0"/>
              <w:left w:val="single" w:color="000000" w:sz="4" w:space="0"/>
              <w:bottom w:val="single" w:color="000000" w:sz="4" w:space="0"/>
              <w:right w:val="single" w:color="000000" w:sz="4" w:space="0"/>
            </w:tcBorders>
            <w:vAlign w:val="center"/>
          </w:tcPr>
          <w:p w14:paraId="3AF18348">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w:t>
            </w:r>
          </w:p>
        </w:tc>
        <w:tc>
          <w:tcPr>
            <w:tcW w:w="645" w:type="pct"/>
            <w:tcBorders>
              <w:top w:val="single" w:color="000000" w:sz="4" w:space="0"/>
              <w:left w:val="single" w:color="000000" w:sz="4" w:space="0"/>
              <w:bottom w:val="single" w:color="000000" w:sz="4" w:space="0"/>
              <w:right w:val="single" w:color="000000" w:sz="4" w:space="0"/>
            </w:tcBorders>
            <w:vAlign w:val="center"/>
          </w:tcPr>
          <w:p w14:paraId="0071C069">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86</w:t>
            </w:r>
          </w:p>
        </w:tc>
        <w:tc>
          <w:tcPr>
            <w:tcW w:w="643" w:type="pct"/>
            <w:tcBorders>
              <w:top w:val="single" w:color="000000" w:sz="4" w:space="0"/>
              <w:left w:val="single" w:color="000000" w:sz="4" w:space="0"/>
              <w:bottom w:val="single" w:color="000000" w:sz="4" w:space="0"/>
              <w:right w:val="single" w:color="000000" w:sz="4" w:space="0"/>
            </w:tcBorders>
            <w:vAlign w:val="center"/>
          </w:tcPr>
          <w:p w14:paraId="7E02AA52">
            <w:pPr>
              <w:widowControl/>
              <w:jc w:val="center"/>
              <w:textAlignment w:val="center"/>
              <w:rPr>
                <w:rFonts w:hint="eastAsia" w:ascii="宋体" w:hAnsi="宋体" w:cs="宋体"/>
                <w:color w:val="000000"/>
                <w:kern w:val="0"/>
                <w:sz w:val="24"/>
                <w:highlight w:val="none"/>
                <w:lang w:bidi="ar"/>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6F7A8993">
            <w:pPr>
              <w:widowControl/>
              <w:jc w:val="center"/>
              <w:textAlignment w:val="center"/>
              <w:rPr>
                <w:rFonts w:hint="eastAsia" w:ascii="宋体" w:hAnsi="宋体" w:cs="宋体"/>
                <w:color w:val="000000"/>
                <w:kern w:val="0"/>
                <w:sz w:val="24"/>
                <w:highlight w:val="none"/>
                <w:lang w:bidi="ar"/>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7FF7785E">
            <w:pPr>
              <w:widowControl/>
              <w:jc w:val="center"/>
              <w:textAlignment w:val="center"/>
              <w:rPr>
                <w:rFonts w:hint="eastAsia" w:ascii="宋体" w:hAnsi="宋体" w:cs="宋体"/>
                <w:color w:val="000000"/>
                <w:kern w:val="0"/>
                <w:sz w:val="24"/>
                <w:highlight w:val="none"/>
                <w:lang w:bidi="ar"/>
              </w:rPr>
            </w:pPr>
          </w:p>
        </w:tc>
      </w:tr>
      <w:tr w14:paraId="7EFAE774">
        <w:tblPrEx>
          <w:tblCellMar>
            <w:top w:w="0" w:type="dxa"/>
            <w:left w:w="108" w:type="dxa"/>
            <w:bottom w:w="0" w:type="dxa"/>
            <w:right w:w="108" w:type="dxa"/>
          </w:tblCellMar>
        </w:tblPrEx>
        <w:trPr>
          <w:trHeight w:val="312" w:hRule="atLeast"/>
        </w:trPr>
        <w:tc>
          <w:tcPr>
            <w:tcW w:w="469" w:type="pct"/>
            <w:tcBorders>
              <w:top w:val="single" w:color="000000" w:sz="4" w:space="0"/>
              <w:left w:val="single" w:color="000000" w:sz="4" w:space="0"/>
              <w:bottom w:val="single" w:color="000000" w:sz="4" w:space="0"/>
              <w:right w:val="single" w:color="000000" w:sz="4" w:space="0"/>
            </w:tcBorders>
            <w:vAlign w:val="center"/>
          </w:tcPr>
          <w:p w14:paraId="6C5A6B8A">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2</w:t>
            </w:r>
          </w:p>
        </w:tc>
        <w:tc>
          <w:tcPr>
            <w:tcW w:w="1508" w:type="pct"/>
            <w:tcBorders>
              <w:top w:val="single" w:color="000000" w:sz="4" w:space="0"/>
              <w:left w:val="single" w:color="000000" w:sz="4" w:space="0"/>
              <w:bottom w:val="single" w:color="000000" w:sz="4" w:space="0"/>
              <w:right w:val="single" w:color="000000" w:sz="4" w:space="0"/>
            </w:tcBorders>
            <w:vAlign w:val="center"/>
          </w:tcPr>
          <w:p w14:paraId="7FDFFA29">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项目运营、系统集成与培训</w:t>
            </w:r>
          </w:p>
        </w:tc>
        <w:tc>
          <w:tcPr>
            <w:tcW w:w="408" w:type="pct"/>
            <w:tcBorders>
              <w:top w:val="single" w:color="000000" w:sz="4" w:space="0"/>
              <w:left w:val="single" w:color="000000" w:sz="4" w:space="0"/>
              <w:bottom w:val="single" w:color="000000" w:sz="4" w:space="0"/>
              <w:right w:val="single" w:color="000000" w:sz="4" w:space="0"/>
            </w:tcBorders>
            <w:vAlign w:val="center"/>
          </w:tcPr>
          <w:p w14:paraId="32B1BE59">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w:t>
            </w:r>
          </w:p>
        </w:tc>
        <w:tc>
          <w:tcPr>
            <w:tcW w:w="645" w:type="pct"/>
            <w:tcBorders>
              <w:top w:val="single" w:color="000000" w:sz="4" w:space="0"/>
              <w:left w:val="single" w:color="000000" w:sz="4" w:space="0"/>
              <w:bottom w:val="single" w:color="000000" w:sz="4" w:space="0"/>
              <w:right w:val="single" w:color="000000" w:sz="4" w:space="0"/>
            </w:tcBorders>
            <w:vAlign w:val="center"/>
          </w:tcPr>
          <w:p w14:paraId="63694B49">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86</w:t>
            </w:r>
          </w:p>
        </w:tc>
        <w:tc>
          <w:tcPr>
            <w:tcW w:w="643" w:type="pct"/>
            <w:tcBorders>
              <w:top w:val="single" w:color="000000" w:sz="4" w:space="0"/>
              <w:left w:val="single" w:color="000000" w:sz="4" w:space="0"/>
              <w:bottom w:val="single" w:color="000000" w:sz="4" w:space="0"/>
              <w:right w:val="single" w:color="000000" w:sz="4" w:space="0"/>
            </w:tcBorders>
            <w:vAlign w:val="center"/>
          </w:tcPr>
          <w:p w14:paraId="3600AC87">
            <w:pPr>
              <w:widowControl/>
              <w:jc w:val="center"/>
              <w:textAlignment w:val="center"/>
              <w:rPr>
                <w:rFonts w:hint="eastAsia" w:ascii="宋体" w:hAnsi="宋体" w:cs="宋体"/>
                <w:color w:val="000000"/>
                <w:kern w:val="0"/>
                <w:sz w:val="24"/>
                <w:highlight w:val="none"/>
                <w:lang w:bidi="ar"/>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539A5A63">
            <w:pPr>
              <w:widowControl/>
              <w:jc w:val="center"/>
              <w:textAlignment w:val="center"/>
              <w:rPr>
                <w:rFonts w:hint="eastAsia" w:ascii="宋体" w:hAnsi="宋体" w:cs="宋体"/>
                <w:color w:val="000000"/>
                <w:kern w:val="0"/>
                <w:sz w:val="24"/>
                <w:highlight w:val="none"/>
                <w:lang w:bidi="ar"/>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47AD846A">
            <w:pPr>
              <w:widowControl/>
              <w:jc w:val="center"/>
              <w:textAlignment w:val="center"/>
              <w:rPr>
                <w:rFonts w:hint="eastAsia" w:ascii="宋体" w:hAnsi="宋体" w:cs="宋体"/>
                <w:color w:val="000000"/>
                <w:kern w:val="0"/>
                <w:sz w:val="24"/>
                <w:highlight w:val="none"/>
                <w:lang w:bidi="ar"/>
              </w:rPr>
            </w:pPr>
          </w:p>
        </w:tc>
      </w:tr>
      <w:tr w14:paraId="0CB7195E">
        <w:tblPrEx>
          <w:tblCellMar>
            <w:top w:w="0" w:type="dxa"/>
            <w:left w:w="108" w:type="dxa"/>
            <w:bottom w:w="0" w:type="dxa"/>
            <w:right w:w="108" w:type="dxa"/>
          </w:tblCellMar>
        </w:tblPrEx>
        <w:trPr>
          <w:trHeight w:val="312" w:hRule="atLeast"/>
        </w:trPr>
        <w:tc>
          <w:tcPr>
            <w:tcW w:w="469" w:type="pct"/>
            <w:tcBorders>
              <w:top w:val="single" w:color="000000" w:sz="4" w:space="0"/>
              <w:left w:val="single" w:color="000000" w:sz="4" w:space="0"/>
              <w:bottom w:val="single" w:color="000000" w:sz="4" w:space="0"/>
              <w:right w:val="single" w:color="000000" w:sz="4" w:space="0"/>
            </w:tcBorders>
            <w:vAlign w:val="center"/>
          </w:tcPr>
          <w:p w14:paraId="5C19B148">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2.1</w:t>
            </w:r>
          </w:p>
        </w:tc>
        <w:tc>
          <w:tcPr>
            <w:tcW w:w="1508" w:type="pct"/>
            <w:tcBorders>
              <w:top w:val="single" w:color="000000" w:sz="4" w:space="0"/>
              <w:left w:val="single" w:color="000000" w:sz="4" w:space="0"/>
              <w:bottom w:val="single" w:color="000000" w:sz="4" w:space="0"/>
              <w:right w:val="single" w:color="000000" w:sz="4" w:space="0"/>
            </w:tcBorders>
            <w:vAlign w:val="center"/>
          </w:tcPr>
          <w:p w14:paraId="0E2F559A">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项目运营</w:t>
            </w:r>
          </w:p>
        </w:tc>
        <w:tc>
          <w:tcPr>
            <w:tcW w:w="408" w:type="pct"/>
            <w:tcBorders>
              <w:top w:val="single" w:color="000000" w:sz="4" w:space="0"/>
              <w:left w:val="single" w:color="000000" w:sz="4" w:space="0"/>
              <w:bottom w:val="single" w:color="000000" w:sz="4" w:space="0"/>
              <w:right w:val="single" w:color="000000" w:sz="4" w:space="0"/>
            </w:tcBorders>
            <w:vAlign w:val="center"/>
          </w:tcPr>
          <w:p w14:paraId="7602E676">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1项</w:t>
            </w:r>
          </w:p>
        </w:tc>
        <w:tc>
          <w:tcPr>
            <w:tcW w:w="645" w:type="pct"/>
            <w:tcBorders>
              <w:top w:val="single" w:color="000000" w:sz="4" w:space="0"/>
              <w:left w:val="single" w:color="000000" w:sz="4" w:space="0"/>
              <w:bottom w:val="single" w:color="000000" w:sz="4" w:space="0"/>
              <w:right w:val="single" w:color="000000" w:sz="4" w:space="0"/>
            </w:tcBorders>
            <w:vAlign w:val="center"/>
          </w:tcPr>
          <w:p w14:paraId="2A1E71F8">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w:t>
            </w:r>
          </w:p>
        </w:tc>
        <w:tc>
          <w:tcPr>
            <w:tcW w:w="643" w:type="pct"/>
            <w:tcBorders>
              <w:top w:val="single" w:color="000000" w:sz="4" w:space="0"/>
              <w:left w:val="single" w:color="000000" w:sz="4" w:space="0"/>
              <w:bottom w:val="single" w:color="000000" w:sz="4" w:space="0"/>
              <w:right w:val="single" w:color="000000" w:sz="4" w:space="0"/>
            </w:tcBorders>
            <w:vAlign w:val="center"/>
          </w:tcPr>
          <w:p w14:paraId="165C555E">
            <w:pPr>
              <w:widowControl/>
              <w:jc w:val="center"/>
              <w:textAlignment w:val="center"/>
              <w:rPr>
                <w:rFonts w:hint="eastAsia" w:ascii="宋体" w:hAnsi="宋体" w:cs="宋体"/>
                <w:color w:val="000000"/>
                <w:kern w:val="0"/>
                <w:sz w:val="24"/>
                <w:highlight w:val="none"/>
                <w:lang w:bidi="ar"/>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12E04441">
            <w:pPr>
              <w:widowControl/>
              <w:jc w:val="center"/>
              <w:textAlignment w:val="center"/>
              <w:rPr>
                <w:rFonts w:hint="eastAsia" w:ascii="宋体" w:hAnsi="宋体" w:cs="宋体"/>
                <w:color w:val="000000"/>
                <w:kern w:val="0"/>
                <w:sz w:val="24"/>
                <w:highlight w:val="none"/>
                <w:lang w:bidi="ar"/>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780E659C">
            <w:pPr>
              <w:widowControl/>
              <w:jc w:val="center"/>
              <w:textAlignment w:val="center"/>
              <w:rPr>
                <w:rFonts w:hint="eastAsia" w:ascii="宋体" w:hAnsi="宋体" w:cs="宋体"/>
                <w:color w:val="000000"/>
                <w:kern w:val="0"/>
                <w:sz w:val="24"/>
                <w:highlight w:val="none"/>
                <w:lang w:bidi="ar"/>
              </w:rPr>
            </w:pPr>
          </w:p>
        </w:tc>
      </w:tr>
      <w:tr w14:paraId="5A0D54A4">
        <w:tblPrEx>
          <w:tblCellMar>
            <w:top w:w="0" w:type="dxa"/>
            <w:left w:w="108" w:type="dxa"/>
            <w:bottom w:w="0" w:type="dxa"/>
            <w:right w:w="108" w:type="dxa"/>
          </w:tblCellMar>
        </w:tblPrEx>
        <w:trPr>
          <w:trHeight w:val="312" w:hRule="atLeast"/>
        </w:trPr>
        <w:tc>
          <w:tcPr>
            <w:tcW w:w="469" w:type="pct"/>
            <w:tcBorders>
              <w:top w:val="single" w:color="000000" w:sz="4" w:space="0"/>
              <w:left w:val="single" w:color="000000" w:sz="4" w:space="0"/>
              <w:bottom w:val="single" w:color="000000" w:sz="4" w:space="0"/>
              <w:right w:val="single" w:color="000000" w:sz="4" w:space="0"/>
            </w:tcBorders>
            <w:vAlign w:val="center"/>
          </w:tcPr>
          <w:p w14:paraId="62A3CB5C">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2.2</w:t>
            </w:r>
          </w:p>
        </w:tc>
        <w:tc>
          <w:tcPr>
            <w:tcW w:w="1508" w:type="pct"/>
            <w:tcBorders>
              <w:top w:val="single" w:color="000000" w:sz="4" w:space="0"/>
              <w:left w:val="single" w:color="000000" w:sz="4" w:space="0"/>
              <w:bottom w:val="single" w:color="000000" w:sz="4" w:space="0"/>
              <w:right w:val="single" w:color="000000" w:sz="4" w:space="0"/>
            </w:tcBorders>
            <w:vAlign w:val="center"/>
          </w:tcPr>
          <w:p w14:paraId="2D8389B1">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系统集成费</w:t>
            </w:r>
          </w:p>
        </w:tc>
        <w:tc>
          <w:tcPr>
            <w:tcW w:w="408" w:type="pct"/>
            <w:tcBorders>
              <w:top w:val="single" w:color="000000" w:sz="4" w:space="0"/>
              <w:left w:val="single" w:color="000000" w:sz="4" w:space="0"/>
              <w:bottom w:val="single" w:color="000000" w:sz="4" w:space="0"/>
              <w:right w:val="single" w:color="000000" w:sz="4" w:space="0"/>
            </w:tcBorders>
            <w:vAlign w:val="center"/>
          </w:tcPr>
          <w:p w14:paraId="748371A7">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1项</w:t>
            </w:r>
          </w:p>
        </w:tc>
        <w:tc>
          <w:tcPr>
            <w:tcW w:w="645" w:type="pct"/>
            <w:tcBorders>
              <w:top w:val="single" w:color="000000" w:sz="4" w:space="0"/>
              <w:left w:val="single" w:color="000000" w:sz="4" w:space="0"/>
              <w:bottom w:val="single" w:color="000000" w:sz="4" w:space="0"/>
              <w:right w:val="single" w:color="000000" w:sz="4" w:space="0"/>
            </w:tcBorders>
            <w:vAlign w:val="center"/>
          </w:tcPr>
          <w:p w14:paraId="315CE60D">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80</w:t>
            </w:r>
          </w:p>
        </w:tc>
        <w:tc>
          <w:tcPr>
            <w:tcW w:w="643" w:type="pct"/>
            <w:tcBorders>
              <w:top w:val="single" w:color="000000" w:sz="4" w:space="0"/>
              <w:left w:val="single" w:color="000000" w:sz="4" w:space="0"/>
              <w:bottom w:val="single" w:color="000000" w:sz="4" w:space="0"/>
              <w:right w:val="single" w:color="000000" w:sz="4" w:space="0"/>
            </w:tcBorders>
            <w:vAlign w:val="center"/>
          </w:tcPr>
          <w:p w14:paraId="7FD396CA">
            <w:pPr>
              <w:widowControl/>
              <w:jc w:val="center"/>
              <w:textAlignment w:val="center"/>
              <w:rPr>
                <w:rFonts w:hint="eastAsia" w:ascii="宋体" w:hAnsi="宋体" w:cs="宋体"/>
                <w:color w:val="000000"/>
                <w:kern w:val="0"/>
                <w:sz w:val="24"/>
                <w:highlight w:val="none"/>
                <w:lang w:bidi="ar"/>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310EC8F8">
            <w:pPr>
              <w:widowControl/>
              <w:jc w:val="center"/>
              <w:textAlignment w:val="center"/>
              <w:rPr>
                <w:rFonts w:hint="eastAsia" w:ascii="宋体" w:hAnsi="宋体" w:cs="宋体"/>
                <w:color w:val="000000"/>
                <w:kern w:val="0"/>
                <w:sz w:val="24"/>
                <w:highlight w:val="none"/>
                <w:lang w:bidi="ar"/>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1A199D1A">
            <w:pPr>
              <w:widowControl/>
              <w:jc w:val="center"/>
              <w:textAlignment w:val="center"/>
              <w:rPr>
                <w:rFonts w:hint="eastAsia" w:ascii="宋体" w:hAnsi="宋体" w:cs="宋体"/>
                <w:color w:val="000000"/>
                <w:kern w:val="0"/>
                <w:sz w:val="24"/>
                <w:highlight w:val="none"/>
                <w:lang w:bidi="ar"/>
              </w:rPr>
            </w:pPr>
          </w:p>
        </w:tc>
      </w:tr>
      <w:tr w14:paraId="1342CABA">
        <w:tblPrEx>
          <w:tblCellMar>
            <w:top w:w="0" w:type="dxa"/>
            <w:left w:w="108" w:type="dxa"/>
            <w:bottom w:w="0" w:type="dxa"/>
            <w:right w:w="108" w:type="dxa"/>
          </w:tblCellMar>
        </w:tblPrEx>
        <w:trPr>
          <w:trHeight w:val="312" w:hRule="atLeast"/>
        </w:trPr>
        <w:tc>
          <w:tcPr>
            <w:tcW w:w="469" w:type="pct"/>
            <w:tcBorders>
              <w:top w:val="single" w:color="000000" w:sz="4" w:space="0"/>
              <w:left w:val="single" w:color="000000" w:sz="4" w:space="0"/>
              <w:bottom w:val="single" w:color="000000" w:sz="4" w:space="0"/>
              <w:right w:val="single" w:color="000000" w:sz="4" w:space="0"/>
            </w:tcBorders>
            <w:vAlign w:val="center"/>
          </w:tcPr>
          <w:p w14:paraId="5893A055">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2.3</w:t>
            </w:r>
          </w:p>
        </w:tc>
        <w:tc>
          <w:tcPr>
            <w:tcW w:w="1508" w:type="pct"/>
            <w:tcBorders>
              <w:top w:val="single" w:color="000000" w:sz="4" w:space="0"/>
              <w:left w:val="single" w:color="000000" w:sz="4" w:space="0"/>
              <w:bottom w:val="single" w:color="000000" w:sz="4" w:space="0"/>
              <w:right w:val="single" w:color="000000" w:sz="4" w:space="0"/>
            </w:tcBorders>
            <w:vAlign w:val="center"/>
          </w:tcPr>
          <w:p w14:paraId="411F4C00">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培训费</w:t>
            </w:r>
          </w:p>
        </w:tc>
        <w:tc>
          <w:tcPr>
            <w:tcW w:w="408" w:type="pct"/>
            <w:tcBorders>
              <w:top w:val="single" w:color="000000" w:sz="4" w:space="0"/>
              <w:left w:val="single" w:color="000000" w:sz="4" w:space="0"/>
              <w:bottom w:val="single" w:color="000000" w:sz="4" w:space="0"/>
              <w:right w:val="single" w:color="000000" w:sz="4" w:space="0"/>
            </w:tcBorders>
            <w:vAlign w:val="center"/>
          </w:tcPr>
          <w:p w14:paraId="50B2FF72">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1项</w:t>
            </w:r>
          </w:p>
        </w:tc>
        <w:tc>
          <w:tcPr>
            <w:tcW w:w="645" w:type="pct"/>
            <w:tcBorders>
              <w:top w:val="single" w:color="000000" w:sz="4" w:space="0"/>
              <w:left w:val="single" w:color="000000" w:sz="4" w:space="0"/>
              <w:bottom w:val="single" w:color="000000" w:sz="4" w:space="0"/>
              <w:right w:val="single" w:color="000000" w:sz="4" w:space="0"/>
            </w:tcBorders>
            <w:vAlign w:val="center"/>
          </w:tcPr>
          <w:p w14:paraId="4D1E7203">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6</w:t>
            </w:r>
          </w:p>
        </w:tc>
        <w:tc>
          <w:tcPr>
            <w:tcW w:w="643" w:type="pct"/>
            <w:tcBorders>
              <w:top w:val="single" w:color="000000" w:sz="4" w:space="0"/>
              <w:left w:val="single" w:color="000000" w:sz="4" w:space="0"/>
              <w:bottom w:val="single" w:color="000000" w:sz="4" w:space="0"/>
              <w:right w:val="single" w:color="000000" w:sz="4" w:space="0"/>
            </w:tcBorders>
            <w:vAlign w:val="center"/>
          </w:tcPr>
          <w:p w14:paraId="50282855">
            <w:pPr>
              <w:widowControl/>
              <w:jc w:val="center"/>
              <w:textAlignment w:val="center"/>
              <w:rPr>
                <w:rFonts w:hint="eastAsia" w:ascii="宋体" w:hAnsi="宋体" w:cs="宋体"/>
                <w:color w:val="000000"/>
                <w:kern w:val="0"/>
                <w:sz w:val="24"/>
                <w:highlight w:val="none"/>
                <w:lang w:bidi="ar"/>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26892ED7">
            <w:pPr>
              <w:widowControl/>
              <w:jc w:val="center"/>
              <w:textAlignment w:val="center"/>
              <w:rPr>
                <w:rFonts w:hint="eastAsia" w:ascii="宋体" w:hAnsi="宋体" w:cs="宋体"/>
                <w:color w:val="000000"/>
                <w:kern w:val="0"/>
                <w:sz w:val="24"/>
                <w:highlight w:val="none"/>
                <w:lang w:bidi="ar"/>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6BD63B12">
            <w:pPr>
              <w:widowControl/>
              <w:jc w:val="center"/>
              <w:textAlignment w:val="center"/>
              <w:rPr>
                <w:rFonts w:hint="eastAsia" w:ascii="宋体" w:hAnsi="宋体" w:cs="宋体"/>
                <w:color w:val="000000"/>
                <w:kern w:val="0"/>
                <w:sz w:val="24"/>
                <w:highlight w:val="none"/>
                <w:lang w:bidi="ar"/>
              </w:rPr>
            </w:pPr>
          </w:p>
        </w:tc>
      </w:tr>
      <w:tr w14:paraId="57F3C176">
        <w:tblPrEx>
          <w:tblCellMar>
            <w:top w:w="0" w:type="dxa"/>
            <w:left w:w="108" w:type="dxa"/>
            <w:bottom w:w="0" w:type="dxa"/>
            <w:right w:w="108" w:type="dxa"/>
          </w:tblCellMar>
        </w:tblPrEx>
        <w:trPr>
          <w:trHeight w:val="799" w:hRule="atLeast"/>
        </w:trPr>
        <w:tc>
          <w:tcPr>
            <w:tcW w:w="3032" w:type="pct"/>
            <w:gridSpan w:val="4"/>
            <w:tcBorders>
              <w:top w:val="single" w:color="000000" w:sz="4" w:space="0"/>
              <w:left w:val="single" w:color="000000" w:sz="4" w:space="0"/>
              <w:bottom w:val="single" w:color="000000" w:sz="4" w:space="0"/>
              <w:right w:val="single" w:color="000000" w:sz="4" w:space="0"/>
            </w:tcBorders>
            <w:noWrap/>
            <w:vAlign w:val="center"/>
          </w:tcPr>
          <w:p w14:paraId="459E68D4">
            <w:pPr>
              <w:widowControl/>
              <w:jc w:val="center"/>
              <w:textAlignment w:val="center"/>
              <w:rPr>
                <w:rFonts w:hint="eastAsia" w:ascii="宋体" w:hAnsi="宋体" w:cs="宋体"/>
                <w:color w:val="000000"/>
                <w:sz w:val="24"/>
                <w:highlight w:val="none"/>
              </w:rPr>
            </w:pPr>
            <w:r>
              <w:rPr>
                <w:rFonts w:hint="eastAsia" w:ascii="宋体" w:hAnsi="宋体" w:cs="宋体"/>
                <w:b/>
                <w:bCs/>
                <w:sz w:val="24"/>
                <w:highlight w:val="none"/>
              </w:rPr>
              <w:t>中标企业自筹部分合计总报价（万元）</w:t>
            </w:r>
          </w:p>
        </w:tc>
        <w:tc>
          <w:tcPr>
            <w:tcW w:w="1931" w:type="pct"/>
            <w:gridSpan w:val="3"/>
            <w:tcBorders>
              <w:top w:val="single" w:color="000000" w:sz="4" w:space="0"/>
              <w:left w:val="single" w:color="000000" w:sz="4" w:space="0"/>
              <w:bottom w:val="single" w:color="000000" w:sz="4" w:space="0"/>
              <w:right w:val="single" w:color="000000" w:sz="4" w:space="0"/>
            </w:tcBorders>
            <w:noWrap/>
            <w:vAlign w:val="center"/>
          </w:tcPr>
          <w:p w14:paraId="47F5F216">
            <w:pPr>
              <w:widowControl/>
              <w:jc w:val="left"/>
              <w:textAlignment w:val="center"/>
              <w:rPr>
                <w:rFonts w:hint="eastAsia" w:ascii="宋体" w:hAnsi="宋体" w:cs="宋体"/>
                <w:sz w:val="24"/>
                <w:highlight w:val="none"/>
              </w:rPr>
            </w:pPr>
            <w:r>
              <w:rPr>
                <w:rFonts w:hint="eastAsia" w:ascii="宋体" w:hAnsi="宋体" w:cs="宋体"/>
                <w:sz w:val="24"/>
                <w:highlight w:val="none"/>
              </w:rPr>
              <w:t>小写：</w:t>
            </w:r>
          </w:p>
          <w:p w14:paraId="1F7781B2">
            <w:pPr>
              <w:widowControl/>
              <w:textAlignment w:val="center"/>
              <w:rPr>
                <w:rFonts w:hint="eastAsia" w:ascii="宋体" w:hAnsi="宋体" w:cs="宋体"/>
                <w:color w:val="000000"/>
                <w:kern w:val="0"/>
                <w:sz w:val="24"/>
                <w:highlight w:val="none"/>
                <w:lang w:bidi="ar"/>
              </w:rPr>
            </w:pPr>
            <w:r>
              <w:rPr>
                <w:rFonts w:hint="eastAsia" w:ascii="宋体" w:hAnsi="宋体" w:cs="宋体"/>
                <w:sz w:val="24"/>
                <w:highlight w:val="none"/>
              </w:rPr>
              <w:t>大写：</w:t>
            </w:r>
          </w:p>
        </w:tc>
      </w:tr>
    </w:tbl>
    <w:p w14:paraId="2F2AC99E">
      <w:pPr>
        <w:pStyle w:val="11"/>
        <w:numPr>
          <w:ilvl w:val="1"/>
          <w:numId w:val="0"/>
        </w:numPr>
        <w:spacing w:beforeAutospacing="0" w:afterAutospacing="0"/>
        <w:rPr>
          <w:rFonts w:ascii="宋体" w:hAnsi="宋体" w:eastAsia="宋体"/>
          <w:szCs w:val="24"/>
          <w:highlight w:val="none"/>
        </w:rPr>
      </w:pPr>
    </w:p>
    <w:p w14:paraId="4E8B5BCD">
      <w:pPr>
        <w:pStyle w:val="10"/>
        <w:widowControl/>
        <w:spacing w:before="0" w:beforeAutospacing="0" w:after="0" w:afterAutospacing="0"/>
        <w:rPr>
          <w:rFonts w:hint="eastAsia" w:ascii="宋体" w:hAnsi="宋体" w:cs="宋体"/>
          <w:highlight w:val="none"/>
        </w:rPr>
      </w:pPr>
      <w:r>
        <w:rPr>
          <w:rFonts w:hint="eastAsia" w:ascii="宋体" w:hAnsi="宋体" w:cs="宋体"/>
          <w:highlight w:val="none"/>
        </w:rPr>
        <w:t>注意：纸质投标文件正本中的本表应为原件。</w:t>
      </w:r>
    </w:p>
    <w:p w14:paraId="2598A15A">
      <w:pPr>
        <w:pStyle w:val="10"/>
        <w:rPr>
          <w:rFonts w:hint="eastAsia" w:ascii="宋体" w:hAnsi="宋体" w:cs="宋体"/>
          <w:highlight w:val="none"/>
        </w:rPr>
      </w:pPr>
    </w:p>
    <w:p w14:paraId="5813EEB4">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432F70E0">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06672190">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59D692D3">
      <w:pPr>
        <w:pStyle w:val="10"/>
        <w:jc w:val="center"/>
        <w:rPr>
          <w:rFonts w:hint="eastAsia" w:ascii="宋体" w:hAnsi="宋体" w:cs="宋体"/>
          <w:sz w:val="17"/>
          <w:szCs w:val="17"/>
          <w:highlight w:val="none"/>
        </w:rPr>
      </w:pPr>
    </w:p>
    <w:p w14:paraId="3A2B1C40">
      <w:pPr>
        <w:pStyle w:val="10"/>
        <w:jc w:val="center"/>
        <w:outlineLvl w:val="1"/>
        <w:rPr>
          <w:rFonts w:hint="eastAsia" w:ascii="宋体" w:hAnsi="宋体" w:cs="宋体"/>
          <w:highlight w:val="none"/>
        </w:rPr>
      </w:pPr>
      <w:r>
        <w:rPr>
          <w:rFonts w:hint="eastAsia" w:ascii="宋体" w:hAnsi="宋体" w:cs="宋体"/>
          <w:sz w:val="17"/>
          <w:szCs w:val="17"/>
          <w:highlight w:val="none"/>
        </w:rPr>
        <w:br w:type="page"/>
      </w:r>
      <w:bookmarkStart w:id="212" w:name="_Toc4929"/>
      <w:r>
        <w:rPr>
          <w:rStyle w:val="34"/>
          <w:rFonts w:hint="eastAsia" w:ascii="宋体" w:hAnsi="宋体" w:cs="宋体"/>
          <w:highlight w:val="none"/>
        </w:rPr>
        <w:t>三、招标文件规定的价格扣除证明材料（若有）</w:t>
      </w:r>
      <w:bookmarkEnd w:id="212"/>
    </w:p>
    <w:p w14:paraId="5FEDAB54">
      <w:pPr>
        <w:pStyle w:val="10"/>
        <w:jc w:val="center"/>
        <w:outlineLvl w:val="1"/>
        <w:rPr>
          <w:rFonts w:hint="eastAsia" w:ascii="宋体" w:hAnsi="宋体" w:cs="宋体"/>
          <w:highlight w:val="none"/>
        </w:rPr>
      </w:pPr>
      <w:bookmarkStart w:id="213" w:name="_Toc10636"/>
      <w:r>
        <w:rPr>
          <w:rStyle w:val="34"/>
          <w:rFonts w:hint="eastAsia" w:ascii="宋体" w:hAnsi="宋体" w:cs="宋体"/>
          <w:highlight w:val="none"/>
        </w:rPr>
        <w:t>三-1优先类节能产品、环境标志产品价格扣除证明材料（若有）</w:t>
      </w:r>
      <w:bookmarkEnd w:id="213"/>
    </w:p>
    <w:p w14:paraId="69088092">
      <w:pPr>
        <w:pStyle w:val="10"/>
        <w:jc w:val="center"/>
        <w:outlineLvl w:val="1"/>
        <w:rPr>
          <w:rFonts w:hint="eastAsia" w:ascii="宋体" w:hAnsi="宋体" w:cs="宋体"/>
          <w:highlight w:val="none"/>
        </w:rPr>
      </w:pPr>
      <w:bookmarkStart w:id="214" w:name="_Toc7680"/>
      <w:r>
        <w:rPr>
          <w:rStyle w:val="34"/>
          <w:rFonts w:hint="eastAsia" w:ascii="宋体" w:hAnsi="宋体" w:cs="宋体"/>
          <w:highlight w:val="none"/>
        </w:rPr>
        <w:t>三-1-①优先类节能产品、环境标志产品统计表（价格扣除适用，若有）</w:t>
      </w:r>
      <w:bookmarkEnd w:id="214"/>
    </w:p>
    <w:p w14:paraId="53C59871">
      <w:pPr>
        <w:pStyle w:val="10"/>
        <w:rPr>
          <w:rFonts w:hint="eastAsia" w:ascii="宋体" w:hAnsi="宋体" w:cs="宋体"/>
          <w:highlight w:val="none"/>
        </w:rPr>
      </w:pPr>
      <w:r>
        <w:rPr>
          <w:rFonts w:hint="eastAsia" w:ascii="宋体" w:hAnsi="宋体" w:cs="宋体"/>
          <w:highlight w:val="none"/>
        </w:rPr>
        <w:t>项目编号：</w:t>
      </w:r>
      <w:r>
        <w:rPr>
          <w:rFonts w:hint="eastAsia" w:ascii="宋体" w:hAnsi="宋体" w:cs="宋体"/>
          <w:highlight w:val="none"/>
          <w:u w:val="single"/>
        </w:rPr>
        <w:t>           </w:t>
      </w:r>
      <w:r>
        <w:rPr>
          <w:rFonts w:hint="eastAsia" w:ascii="宋体" w:hAnsi="宋体" w:cs="宋体"/>
          <w:highlight w:val="none"/>
        </w:rPr>
        <w:t>                           货币及单位：人民币元</w:t>
      </w:r>
    </w:p>
    <w:tbl>
      <w:tblPr>
        <w:tblStyle w:val="31"/>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74"/>
        <w:gridCol w:w="1669"/>
        <w:gridCol w:w="1620"/>
        <w:gridCol w:w="1800"/>
        <w:gridCol w:w="967"/>
        <w:gridCol w:w="1733"/>
        <w:gridCol w:w="982"/>
      </w:tblGrid>
      <w:tr w14:paraId="3416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29" w:type="dxa"/>
            <w:tcMar>
              <w:top w:w="0" w:type="dxa"/>
              <w:left w:w="83" w:type="dxa"/>
              <w:bottom w:w="0" w:type="dxa"/>
              <w:right w:w="83" w:type="dxa"/>
            </w:tcMar>
            <w:vAlign w:val="center"/>
          </w:tcPr>
          <w:p w14:paraId="62D534DC">
            <w:pPr>
              <w:pStyle w:val="10"/>
              <w:rPr>
                <w:rFonts w:hint="eastAsia" w:ascii="宋体" w:hAnsi="宋体" w:cs="宋体"/>
                <w:highlight w:val="none"/>
              </w:rPr>
            </w:pPr>
          </w:p>
        </w:tc>
        <w:tc>
          <w:tcPr>
            <w:tcW w:w="8726" w:type="dxa"/>
            <w:gridSpan w:val="6"/>
            <w:tcMar>
              <w:top w:w="0" w:type="dxa"/>
              <w:left w:w="83" w:type="dxa"/>
              <w:bottom w:w="0" w:type="dxa"/>
              <w:right w:w="83" w:type="dxa"/>
            </w:tcMar>
            <w:vAlign w:val="center"/>
          </w:tcPr>
          <w:p w14:paraId="53B4CF9F">
            <w:pPr>
              <w:pStyle w:val="10"/>
              <w:rPr>
                <w:rFonts w:hint="eastAsia" w:ascii="宋体" w:hAnsi="宋体" w:cs="宋体"/>
                <w:highlight w:val="none"/>
              </w:rPr>
            </w:pPr>
            <w:r>
              <w:rPr>
                <w:rFonts w:hint="eastAsia" w:ascii="宋体" w:hAnsi="宋体" w:cs="宋体"/>
                <w:highlight w:val="none"/>
              </w:rPr>
              <w:t>本采购包内属于节能、环境标志产品的情况</w:t>
            </w:r>
          </w:p>
        </w:tc>
      </w:tr>
      <w:tr w14:paraId="30A2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29" w:type="dxa"/>
            <w:tcMar>
              <w:top w:w="0" w:type="dxa"/>
              <w:left w:w="83" w:type="dxa"/>
              <w:bottom w:w="0" w:type="dxa"/>
              <w:right w:w="83" w:type="dxa"/>
            </w:tcMar>
            <w:vAlign w:val="center"/>
          </w:tcPr>
          <w:p w14:paraId="38AA17EF">
            <w:pPr>
              <w:pStyle w:val="10"/>
              <w:rPr>
                <w:rFonts w:hint="eastAsia" w:ascii="宋体" w:hAnsi="宋体" w:cs="宋体"/>
                <w:highlight w:val="none"/>
              </w:rPr>
            </w:pPr>
            <w:r>
              <w:rPr>
                <w:rFonts w:hint="eastAsia" w:ascii="宋体" w:hAnsi="宋体" w:cs="宋体"/>
                <w:highlight w:val="none"/>
              </w:rPr>
              <w:t>采购包</w:t>
            </w:r>
          </w:p>
        </w:tc>
        <w:tc>
          <w:tcPr>
            <w:tcW w:w="1639" w:type="dxa"/>
            <w:tcMar>
              <w:top w:w="0" w:type="dxa"/>
              <w:left w:w="83" w:type="dxa"/>
              <w:bottom w:w="0" w:type="dxa"/>
              <w:right w:w="83" w:type="dxa"/>
            </w:tcMar>
            <w:vAlign w:val="center"/>
          </w:tcPr>
          <w:p w14:paraId="180E5891">
            <w:pPr>
              <w:pStyle w:val="10"/>
              <w:rPr>
                <w:rFonts w:hint="eastAsia" w:ascii="宋体" w:hAnsi="宋体" w:cs="宋体"/>
                <w:highlight w:val="none"/>
              </w:rPr>
            </w:pPr>
            <w:r>
              <w:rPr>
                <w:rFonts w:hint="eastAsia" w:ascii="宋体" w:hAnsi="宋体" w:cs="宋体"/>
                <w:highlight w:val="none"/>
              </w:rPr>
              <w:t>品目号</w:t>
            </w:r>
          </w:p>
        </w:tc>
        <w:tc>
          <w:tcPr>
            <w:tcW w:w="1590" w:type="dxa"/>
            <w:tcMar>
              <w:top w:w="0" w:type="dxa"/>
              <w:left w:w="83" w:type="dxa"/>
              <w:bottom w:w="0" w:type="dxa"/>
              <w:right w:w="83" w:type="dxa"/>
            </w:tcMar>
            <w:vAlign w:val="center"/>
          </w:tcPr>
          <w:p w14:paraId="58E60BC8">
            <w:pPr>
              <w:pStyle w:val="10"/>
              <w:rPr>
                <w:rFonts w:hint="eastAsia" w:ascii="宋体" w:hAnsi="宋体" w:cs="宋体"/>
                <w:highlight w:val="none"/>
              </w:rPr>
            </w:pPr>
            <w:r>
              <w:rPr>
                <w:rFonts w:hint="eastAsia" w:ascii="宋体" w:hAnsi="宋体" w:cs="宋体"/>
                <w:highlight w:val="none"/>
              </w:rPr>
              <w:t>货物名称</w:t>
            </w:r>
          </w:p>
        </w:tc>
        <w:tc>
          <w:tcPr>
            <w:tcW w:w="1770" w:type="dxa"/>
            <w:tcMar>
              <w:top w:w="0" w:type="dxa"/>
              <w:left w:w="83" w:type="dxa"/>
              <w:bottom w:w="0" w:type="dxa"/>
              <w:right w:w="83" w:type="dxa"/>
            </w:tcMar>
            <w:vAlign w:val="center"/>
          </w:tcPr>
          <w:p w14:paraId="55F33F4C">
            <w:pPr>
              <w:pStyle w:val="10"/>
              <w:rPr>
                <w:rFonts w:hint="eastAsia" w:ascii="宋体" w:hAnsi="宋体" w:cs="宋体"/>
                <w:highlight w:val="none"/>
              </w:rPr>
            </w:pPr>
            <w:r>
              <w:rPr>
                <w:rFonts w:hint="eastAsia" w:ascii="宋体" w:hAnsi="宋体" w:cs="宋体"/>
                <w:highlight w:val="none"/>
              </w:rPr>
              <w:t>单价（现场）</w:t>
            </w:r>
          </w:p>
        </w:tc>
        <w:tc>
          <w:tcPr>
            <w:tcW w:w="937" w:type="dxa"/>
            <w:tcMar>
              <w:top w:w="0" w:type="dxa"/>
              <w:left w:w="83" w:type="dxa"/>
              <w:bottom w:w="0" w:type="dxa"/>
              <w:right w:w="83" w:type="dxa"/>
            </w:tcMar>
            <w:vAlign w:val="center"/>
          </w:tcPr>
          <w:p w14:paraId="1537DD4F">
            <w:pPr>
              <w:pStyle w:val="10"/>
              <w:rPr>
                <w:rFonts w:hint="eastAsia" w:ascii="宋体" w:hAnsi="宋体" w:cs="宋体"/>
                <w:highlight w:val="none"/>
              </w:rPr>
            </w:pPr>
            <w:r>
              <w:rPr>
                <w:rFonts w:hint="eastAsia" w:ascii="宋体" w:hAnsi="宋体" w:cs="宋体"/>
                <w:highlight w:val="none"/>
              </w:rPr>
              <w:t>数量</w:t>
            </w:r>
          </w:p>
        </w:tc>
        <w:tc>
          <w:tcPr>
            <w:tcW w:w="1703" w:type="dxa"/>
            <w:tcMar>
              <w:top w:w="0" w:type="dxa"/>
              <w:left w:w="83" w:type="dxa"/>
              <w:bottom w:w="0" w:type="dxa"/>
              <w:right w:w="83" w:type="dxa"/>
            </w:tcMar>
            <w:vAlign w:val="center"/>
          </w:tcPr>
          <w:p w14:paraId="1D4AB44D">
            <w:pPr>
              <w:pStyle w:val="10"/>
              <w:rPr>
                <w:rFonts w:hint="eastAsia" w:ascii="宋体" w:hAnsi="宋体" w:cs="宋体"/>
                <w:highlight w:val="none"/>
              </w:rPr>
            </w:pPr>
            <w:r>
              <w:rPr>
                <w:rFonts w:hint="eastAsia" w:ascii="宋体" w:hAnsi="宋体" w:cs="宋体"/>
                <w:highlight w:val="none"/>
              </w:rPr>
              <w:t>总价（现场）</w:t>
            </w:r>
          </w:p>
        </w:tc>
        <w:tc>
          <w:tcPr>
            <w:tcW w:w="937" w:type="dxa"/>
            <w:tcMar>
              <w:top w:w="0" w:type="dxa"/>
              <w:left w:w="83" w:type="dxa"/>
              <w:bottom w:w="0" w:type="dxa"/>
              <w:right w:w="83" w:type="dxa"/>
            </w:tcMar>
            <w:vAlign w:val="center"/>
          </w:tcPr>
          <w:p w14:paraId="06FE3F2C">
            <w:pPr>
              <w:pStyle w:val="10"/>
              <w:rPr>
                <w:rFonts w:hint="eastAsia" w:ascii="宋体" w:hAnsi="宋体" w:cs="宋体"/>
                <w:highlight w:val="none"/>
              </w:rPr>
            </w:pPr>
            <w:r>
              <w:rPr>
                <w:rFonts w:hint="eastAsia" w:ascii="宋体" w:hAnsi="宋体" w:cs="宋体"/>
                <w:highlight w:val="none"/>
              </w:rPr>
              <w:t>认证种类</w:t>
            </w:r>
          </w:p>
        </w:tc>
      </w:tr>
      <w:tr w14:paraId="5E2BD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29" w:type="dxa"/>
            <w:vMerge w:val="restart"/>
            <w:tcMar>
              <w:top w:w="0" w:type="dxa"/>
              <w:left w:w="83" w:type="dxa"/>
              <w:bottom w:w="0" w:type="dxa"/>
              <w:right w:w="83" w:type="dxa"/>
            </w:tcMar>
            <w:vAlign w:val="center"/>
          </w:tcPr>
          <w:p w14:paraId="1E5C1DE6">
            <w:pPr>
              <w:pStyle w:val="10"/>
              <w:rPr>
                <w:rFonts w:hint="eastAsia" w:ascii="宋体" w:hAnsi="宋体" w:cs="宋体"/>
                <w:highlight w:val="none"/>
              </w:rPr>
            </w:pPr>
            <w:r>
              <w:rPr>
                <w:rFonts w:hint="eastAsia" w:ascii="宋体" w:hAnsi="宋体" w:cs="宋体"/>
                <w:highlight w:val="none"/>
              </w:rPr>
              <w:t>*</w:t>
            </w:r>
          </w:p>
        </w:tc>
        <w:tc>
          <w:tcPr>
            <w:tcW w:w="1639" w:type="dxa"/>
            <w:tcMar>
              <w:top w:w="0" w:type="dxa"/>
              <w:left w:w="83" w:type="dxa"/>
              <w:bottom w:w="0" w:type="dxa"/>
              <w:right w:w="83" w:type="dxa"/>
            </w:tcMar>
            <w:vAlign w:val="center"/>
          </w:tcPr>
          <w:p w14:paraId="50D24B3C">
            <w:pPr>
              <w:pStyle w:val="10"/>
              <w:rPr>
                <w:rFonts w:hint="eastAsia" w:ascii="宋体" w:hAnsi="宋体" w:cs="宋体"/>
                <w:highlight w:val="none"/>
              </w:rPr>
            </w:pPr>
            <w:r>
              <w:rPr>
                <w:rFonts w:hint="eastAsia" w:ascii="宋体" w:hAnsi="宋体" w:cs="宋体"/>
                <w:highlight w:val="none"/>
              </w:rPr>
              <w:t>*-1</w:t>
            </w:r>
          </w:p>
        </w:tc>
        <w:tc>
          <w:tcPr>
            <w:tcW w:w="1590" w:type="dxa"/>
            <w:tcMar>
              <w:top w:w="0" w:type="dxa"/>
              <w:left w:w="83" w:type="dxa"/>
              <w:bottom w:w="0" w:type="dxa"/>
              <w:right w:w="83" w:type="dxa"/>
            </w:tcMar>
            <w:vAlign w:val="center"/>
          </w:tcPr>
          <w:p w14:paraId="5B77C42E">
            <w:pPr>
              <w:pStyle w:val="10"/>
              <w:rPr>
                <w:rFonts w:hint="eastAsia" w:ascii="宋体" w:hAnsi="宋体" w:cs="宋体"/>
                <w:highlight w:val="none"/>
              </w:rPr>
            </w:pPr>
          </w:p>
        </w:tc>
        <w:tc>
          <w:tcPr>
            <w:tcW w:w="1770" w:type="dxa"/>
            <w:tcMar>
              <w:top w:w="0" w:type="dxa"/>
              <w:left w:w="83" w:type="dxa"/>
              <w:bottom w:w="0" w:type="dxa"/>
              <w:right w:w="83" w:type="dxa"/>
            </w:tcMar>
            <w:vAlign w:val="center"/>
          </w:tcPr>
          <w:p w14:paraId="2110D0E4">
            <w:pPr>
              <w:pStyle w:val="10"/>
              <w:rPr>
                <w:rFonts w:hint="eastAsia" w:ascii="宋体" w:hAnsi="宋体" w:cs="宋体"/>
                <w:highlight w:val="none"/>
              </w:rPr>
            </w:pPr>
          </w:p>
        </w:tc>
        <w:tc>
          <w:tcPr>
            <w:tcW w:w="937" w:type="dxa"/>
            <w:tcMar>
              <w:top w:w="0" w:type="dxa"/>
              <w:left w:w="83" w:type="dxa"/>
              <w:bottom w:w="0" w:type="dxa"/>
              <w:right w:w="83" w:type="dxa"/>
            </w:tcMar>
            <w:vAlign w:val="center"/>
          </w:tcPr>
          <w:p w14:paraId="20B8D76B">
            <w:pPr>
              <w:pStyle w:val="10"/>
              <w:rPr>
                <w:rFonts w:hint="eastAsia" w:ascii="宋体" w:hAnsi="宋体" w:cs="宋体"/>
                <w:highlight w:val="none"/>
              </w:rPr>
            </w:pPr>
          </w:p>
        </w:tc>
        <w:tc>
          <w:tcPr>
            <w:tcW w:w="1703" w:type="dxa"/>
            <w:tcMar>
              <w:top w:w="0" w:type="dxa"/>
              <w:left w:w="83" w:type="dxa"/>
              <w:bottom w:w="0" w:type="dxa"/>
              <w:right w:w="83" w:type="dxa"/>
            </w:tcMar>
            <w:vAlign w:val="center"/>
          </w:tcPr>
          <w:p w14:paraId="1E2FE420">
            <w:pPr>
              <w:pStyle w:val="10"/>
              <w:rPr>
                <w:rFonts w:hint="eastAsia" w:ascii="宋体" w:hAnsi="宋体" w:cs="宋体"/>
                <w:highlight w:val="none"/>
              </w:rPr>
            </w:pPr>
          </w:p>
        </w:tc>
        <w:tc>
          <w:tcPr>
            <w:tcW w:w="937" w:type="dxa"/>
            <w:tcMar>
              <w:top w:w="0" w:type="dxa"/>
              <w:left w:w="83" w:type="dxa"/>
              <w:bottom w:w="0" w:type="dxa"/>
              <w:right w:w="83" w:type="dxa"/>
            </w:tcMar>
            <w:vAlign w:val="center"/>
          </w:tcPr>
          <w:p w14:paraId="7FB622BD">
            <w:pPr>
              <w:pStyle w:val="10"/>
              <w:rPr>
                <w:rFonts w:hint="eastAsia" w:ascii="宋体" w:hAnsi="宋体" w:cs="宋体"/>
                <w:highlight w:val="none"/>
              </w:rPr>
            </w:pPr>
          </w:p>
        </w:tc>
      </w:tr>
      <w:tr w14:paraId="5386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29" w:type="dxa"/>
            <w:vMerge w:val="continue"/>
            <w:vAlign w:val="center"/>
          </w:tcPr>
          <w:p w14:paraId="7BB6C81C">
            <w:pPr>
              <w:pStyle w:val="10"/>
              <w:rPr>
                <w:rFonts w:hint="eastAsia" w:ascii="宋体" w:hAnsi="宋体" w:cs="宋体"/>
                <w:highlight w:val="none"/>
              </w:rPr>
            </w:pPr>
          </w:p>
        </w:tc>
        <w:tc>
          <w:tcPr>
            <w:tcW w:w="1639" w:type="dxa"/>
            <w:tcMar>
              <w:top w:w="0" w:type="dxa"/>
              <w:left w:w="83" w:type="dxa"/>
              <w:bottom w:w="0" w:type="dxa"/>
              <w:right w:w="83" w:type="dxa"/>
            </w:tcMar>
            <w:vAlign w:val="center"/>
          </w:tcPr>
          <w:p w14:paraId="09AA75B3">
            <w:pPr>
              <w:pStyle w:val="10"/>
              <w:rPr>
                <w:rFonts w:hint="eastAsia" w:ascii="宋体" w:hAnsi="宋体" w:cs="宋体"/>
                <w:highlight w:val="none"/>
              </w:rPr>
            </w:pPr>
            <w:r>
              <w:rPr>
                <w:rFonts w:hint="eastAsia" w:ascii="宋体" w:hAnsi="宋体" w:cs="宋体"/>
                <w:highlight w:val="none"/>
              </w:rPr>
              <w:t>…</w:t>
            </w:r>
          </w:p>
        </w:tc>
        <w:tc>
          <w:tcPr>
            <w:tcW w:w="1590" w:type="dxa"/>
            <w:tcMar>
              <w:top w:w="0" w:type="dxa"/>
              <w:left w:w="83" w:type="dxa"/>
              <w:bottom w:w="0" w:type="dxa"/>
              <w:right w:w="83" w:type="dxa"/>
            </w:tcMar>
            <w:vAlign w:val="center"/>
          </w:tcPr>
          <w:p w14:paraId="7F1E6C56">
            <w:pPr>
              <w:pStyle w:val="10"/>
              <w:rPr>
                <w:rFonts w:hint="eastAsia" w:ascii="宋体" w:hAnsi="宋体" w:cs="宋体"/>
                <w:highlight w:val="none"/>
              </w:rPr>
            </w:pPr>
          </w:p>
        </w:tc>
        <w:tc>
          <w:tcPr>
            <w:tcW w:w="1770" w:type="dxa"/>
            <w:tcMar>
              <w:top w:w="0" w:type="dxa"/>
              <w:left w:w="83" w:type="dxa"/>
              <w:bottom w:w="0" w:type="dxa"/>
              <w:right w:w="83" w:type="dxa"/>
            </w:tcMar>
            <w:vAlign w:val="center"/>
          </w:tcPr>
          <w:p w14:paraId="0F08D2C8">
            <w:pPr>
              <w:pStyle w:val="10"/>
              <w:rPr>
                <w:rFonts w:hint="eastAsia" w:ascii="宋体" w:hAnsi="宋体" w:cs="宋体"/>
                <w:highlight w:val="none"/>
              </w:rPr>
            </w:pPr>
          </w:p>
        </w:tc>
        <w:tc>
          <w:tcPr>
            <w:tcW w:w="937" w:type="dxa"/>
            <w:tcMar>
              <w:top w:w="0" w:type="dxa"/>
              <w:left w:w="83" w:type="dxa"/>
              <w:bottom w:w="0" w:type="dxa"/>
              <w:right w:w="83" w:type="dxa"/>
            </w:tcMar>
            <w:vAlign w:val="center"/>
          </w:tcPr>
          <w:p w14:paraId="7EF66CE7">
            <w:pPr>
              <w:pStyle w:val="10"/>
              <w:rPr>
                <w:rFonts w:hint="eastAsia" w:ascii="宋体" w:hAnsi="宋体" w:cs="宋体"/>
                <w:highlight w:val="none"/>
              </w:rPr>
            </w:pPr>
          </w:p>
        </w:tc>
        <w:tc>
          <w:tcPr>
            <w:tcW w:w="1703" w:type="dxa"/>
            <w:tcMar>
              <w:top w:w="0" w:type="dxa"/>
              <w:left w:w="83" w:type="dxa"/>
              <w:bottom w:w="0" w:type="dxa"/>
              <w:right w:w="83" w:type="dxa"/>
            </w:tcMar>
            <w:vAlign w:val="center"/>
          </w:tcPr>
          <w:p w14:paraId="24113970">
            <w:pPr>
              <w:pStyle w:val="10"/>
              <w:rPr>
                <w:rFonts w:hint="eastAsia" w:ascii="宋体" w:hAnsi="宋体" w:cs="宋体"/>
                <w:highlight w:val="none"/>
              </w:rPr>
            </w:pPr>
          </w:p>
        </w:tc>
        <w:tc>
          <w:tcPr>
            <w:tcW w:w="937" w:type="dxa"/>
            <w:tcMar>
              <w:top w:w="0" w:type="dxa"/>
              <w:left w:w="83" w:type="dxa"/>
              <w:bottom w:w="0" w:type="dxa"/>
              <w:right w:w="83" w:type="dxa"/>
            </w:tcMar>
            <w:vAlign w:val="center"/>
          </w:tcPr>
          <w:p w14:paraId="3F30EC49">
            <w:pPr>
              <w:pStyle w:val="10"/>
              <w:rPr>
                <w:rFonts w:hint="eastAsia" w:ascii="宋体" w:hAnsi="宋体" w:cs="宋体"/>
                <w:highlight w:val="none"/>
              </w:rPr>
            </w:pPr>
          </w:p>
        </w:tc>
      </w:tr>
      <w:tr w14:paraId="1940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29" w:type="dxa"/>
            <w:tcMar>
              <w:top w:w="0" w:type="dxa"/>
              <w:left w:w="83" w:type="dxa"/>
              <w:bottom w:w="0" w:type="dxa"/>
              <w:right w:w="83" w:type="dxa"/>
            </w:tcMar>
            <w:vAlign w:val="center"/>
          </w:tcPr>
          <w:p w14:paraId="6081E4BF">
            <w:pPr>
              <w:pStyle w:val="10"/>
              <w:rPr>
                <w:rFonts w:hint="eastAsia" w:ascii="宋体" w:hAnsi="宋体" w:cs="宋体"/>
                <w:highlight w:val="none"/>
              </w:rPr>
            </w:pPr>
            <w:r>
              <w:rPr>
                <w:rFonts w:hint="eastAsia" w:ascii="宋体" w:hAnsi="宋体" w:cs="宋体"/>
                <w:highlight w:val="none"/>
              </w:rPr>
              <w:t>备注</w:t>
            </w:r>
          </w:p>
        </w:tc>
        <w:tc>
          <w:tcPr>
            <w:tcW w:w="8726" w:type="dxa"/>
            <w:gridSpan w:val="6"/>
            <w:tcMar>
              <w:top w:w="0" w:type="dxa"/>
              <w:left w:w="83" w:type="dxa"/>
              <w:bottom w:w="0" w:type="dxa"/>
              <w:right w:w="83" w:type="dxa"/>
            </w:tcMar>
          </w:tcPr>
          <w:p w14:paraId="261217F7">
            <w:pPr>
              <w:pStyle w:val="10"/>
              <w:rPr>
                <w:rFonts w:hint="eastAsia" w:ascii="宋体" w:hAnsi="宋体" w:cs="宋体"/>
                <w:highlight w:val="none"/>
              </w:rPr>
            </w:pPr>
            <w:r>
              <w:rPr>
                <w:rFonts w:hint="eastAsia" w:ascii="宋体" w:hAnsi="宋体" w:cs="宋体"/>
                <w:highlight w:val="none"/>
              </w:rPr>
              <w:t>a.采购包内属于节能、环境标志产品的报价总金额：</w:t>
            </w:r>
            <w:r>
              <w:rPr>
                <w:rFonts w:hint="eastAsia" w:ascii="宋体" w:hAnsi="宋体" w:cs="宋体"/>
                <w:highlight w:val="none"/>
                <w:u w:val="single"/>
              </w:rPr>
              <w:t>              </w:t>
            </w:r>
            <w:r>
              <w:rPr>
                <w:rFonts w:hint="eastAsia" w:ascii="宋体" w:hAnsi="宋体" w:cs="宋体"/>
                <w:highlight w:val="none"/>
              </w:rPr>
              <w:t>；</w:t>
            </w:r>
          </w:p>
          <w:p w14:paraId="6D4439BF">
            <w:pPr>
              <w:pStyle w:val="10"/>
              <w:rPr>
                <w:rFonts w:hint="eastAsia" w:ascii="宋体" w:hAnsi="宋体" w:cs="宋体"/>
                <w:highlight w:val="none"/>
              </w:rPr>
            </w:pPr>
            <w:r>
              <w:rPr>
                <w:rFonts w:hint="eastAsia" w:ascii="宋体" w:hAnsi="宋体" w:cs="宋体"/>
                <w:highlight w:val="none"/>
              </w:rPr>
              <w:t>b.采购包投标总价（报价总金额）：</w:t>
            </w:r>
            <w:r>
              <w:rPr>
                <w:rFonts w:hint="eastAsia" w:ascii="宋体" w:hAnsi="宋体" w:cs="宋体"/>
                <w:highlight w:val="none"/>
                <w:u w:val="single"/>
              </w:rPr>
              <w:t>              </w:t>
            </w:r>
            <w:r>
              <w:rPr>
                <w:rFonts w:hint="eastAsia" w:ascii="宋体" w:hAnsi="宋体" w:cs="宋体"/>
                <w:highlight w:val="none"/>
              </w:rPr>
              <w:t>；</w:t>
            </w:r>
          </w:p>
          <w:p w14:paraId="7CBC6910">
            <w:pPr>
              <w:pStyle w:val="10"/>
              <w:rPr>
                <w:rFonts w:hint="eastAsia" w:ascii="宋体" w:hAnsi="宋体" w:cs="宋体"/>
                <w:highlight w:val="none"/>
              </w:rPr>
            </w:pPr>
            <w:r>
              <w:rPr>
                <w:rFonts w:hint="eastAsia" w:ascii="宋体" w:hAnsi="宋体" w:cs="宋体"/>
                <w:highlight w:val="none"/>
              </w:rPr>
              <w:t>c.“采购包内属于节能、环境标志产品的报价总金额”占“采购包投标总价（报价总金额）”的比例（以%列示）：</w:t>
            </w:r>
            <w:r>
              <w:rPr>
                <w:rFonts w:hint="eastAsia" w:ascii="宋体" w:hAnsi="宋体" w:cs="宋体"/>
                <w:highlight w:val="none"/>
                <w:u w:val="single"/>
              </w:rPr>
              <w:t>              </w:t>
            </w:r>
            <w:r>
              <w:rPr>
                <w:rFonts w:hint="eastAsia" w:ascii="宋体" w:hAnsi="宋体" w:cs="宋体"/>
                <w:highlight w:val="none"/>
              </w:rPr>
              <w:t>。</w:t>
            </w:r>
          </w:p>
        </w:tc>
      </w:tr>
    </w:tbl>
    <w:p w14:paraId="3F1E234D">
      <w:pPr>
        <w:pStyle w:val="10"/>
        <w:rPr>
          <w:rFonts w:hint="eastAsia" w:ascii="宋体" w:hAnsi="宋体" w:cs="宋体"/>
          <w:szCs w:val="21"/>
          <w:highlight w:val="none"/>
        </w:rPr>
      </w:pPr>
      <w:r>
        <w:rPr>
          <w:rFonts w:hint="eastAsia" w:ascii="宋体" w:hAnsi="宋体" w:cs="宋体"/>
          <w:szCs w:val="21"/>
          <w:highlight w:val="none"/>
        </w:rPr>
        <w:t>注意：1、对节能、环境标志产品计算价格扣除时，只依据投标文件“三-1-②优先类节能产品、环境标志产品证明材料（价格扣除适用，若有）”。</w:t>
      </w:r>
    </w:p>
    <w:p w14:paraId="1403621B">
      <w:pPr>
        <w:pStyle w:val="10"/>
        <w:rPr>
          <w:rFonts w:hint="eastAsia" w:ascii="宋体" w:hAnsi="宋体" w:cs="宋体"/>
          <w:szCs w:val="21"/>
          <w:highlight w:val="none"/>
        </w:rPr>
      </w:pPr>
      <w:r>
        <w:rPr>
          <w:rFonts w:hint="eastAsia" w:ascii="宋体" w:hAnsi="宋体" w:cs="宋体"/>
          <w:szCs w:val="21"/>
          <w:highlight w:val="none"/>
          <w:lang w:eastAsia="zh-CN"/>
        </w:rPr>
        <w:t>2.</w:t>
      </w:r>
      <w:r>
        <w:rPr>
          <w:rFonts w:hint="eastAsia" w:ascii="宋体" w:hAnsi="宋体" w:cs="宋体"/>
          <w:szCs w:val="21"/>
          <w:highlight w:val="none"/>
        </w:rPr>
        <w:t>本表以采购包为单位，不同采购包请分别填写；同一采购包请按照其品目号顺序分别填写。</w:t>
      </w:r>
    </w:p>
    <w:p w14:paraId="5796A150">
      <w:pPr>
        <w:pStyle w:val="10"/>
        <w:rPr>
          <w:rFonts w:hint="eastAsia" w:ascii="宋体" w:hAnsi="宋体" w:cs="宋体"/>
          <w:szCs w:val="21"/>
          <w:highlight w:val="none"/>
        </w:rPr>
      </w:pPr>
      <w:r>
        <w:rPr>
          <w:rFonts w:hint="eastAsia" w:ascii="宋体" w:hAnsi="宋体" w:cs="宋体"/>
          <w:szCs w:val="21"/>
          <w:highlight w:val="none"/>
          <w:lang w:eastAsia="zh-CN"/>
        </w:rPr>
        <w:t>3.</w:t>
      </w:r>
      <w:r>
        <w:rPr>
          <w:rFonts w:hint="eastAsia" w:ascii="宋体" w:hAnsi="宋体" w:cs="宋体"/>
          <w:szCs w:val="21"/>
          <w:highlight w:val="none"/>
        </w:rPr>
        <w:t>具体统计、计算：</w:t>
      </w:r>
    </w:p>
    <w:p w14:paraId="7D5A9160">
      <w:pPr>
        <w:pStyle w:val="10"/>
        <w:rPr>
          <w:rFonts w:hint="eastAsia" w:ascii="宋体" w:hAnsi="宋体" w:cs="宋体"/>
          <w:szCs w:val="21"/>
          <w:highlight w:val="none"/>
        </w:rPr>
      </w:pPr>
      <w:r>
        <w:rPr>
          <w:rFonts w:hint="eastAsia" w:ascii="宋体" w:hAnsi="宋体" w:cs="宋体"/>
          <w:szCs w:val="21"/>
          <w:highlight w:val="none"/>
        </w:rPr>
        <w:t>3.1若节能、环境标志产品仅是构成投标产品的部件、组件或零件，则该投标产品不享受鼓励优惠政策。同一品目中各认证证书不重复计算价格扣除。强制类节能产品不享受价格扣除。</w:t>
      </w:r>
    </w:p>
    <w:p w14:paraId="58A04013">
      <w:pPr>
        <w:pStyle w:val="10"/>
        <w:rPr>
          <w:rFonts w:hint="eastAsia" w:ascii="宋体" w:hAnsi="宋体" w:cs="宋体"/>
          <w:szCs w:val="21"/>
          <w:highlight w:val="none"/>
        </w:rPr>
      </w:pPr>
      <w:r>
        <w:rPr>
          <w:rFonts w:hint="eastAsia" w:ascii="宋体" w:hAnsi="宋体" w:cs="宋体"/>
          <w:szCs w:val="21"/>
          <w:highlight w:val="none"/>
        </w:rPr>
        <w:t>3.2计算结果若除不尽，可四舍五入保留到小数点后两位。</w:t>
      </w:r>
    </w:p>
    <w:p w14:paraId="41ED7399">
      <w:pPr>
        <w:pStyle w:val="10"/>
        <w:rPr>
          <w:rFonts w:hint="eastAsia" w:ascii="宋体" w:hAnsi="宋体" w:cs="宋体"/>
          <w:szCs w:val="21"/>
          <w:highlight w:val="none"/>
        </w:rPr>
      </w:pPr>
      <w:r>
        <w:rPr>
          <w:rFonts w:hint="eastAsia" w:ascii="宋体" w:hAnsi="宋体" w:cs="宋体"/>
          <w:szCs w:val="21"/>
          <w:highlight w:val="none"/>
        </w:rPr>
        <w:t>3.3投标人应按照招标文件要求认真统计、计算，否则评标委员会不予认定。</w:t>
      </w:r>
    </w:p>
    <w:p w14:paraId="65F6DB02">
      <w:pPr>
        <w:pStyle w:val="10"/>
        <w:rPr>
          <w:rFonts w:hint="eastAsia" w:ascii="宋体" w:hAnsi="宋体" w:cs="宋体"/>
          <w:szCs w:val="21"/>
          <w:highlight w:val="none"/>
        </w:rPr>
      </w:pPr>
      <w:r>
        <w:rPr>
          <w:rFonts w:hint="eastAsia" w:ascii="宋体" w:hAnsi="宋体" w:cs="宋体"/>
          <w:szCs w:val="21"/>
          <w:highlight w:val="none"/>
        </w:rPr>
        <w:t>3.4若无节能、环境标志产品，不填写本表。</w:t>
      </w:r>
    </w:p>
    <w:p w14:paraId="168BE58A">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5BFE5FBA">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738D35EC">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4B63A86F">
      <w:pPr>
        <w:pStyle w:val="10"/>
        <w:rPr>
          <w:rFonts w:hint="eastAsia" w:ascii="宋体" w:hAnsi="宋体" w:cs="宋体"/>
          <w:highlight w:val="none"/>
        </w:rPr>
      </w:pPr>
    </w:p>
    <w:p w14:paraId="26951369">
      <w:pPr>
        <w:pStyle w:val="10"/>
        <w:rPr>
          <w:rFonts w:hint="eastAsia" w:ascii="宋体" w:hAnsi="宋体" w:cs="宋体"/>
          <w:highlight w:val="none"/>
        </w:rPr>
      </w:pPr>
    </w:p>
    <w:p w14:paraId="04B8C6B8">
      <w:pPr>
        <w:pStyle w:val="10"/>
        <w:rPr>
          <w:rFonts w:hint="eastAsia" w:ascii="宋体" w:hAnsi="宋体" w:cs="宋体"/>
          <w:highlight w:val="none"/>
        </w:rPr>
      </w:pPr>
    </w:p>
    <w:p w14:paraId="38B96CE5">
      <w:pPr>
        <w:pStyle w:val="10"/>
        <w:jc w:val="center"/>
        <w:outlineLvl w:val="1"/>
        <w:rPr>
          <w:rFonts w:hint="eastAsia" w:ascii="宋体" w:hAnsi="宋体" w:cs="宋体"/>
          <w:highlight w:val="none"/>
        </w:rPr>
      </w:pPr>
      <w:bookmarkStart w:id="215" w:name="_Toc11929"/>
      <w:r>
        <w:rPr>
          <w:rStyle w:val="34"/>
          <w:rFonts w:hint="eastAsia" w:ascii="宋体" w:hAnsi="宋体" w:cs="宋体"/>
          <w:highlight w:val="none"/>
        </w:rPr>
        <w:t>三-1-②优先类节能产品、环境标志产品证明材料（价格扣除适用，若有）</w:t>
      </w:r>
      <w:bookmarkEnd w:id="215"/>
    </w:p>
    <w:p w14:paraId="54BD20CB">
      <w:pPr>
        <w:pStyle w:val="10"/>
        <w:jc w:val="center"/>
        <w:rPr>
          <w:rFonts w:hint="eastAsia" w:ascii="宋体" w:hAnsi="宋体" w:cs="宋体"/>
          <w:highlight w:val="none"/>
        </w:rPr>
      </w:pPr>
      <w:r>
        <w:rPr>
          <w:rFonts w:hint="eastAsia" w:ascii="宋体" w:hAnsi="宋体" w:cs="宋体"/>
          <w:highlight w:val="none"/>
        </w:rPr>
        <w:t>编制说明</w:t>
      </w:r>
    </w:p>
    <w:p w14:paraId="20C04F57">
      <w:pPr>
        <w:pStyle w:val="10"/>
        <w:ind w:firstLine="480" w:firstLineChars="200"/>
        <w:rPr>
          <w:rFonts w:hint="eastAsia" w:ascii="宋体" w:hAnsi="宋体" w:cs="宋体"/>
          <w:highlight w:val="none"/>
        </w:rPr>
      </w:pPr>
      <w:r>
        <w:rPr>
          <w:rFonts w:hint="eastAsia" w:ascii="宋体" w:hAnsi="宋体" w:cs="宋体"/>
          <w:highlight w:val="none"/>
        </w:rPr>
        <w:t>除招标文件另有规定外，投标人应按照招标文件第二章（表1）第13项规定提供相应证明材料。</w:t>
      </w:r>
    </w:p>
    <w:p w14:paraId="6AF47E94">
      <w:pPr>
        <w:pStyle w:val="10"/>
        <w:jc w:val="center"/>
        <w:rPr>
          <w:rFonts w:hint="eastAsia" w:ascii="宋体" w:hAnsi="宋体" w:cs="宋体"/>
          <w:highlight w:val="none"/>
        </w:rPr>
      </w:pPr>
      <w:r>
        <w:rPr>
          <w:rStyle w:val="34"/>
          <w:rFonts w:hint="eastAsia" w:ascii="宋体" w:hAnsi="宋体" w:cs="宋体"/>
          <w:sz w:val="17"/>
          <w:szCs w:val="17"/>
          <w:highlight w:val="none"/>
        </w:rPr>
        <w:br w:type="page"/>
      </w:r>
      <w:r>
        <w:rPr>
          <w:rStyle w:val="34"/>
          <w:rFonts w:hint="eastAsia" w:ascii="宋体" w:hAnsi="宋体" w:cs="宋体"/>
          <w:sz w:val="21"/>
          <w:szCs w:val="21"/>
          <w:highlight w:val="none"/>
          <w:shd w:val="clear" w:color="auto" w:fill="FFFFFF"/>
        </w:rPr>
        <w:t>三-2-①</w:t>
      </w:r>
      <w:r>
        <w:rPr>
          <w:rStyle w:val="34"/>
          <w:rFonts w:hint="eastAsia" w:ascii="宋体" w:hAnsi="宋体" w:cs="宋体"/>
          <w:highlight w:val="none"/>
        </w:rPr>
        <w:t>中小企业声明函（价格扣除适用，若有）</w:t>
      </w:r>
    </w:p>
    <w:p w14:paraId="363B3B78">
      <w:pPr>
        <w:pStyle w:val="10"/>
        <w:rPr>
          <w:rFonts w:hint="eastAsia" w:ascii="宋体" w:hAnsi="宋体" w:cs="宋体"/>
          <w:bCs/>
          <w:highlight w:val="none"/>
          <w:shd w:val="clear" w:color="auto" w:fill="FFFFFF"/>
        </w:rPr>
      </w:pPr>
      <w:r>
        <w:rPr>
          <w:rFonts w:hint="eastAsia" w:ascii="宋体" w:hAnsi="宋体" w:cs="宋体"/>
          <w:highlight w:val="none"/>
          <w:shd w:val="clear" w:color="auto" w:fill="FFFFFF"/>
        </w:rPr>
        <w:t xml:space="preserve">                        </w:t>
      </w:r>
      <w:r>
        <w:rPr>
          <w:rFonts w:hint="eastAsia" w:ascii="宋体" w:hAnsi="宋体" w:cs="宋体"/>
          <w:bCs/>
          <w:highlight w:val="none"/>
          <w:shd w:val="clear" w:color="auto" w:fill="FFFFFF"/>
        </w:rPr>
        <w:t>中小企业声明函（货物）</w:t>
      </w:r>
    </w:p>
    <w:p w14:paraId="5315092D">
      <w:pPr>
        <w:pStyle w:val="10"/>
        <w:rPr>
          <w:rFonts w:hint="eastAsia" w:ascii="宋体" w:hAnsi="宋体" w:cs="宋体"/>
          <w:highlight w:val="none"/>
          <w:shd w:val="clear" w:color="auto" w:fill="FFFFFF"/>
        </w:rPr>
      </w:pPr>
      <w:r>
        <w:rPr>
          <w:rFonts w:hint="eastAsia" w:ascii="宋体" w:hAnsi="宋体" w:cs="宋体"/>
          <w:highlight w:val="none"/>
          <w:shd w:val="clear" w:color="auto" w:fill="FFFFFF"/>
        </w:rPr>
        <w:t>   本公司（联合体）郑重声明，根据《政府采购促进中小企业发展管理办法》（财库﹝2020﹞46 号）的规定，本公司（联合体）参加</w:t>
      </w:r>
      <w:r>
        <w:rPr>
          <w:rFonts w:hint="eastAsia" w:ascii="宋体" w:hAnsi="宋体" w:cs="宋体"/>
          <w:highlight w:val="none"/>
          <w:u w:val="single"/>
          <w:shd w:val="clear" w:color="auto" w:fill="FFFFFF"/>
        </w:rPr>
        <w:t>（单位名称）</w:t>
      </w:r>
      <w:r>
        <w:rPr>
          <w:rFonts w:hint="eastAsia" w:ascii="宋体" w:hAnsi="宋体" w:cs="宋体"/>
          <w:highlight w:val="none"/>
          <w:shd w:val="clear" w:color="auto" w:fill="FFFFFF"/>
        </w:rPr>
        <w:t>的</w:t>
      </w:r>
      <w:r>
        <w:rPr>
          <w:rFonts w:hint="eastAsia" w:ascii="宋体" w:hAnsi="宋体" w:cs="宋体"/>
          <w:highlight w:val="none"/>
          <w:u w:val="single"/>
          <w:shd w:val="clear" w:color="auto" w:fill="FFFFFF"/>
        </w:rPr>
        <w:t>（项目名称）</w:t>
      </w:r>
      <w:r>
        <w:rPr>
          <w:rFonts w:hint="eastAsia" w:ascii="宋体" w:hAnsi="宋体" w:cs="宋体"/>
          <w:highlight w:val="none"/>
          <w:shd w:val="clear" w:color="auto" w:fill="FFFFFF"/>
        </w:rPr>
        <w:t>采购活动，提供的货物全部由符合政策要求的中小企业制造。相关企业（含联合体中的中小企业、签订分包意向协议的中小企业） 的具体情况如下：</w:t>
      </w:r>
    </w:p>
    <w:p w14:paraId="3CE22ADC">
      <w:pPr>
        <w:pStyle w:val="10"/>
        <w:rPr>
          <w:rFonts w:hint="eastAsia" w:ascii="宋体" w:hAnsi="宋体" w:cs="宋体"/>
          <w:highlight w:val="none"/>
          <w:shd w:val="clear" w:color="auto" w:fill="FFFFFF"/>
        </w:rPr>
      </w:pPr>
      <w:r>
        <w:rPr>
          <w:rFonts w:hint="eastAsia" w:ascii="宋体" w:hAnsi="宋体" w:cs="宋体"/>
          <w:highlight w:val="none"/>
          <w:shd w:val="clear" w:color="auto" w:fill="FFFFFF"/>
        </w:rPr>
        <w:t>   1.</w:t>
      </w:r>
      <w:r>
        <w:rPr>
          <w:rFonts w:hint="eastAsia" w:ascii="宋体" w:hAnsi="宋体" w:cs="宋体"/>
          <w:highlight w:val="none"/>
          <w:u w:val="single"/>
          <w:shd w:val="clear" w:color="auto" w:fill="FFFFFF"/>
        </w:rPr>
        <w:t>（标的名称） </w:t>
      </w:r>
      <w:r>
        <w:rPr>
          <w:rFonts w:hint="eastAsia" w:ascii="宋体" w:hAnsi="宋体" w:cs="宋体"/>
          <w:highlight w:val="none"/>
          <w:shd w:val="clear" w:color="auto" w:fill="FFFFFF"/>
        </w:rPr>
        <w:t>，属</w:t>
      </w:r>
      <w:r>
        <w:rPr>
          <w:rFonts w:hint="eastAsia" w:ascii="宋体" w:hAnsi="宋体" w:cs="宋体"/>
          <w:highlight w:val="none"/>
          <w:u w:val="single"/>
          <w:shd w:val="clear" w:color="auto" w:fill="FFFFFF"/>
        </w:rPr>
        <w:t>于（采购文件中明确的所属行业）行业</w:t>
      </w:r>
      <w:r>
        <w:rPr>
          <w:rFonts w:hint="eastAsia" w:ascii="宋体" w:hAnsi="宋体" w:cs="宋体"/>
          <w:highlight w:val="none"/>
          <w:shd w:val="clear" w:color="auto" w:fill="FFFFFF"/>
        </w:rPr>
        <w:t>；制造商为</w:t>
      </w:r>
      <w:r>
        <w:rPr>
          <w:rFonts w:hint="eastAsia" w:ascii="宋体" w:hAnsi="宋体" w:cs="宋体"/>
          <w:highlight w:val="none"/>
          <w:u w:val="single"/>
          <w:shd w:val="clear" w:color="auto" w:fill="FFFFFF"/>
        </w:rPr>
        <w:t>（企业名称）</w:t>
      </w:r>
      <w:r>
        <w:rPr>
          <w:rFonts w:hint="eastAsia" w:ascii="宋体" w:hAnsi="宋体" w:cs="宋体"/>
          <w:highlight w:val="none"/>
          <w:shd w:val="clear" w:color="auto" w:fill="FFFFFF"/>
        </w:rPr>
        <w:t>，从业人员</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人，营业收入为</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万元，资产总额为</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万元</w:t>
      </w:r>
      <w:r>
        <w:rPr>
          <w:rFonts w:hint="eastAsia" w:ascii="宋体" w:hAnsi="宋体" w:cs="宋体"/>
          <w:highlight w:val="none"/>
          <w:shd w:val="clear" w:color="auto" w:fill="FFFFFF"/>
          <w:vertAlign w:val="superscript"/>
        </w:rPr>
        <w:t>1</w:t>
      </w:r>
      <w:r>
        <w:rPr>
          <w:rFonts w:hint="eastAsia" w:ascii="宋体" w:hAnsi="宋体" w:cs="宋体"/>
          <w:highlight w:val="none"/>
          <w:shd w:val="clear" w:color="auto" w:fill="FFFFFF"/>
        </w:rPr>
        <w:t>，属于</w:t>
      </w:r>
      <w:r>
        <w:rPr>
          <w:rFonts w:hint="eastAsia" w:ascii="宋体" w:hAnsi="宋体" w:cs="宋体"/>
          <w:highlight w:val="none"/>
          <w:u w:val="single"/>
          <w:shd w:val="clear" w:color="auto" w:fill="FFFFFF"/>
        </w:rPr>
        <w:t>（中型企业、小型企业、微型企业）</w:t>
      </w:r>
      <w:r>
        <w:rPr>
          <w:rFonts w:hint="eastAsia" w:ascii="宋体" w:hAnsi="宋体" w:cs="宋体"/>
          <w:highlight w:val="none"/>
          <w:shd w:val="clear" w:color="auto" w:fill="FFFFFF"/>
        </w:rPr>
        <w:t>；</w:t>
      </w:r>
    </w:p>
    <w:p w14:paraId="702A3155">
      <w:pPr>
        <w:pStyle w:val="10"/>
        <w:rPr>
          <w:rFonts w:hint="eastAsia" w:ascii="宋体" w:hAnsi="宋体" w:cs="宋体"/>
          <w:highlight w:val="none"/>
          <w:shd w:val="clear" w:color="auto" w:fill="FFFFFF"/>
        </w:rPr>
      </w:pPr>
      <w:r>
        <w:rPr>
          <w:rFonts w:hint="eastAsia" w:ascii="宋体" w:hAnsi="宋体" w:cs="宋体"/>
          <w:highlight w:val="none"/>
          <w:shd w:val="clear" w:color="auto" w:fill="FFFFFF"/>
        </w:rPr>
        <w:t>   2.</w:t>
      </w:r>
      <w:r>
        <w:rPr>
          <w:rFonts w:hint="eastAsia" w:ascii="宋体" w:hAnsi="宋体" w:cs="宋体"/>
          <w:highlight w:val="none"/>
          <w:u w:val="single"/>
          <w:shd w:val="clear" w:color="auto" w:fill="FFFFFF"/>
        </w:rPr>
        <w:t>（标的名称） </w:t>
      </w:r>
      <w:r>
        <w:rPr>
          <w:rFonts w:hint="eastAsia" w:ascii="宋体" w:hAnsi="宋体" w:cs="宋体"/>
          <w:highlight w:val="none"/>
          <w:shd w:val="clear" w:color="auto" w:fill="FFFFFF"/>
        </w:rPr>
        <w:t>， 属于</w:t>
      </w:r>
      <w:r>
        <w:rPr>
          <w:rFonts w:hint="eastAsia" w:ascii="宋体" w:hAnsi="宋体" w:cs="宋体"/>
          <w:highlight w:val="none"/>
          <w:u w:val="single"/>
          <w:shd w:val="clear" w:color="auto" w:fill="FFFFFF"/>
        </w:rPr>
        <w:t> （采购文件中明确的所属行业 ）行业</w:t>
      </w:r>
      <w:r>
        <w:rPr>
          <w:rFonts w:hint="eastAsia" w:ascii="宋体" w:hAnsi="宋体" w:cs="宋体"/>
          <w:highlight w:val="none"/>
          <w:shd w:val="clear" w:color="auto" w:fill="FFFFFF"/>
        </w:rPr>
        <w:t>；制造商为</w:t>
      </w:r>
      <w:r>
        <w:rPr>
          <w:rFonts w:hint="eastAsia" w:ascii="宋体" w:hAnsi="宋体" w:cs="宋体"/>
          <w:highlight w:val="none"/>
          <w:u w:val="single"/>
          <w:shd w:val="clear" w:color="auto" w:fill="FFFFFF"/>
        </w:rPr>
        <w:t>（企业名称）</w:t>
      </w:r>
      <w:r>
        <w:rPr>
          <w:rFonts w:hint="eastAsia" w:ascii="宋体" w:hAnsi="宋体" w:cs="宋体"/>
          <w:highlight w:val="none"/>
          <w:shd w:val="clear" w:color="auto" w:fill="FFFFFF"/>
        </w:rPr>
        <w:t>，从业人员</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人，营业收入为</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万元，资产总额为</w:t>
      </w:r>
      <w:r>
        <w:rPr>
          <w:rFonts w:hint="eastAsia" w:ascii="宋体" w:hAnsi="宋体" w:cs="宋体"/>
          <w:highlight w:val="none"/>
          <w:u w:val="single"/>
          <w:shd w:val="clear" w:color="auto" w:fill="FFFFFF"/>
        </w:rPr>
        <w:t>  万</w:t>
      </w:r>
      <w:r>
        <w:rPr>
          <w:rFonts w:hint="eastAsia" w:ascii="宋体" w:hAnsi="宋体" w:cs="宋体"/>
          <w:highlight w:val="none"/>
          <w:shd w:val="clear" w:color="auto" w:fill="FFFFFF"/>
        </w:rPr>
        <w:t>元，属于</w:t>
      </w:r>
      <w:r>
        <w:rPr>
          <w:rFonts w:hint="eastAsia" w:ascii="宋体" w:hAnsi="宋体" w:cs="宋体"/>
          <w:highlight w:val="none"/>
          <w:u w:val="single"/>
          <w:shd w:val="clear" w:color="auto" w:fill="FFFFFF"/>
        </w:rPr>
        <w:t>（中型企业、小型企业、微型企业）</w:t>
      </w:r>
      <w:r>
        <w:rPr>
          <w:rFonts w:hint="eastAsia" w:ascii="宋体" w:hAnsi="宋体" w:cs="宋体"/>
          <w:highlight w:val="none"/>
          <w:shd w:val="clear" w:color="auto" w:fill="FFFFFF"/>
        </w:rPr>
        <w:t>；  </w:t>
      </w:r>
    </w:p>
    <w:p w14:paraId="14ABBCF4">
      <w:pPr>
        <w:pStyle w:val="10"/>
        <w:rPr>
          <w:rFonts w:hint="eastAsia" w:ascii="宋体" w:hAnsi="宋体" w:cs="宋体"/>
          <w:highlight w:val="none"/>
        </w:rPr>
      </w:pPr>
      <w:r>
        <w:rPr>
          <w:rFonts w:hint="eastAsia" w:ascii="宋体" w:hAnsi="宋体" w:cs="宋体"/>
          <w:highlight w:val="none"/>
          <w:shd w:val="clear" w:color="auto" w:fill="FFFFFF"/>
        </w:rPr>
        <w:t>……</w:t>
      </w:r>
    </w:p>
    <w:p w14:paraId="4FD5A874">
      <w:pPr>
        <w:pStyle w:val="10"/>
        <w:ind w:firstLine="480" w:firstLineChars="200"/>
        <w:rPr>
          <w:rFonts w:hint="eastAsia" w:ascii="宋体" w:hAnsi="宋体" w:cs="宋体"/>
          <w:highlight w:val="none"/>
          <w:shd w:val="clear" w:color="auto" w:fill="FFFFFF"/>
        </w:rPr>
      </w:pPr>
      <w:r>
        <w:rPr>
          <w:rFonts w:hint="eastAsia" w:ascii="宋体" w:hAnsi="宋体" w:cs="宋体"/>
          <w:highlight w:val="none"/>
          <w:shd w:val="clear" w:color="auto" w:fill="FFFFFF"/>
        </w:rPr>
        <w:t>以上企业，不属于大企业的分支机构，不存在控股股东为大企业的情形，也不存在与大企业的负责人为同一人的情形。</w:t>
      </w:r>
    </w:p>
    <w:p w14:paraId="12B5B425">
      <w:pPr>
        <w:pStyle w:val="10"/>
        <w:rPr>
          <w:rFonts w:hint="eastAsia" w:ascii="宋体" w:hAnsi="宋体" w:cs="宋体"/>
          <w:highlight w:val="none"/>
        </w:rPr>
      </w:pPr>
    </w:p>
    <w:p w14:paraId="65E1AE76">
      <w:pPr>
        <w:pStyle w:val="10"/>
        <w:ind w:firstLine="480" w:firstLineChars="200"/>
        <w:rPr>
          <w:rFonts w:hint="eastAsia" w:ascii="宋体" w:hAnsi="宋体" w:cs="宋体"/>
          <w:highlight w:val="none"/>
          <w:shd w:val="clear" w:color="auto" w:fill="FFFFFF"/>
        </w:rPr>
      </w:pPr>
      <w:r>
        <w:rPr>
          <w:rFonts w:hint="eastAsia" w:ascii="宋体" w:hAnsi="宋体" w:cs="宋体"/>
          <w:highlight w:val="none"/>
          <w:shd w:val="clear" w:color="auto" w:fill="FFFFFF"/>
        </w:rPr>
        <w:t>本企业对上述声明内容的真实性负责。如有虚假，将依法承担相应责任。</w:t>
      </w:r>
    </w:p>
    <w:p w14:paraId="0E1012D2">
      <w:pPr>
        <w:pStyle w:val="10"/>
        <w:rPr>
          <w:rFonts w:hint="eastAsia" w:ascii="宋体" w:hAnsi="宋体" w:cs="宋体"/>
          <w:highlight w:val="none"/>
          <w:shd w:val="clear" w:color="auto" w:fill="FFFFFF"/>
        </w:rPr>
      </w:pPr>
      <w:r>
        <w:rPr>
          <w:rFonts w:hint="eastAsia" w:ascii="宋体" w:hAnsi="宋体" w:cs="宋体"/>
          <w:highlight w:val="none"/>
          <w:shd w:val="clear" w:color="auto" w:fill="FFFFFF"/>
        </w:rPr>
        <w:t>                                                                                          企业名称（盖章）：        </w:t>
      </w:r>
    </w:p>
    <w:p w14:paraId="2DF47BDC">
      <w:pPr>
        <w:pStyle w:val="10"/>
        <w:rPr>
          <w:rFonts w:hint="eastAsia" w:ascii="宋体" w:hAnsi="宋体" w:cs="宋体"/>
          <w:highlight w:val="none"/>
          <w:shd w:val="clear" w:color="auto" w:fill="FFFFFF"/>
        </w:rPr>
      </w:pPr>
      <w:r>
        <w:rPr>
          <w:rFonts w:hint="eastAsia" w:ascii="宋体" w:hAnsi="宋体" w:cs="宋体"/>
          <w:highlight w:val="none"/>
          <w:shd w:val="clear" w:color="auto" w:fill="FFFFFF"/>
        </w:rPr>
        <w:t>                                           日期：</w:t>
      </w:r>
    </w:p>
    <w:p w14:paraId="5530BB07">
      <w:pPr>
        <w:pStyle w:val="10"/>
        <w:rPr>
          <w:rFonts w:hint="eastAsia" w:ascii="宋体" w:hAnsi="宋体" w:cs="宋体"/>
          <w:highlight w:val="none"/>
        </w:rPr>
      </w:pPr>
    </w:p>
    <w:p w14:paraId="2D9FDD08">
      <w:pPr>
        <w:pStyle w:val="10"/>
        <w:rPr>
          <w:rFonts w:hint="eastAsia" w:ascii="宋体" w:hAnsi="宋体" w:cs="宋体"/>
          <w:highlight w:val="none"/>
          <w:shd w:val="clear" w:color="auto" w:fill="FFFFFF"/>
        </w:rPr>
      </w:pPr>
      <w:r>
        <w:rPr>
          <w:rFonts w:hint="eastAsia" w:ascii="宋体" w:hAnsi="宋体" w:cs="宋体"/>
          <w:highlight w:val="none"/>
          <w:shd w:val="clear" w:color="auto" w:fill="FFFFFF"/>
        </w:rPr>
        <w:t> </w:t>
      </w:r>
      <w:r>
        <w:rPr>
          <w:rFonts w:hint="eastAsia" w:ascii="宋体" w:hAnsi="宋体" w:cs="宋体"/>
          <w:highlight w:val="none"/>
          <w:shd w:val="clear" w:color="auto" w:fill="FFFFFF"/>
          <w:vertAlign w:val="superscript"/>
        </w:rPr>
        <w:t>1</w:t>
      </w:r>
      <w:r>
        <w:rPr>
          <w:rFonts w:hint="eastAsia" w:ascii="宋体" w:hAnsi="宋体" w:cs="宋体"/>
          <w:highlight w:val="none"/>
          <w:shd w:val="clear" w:color="auto" w:fill="FFFFFF"/>
        </w:rPr>
        <w:t>从业人员、营业收入、资产总额填报上一年度数据，无上一年度数据的新成立企业可不填报。</w:t>
      </w:r>
    </w:p>
    <w:p w14:paraId="3F8A166F">
      <w:pPr>
        <w:pStyle w:val="10"/>
        <w:rPr>
          <w:rFonts w:hint="eastAsia" w:ascii="宋体" w:hAnsi="宋体" w:cs="宋体"/>
          <w:sz w:val="21"/>
          <w:szCs w:val="21"/>
          <w:highlight w:val="none"/>
          <w:shd w:val="clear" w:color="auto" w:fill="FFFFFF"/>
        </w:rPr>
      </w:pPr>
    </w:p>
    <w:p w14:paraId="3A8680AE">
      <w:pPr>
        <w:pStyle w:val="10"/>
        <w:rPr>
          <w:rFonts w:hint="eastAsia" w:ascii="宋体" w:hAnsi="宋体" w:cs="宋体"/>
          <w:highlight w:val="none"/>
        </w:rPr>
      </w:pPr>
    </w:p>
    <w:p w14:paraId="076116AD">
      <w:pPr>
        <w:pStyle w:val="10"/>
        <w:rPr>
          <w:rFonts w:hint="eastAsia" w:ascii="宋体" w:hAnsi="宋体" w:cs="宋体"/>
          <w:highlight w:val="none"/>
        </w:rPr>
      </w:pPr>
    </w:p>
    <w:p w14:paraId="04EE06EA">
      <w:pPr>
        <w:pStyle w:val="10"/>
        <w:widowControl/>
        <w:spacing w:before="76" w:beforeAutospacing="0" w:after="76" w:afterAutospacing="0" w:line="360" w:lineRule="auto"/>
        <w:ind w:left="-3" w:firstLine="60" w:firstLineChars="25"/>
        <w:rPr>
          <w:rFonts w:hint="eastAsia" w:ascii="宋体" w:hAnsi="宋体" w:cs="宋体"/>
          <w:highlight w:val="none"/>
          <w:shd w:val="clear" w:color="auto" w:fill="FFFFFF"/>
        </w:rPr>
      </w:pPr>
      <w:r>
        <w:rPr>
          <w:rFonts w:hint="eastAsia" w:ascii="宋体" w:hAnsi="宋体" w:cs="宋体"/>
          <w:highlight w:val="none"/>
          <w:shd w:val="clear" w:color="auto" w:fill="FFFFFF"/>
        </w:rPr>
        <w:t xml:space="preserve">              </w:t>
      </w:r>
    </w:p>
    <w:p w14:paraId="7D5F8EFF">
      <w:pPr>
        <w:pStyle w:val="10"/>
        <w:widowControl/>
        <w:spacing w:before="76" w:beforeAutospacing="0" w:after="76" w:afterAutospacing="0" w:line="360" w:lineRule="auto"/>
        <w:ind w:left="-3" w:firstLine="3192" w:firstLineChars="1325"/>
        <w:rPr>
          <w:rFonts w:hint="eastAsia" w:ascii="宋体" w:hAnsi="宋体" w:cs="宋体"/>
          <w:b/>
          <w:bCs/>
          <w:highlight w:val="none"/>
          <w:shd w:val="clear" w:color="auto" w:fill="FFFFFF"/>
        </w:rPr>
      </w:pPr>
      <w:r>
        <w:rPr>
          <w:rFonts w:hint="eastAsia" w:ascii="宋体" w:hAnsi="宋体" w:cs="宋体"/>
          <w:b/>
          <w:bCs/>
          <w:highlight w:val="none"/>
          <w:shd w:val="clear" w:color="auto" w:fill="FFFFFF"/>
        </w:rPr>
        <w:br w:type="page"/>
      </w:r>
      <w:r>
        <w:rPr>
          <w:rFonts w:hint="eastAsia" w:ascii="宋体" w:hAnsi="宋体" w:cs="宋体"/>
          <w:b/>
          <w:bCs/>
          <w:highlight w:val="none"/>
          <w:shd w:val="clear" w:color="auto" w:fill="FFFFFF"/>
        </w:rPr>
        <w:t>中小企业声明函（工程、服务）</w:t>
      </w:r>
    </w:p>
    <w:p w14:paraId="6F034010">
      <w:pPr>
        <w:pStyle w:val="10"/>
        <w:widowControl/>
        <w:spacing w:before="76" w:beforeAutospacing="0" w:after="76" w:afterAutospacing="0" w:line="360" w:lineRule="auto"/>
        <w:ind w:left="-3" w:firstLine="540" w:firstLineChars="225"/>
        <w:rPr>
          <w:rFonts w:hint="eastAsia" w:ascii="宋体" w:hAnsi="宋体" w:cs="宋体"/>
          <w:highlight w:val="none"/>
          <w:shd w:val="clear" w:color="auto" w:fill="FFFFFF"/>
        </w:rPr>
      </w:pPr>
      <w:r>
        <w:rPr>
          <w:rFonts w:hint="eastAsia" w:ascii="宋体" w:hAnsi="宋体" w:cs="宋体"/>
          <w:highlight w:val="none"/>
          <w:shd w:val="clear" w:color="auto" w:fill="FFFFFF"/>
        </w:rPr>
        <w:t>本公司（联合体）郑重声明，根据《政府采购促进中小企业发展管理办法》（财库﹝2020﹞46 号）的规定，本公司（联合体）参加</w:t>
      </w:r>
      <w:r>
        <w:rPr>
          <w:rFonts w:hint="eastAsia" w:ascii="宋体" w:hAnsi="宋体" w:cs="宋体"/>
          <w:highlight w:val="none"/>
          <w:u w:val="single"/>
          <w:shd w:val="clear" w:color="auto" w:fill="FFFFFF"/>
        </w:rPr>
        <w:t>（单位名称）</w:t>
      </w:r>
      <w:r>
        <w:rPr>
          <w:rFonts w:hint="eastAsia" w:ascii="宋体" w:hAnsi="宋体" w:cs="宋体"/>
          <w:highlight w:val="none"/>
          <w:shd w:val="clear" w:color="auto" w:fill="FFFFFF"/>
        </w:rPr>
        <w:t>的</w:t>
      </w:r>
      <w:r>
        <w:rPr>
          <w:rFonts w:hint="eastAsia" w:ascii="宋体" w:hAnsi="宋体" w:cs="宋体"/>
          <w:highlight w:val="none"/>
          <w:u w:val="single"/>
          <w:shd w:val="clear" w:color="auto" w:fill="FFFFFF"/>
        </w:rPr>
        <w:t>（项目名称）</w:t>
      </w:r>
      <w:r>
        <w:rPr>
          <w:rFonts w:hint="eastAsia" w:ascii="宋体" w:hAnsi="宋体" w:cs="宋体"/>
          <w:highlight w:val="none"/>
          <w:shd w:val="clear" w:color="auto" w:fill="FFFFFF"/>
        </w:rPr>
        <w:t>采购活动，工程的施工单位全部为符合政策要求的中小企业（或者：服务全部由符合政策要求的中小企业承接）。相关企业（含联合体中的中小企业、签订分包意向协议的中小企业）的具体情况如下：</w:t>
      </w:r>
    </w:p>
    <w:p w14:paraId="40C7C3B2">
      <w:pPr>
        <w:pStyle w:val="10"/>
        <w:widowControl/>
        <w:spacing w:before="76" w:beforeAutospacing="0" w:after="76" w:afterAutospacing="0" w:line="360" w:lineRule="auto"/>
        <w:ind w:left="-3" w:firstLine="60" w:firstLineChars="25"/>
        <w:rPr>
          <w:rFonts w:hint="eastAsia" w:ascii="宋体" w:hAnsi="宋体" w:cs="宋体"/>
          <w:highlight w:val="none"/>
        </w:rPr>
      </w:pPr>
      <w:r>
        <w:rPr>
          <w:rFonts w:hint="eastAsia" w:ascii="宋体" w:hAnsi="宋体" w:cs="宋体"/>
          <w:highlight w:val="none"/>
          <w:shd w:val="clear" w:color="auto" w:fill="FFFFFF"/>
        </w:rPr>
        <w:t>    1.</w:t>
      </w:r>
      <w:r>
        <w:rPr>
          <w:rFonts w:hint="eastAsia" w:ascii="宋体" w:hAnsi="宋体" w:cs="宋体"/>
          <w:highlight w:val="none"/>
          <w:u w:val="single"/>
          <w:shd w:val="clear" w:color="auto" w:fill="FFFFFF"/>
        </w:rPr>
        <w:t>（标的名称）</w:t>
      </w:r>
      <w:r>
        <w:rPr>
          <w:rFonts w:hint="eastAsia" w:ascii="宋体" w:hAnsi="宋体" w:cs="宋体"/>
          <w:highlight w:val="none"/>
          <w:shd w:val="clear" w:color="auto" w:fill="FFFFFF"/>
        </w:rPr>
        <w:t>，属于</w:t>
      </w:r>
      <w:r>
        <w:rPr>
          <w:rFonts w:hint="eastAsia" w:ascii="宋体" w:hAnsi="宋体" w:cs="宋体"/>
          <w:highlight w:val="none"/>
          <w:u w:val="single"/>
          <w:shd w:val="clear" w:color="auto" w:fill="FFFFFF"/>
        </w:rPr>
        <w:t>（采购文件中明确的所属行业）</w:t>
      </w:r>
      <w:r>
        <w:rPr>
          <w:rFonts w:hint="eastAsia" w:ascii="宋体" w:hAnsi="宋体" w:cs="宋体"/>
          <w:highlight w:val="none"/>
          <w:shd w:val="clear" w:color="auto" w:fill="FFFFFF"/>
        </w:rPr>
        <w:t>；承建（承接）企业为</w:t>
      </w:r>
      <w:r>
        <w:rPr>
          <w:rFonts w:hint="eastAsia" w:ascii="宋体" w:hAnsi="宋体" w:cs="宋体"/>
          <w:highlight w:val="none"/>
          <w:u w:val="single"/>
          <w:shd w:val="clear" w:color="auto" w:fill="FFFFFF"/>
        </w:rPr>
        <w:t>（企业名称）</w:t>
      </w:r>
      <w:r>
        <w:rPr>
          <w:rFonts w:hint="eastAsia" w:ascii="宋体" w:hAnsi="宋体" w:cs="宋体"/>
          <w:highlight w:val="none"/>
          <w:shd w:val="clear" w:color="auto" w:fill="FFFFFF"/>
        </w:rPr>
        <w:t>，从业人员</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人，营业收入为</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万元，资产总额为</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万元</w:t>
      </w:r>
      <w:r>
        <w:rPr>
          <w:rFonts w:hint="eastAsia" w:ascii="宋体" w:hAnsi="宋体" w:cs="宋体"/>
          <w:highlight w:val="none"/>
          <w:shd w:val="clear" w:color="auto" w:fill="FFFFFF"/>
          <w:vertAlign w:val="superscript"/>
        </w:rPr>
        <w:t>1</w:t>
      </w:r>
      <w:r>
        <w:rPr>
          <w:rFonts w:hint="eastAsia" w:ascii="宋体" w:hAnsi="宋体" w:cs="宋体"/>
          <w:highlight w:val="none"/>
          <w:shd w:val="clear" w:color="auto" w:fill="FFFFFF"/>
        </w:rPr>
        <w:t>，属于</w:t>
      </w:r>
      <w:r>
        <w:rPr>
          <w:rFonts w:hint="eastAsia" w:ascii="宋体" w:hAnsi="宋体" w:cs="宋体"/>
          <w:highlight w:val="none"/>
          <w:u w:val="single"/>
          <w:shd w:val="clear" w:color="auto" w:fill="FFFFFF"/>
        </w:rPr>
        <w:t>（中型企业、小型企业、微型企业）</w:t>
      </w:r>
      <w:r>
        <w:rPr>
          <w:rFonts w:hint="eastAsia" w:ascii="宋体" w:hAnsi="宋体" w:cs="宋体"/>
          <w:highlight w:val="none"/>
          <w:shd w:val="clear" w:color="auto" w:fill="FFFFFF"/>
        </w:rPr>
        <w:t>；</w:t>
      </w:r>
    </w:p>
    <w:p w14:paraId="2870E5CE">
      <w:pPr>
        <w:pStyle w:val="10"/>
        <w:widowControl/>
        <w:spacing w:before="0" w:beforeAutospacing="0" w:after="150" w:afterAutospacing="0" w:line="360" w:lineRule="auto"/>
        <w:ind w:left="-3" w:firstLine="60" w:firstLineChars="25"/>
        <w:rPr>
          <w:rFonts w:hint="eastAsia" w:ascii="宋体" w:hAnsi="宋体" w:cs="宋体"/>
          <w:highlight w:val="none"/>
        </w:rPr>
      </w:pPr>
      <w:r>
        <w:rPr>
          <w:rFonts w:hint="eastAsia" w:ascii="宋体" w:hAnsi="宋体" w:cs="宋体"/>
          <w:highlight w:val="none"/>
          <w:shd w:val="clear" w:color="auto" w:fill="FFFFFF"/>
        </w:rPr>
        <w:t>   2.</w:t>
      </w:r>
      <w:r>
        <w:rPr>
          <w:rFonts w:hint="eastAsia" w:ascii="宋体" w:hAnsi="宋体" w:cs="宋体"/>
          <w:highlight w:val="none"/>
          <w:u w:val="single"/>
          <w:shd w:val="clear" w:color="auto" w:fill="FFFFFF"/>
        </w:rPr>
        <w:t>（标的名称）</w:t>
      </w:r>
      <w:r>
        <w:rPr>
          <w:rFonts w:hint="eastAsia" w:ascii="宋体" w:hAnsi="宋体" w:cs="宋体"/>
          <w:highlight w:val="none"/>
          <w:shd w:val="clear" w:color="auto" w:fill="FFFFFF"/>
        </w:rPr>
        <w:t>，属于</w:t>
      </w:r>
      <w:r>
        <w:rPr>
          <w:rFonts w:hint="eastAsia" w:ascii="宋体" w:hAnsi="宋体" w:cs="宋体"/>
          <w:highlight w:val="none"/>
          <w:u w:val="single"/>
          <w:shd w:val="clear" w:color="auto" w:fill="FFFFFF"/>
        </w:rPr>
        <w:t>（采购文件中明确的所属行业）</w:t>
      </w:r>
      <w:r>
        <w:rPr>
          <w:rFonts w:hint="eastAsia" w:ascii="宋体" w:hAnsi="宋体" w:cs="宋体"/>
          <w:highlight w:val="none"/>
          <w:shd w:val="clear" w:color="auto" w:fill="FFFFFF"/>
        </w:rPr>
        <w:t>；承建（承接）企业为</w:t>
      </w:r>
      <w:r>
        <w:rPr>
          <w:rFonts w:hint="eastAsia" w:ascii="宋体" w:hAnsi="宋体" w:cs="宋体"/>
          <w:highlight w:val="none"/>
          <w:u w:val="single"/>
          <w:shd w:val="clear" w:color="auto" w:fill="FFFFFF"/>
        </w:rPr>
        <w:t>（企业名称）</w:t>
      </w:r>
      <w:r>
        <w:rPr>
          <w:rFonts w:hint="eastAsia" w:ascii="宋体" w:hAnsi="宋体" w:cs="宋体"/>
          <w:highlight w:val="none"/>
          <w:shd w:val="clear" w:color="auto" w:fill="FFFFFF"/>
        </w:rPr>
        <w:t>，从业人员</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人，营业收入为</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万元，资产总额为</w:t>
      </w:r>
      <w:r>
        <w:rPr>
          <w:rFonts w:hint="eastAsia" w:ascii="宋体" w:hAnsi="宋体" w:cs="宋体"/>
          <w:highlight w:val="none"/>
          <w:u w:val="single"/>
          <w:shd w:val="clear" w:color="auto" w:fill="FFFFFF"/>
        </w:rPr>
        <w:t>  </w:t>
      </w:r>
      <w:r>
        <w:rPr>
          <w:rFonts w:hint="eastAsia" w:ascii="宋体" w:hAnsi="宋体" w:cs="宋体"/>
          <w:highlight w:val="none"/>
          <w:shd w:val="clear" w:color="auto" w:fill="FFFFFF"/>
        </w:rPr>
        <w:t>万元，属于</w:t>
      </w:r>
      <w:r>
        <w:rPr>
          <w:rFonts w:hint="eastAsia" w:ascii="宋体" w:hAnsi="宋体" w:cs="宋体"/>
          <w:highlight w:val="none"/>
          <w:u w:val="single"/>
          <w:shd w:val="clear" w:color="auto" w:fill="FFFFFF"/>
        </w:rPr>
        <w:t>（中型企业、小型企业、微型企业）</w:t>
      </w:r>
      <w:r>
        <w:rPr>
          <w:rFonts w:hint="eastAsia" w:ascii="宋体" w:hAnsi="宋体" w:cs="宋体"/>
          <w:highlight w:val="none"/>
          <w:shd w:val="clear" w:color="auto" w:fill="FFFFFF"/>
        </w:rPr>
        <w:t>；</w:t>
      </w:r>
    </w:p>
    <w:p w14:paraId="63530C64">
      <w:pPr>
        <w:pStyle w:val="10"/>
        <w:widowControl/>
        <w:spacing w:before="0" w:beforeAutospacing="0" w:after="150" w:afterAutospacing="0" w:line="360" w:lineRule="auto"/>
        <w:ind w:left="-3" w:firstLine="60" w:firstLineChars="25"/>
        <w:rPr>
          <w:rFonts w:hint="eastAsia" w:ascii="宋体" w:hAnsi="宋体" w:cs="宋体"/>
          <w:highlight w:val="none"/>
        </w:rPr>
      </w:pPr>
      <w:r>
        <w:rPr>
          <w:rFonts w:hint="eastAsia" w:ascii="宋体" w:hAnsi="宋体" w:cs="宋体"/>
          <w:highlight w:val="none"/>
          <w:shd w:val="clear" w:color="auto" w:fill="FFFFFF"/>
        </w:rPr>
        <w:t>……</w:t>
      </w:r>
    </w:p>
    <w:p w14:paraId="219E894E">
      <w:pPr>
        <w:pStyle w:val="10"/>
        <w:widowControl/>
        <w:spacing w:before="0" w:beforeAutospacing="0" w:after="150" w:afterAutospacing="0" w:line="360" w:lineRule="auto"/>
        <w:ind w:left="-3" w:firstLine="540" w:firstLineChars="225"/>
        <w:rPr>
          <w:rFonts w:hint="eastAsia" w:ascii="宋体" w:hAnsi="宋体" w:cs="宋体"/>
          <w:highlight w:val="none"/>
        </w:rPr>
      </w:pPr>
      <w:r>
        <w:rPr>
          <w:rFonts w:hint="eastAsia" w:ascii="宋体" w:hAnsi="宋体" w:cs="宋体"/>
          <w:highlight w:val="none"/>
          <w:shd w:val="clear" w:color="auto" w:fill="FFFFFF"/>
        </w:rPr>
        <w:t>以上企业，不属于大企业的分支机构，不存在控股股东为大企业的情形，也不存在与大企业的负责人为同一人的情形。</w:t>
      </w:r>
    </w:p>
    <w:p w14:paraId="28939163">
      <w:pPr>
        <w:pStyle w:val="10"/>
        <w:widowControl/>
        <w:spacing w:before="0" w:beforeAutospacing="0" w:after="150" w:afterAutospacing="0" w:line="360" w:lineRule="auto"/>
        <w:ind w:left="-3" w:firstLine="540" w:firstLineChars="225"/>
        <w:rPr>
          <w:rFonts w:hint="eastAsia" w:ascii="宋体" w:hAnsi="宋体" w:cs="宋体"/>
          <w:highlight w:val="none"/>
          <w:shd w:val="clear" w:color="auto" w:fill="FFFFFF"/>
        </w:rPr>
      </w:pPr>
      <w:r>
        <w:rPr>
          <w:rFonts w:hint="eastAsia" w:ascii="宋体" w:hAnsi="宋体" w:cs="宋体"/>
          <w:highlight w:val="none"/>
          <w:shd w:val="clear" w:color="auto" w:fill="FFFFFF"/>
        </w:rPr>
        <w:t>本企业对上述声明内容的真实性负责。如有虚假，将依法承担相应责任。</w:t>
      </w:r>
    </w:p>
    <w:p w14:paraId="37F3B23E">
      <w:pPr>
        <w:pStyle w:val="11"/>
        <w:numPr>
          <w:ilvl w:val="1"/>
          <w:numId w:val="0"/>
        </w:numPr>
        <w:ind w:left="567"/>
        <w:outlineLvl w:val="9"/>
        <w:rPr>
          <w:rFonts w:ascii="宋体" w:hAnsi="宋体" w:eastAsia="宋体"/>
          <w:szCs w:val="24"/>
          <w:highlight w:val="none"/>
        </w:rPr>
      </w:pPr>
    </w:p>
    <w:p w14:paraId="0306D191">
      <w:pPr>
        <w:pStyle w:val="10"/>
        <w:widowControl/>
        <w:spacing w:before="0" w:beforeAutospacing="0" w:after="150" w:afterAutospacing="0" w:line="360" w:lineRule="auto"/>
        <w:ind w:left="-3" w:firstLine="60" w:firstLineChars="25"/>
        <w:rPr>
          <w:rFonts w:hint="eastAsia" w:ascii="宋体" w:hAnsi="宋体" w:cs="宋体"/>
          <w:highlight w:val="none"/>
          <w:shd w:val="clear" w:color="auto" w:fill="FFFFFF"/>
        </w:rPr>
      </w:pPr>
      <w:r>
        <w:rPr>
          <w:rFonts w:hint="eastAsia" w:ascii="宋体" w:hAnsi="宋体" w:cs="宋体"/>
          <w:highlight w:val="none"/>
          <w:shd w:val="clear" w:color="auto" w:fill="FFFFFF"/>
        </w:rPr>
        <w:t>                                     企业名称（盖章）：        </w:t>
      </w:r>
    </w:p>
    <w:p w14:paraId="1912BEF8">
      <w:pPr>
        <w:pStyle w:val="10"/>
        <w:widowControl/>
        <w:spacing w:before="0" w:beforeAutospacing="0" w:after="150" w:afterAutospacing="0" w:line="360" w:lineRule="auto"/>
        <w:ind w:left="-3" w:firstLine="60" w:firstLineChars="25"/>
        <w:rPr>
          <w:rFonts w:hint="eastAsia" w:ascii="宋体" w:hAnsi="宋体" w:cs="宋体"/>
          <w:highlight w:val="none"/>
        </w:rPr>
      </w:pPr>
      <w:r>
        <w:rPr>
          <w:rFonts w:hint="eastAsia" w:ascii="宋体" w:hAnsi="宋体" w:cs="宋体"/>
          <w:highlight w:val="none"/>
          <w:shd w:val="clear" w:color="auto" w:fill="FFFFFF"/>
        </w:rPr>
        <w:t>                                            日期：</w:t>
      </w:r>
    </w:p>
    <w:p w14:paraId="4BFF9B31">
      <w:pPr>
        <w:pStyle w:val="10"/>
        <w:widowControl/>
        <w:spacing w:before="0" w:beforeAutospacing="0" w:after="150" w:afterAutospacing="0" w:line="360" w:lineRule="auto"/>
        <w:ind w:left="-3" w:firstLine="60" w:firstLineChars="25"/>
        <w:rPr>
          <w:rFonts w:hint="eastAsia" w:ascii="宋体" w:hAnsi="宋体" w:cs="宋体"/>
          <w:highlight w:val="none"/>
        </w:rPr>
      </w:pPr>
      <w:r>
        <w:rPr>
          <w:rFonts w:hint="eastAsia" w:ascii="宋体" w:hAnsi="宋体" w:cs="宋体"/>
          <w:highlight w:val="none"/>
          <w:shd w:val="clear" w:color="auto" w:fill="FFFFFF"/>
        </w:rPr>
        <w:t xml:space="preserve">    </w:t>
      </w:r>
      <w:r>
        <w:rPr>
          <w:rFonts w:hint="eastAsia" w:ascii="宋体" w:hAnsi="宋体" w:cs="宋体"/>
          <w:highlight w:val="none"/>
          <w:shd w:val="clear" w:color="auto" w:fill="FFFFFF"/>
          <w:vertAlign w:val="superscript"/>
        </w:rPr>
        <w:t>1</w:t>
      </w:r>
      <w:r>
        <w:rPr>
          <w:rFonts w:hint="eastAsia" w:ascii="宋体" w:hAnsi="宋体" w:cs="宋体"/>
          <w:highlight w:val="none"/>
          <w:shd w:val="clear" w:color="auto" w:fill="FFFFFF"/>
        </w:rPr>
        <w:t>从业人员、营业收入、资产总额填报上一年度数据，无上一年度数据的新成立企业可不填报。</w:t>
      </w:r>
    </w:p>
    <w:p w14:paraId="3CEA8154">
      <w:pPr>
        <w:pStyle w:val="11"/>
        <w:numPr>
          <w:ilvl w:val="1"/>
          <w:numId w:val="0"/>
        </w:numPr>
        <w:ind w:left="567"/>
        <w:outlineLvl w:val="9"/>
        <w:rPr>
          <w:rFonts w:ascii="宋体" w:hAnsi="宋体" w:eastAsia="宋体"/>
          <w:highlight w:val="none"/>
        </w:rPr>
      </w:pPr>
    </w:p>
    <w:p w14:paraId="1426844A">
      <w:pPr>
        <w:pStyle w:val="10"/>
        <w:jc w:val="both"/>
        <w:rPr>
          <w:rFonts w:hint="eastAsia" w:ascii="宋体" w:hAnsi="宋体" w:cs="宋体"/>
          <w:sz w:val="21"/>
          <w:szCs w:val="21"/>
          <w:highlight w:val="none"/>
          <w:shd w:val="clear" w:color="auto" w:fill="FFFFFF"/>
        </w:rPr>
      </w:pPr>
      <w:r>
        <w:rPr>
          <w:rFonts w:hint="eastAsia" w:ascii="宋体" w:hAnsi="宋体" w:cs="宋体"/>
          <w:sz w:val="17"/>
          <w:szCs w:val="17"/>
          <w:highlight w:val="none"/>
        </w:rPr>
        <w:br w:type="page"/>
      </w:r>
      <w:r>
        <w:rPr>
          <w:rFonts w:hint="eastAsia" w:ascii="宋体" w:hAnsi="宋体" w:cs="宋体"/>
          <w:sz w:val="21"/>
          <w:szCs w:val="21"/>
          <w:highlight w:val="none"/>
          <w:shd w:val="clear" w:color="auto" w:fill="FFFFFF"/>
        </w:rPr>
        <w:t xml:space="preserve">附：                </w:t>
      </w:r>
    </w:p>
    <w:p w14:paraId="23C114EC">
      <w:pPr>
        <w:pStyle w:val="10"/>
        <w:ind w:firstLine="1928" w:firstLineChars="800"/>
        <w:jc w:val="both"/>
        <w:rPr>
          <w:rFonts w:hint="eastAsia" w:ascii="宋体" w:hAnsi="宋体" w:cs="宋体"/>
          <w:highlight w:val="none"/>
        </w:rPr>
      </w:pPr>
      <w:r>
        <w:rPr>
          <w:rStyle w:val="34"/>
          <w:rFonts w:hint="eastAsia" w:ascii="宋体" w:hAnsi="宋体" w:cs="宋体"/>
          <w:highlight w:val="none"/>
        </w:rPr>
        <w:t>残疾人福利性单位声明函（价格扣除适用，若有）</w:t>
      </w:r>
    </w:p>
    <w:p w14:paraId="77362E79">
      <w:pPr>
        <w:pStyle w:val="10"/>
        <w:ind w:firstLine="480" w:firstLineChars="200"/>
        <w:rPr>
          <w:rFonts w:hint="eastAsia" w:ascii="宋体" w:hAnsi="宋体" w:cs="宋体"/>
          <w:highlight w:val="none"/>
        </w:rPr>
      </w:pPr>
      <w:r>
        <w:rPr>
          <w:rFonts w:hint="eastAsia" w:ascii="宋体" w:hAnsi="宋体" w:cs="宋体"/>
          <w:highlight w:val="none"/>
        </w:rPr>
        <w:t>本投标人郑重声明，根据《财政部 民政部 中国残疾人联合会关于促进残疾人就业政府采购政策的通知》（财库</w:t>
      </w:r>
      <w:r>
        <w:rPr>
          <w:rFonts w:hint="eastAsia" w:ascii="宋体" w:hAnsi="宋体" w:cs="宋体"/>
          <w:highlight w:val="none"/>
          <w:lang w:eastAsia="zh-CN"/>
        </w:rPr>
        <w:t>〔2017〕141号</w:t>
      </w:r>
      <w:r>
        <w:rPr>
          <w:rFonts w:hint="eastAsia" w:ascii="宋体" w:hAnsi="宋体" w:cs="宋体"/>
          <w:highlight w:val="none"/>
        </w:rPr>
        <w:t>）、《政府采购促进中小企业发展管理办法》（财库〔2020〕46号）的规定，本投标人为符合条件的残疾人福利性单位，且本投标人参加贵单位的（填写“项目名称”）项目采购活动：</w:t>
      </w:r>
    </w:p>
    <w:p w14:paraId="1331EE7B">
      <w:pPr>
        <w:pStyle w:val="10"/>
        <w:rPr>
          <w:rFonts w:hint="eastAsia" w:ascii="宋体" w:hAnsi="宋体" w:cs="宋体"/>
          <w:highlight w:val="none"/>
        </w:rPr>
      </w:pPr>
      <w:r>
        <w:rPr>
          <w:rFonts w:hint="eastAsia" w:ascii="宋体" w:hAnsi="宋体" w:cs="宋体"/>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77754AE">
      <w:pPr>
        <w:pStyle w:val="10"/>
        <w:rPr>
          <w:rFonts w:hint="eastAsia" w:ascii="宋体" w:hAnsi="宋体" w:cs="宋体"/>
          <w:highlight w:val="none"/>
        </w:rPr>
      </w:pPr>
      <w:r>
        <w:rPr>
          <w:rFonts w:hint="eastAsia" w:ascii="宋体" w:hAnsi="宋体" w:cs="宋体"/>
          <w:highlight w:val="none"/>
        </w:rPr>
        <w:t>（ ）由本投标人承建的（填写“所投采购包、品目号”）工程</w:t>
      </w:r>
    </w:p>
    <w:p w14:paraId="17C1040D">
      <w:pPr>
        <w:pStyle w:val="10"/>
        <w:rPr>
          <w:rFonts w:hint="eastAsia" w:ascii="宋体" w:hAnsi="宋体" w:cs="宋体"/>
          <w:highlight w:val="none"/>
        </w:rPr>
      </w:pPr>
      <w:r>
        <w:rPr>
          <w:rFonts w:hint="eastAsia" w:ascii="宋体" w:hAnsi="宋体" w:cs="宋体"/>
          <w:highlight w:val="none"/>
        </w:rPr>
        <w:t>（ ）由本投标人承接的（填写“所投采购包、品目号”）服务；</w:t>
      </w:r>
    </w:p>
    <w:p w14:paraId="07461B4F">
      <w:pPr>
        <w:pStyle w:val="10"/>
        <w:rPr>
          <w:rFonts w:hint="eastAsia" w:ascii="宋体" w:hAnsi="宋体" w:cs="宋体"/>
          <w:highlight w:val="none"/>
        </w:rPr>
      </w:pPr>
      <w:r>
        <w:rPr>
          <w:rFonts w:hint="eastAsia" w:ascii="宋体" w:hAnsi="宋体" w:cs="宋体"/>
          <w:highlight w:val="none"/>
        </w:rPr>
        <w:t>本投标人对上述声明的真实性负责。如有虚假，将依法承担相应责任。</w:t>
      </w:r>
    </w:p>
    <w:p w14:paraId="3D2EC2A5">
      <w:pPr>
        <w:pStyle w:val="10"/>
        <w:rPr>
          <w:rFonts w:hint="eastAsia" w:ascii="宋体" w:hAnsi="宋体" w:cs="宋体"/>
          <w:highlight w:val="none"/>
        </w:rPr>
      </w:pPr>
      <w:r>
        <w:rPr>
          <w:rFonts w:hint="eastAsia" w:ascii="宋体" w:hAnsi="宋体" w:cs="宋体"/>
          <w:highlight w:val="none"/>
        </w:rPr>
        <w:t>备注：</w:t>
      </w:r>
    </w:p>
    <w:p w14:paraId="4566F107">
      <w:pPr>
        <w:pStyle w:val="10"/>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请投标人按照实际情况编制填写本声明函，并在相应的（）中打“√”。</w:t>
      </w:r>
    </w:p>
    <w:p w14:paraId="47E449F1">
      <w:pPr>
        <w:pStyle w:val="10"/>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若《残疾人福利性单位声明函》内容不真实，视为提供虚假材料。</w:t>
      </w:r>
    </w:p>
    <w:p w14:paraId="50DDA7C2">
      <w:pPr>
        <w:pStyle w:val="10"/>
        <w:rPr>
          <w:rFonts w:hint="eastAsia" w:ascii="宋体" w:hAnsi="宋体" w:cs="宋体"/>
          <w:highlight w:val="none"/>
        </w:rPr>
      </w:pPr>
    </w:p>
    <w:p w14:paraId="42ADA8FB">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054DEC92">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216E95D8">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31BEDB81">
      <w:pPr>
        <w:pStyle w:val="10"/>
        <w:jc w:val="center"/>
        <w:rPr>
          <w:rFonts w:hint="eastAsia" w:ascii="宋体" w:hAnsi="宋体" w:cs="宋体"/>
          <w:sz w:val="17"/>
          <w:szCs w:val="17"/>
          <w:highlight w:val="none"/>
        </w:rPr>
      </w:pPr>
    </w:p>
    <w:p w14:paraId="3D614511">
      <w:pPr>
        <w:pStyle w:val="11"/>
        <w:numPr>
          <w:ilvl w:val="1"/>
          <w:numId w:val="0"/>
        </w:numPr>
        <w:ind w:left="567"/>
        <w:outlineLvl w:val="9"/>
        <w:rPr>
          <w:rFonts w:ascii="宋体" w:hAnsi="宋体" w:eastAsia="宋体"/>
          <w:highlight w:val="none"/>
        </w:rPr>
      </w:pPr>
    </w:p>
    <w:p w14:paraId="04B9E7D8">
      <w:pPr>
        <w:pStyle w:val="70"/>
        <w:jc w:val="center"/>
        <w:outlineLvl w:val="3"/>
        <w:rPr>
          <w:rFonts w:hint="eastAsia" w:ascii="宋体" w:hAnsi="宋体" w:cs="宋体"/>
          <w:highlight w:val="none"/>
        </w:rPr>
      </w:pPr>
      <w:r>
        <w:rPr>
          <w:rFonts w:hint="eastAsia" w:ascii="宋体" w:hAnsi="宋体" w:cs="宋体"/>
          <w:sz w:val="17"/>
          <w:szCs w:val="17"/>
          <w:highlight w:val="none"/>
        </w:rPr>
        <w:br w:type="page"/>
      </w:r>
      <w:r>
        <w:rPr>
          <w:rStyle w:val="34"/>
          <w:rFonts w:hint="eastAsia" w:ascii="宋体" w:hAnsi="宋体" w:cs="宋体"/>
          <w:sz w:val="24"/>
          <w:szCs w:val="24"/>
          <w:highlight w:val="none"/>
          <w:lang w:bidi="ar"/>
        </w:rPr>
        <w:t>三-3本国产品价格扣除证明材料（若有）</w:t>
      </w:r>
    </w:p>
    <w:p w14:paraId="3BAB13C8">
      <w:pPr>
        <w:pStyle w:val="70"/>
        <w:rPr>
          <w:rFonts w:hint="eastAsia" w:ascii="宋体" w:hAnsi="宋体" w:cs="宋体"/>
          <w:highlight w:val="none"/>
        </w:rPr>
      </w:pPr>
    </w:p>
    <w:p w14:paraId="46F6520D">
      <w:pPr>
        <w:pStyle w:val="70"/>
        <w:jc w:val="center"/>
        <w:outlineLvl w:val="3"/>
        <w:rPr>
          <w:rStyle w:val="34"/>
          <w:rFonts w:hint="eastAsia" w:ascii="宋体" w:hAnsi="宋体" w:cs="宋体"/>
          <w:sz w:val="24"/>
          <w:szCs w:val="24"/>
          <w:highlight w:val="none"/>
          <w:lang w:bidi="ar"/>
        </w:rPr>
      </w:pPr>
      <w:r>
        <w:rPr>
          <w:rStyle w:val="34"/>
          <w:rFonts w:hint="eastAsia" w:ascii="宋体" w:hAnsi="宋体" w:cs="宋体"/>
          <w:sz w:val="24"/>
          <w:szCs w:val="24"/>
          <w:highlight w:val="none"/>
          <w:lang w:bidi="ar"/>
        </w:rPr>
        <w:t>关于符合本国产品标准的声明函</w:t>
      </w:r>
    </w:p>
    <w:p w14:paraId="086B06FD">
      <w:pPr>
        <w:widowControl/>
        <w:spacing w:before="24" w:after="24"/>
        <w:ind w:firstLine="482"/>
        <w:jc w:val="left"/>
        <w:rPr>
          <w:rFonts w:hint="eastAsia" w:ascii="宋体" w:hAnsi="宋体" w:cs="宋体"/>
          <w:kern w:val="0"/>
          <w:sz w:val="24"/>
          <w:highlight w:val="none"/>
        </w:rPr>
      </w:pPr>
    </w:p>
    <w:p w14:paraId="71314319">
      <w:pPr>
        <w:widowControl/>
        <w:spacing w:line="400" w:lineRule="exact"/>
        <w:ind w:firstLine="482"/>
        <w:jc w:val="left"/>
        <w:rPr>
          <w:rFonts w:hint="eastAsia" w:ascii="宋体" w:hAnsi="宋体" w:cs="宋体"/>
          <w:kern w:val="0"/>
          <w:sz w:val="24"/>
          <w:highlight w:val="none"/>
        </w:rPr>
      </w:pPr>
      <w:r>
        <w:rPr>
          <w:rFonts w:hint="eastAsia" w:ascii="宋体" w:hAnsi="宋体" w:cs="宋体"/>
          <w:kern w:val="0"/>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462171B">
      <w:pPr>
        <w:widowControl/>
        <w:spacing w:line="400" w:lineRule="exact"/>
        <w:ind w:firstLine="482"/>
        <w:jc w:val="left"/>
        <w:rPr>
          <w:rFonts w:hint="eastAsia" w:ascii="宋体" w:hAnsi="宋体" w:cs="宋体"/>
          <w:kern w:val="0"/>
          <w:sz w:val="24"/>
          <w:highlight w:val="none"/>
        </w:rPr>
      </w:pPr>
      <w:r>
        <w:rPr>
          <w:rFonts w:hint="eastAsia" w:ascii="宋体" w:hAnsi="宋体" w:cs="宋体"/>
          <w:kern w:val="0"/>
          <w:sz w:val="24"/>
          <w:highlight w:val="none"/>
        </w:rPr>
        <w:t>1.</w:t>
      </w:r>
      <w:r>
        <w:rPr>
          <w:rStyle w:val="37"/>
          <w:rFonts w:hint="eastAsia" w:ascii="宋体" w:hAnsi="宋体" w:cs="宋体"/>
          <w:sz w:val="24"/>
          <w:highlight w:val="none"/>
          <w:u w:val="single"/>
        </w:rPr>
        <w:t>（产品名称1）</w:t>
      </w:r>
      <w:r>
        <w:rPr>
          <w:rStyle w:val="37"/>
          <w:rFonts w:hint="eastAsia" w:ascii="宋体" w:hAnsi="宋体" w:cs="宋体"/>
          <w:sz w:val="24"/>
          <w:highlight w:val="none"/>
          <w:u w:val="single"/>
          <w:vertAlign w:val="superscript"/>
        </w:rPr>
        <w:t>1</w:t>
      </w:r>
      <w:r>
        <w:rPr>
          <w:rFonts w:hint="eastAsia" w:ascii="宋体" w:hAnsi="宋体" w:cs="宋体"/>
          <w:kern w:val="0"/>
          <w:sz w:val="24"/>
          <w:highlight w:val="none"/>
        </w:rPr>
        <w:t>，生产厂为</w:t>
      </w:r>
      <w:r>
        <w:rPr>
          <w:rStyle w:val="37"/>
          <w:rFonts w:hint="eastAsia" w:ascii="宋体" w:hAnsi="宋体" w:cs="宋体"/>
          <w:sz w:val="24"/>
          <w:highlight w:val="none"/>
          <w:u w:val="single"/>
        </w:rPr>
        <w:t>（厂名）</w:t>
      </w:r>
      <w:r>
        <w:rPr>
          <w:rStyle w:val="37"/>
          <w:rFonts w:hint="eastAsia" w:ascii="宋体" w:hAnsi="宋体" w:cs="宋体"/>
          <w:sz w:val="24"/>
          <w:highlight w:val="none"/>
          <w:u w:val="single"/>
          <w:vertAlign w:val="superscript"/>
        </w:rPr>
        <w:t>2</w:t>
      </w:r>
      <w:r>
        <w:rPr>
          <w:rFonts w:hint="eastAsia" w:ascii="宋体" w:hAnsi="宋体" w:cs="宋体"/>
          <w:kern w:val="0"/>
          <w:sz w:val="24"/>
          <w:highlight w:val="none"/>
        </w:rPr>
        <w:t>，厂址为</w:t>
      </w:r>
      <w:r>
        <w:rPr>
          <w:rStyle w:val="37"/>
          <w:rFonts w:hint="eastAsia" w:ascii="宋体" w:hAnsi="宋体" w:cs="宋体"/>
          <w:sz w:val="24"/>
          <w:highlight w:val="none"/>
          <w:u w:val="single"/>
        </w:rPr>
        <w:t>（生产厂址）</w:t>
      </w:r>
      <w:r>
        <w:rPr>
          <w:rFonts w:hint="eastAsia" w:ascii="宋体" w:hAnsi="宋体" w:cs="宋体"/>
          <w:kern w:val="0"/>
          <w:sz w:val="24"/>
          <w:highlight w:val="none"/>
        </w:rPr>
        <w:t>。</w:t>
      </w:r>
      <w:r>
        <w:rPr>
          <w:rStyle w:val="37"/>
          <w:rFonts w:hint="eastAsia" w:ascii="宋体" w:hAnsi="宋体" w:cs="宋体"/>
          <w:sz w:val="24"/>
          <w:highlight w:val="none"/>
          <w:u w:val="single"/>
        </w:rPr>
        <w:t>（产品名称1）</w:t>
      </w:r>
      <w:r>
        <w:rPr>
          <w:rFonts w:hint="eastAsia" w:ascii="宋体" w:hAnsi="宋体" w:cs="宋体"/>
          <w:kern w:val="0"/>
          <w:sz w:val="24"/>
          <w:highlight w:val="none"/>
        </w:rPr>
        <w:t>的中国境内生产的组件成本占比≥</w:t>
      </w:r>
      <w:r>
        <w:rPr>
          <w:rStyle w:val="37"/>
          <w:rFonts w:hint="eastAsia" w:ascii="宋体" w:hAnsi="宋体" w:cs="宋体"/>
          <w:sz w:val="24"/>
          <w:highlight w:val="none"/>
          <w:u w:val="single"/>
        </w:rPr>
        <w:t>（规定比例）</w:t>
      </w:r>
      <w:r>
        <w:rPr>
          <w:rStyle w:val="37"/>
          <w:rFonts w:hint="eastAsia" w:ascii="宋体" w:hAnsi="宋体" w:cs="宋体"/>
          <w:sz w:val="24"/>
          <w:highlight w:val="none"/>
          <w:u w:val="single"/>
          <w:vertAlign w:val="superscript"/>
        </w:rPr>
        <w:t>3</w:t>
      </w:r>
      <w:r>
        <w:rPr>
          <w:rFonts w:hint="eastAsia" w:ascii="宋体" w:hAnsi="宋体" w:cs="宋体"/>
          <w:kern w:val="0"/>
          <w:sz w:val="24"/>
          <w:highlight w:val="none"/>
        </w:rPr>
        <w:t>。</w:t>
      </w:r>
      <w:r>
        <w:rPr>
          <w:rStyle w:val="37"/>
          <w:rFonts w:hint="eastAsia" w:ascii="宋体" w:hAnsi="宋体" w:cs="宋体"/>
          <w:sz w:val="24"/>
          <w:highlight w:val="none"/>
          <w:u w:val="single"/>
        </w:rPr>
        <w:t>（产品名称1）</w:t>
      </w:r>
      <w:r>
        <w:rPr>
          <w:rFonts w:hint="eastAsia" w:ascii="宋体" w:hAnsi="宋体" w:cs="宋体"/>
          <w:kern w:val="0"/>
          <w:sz w:val="24"/>
          <w:highlight w:val="none"/>
        </w:rPr>
        <w:t>的</w:t>
      </w:r>
      <w:r>
        <w:rPr>
          <w:rStyle w:val="37"/>
          <w:rFonts w:hint="eastAsia" w:ascii="宋体" w:hAnsi="宋体" w:cs="宋体"/>
          <w:sz w:val="24"/>
          <w:highlight w:val="none"/>
          <w:u w:val="single"/>
        </w:rPr>
        <w:t>（关键组件）</w:t>
      </w:r>
      <w:r>
        <w:rPr>
          <w:rStyle w:val="37"/>
          <w:rFonts w:hint="eastAsia" w:ascii="宋体" w:hAnsi="宋体" w:cs="宋体"/>
          <w:sz w:val="24"/>
          <w:highlight w:val="none"/>
          <w:u w:val="single"/>
          <w:vertAlign w:val="superscript"/>
        </w:rPr>
        <w:t>4</w:t>
      </w:r>
      <w:r>
        <w:rPr>
          <w:rFonts w:hint="eastAsia" w:ascii="宋体" w:hAnsi="宋体" w:cs="宋体"/>
          <w:kern w:val="0"/>
          <w:sz w:val="24"/>
          <w:highlight w:val="none"/>
        </w:rPr>
        <w:t>在中国境内生产。</w:t>
      </w:r>
      <w:r>
        <w:rPr>
          <w:rStyle w:val="37"/>
          <w:rFonts w:hint="eastAsia" w:ascii="宋体" w:hAnsi="宋体" w:cs="宋体"/>
          <w:sz w:val="24"/>
          <w:highlight w:val="none"/>
          <w:u w:val="single"/>
        </w:rPr>
        <w:t>（产品名称1）</w:t>
      </w:r>
      <w:r>
        <w:rPr>
          <w:rFonts w:hint="eastAsia" w:ascii="宋体" w:hAnsi="宋体" w:cs="宋体"/>
          <w:kern w:val="0"/>
          <w:sz w:val="24"/>
          <w:highlight w:val="none"/>
        </w:rPr>
        <w:t>的</w:t>
      </w:r>
      <w:r>
        <w:rPr>
          <w:rStyle w:val="37"/>
          <w:rFonts w:hint="eastAsia" w:ascii="宋体" w:hAnsi="宋体" w:cs="宋体"/>
          <w:sz w:val="24"/>
          <w:highlight w:val="none"/>
          <w:u w:val="single"/>
        </w:rPr>
        <w:t>（关键工序）</w:t>
      </w:r>
      <w:r>
        <w:rPr>
          <w:rStyle w:val="37"/>
          <w:rFonts w:hint="eastAsia" w:ascii="宋体" w:hAnsi="宋体" w:cs="宋体"/>
          <w:sz w:val="24"/>
          <w:highlight w:val="none"/>
          <w:u w:val="single"/>
          <w:vertAlign w:val="superscript"/>
        </w:rPr>
        <w:t>5</w:t>
      </w:r>
      <w:r>
        <w:rPr>
          <w:rFonts w:hint="eastAsia" w:ascii="宋体" w:hAnsi="宋体" w:cs="宋体"/>
          <w:kern w:val="0"/>
          <w:sz w:val="24"/>
          <w:highlight w:val="none"/>
        </w:rPr>
        <w:t>在中国境内完成。</w:t>
      </w:r>
    </w:p>
    <w:p w14:paraId="23C2C6FB">
      <w:pPr>
        <w:widowControl/>
        <w:spacing w:line="400" w:lineRule="exact"/>
        <w:ind w:firstLine="482"/>
        <w:jc w:val="left"/>
        <w:rPr>
          <w:rFonts w:hint="eastAsia" w:ascii="宋体" w:hAnsi="宋体" w:cs="宋体"/>
          <w:kern w:val="0"/>
          <w:sz w:val="24"/>
          <w:highlight w:val="none"/>
        </w:rPr>
      </w:pPr>
      <w:r>
        <w:rPr>
          <w:rFonts w:hint="eastAsia" w:ascii="宋体" w:hAnsi="宋体" w:cs="宋体"/>
          <w:kern w:val="0"/>
          <w:sz w:val="24"/>
          <w:highlight w:val="none"/>
        </w:rPr>
        <w:t>2.</w:t>
      </w:r>
      <w:r>
        <w:rPr>
          <w:rStyle w:val="37"/>
          <w:rFonts w:hint="eastAsia" w:ascii="宋体" w:hAnsi="宋体" w:cs="宋体"/>
          <w:sz w:val="24"/>
          <w:highlight w:val="none"/>
          <w:u w:val="single"/>
        </w:rPr>
        <w:t>（产品名称2）</w:t>
      </w:r>
      <w:r>
        <w:rPr>
          <w:rFonts w:hint="eastAsia" w:ascii="宋体" w:hAnsi="宋体" w:cs="宋体"/>
          <w:kern w:val="0"/>
          <w:sz w:val="24"/>
          <w:highlight w:val="none"/>
        </w:rPr>
        <w:t>，生产厂为</w:t>
      </w:r>
      <w:r>
        <w:rPr>
          <w:rStyle w:val="37"/>
          <w:rFonts w:hint="eastAsia" w:ascii="宋体" w:hAnsi="宋体" w:cs="宋体"/>
          <w:sz w:val="24"/>
          <w:highlight w:val="none"/>
          <w:u w:val="single"/>
        </w:rPr>
        <w:t>（厂名）</w:t>
      </w:r>
      <w:r>
        <w:rPr>
          <w:rFonts w:hint="eastAsia" w:ascii="宋体" w:hAnsi="宋体" w:cs="宋体"/>
          <w:kern w:val="0"/>
          <w:sz w:val="24"/>
          <w:highlight w:val="none"/>
        </w:rPr>
        <w:t>，厂址为</w:t>
      </w:r>
      <w:r>
        <w:rPr>
          <w:rStyle w:val="37"/>
          <w:rFonts w:hint="eastAsia" w:ascii="宋体" w:hAnsi="宋体" w:cs="宋体"/>
          <w:sz w:val="24"/>
          <w:highlight w:val="none"/>
          <w:u w:val="single"/>
        </w:rPr>
        <w:t>（生产厂址）</w:t>
      </w:r>
      <w:r>
        <w:rPr>
          <w:rFonts w:hint="eastAsia" w:ascii="宋体" w:hAnsi="宋体" w:cs="宋体"/>
          <w:kern w:val="0"/>
          <w:sz w:val="24"/>
          <w:highlight w:val="none"/>
        </w:rPr>
        <w:t>。</w:t>
      </w:r>
      <w:r>
        <w:rPr>
          <w:rStyle w:val="37"/>
          <w:rFonts w:hint="eastAsia" w:ascii="宋体" w:hAnsi="宋体" w:cs="宋体"/>
          <w:sz w:val="24"/>
          <w:highlight w:val="none"/>
          <w:u w:val="single"/>
        </w:rPr>
        <w:t>（产品名称2）</w:t>
      </w:r>
      <w:r>
        <w:rPr>
          <w:rFonts w:hint="eastAsia" w:ascii="宋体" w:hAnsi="宋体" w:cs="宋体"/>
          <w:kern w:val="0"/>
          <w:sz w:val="24"/>
          <w:highlight w:val="none"/>
        </w:rPr>
        <w:t>的中国境内生产的组件成本占比≥</w:t>
      </w:r>
      <w:r>
        <w:rPr>
          <w:rStyle w:val="37"/>
          <w:rFonts w:hint="eastAsia" w:ascii="宋体" w:hAnsi="宋体" w:cs="宋体"/>
          <w:sz w:val="24"/>
          <w:highlight w:val="none"/>
          <w:u w:val="single"/>
        </w:rPr>
        <w:t>（规定比例）</w:t>
      </w:r>
      <w:r>
        <w:rPr>
          <w:rFonts w:hint="eastAsia" w:ascii="宋体" w:hAnsi="宋体" w:cs="宋体"/>
          <w:kern w:val="0"/>
          <w:sz w:val="24"/>
          <w:highlight w:val="none"/>
        </w:rPr>
        <w:t>。</w:t>
      </w:r>
      <w:r>
        <w:rPr>
          <w:rStyle w:val="37"/>
          <w:rFonts w:hint="eastAsia" w:ascii="宋体" w:hAnsi="宋体" w:cs="宋体"/>
          <w:sz w:val="24"/>
          <w:highlight w:val="none"/>
          <w:u w:val="single"/>
        </w:rPr>
        <w:t>（产品名称2）</w:t>
      </w:r>
      <w:r>
        <w:rPr>
          <w:rFonts w:hint="eastAsia" w:ascii="宋体" w:hAnsi="宋体" w:cs="宋体"/>
          <w:kern w:val="0"/>
          <w:sz w:val="24"/>
          <w:highlight w:val="none"/>
        </w:rPr>
        <w:t>的</w:t>
      </w:r>
      <w:r>
        <w:rPr>
          <w:rStyle w:val="37"/>
          <w:rFonts w:hint="eastAsia" w:ascii="宋体" w:hAnsi="宋体" w:cs="宋体"/>
          <w:sz w:val="24"/>
          <w:highlight w:val="none"/>
          <w:u w:val="single"/>
        </w:rPr>
        <w:t>（关键组件）</w:t>
      </w:r>
      <w:r>
        <w:rPr>
          <w:rFonts w:hint="eastAsia" w:ascii="宋体" w:hAnsi="宋体" w:cs="宋体"/>
          <w:kern w:val="0"/>
          <w:sz w:val="24"/>
          <w:highlight w:val="none"/>
        </w:rPr>
        <w:t>在中国境内生产。</w:t>
      </w:r>
      <w:r>
        <w:rPr>
          <w:rStyle w:val="37"/>
          <w:rFonts w:hint="eastAsia" w:ascii="宋体" w:hAnsi="宋体" w:cs="宋体"/>
          <w:sz w:val="24"/>
          <w:highlight w:val="none"/>
          <w:u w:val="single"/>
        </w:rPr>
        <w:t>（产品名称2）</w:t>
      </w:r>
      <w:r>
        <w:rPr>
          <w:rFonts w:hint="eastAsia" w:ascii="宋体" w:hAnsi="宋体" w:cs="宋体"/>
          <w:kern w:val="0"/>
          <w:sz w:val="24"/>
          <w:highlight w:val="none"/>
        </w:rPr>
        <w:t>的</w:t>
      </w:r>
      <w:r>
        <w:rPr>
          <w:rStyle w:val="37"/>
          <w:rFonts w:hint="eastAsia" w:ascii="宋体" w:hAnsi="宋体" w:cs="宋体"/>
          <w:sz w:val="24"/>
          <w:highlight w:val="none"/>
          <w:u w:val="single"/>
        </w:rPr>
        <w:t>（关键工序）</w:t>
      </w:r>
      <w:r>
        <w:rPr>
          <w:rFonts w:hint="eastAsia" w:ascii="宋体" w:hAnsi="宋体" w:cs="宋体"/>
          <w:kern w:val="0"/>
          <w:sz w:val="24"/>
          <w:highlight w:val="none"/>
        </w:rPr>
        <w:t>在中国境内完成。</w:t>
      </w:r>
    </w:p>
    <w:p w14:paraId="595EEC94">
      <w:pPr>
        <w:widowControl/>
        <w:spacing w:line="400" w:lineRule="exact"/>
        <w:ind w:firstLine="482"/>
        <w:jc w:val="left"/>
        <w:rPr>
          <w:rFonts w:hint="eastAsia" w:ascii="宋体" w:hAnsi="宋体" w:cs="宋体"/>
          <w:kern w:val="0"/>
          <w:sz w:val="24"/>
          <w:highlight w:val="none"/>
        </w:rPr>
      </w:pPr>
      <w:r>
        <w:rPr>
          <w:rFonts w:hint="eastAsia" w:ascii="宋体" w:hAnsi="宋体" w:cs="宋体"/>
          <w:kern w:val="0"/>
          <w:sz w:val="24"/>
          <w:highlight w:val="none"/>
        </w:rPr>
        <w:t>……</w:t>
      </w:r>
    </w:p>
    <w:p w14:paraId="1D5A631D">
      <w:pPr>
        <w:widowControl/>
        <w:spacing w:line="400" w:lineRule="exact"/>
        <w:ind w:firstLine="482"/>
        <w:jc w:val="left"/>
        <w:rPr>
          <w:rFonts w:hint="eastAsia" w:ascii="宋体" w:hAnsi="宋体" w:cs="宋体"/>
          <w:kern w:val="0"/>
          <w:sz w:val="24"/>
          <w:highlight w:val="none"/>
        </w:rPr>
      </w:pPr>
      <w:r>
        <w:rPr>
          <w:rFonts w:hint="eastAsia" w:ascii="宋体" w:hAnsi="宋体" w:cs="宋体"/>
          <w:kern w:val="0"/>
          <w:sz w:val="24"/>
          <w:highlight w:val="none"/>
        </w:rPr>
        <w:t>本公司（单位）对上述声明内容的真实性负责。如有虚假，愿承担相应法律责任。</w:t>
      </w:r>
    </w:p>
    <w:p w14:paraId="5C67CD3C">
      <w:pPr>
        <w:widowControl/>
        <w:spacing w:line="400" w:lineRule="exact"/>
        <w:ind w:firstLine="4740" w:firstLineChars="1975"/>
        <w:jc w:val="left"/>
        <w:rPr>
          <w:rFonts w:hint="eastAsia" w:ascii="宋体" w:hAnsi="宋体" w:cs="宋体"/>
          <w:kern w:val="0"/>
          <w:sz w:val="24"/>
          <w:highlight w:val="none"/>
        </w:rPr>
      </w:pPr>
    </w:p>
    <w:p w14:paraId="2948D6CF">
      <w:pPr>
        <w:widowControl/>
        <w:spacing w:line="400" w:lineRule="exact"/>
        <w:ind w:firstLine="4740" w:firstLineChars="1975"/>
        <w:jc w:val="left"/>
        <w:rPr>
          <w:rFonts w:hint="eastAsia" w:ascii="宋体" w:hAnsi="宋体" w:cs="宋体"/>
          <w:kern w:val="0"/>
          <w:sz w:val="24"/>
          <w:highlight w:val="none"/>
        </w:rPr>
      </w:pPr>
      <w:r>
        <w:rPr>
          <w:rFonts w:hint="eastAsia" w:ascii="宋体" w:hAnsi="宋体" w:cs="宋体"/>
          <w:kern w:val="0"/>
          <w:sz w:val="24"/>
          <w:highlight w:val="none"/>
        </w:rPr>
        <w:t>公司（单位）名称（盖章）：　        </w:t>
      </w:r>
    </w:p>
    <w:p w14:paraId="28104A31">
      <w:pPr>
        <w:widowControl/>
        <w:spacing w:line="400" w:lineRule="exact"/>
        <w:ind w:firstLine="482"/>
        <w:jc w:val="right"/>
        <w:rPr>
          <w:rFonts w:hint="eastAsia" w:ascii="宋体" w:hAnsi="宋体" w:cs="宋体"/>
          <w:kern w:val="0"/>
          <w:sz w:val="24"/>
          <w:highlight w:val="none"/>
        </w:rPr>
      </w:pPr>
      <w:r>
        <w:rPr>
          <w:rFonts w:hint="eastAsia" w:ascii="宋体" w:hAnsi="宋体" w:cs="宋体"/>
          <w:kern w:val="0"/>
          <w:sz w:val="24"/>
          <w:highlight w:val="none"/>
        </w:rPr>
        <w:t>日期：　     年　  月　  日</w:t>
      </w:r>
    </w:p>
    <w:p w14:paraId="1D4C73AB">
      <w:pPr>
        <w:widowControl/>
        <w:spacing w:line="400" w:lineRule="exact"/>
        <w:ind w:firstLine="482"/>
        <w:jc w:val="left"/>
        <w:rPr>
          <w:rFonts w:hint="eastAsia" w:ascii="宋体" w:hAnsi="宋体" w:cs="宋体"/>
          <w:kern w:val="0"/>
          <w:sz w:val="24"/>
          <w:highlight w:val="none"/>
        </w:rPr>
      </w:pPr>
      <w:r>
        <w:rPr>
          <w:rFonts w:hint="eastAsia" w:ascii="宋体" w:hAnsi="宋体" w:cs="宋体"/>
          <w:kern w:val="0"/>
          <w:sz w:val="24"/>
          <w:highlight w:val="none"/>
        </w:rPr>
        <w:t>_______</w:t>
      </w:r>
      <w:bookmarkStart w:id="216" w:name="OLE_LINK37"/>
      <w:r>
        <w:rPr>
          <w:rFonts w:hint="eastAsia" w:ascii="宋体" w:hAnsi="宋体" w:cs="宋体"/>
          <w:kern w:val="0"/>
          <w:sz w:val="24"/>
          <w:highlight w:val="none"/>
        </w:rPr>
        <w:t>___________</w:t>
      </w:r>
      <w:bookmarkEnd w:id="216"/>
      <w:r>
        <w:rPr>
          <w:rFonts w:hint="eastAsia" w:ascii="宋体" w:hAnsi="宋体" w:cs="宋体"/>
          <w:kern w:val="0"/>
          <w:sz w:val="24"/>
          <w:highlight w:val="none"/>
        </w:rPr>
        <w:t>__________________________________________________________</w:t>
      </w:r>
    </w:p>
    <w:p w14:paraId="346D1247">
      <w:pPr>
        <w:widowControl/>
        <w:spacing w:line="400" w:lineRule="exact"/>
        <w:ind w:firstLine="482"/>
        <w:jc w:val="left"/>
        <w:rPr>
          <w:rFonts w:hint="eastAsia" w:ascii="宋体" w:hAnsi="宋体" w:cs="宋体"/>
          <w:kern w:val="0"/>
          <w:sz w:val="24"/>
          <w:highlight w:val="none"/>
        </w:rPr>
      </w:pPr>
      <w:r>
        <w:rPr>
          <w:rFonts w:hint="eastAsia" w:ascii="宋体" w:hAnsi="宋体" w:cs="宋体"/>
          <w:kern w:val="0"/>
          <w:sz w:val="24"/>
          <w:highlight w:val="none"/>
        </w:rPr>
        <w:t>1.产品如有型号，请在“产品名称”栏一并填写。</w:t>
      </w:r>
    </w:p>
    <w:p w14:paraId="6953DDBE">
      <w:pPr>
        <w:widowControl/>
        <w:spacing w:line="400" w:lineRule="exact"/>
        <w:ind w:firstLine="482"/>
        <w:jc w:val="left"/>
        <w:rPr>
          <w:rFonts w:hint="eastAsia" w:ascii="宋体" w:hAnsi="宋体" w:cs="宋体"/>
          <w:kern w:val="0"/>
          <w:sz w:val="24"/>
          <w:highlight w:val="none"/>
        </w:rPr>
      </w:pPr>
      <w:r>
        <w:rPr>
          <w:rFonts w:hint="eastAsia" w:ascii="宋体" w:hAnsi="宋体" w:cs="宋体"/>
          <w:kern w:val="0"/>
          <w:sz w:val="24"/>
          <w:highlight w:val="none"/>
        </w:rPr>
        <w:t>2.生产厂名与厂址应与生产厂营业执照载明的相关信息保持一致。</w:t>
      </w:r>
    </w:p>
    <w:p w14:paraId="5FE4B24C">
      <w:pPr>
        <w:widowControl/>
        <w:spacing w:line="400" w:lineRule="exact"/>
        <w:ind w:firstLine="480"/>
        <w:jc w:val="left"/>
        <w:rPr>
          <w:rFonts w:hint="eastAsia" w:ascii="宋体" w:hAnsi="宋体" w:cs="宋体"/>
          <w:b/>
          <w:bCs/>
          <w:kern w:val="0"/>
          <w:sz w:val="24"/>
          <w:highlight w:val="none"/>
        </w:rPr>
      </w:pPr>
      <w:r>
        <w:rPr>
          <w:rFonts w:hint="eastAsia" w:ascii="宋体" w:hAnsi="宋体" w:cs="宋体"/>
          <w:b/>
          <w:bCs/>
          <w:kern w:val="0"/>
          <w:sz w:val="24"/>
          <w:highlight w:val="none"/>
        </w:rPr>
        <w:t>3.该产品的中国境内生产的组件成本占比相关要求实施前，“规定比例”栏可不填，下同。</w:t>
      </w:r>
    </w:p>
    <w:p w14:paraId="77FA911E">
      <w:pPr>
        <w:widowControl/>
        <w:spacing w:line="400" w:lineRule="exact"/>
        <w:ind w:firstLine="480"/>
        <w:jc w:val="left"/>
        <w:rPr>
          <w:rFonts w:hint="eastAsia" w:ascii="宋体" w:hAnsi="宋体" w:cs="宋体"/>
          <w:b/>
          <w:bCs/>
          <w:kern w:val="0"/>
          <w:sz w:val="24"/>
          <w:highlight w:val="none"/>
        </w:rPr>
      </w:pPr>
      <w:r>
        <w:rPr>
          <w:rFonts w:hint="eastAsia" w:ascii="宋体" w:hAnsi="宋体" w:cs="宋体"/>
          <w:b/>
          <w:bCs/>
          <w:kern w:val="0"/>
          <w:sz w:val="24"/>
          <w:highlight w:val="none"/>
        </w:rPr>
        <w:t>4.该产品的关键组件要求实施前，“关键组件”栏可不填，下同。</w:t>
      </w:r>
    </w:p>
    <w:p w14:paraId="5BE46940">
      <w:pPr>
        <w:widowControl/>
        <w:spacing w:line="400" w:lineRule="exact"/>
        <w:ind w:firstLine="480"/>
        <w:jc w:val="left"/>
        <w:rPr>
          <w:rFonts w:hint="eastAsia" w:ascii="宋体" w:hAnsi="宋体" w:cs="宋体"/>
          <w:b/>
          <w:bCs/>
          <w:kern w:val="0"/>
          <w:sz w:val="24"/>
          <w:highlight w:val="none"/>
        </w:rPr>
      </w:pPr>
      <w:r>
        <w:rPr>
          <w:rFonts w:hint="eastAsia" w:ascii="宋体" w:hAnsi="宋体" w:cs="宋体"/>
          <w:b/>
          <w:bCs/>
          <w:kern w:val="0"/>
          <w:sz w:val="24"/>
          <w:highlight w:val="none"/>
        </w:rPr>
        <w:t>5.该产品的关键工序要求实施前，“关键工序”栏可不填，下同。</w:t>
      </w:r>
    </w:p>
    <w:p w14:paraId="093CAF47">
      <w:pPr>
        <w:widowControl/>
        <w:spacing w:before="24" w:after="24"/>
        <w:ind w:firstLine="480"/>
        <w:jc w:val="center"/>
        <w:outlineLvl w:val="1"/>
        <w:rPr>
          <w:rFonts w:hint="eastAsia" w:ascii="宋体" w:hAnsi="宋体" w:cs="宋体"/>
          <w:color w:val="0000FF"/>
          <w:kern w:val="0"/>
          <w:sz w:val="28"/>
          <w:szCs w:val="28"/>
          <w:highlight w:val="none"/>
        </w:rPr>
      </w:pPr>
      <w:r>
        <w:rPr>
          <w:rFonts w:hint="eastAsia" w:ascii="宋体" w:hAnsi="宋体" w:cs="宋体"/>
          <w:b/>
          <w:highlight w:val="none"/>
        </w:rPr>
        <w:br w:type="page"/>
      </w:r>
      <w:bookmarkStart w:id="217" w:name="_Toc14116"/>
      <w:r>
        <w:rPr>
          <w:rStyle w:val="34"/>
          <w:rFonts w:hint="eastAsia" w:ascii="宋体" w:hAnsi="宋体" w:cs="宋体"/>
          <w:kern w:val="0"/>
          <w:sz w:val="24"/>
          <w:highlight w:val="none"/>
          <w:lang w:bidi="ar"/>
        </w:rPr>
        <w:t>关于符合本国产品标准的成本占比的承诺函</w:t>
      </w:r>
      <w:bookmarkEnd w:id="217"/>
    </w:p>
    <w:p w14:paraId="6484DB66">
      <w:pPr>
        <w:widowControl/>
        <w:shd w:val="clear" w:color="auto" w:fill="FFFFFF"/>
        <w:spacing w:line="400" w:lineRule="exact"/>
        <w:ind w:firstLine="482"/>
        <w:jc w:val="left"/>
        <w:textAlignment w:val="baseline"/>
        <w:rPr>
          <w:rFonts w:hint="eastAsia" w:ascii="宋体" w:hAnsi="宋体" w:cs="宋体"/>
          <w:color w:val="000000"/>
          <w:kern w:val="0"/>
          <w:sz w:val="24"/>
          <w:highlight w:val="none"/>
          <w:shd w:val="clear" w:color="auto" w:fill="FFFFFF"/>
        </w:rPr>
      </w:pPr>
      <w:r>
        <w:rPr>
          <w:rFonts w:hint="eastAsia" w:ascii="宋体" w:hAnsi="宋体" w:cs="宋体"/>
          <w:color w:val="000000"/>
          <w:kern w:val="0"/>
          <w:sz w:val="24"/>
          <w:highlight w:val="none"/>
          <w:shd w:val="clear" w:color="auto" w:fill="FFFFFF"/>
        </w:rPr>
        <w:t>本公司</w:t>
      </w:r>
      <w:r>
        <w:rPr>
          <w:rFonts w:hint="eastAsia" w:ascii="宋体" w:hAnsi="宋体" w:cs="宋体"/>
          <w:color w:val="000000"/>
          <w:kern w:val="0"/>
          <w:sz w:val="24"/>
          <w:highlight w:val="none"/>
          <w:shd w:val="clear" w:color="auto" w:fill="FFFFFF"/>
          <w:lang w:eastAsia="zh-CN"/>
        </w:rPr>
        <w:t>（</w:t>
      </w:r>
      <w:r>
        <w:rPr>
          <w:rFonts w:hint="eastAsia" w:ascii="宋体" w:hAnsi="宋体" w:cs="宋体"/>
          <w:color w:val="000000"/>
          <w:kern w:val="0"/>
          <w:sz w:val="24"/>
          <w:highlight w:val="none"/>
          <w:shd w:val="clear" w:color="auto" w:fill="FFFFFF"/>
        </w:rPr>
        <w:t>单位</w:t>
      </w:r>
      <w:r>
        <w:rPr>
          <w:rFonts w:hint="eastAsia" w:ascii="宋体" w:hAnsi="宋体" w:cs="宋体"/>
          <w:color w:val="000000"/>
          <w:kern w:val="0"/>
          <w:sz w:val="24"/>
          <w:highlight w:val="none"/>
          <w:shd w:val="clear" w:color="auto" w:fill="FFFFFF"/>
          <w:lang w:eastAsia="zh-CN"/>
        </w:rPr>
        <w:t>）</w:t>
      </w:r>
      <w:r>
        <w:rPr>
          <w:rFonts w:hint="eastAsia" w:ascii="宋体" w:hAnsi="宋体" w:cs="宋体"/>
          <w:color w:val="000000"/>
          <w:kern w:val="0"/>
          <w:sz w:val="24"/>
          <w:highlight w:val="none"/>
          <w:shd w:val="clear" w:color="auto" w:fill="FFFFFF"/>
        </w:rPr>
        <w:t>郑重声明，根据《国务院办公厅关于在政府采购中实施本国产品标准及相关政策的通知》（国办发〔2025〕34号），本公司</w:t>
      </w:r>
      <w:r>
        <w:rPr>
          <w:rFonts w:hint="eastAsia" w:ascii="宋体" w:hAnsi="宋体" w:cs="宋体"/>
          <w:color w:val="000000"/>
          <w:kern w:val="0"/>
          <w:sz w:val="24"/>
          <w:highlight w:val="none"/>
          <w:shd w:val="clear" w:color="auto" w:fill="FFFFFF"/>
          <w:lang w:eastAsia="zh-CN"/>
        </w:rPr>
        <w:t>（</w:t>
      </w:r>
      <w:r>
        <w:rPr>
          <w:rFonts w:hint="eastAsia" w:ascii="宋体" w:hAnsi="宋体" w:cs="宋体"/>
          <w:color w:val="000000"/>
          <w:kern w:val="0"/>
          <w:sz w:val="24"/>
          <w:highlight w:val="none"/>
          <w:shd w:val="clear" w:color="auto" w:fill="FFFFFF"/>
        </w:rPr>
        <w:t>单位</w:t>
      </w:r>
      <w:r>
        <w:rPr>
          <w:rFonts w:hint="eastAsia" w:ascii="宋体" w:hAnsi="宋体" w:cs="宋体"/>
          <w:color w:val="000000"/>
          <w:kern w:val="0"/>
          <w:sz w:val="24"/>
          <w:highlight w:val="none"/>
          <w:shd w:val="clear" w:color="auto" w:fill="FFFFFF"/>
          <w:lang w:eastAsia="zh-CN"/>
        </w:rPr>
        <w:t>）</w:t>
      </w:r>
      <w:r>
        <w:rPr>
          <w:rFonts w:hint="eastAsia" w:ascii="宋体" w:hAnsi="宋体" w:cs="宋体"/>
          <w:color w:val="000000"/>
          <w:kern w:val="0"/>
          <w:sz w:val="24"/>
          <w:highlight w:val="none"/>
          <w:shd w:val="clear" w:color="auto" w:fill="FFFFFF"/>
        </w:rPr>
        <w:t>提供的产品符合本国产品认定标准的成本占比。具体情况如下</w:t>
      </w:r>
      <w:r>
        <w:rPr>
          <w:rFonts w:hint="eastAsia" w:ascii="宋体" w:hAnsi="宋体" w:cs="宋体"/>
          <w:color w:val="000000"/>
          <w:kern w:val="0"/>
          <w:sz w:val="24"/>
          <w:highlight w:val="none"/>
          <w:shd w:val="clear" w:color="auto" w:fill="FFFFFF"/>
          <w:lang w:eastAsia="zh-CN"/>
        </w:rPr>
        <w:t>：</w:t>
      </w:r>
    </w:p>
    <w:p w14:paraId="2BC56DF7">
      <w:pPr>
        <w:widowControl/>
        <w:shd w:val="clear" w:color="auto" w:fill="FFFFFF"/>
        <w:spacing w:line="400" w:lineRule="exact"/>
        <w:ind w:firstLine="482"/>
        <w:jc w:val="left"/>
        <w:textAlignment w:val="baseline"/>
        <w:rPr>
          <w:rFonts w:hint="eastAsia" w:ascii="宋体" w:hAnsi="宋体" w:cs="宋体"/>
          <w:color w:val="000000"/>
          <w:kern w:val="0"/>
          <w:sz w:val="24"/>
          <w:highlight w:val="none"/>
          <w:shd w:val="clear" w:color="auto" w:fill="FFFFFF"/>
        </w:rPr>
      </w:pPr>
      <w:r>
        <w:rPr>
          <w:rFonts w:hint="eastAsia" w:ascii="宋体" w:hAnsi="宋体" w:cs="宋体"/>
          <w:color w:val="000000"/>
          <w:kern w:val="0"/>
          <w:sz w:val="24"/>
          <w:highlight w:val="none"/>
          <w:shd w:val="clear" w:color="auto" w:fill="FFFFFF"/>
        </w:rPr>
        <w:t>针对本采购包提供的符合本国产品认定标准的产品成本之和占提供的全部产品成本之和的比例为______%。</w:t>
      </w:r>
    </w:p>
    <w:p w14:paraId="5CADC7A2">
      <w:pPr>
        <w:widowControl/>
        <w:shd w:val="clear" w:color="auto" w:fill="FFFFFF"/>
        <w:spacing w:line="400" w:lineRule="exact"/>
        <w:ind w:firstLine="482"/>
        <w:jc w:val="left"/>
        <w:textAlignment w:val="baseline"/>
        <w:rPr>
          <w:rFonts w:hint="eastAsia" w:ascii="宋体" w:hAnsi="宋体" w:cs="宋体"/>
          <w:color w:val="000000"/>
          <w:kern w:val="0"/>
          <w:sz w:val="24"/>
          <w:highlight w:val="none"/>
          <w:shd w:val="clear" w:color="auto" w:fill="FFFFFF"/>
        </w:rPr>
      </w:pPr>
      <w:r>
        <w:rPr>
          <w:rFonts w:hint="eastAsia" w:ascii="宋体" w:hAnsi="宋体" w:cs="宋体"/>
          <w:color w:val="000000"/>
          <w:kern w:val="0"/>
          <w:sz w:val="24"/>
          <w:highlight w:val="none"/>
          <w:shd w:val="clear" w:color="auto" w:fill="FFFFFF"/>
        </w:rPr>
        <w:t>本公司</w:t>
      </w:r>
      <w:r>
        <w:rPr>
          <w:rFonts w:hint="eastAsia" w:ascii="宋体" w:hAnsi="宋体" w:cs="宋体"/>
          <w:color w:val="000000"/>
          <w:kern w:val="0"/>
          <w:sz w:val="24"/>
          <w:highlight w:val="none"/>
          <w:shd w:val="clear" w:color="auto" w:fill="FFFFFF"/>
          <w:lang w:eastAsia="zh-CN"/>
        </w:rPr>
        <w:t>（</w:t>
      </w:r>
      <w:r>
        <w:rPr>
          <w:rFonts w:hint="eastAsia" w:ascii="宋体" w:hAnsi="宋体" w:cs="宋体"/>
          <w:color w:val="000000"/>
          <w:kern w:val="0"/>
          <w:sz w:val="24"/>
          <w:highlight w:val="none"/>
          <w:shd w:val="clear" w:color="auto" w:fill="FFFFFF"/>
        </w:rPr>
        <w:t>单位</w:t>
      </w:r>
      <w:r>
        <w:rPr>
          <w:rFonts w:hint="eastAsia" w:ascii="宋体" w:hAnsi="宋体" w:cs="宋体"/>
          <w:color w:val="000000"/>
          <w:kern w:val="0"/>
          <w:sz w:val="24"/>
          <w:highlight w:val="none"/>
          <w:shd w:val="clear" w:color="auto" w:fill="FFFFFF"/>
          <w:lang w:eastAsia="zh-CN"/>
        </w:rPr>
        <w:t>）</w:t>
      </w:r>
      <w:r>
        <w:rPr>
          <w:rFonts w:hint="eastAsia" w:ascii="宋体" w:hAnsi="宋体" w:cs="宋体"/>
          <w:color w:val="000000"/>
          <w:kern w:val="0"/>
          <w:sz w:val="24"/>
          <w:highlight w:val="none"/>
          <w:shd w:val="clear" w:color="auto" w:fill="FFFFFF"/>
        </w:rPr>
        <w:t>对上述声明内容的真实性负责。如有虚假，愿承担相应法律责任。</w:t>
      </w:r>
    </w:p>
    <w:p w14:paraId="42A2163F">
      <w:pPr>
        <w:widowControl/>
        <w:shd w:val="clear" w:color="auto" w:fill="FFFFFF"/>
        <w:spacing w:line="400" w:lineRule="exact"/>
        <w:ind w:firstLine="482"/>
        <w:jc w:val="left"/>
        <w:textAlignment w:val="baseline"/>
        <w:rPr>
          <w:rFonts w:hint="eastAsia" w:ascii="宋体" w:hAnsi="宋体" w:cs="宋体"/>
          <w:color w:val="000000"/>
          <w:kern w:val="0"/>
          <w:sz w:val="24"/>
          <w:highlight w:val="none"/>
          <w:shd w:val="clear" w:color="auto" w:fill="FFFFFF"/>
        </w:rPr>
      </w:pPr>
    </w:p>
    <w:p w14:paraId="2E0B75CB">
      <w:pPr>
        <w:widowControl/>
        <w:shd w:val="clear" w:color="auto" w:fill="FFFFFF"/>
        <w:spacing w:line="400" w:lineRule="exact"/>
        <w:ind w:firstLine="482"/>
        <w:jc w:val="left"/>
        <w:textAlignment w:val="baseline"/>
        <w:rPr>
          <w:rFonts w:hint="eastAsia" w:ascii="宋体" w:hAnsi="宋体" w:cs="宋体"/>
          <w:color w:val="000000"/>
          <w:kern w:val="0"/>
          <w:sz w:val="24"/>
          <w:highlight w:val="none"/>
          <w:shd w:val="clear" w:color="auto" w:fill="FFFFFF"/>
        </w:rPr>
      </w:pPr>
    </w:p>
    <w:p w14:paraId="53205A8A">
      <w:pPr>
        <w:widowControl/>
        <w:shd w:val="clear" w:color="auto" w:fill="FFFFFF"/>
        <w:spacing w:line="400" w:lineRule="exact"/>
        <w:ind w:firstLine="482"/>
        <w:jc w:val="right"/>
        <w:textAlignment w:val="baseline"/>
        <w:rPr>
          <w:rFonts w:hint="eastAsia" w:ascii="宋体" w:hAnsi="宋体" w:cs="宋体"/>
          <w:color w:val="000000"/>
          <w:kern w:val="0"/>
          <w:sz w:val="24"/>
          <w:highlight w:val="none"/>
        </w:rPr>
      </w:pPr>
      <w:r>
        <w:rPr>
          <w:rFonts w:hint="eastAsia" w:ascii="宋体" w:hAnsi="宋体" w:cs="宋体"/>
          <w:color w:val="000000"/>
          <w:kern w:val="0"/>
          <w:sz w:val="24"/>
          <w:highlight w:val="none"/>
          <w:shd w:val="clear" w:color="auto" w:fill="FFFFFF"/>
        </w:rPr>
        <w:t>公司（单位）名称（盖章）：　        </w:t>
      </w:r>
    </w:p>
    <w:p w14:paraId="19E090EB">
      <w:pPr>
        <w:widowControl/>
        <w:shd w:val="clear" w:color="auto" w:fill="FFFFFF"/>
        <w:spacing w:line="400" w:lineRule="exact"/>
        <w:ind w:firstLine="482"/>
        <w:jc w:val="center"/>
        <w:textAlignment w:val="baseline"/>
        <w:rPr>
          <w:rFonts w:hint="eastAsia" w:ascii="宋体" w:hAnsi="宋体" w:cs="宋体"/>
          <w:color w:val="000000"/>
          <w:kern w:val="0"/>
          <w:sz w:val="24"/>
          <w:highlight w:val="none"/>
          <w:shd w:val="clear" w:color="auto" w:fill="FFFFFF"/>
        </w:rPr>
      </w:pPr>
      <w:r>
        <w:rPr>
          <w:rFonts w:hint="eastAsia" w:ascii="宋体" w:hAnsi="宋体" w:cs="宋体"/>
          <w:color w:val="000000"/>
          <w:kern w:val="0"/>
          <w:sz w:val="24"/>
          <w:highlight w:val="none"/>
          <w:shd w:val="clear" w:color="auto" w:fill="FFFFFF"/>
        </w:rPr>
        <w:t xml:space="preserve">                               日期：　     年　  月　  日  </w:t>
      </w:r>
    </w:p>
    <w:p w14:paraId="7184635D">
      <w:pPr>
        <w:widowControl/>
        <w:shd w:val="clear" w:color="auto" w:fill="FFFFFF"/>
        <w:spacing w:line="400" w:lineRule="exact"/>
        <w:ind w:firstLine="482"/>
        <w:jc w:val="center"/>
        <w:textAlignment w:val="baseline"/>
        <w:rPr>
          <w:rFonts w:hint="eastAsia" w:ascii="宋体" w:hAnsi="宋体" w:cs="宋体"/>
          <w:color w:val="000000"/>
          <w:kern w:val="0"/>
          <w:sz w:val="24"/>
          <w:highlight w:val="none"/>
          <w:shd w:val="clear" w:color="auto" w:fill="FFFFFF"/>
        </w:rPr>
      </w:pPr>
    </w:p>
    <w:p w14:paraId="5C700A64">
      <w:pPr>
        <w:widowControl/>
        <w:shd w:val="clear" w:color="auto" w:fill="FFFFFF"/>
        <w:spacing w:line="400" w:lineRule="exact"/>
        <w:ind w:firstLine="482"/>
        <w:jc w:val="center"/>
        <w:textAlignment w:val="baseline"/>
        <w:rPr>
          <w:rFonts w:hint="eastAsia" w:ascii="宋体" w:hAnsi="宋体" w:cs="宋体"/>
          <w:color w:val="000000"/>
          <w:kern w:val="0"/>
          <w:sz w:val="24"/>
          <w:highlight w:val="none"/>
          <w:shd w:val="clear" w:color="auto" w:fill="FFFFFF"/>
        </w:rPr>
      </w:pPr>
    </w:p>
    <w:p w14:paraId="572242D1">
      <w:pPr>
        <w:pStyle w:val="10"/>
        <w:spacing w:before="0" w:beforeAutospacing="0" w:after="0" w:afterAutospacing="0" w:line="400" w:lineRule="exact"/>
        <w:ind w:firstLine="482" w:firstLineChars="200"/>
        <w:rPr>
          <w:rStyle w:val="34"/>
          <w:rFonts w:hint="eastAsia" w:ascii="宋体" w:hAnsi="宋体" w:cs="宋体"/>
          <w:highlight w:val="none"/>
        </w:rPr>
      </w:pPr>
      <w:r>
        <w:rPr>
          <w:rFonts w:hint="eastAsia" w:ascii="宋体" w:hAnsi="宋体" w:cs="宋体"/>
          <w:b/>
          <w:color w:val="000000"/>
          <w:highlight w:val="none"/>
          <w:shd w:val="clear" w:color="auto" w:fill="FFFFFF"/>
        </w:rPr>
        <w:t>注：当采购项目或者采购包中含有多种产品，供应商为该采购项目或者采购包提供的符合本国产品标准的产品成本之和占该供应商提供的全部产品成本之和的比例达到80%以上时，供应商另须提供《关于符合本国产品标准的成本占比的承诺函》。</w:t>
      </w:r>
    </w:p>
    <w:p w14:paraId="239F1BDB">
      <w:pPr>
        <w:rPr>
          <w:rStyle w:val="34"/>
          <w:rFonts w:hint="eastAsia" w:ascii="宋体" w:hAnsi="宋体" w:cs="宋体"/>
          <w:highlight w:val="none"/>
        </w:rPr>
      </w:pPr>
      <w:r>
        <w:rPr>
          <w:rStyle w:val="34"/>
          <w:rFonts w:hint="eastAsia" w:ascii="宋体" w:hAnsi="宋体" w:cs="宋体"/>
          <w:highlight w:val="none"/>
        </w:rPr>
        <w:br w:type="page"/>
      </w:r>
    </w:p>
    <w:p w14:paraId="46293F5C">
      <w:pPr>
        <w:pStyle w:val="10"/>
        <w:jc w:val="center"/>
        <w:outlineLvl w:val="1"/>
        <w:rPr>
          <w:rFonts w:hint="eastAsia" w:ascii="宋体" w:hAnsi="宋体" w:cs="宋体"/>
          <w:highlight w:val="none"/>
        </w:rPr>
      </w:pPr>
      <w:bookmarkStart w:id="218" w:name="_Toc8688"/>
      <w:r>
        <w:rPr>
          <w:rStyle w:val="34"/>
          <w:rFonts w:hint="eastAsia" w:ascii="宋体" w:hAnsi="宋体" w:cs="宋体"/>
          <w:highlight w:val="none"/>
        </w:rPr>
        <w:t>三-4招标文件规定的其他价格扣除证明材料（若有）</w:t>
      </w:r>
      <w:bookmarkEnd w:id="218"/>
    </w:p>
    <w:p w14:paraId="0BCF7480">
      <w:pPr>
        <w:pStyle w:val="10"/>
        <w:rPr>
          <w:rFonts w:hint="eastAsia" w:ascii="宋体" w:hAnsi="宋体" w:cs="宋体"/>
          <w:highlight w:val="none"/>
        </w:rPr>
      </w:pPr>
      <w:r>
        <w:rPr>
          <w:rFonts w:hint="eastAsia" w:ascii="宋体" w:hAnsi="宋体" w:cs="宋体"/>
          <w:highlight w:val="none"/>
        </w:rPr>
        <w:t> </w:t>
      </w:r>
    </w:p>
    <w:p w14:paraId="387323C9">
      <w:pPr>
        <w:pStyle w:val="10"/>
        <w:jc w:val="center"/>
        <w:rPr>
          <w:rFonts w:hint="eastAsia" w:ascii="宋体" w:hAnsi="宋体" w:cs="宋体"/>
          <w:highlight w:val="none"/>
        </w:rPr>
      </w:pPr>
      <w:r>
        <w:rPr>
          <w:rFonts w:hint="eastAsia" w:ascii="宋体" w:hAnsi="宋体" w:cs="宋体"/>
          <w:highlight w:val="none"/>
        </w:rPr>
        <w:t>编制说明</w:t>
      </w:r>
    </w:p>
    <w:p w14:paraId="444FB54F">
      <w:pPr>
        <w:pStyle w:val="10"/>
        <w:jc w:val="center"/>
        <w:rPr>
          <w:rFonts w:hint="eastAsia" w:ascii="宋体" w:hAnsi="宋体" w:cs="宋体"/>
          <w:highlight w:val="none"/>
        </w:rPr>
      </w:pPr>
      <w:r>
        <w:rPr>
          <w:rFonts w:hint="eastAsia" w:ascii="宋体" w:hAnsi="宋体" w:cs="宋体"/>
          <w:highlight w:val="none"/>
        </w:rPr>
        <w:t> </w:t>
      </w:r>
    </w:p>
    <w:p w14:paraId="64BBF65F">
      <w:pPr>
        <w:pStyle w:val="10"/>
        <w:ind w:firstLine="330"/>
        <w:rPr>
          <w:rFonts w:hint="eastAsia" w:ascii="宋体" w:hAnsi="宋体" w:cs="宋体"/>
          <w:highlight w:val="none"/>
        </w:rPr>
      </w:pPr>
      <w:r>
        <w:rPr>
          <w:rFonts w:hint="eastAsia" w:ascii="宋体" w:hAnsi="宋体" w:cs="宋体"/>
          <w:highlight w:val="none"/>
        </w:rPr>
        <w:t>若投标人可享受招标文件规定的除</w:t>
      </w:r>
      <w:r>
        <w:rPr>
          <w:rStyle w:val="34"/>
          <w:rFonts w:hint="eastAsia" w:ascii="宋体" w:hAnsi="宋体" w:cs="宋体"/>
          <w:highlight w:val="none"/>
        </w:rPr>
        <w:t>“节能（非强制类）、环境标志产品价格扣除”及“小型、微型企业产品等价格扣除”</w:t>
      </w:r>
      <w:r>
        <w:rPr>
          <w:rFonts w:hint="eastAsia" w:ascii="宋体" w:hAnsi="宋体" w:cs="宋体"/>
          <w:highlight w:val="none"/>
        </w:rPr>
        <w:t>外的其他价格扣除优惠，则投标人应按照招标文件要求提供相应证明材料。</w:t>
      </w:r>
    </w:p>
    <w:p w14:paraId="6B6B0F70">
      <w:pPr>
        <w:pStyle w:val="10"/>
        <w:rPr>
          <w:rFonts w:hint="eastAsia" w:ascii="宋体" w:hAnsi="宋体" w:cs="宋体"/>
          <w:highlight w:val="none"/>
        </w:rPr>
      </w:pPr>
      <w:r>
        <w:rPr>
          <w:rFonts w:hint="eastAsia" w:ascii="宋体" w:hAnsi="宋体" w:cs="宋体"/>
          <w:highlight w:val="none"/>
        </w:rPr>
        <w:t> </w:t>
      </w:r>
    </w:p>
    <w:p w14:paraId="68D33F33">
      <w:pPr>
        <w:pStyle w:val="10"/>
        <w:rPr>
          <w:rFonts w:hint="eastAsia" w:ascii="宋体" w:hAnsi="宋体" w:cs="宋体"/>
          <w:highlight w:val="none"/>
        </w:rPr>
      </w:pPr>
      <w:r>
        <w:rPr>
          <w:rFonts w:hint="eastAsia" w:ascii="宋体" w:hAnsi="宋体" w:cs="宋体"/>
          <w:sz w:val="17"/>
          <w:szCs w:val="17"/>
          <w:highlight w:val="none"/>
        </w:rPr>
        <w:t> </w:t>
      </w:r>
    </w:p>
    <w:p w14:paraId="5622D477">
      <w:pPr>
        <w:pStyle w:val="10"/>
        <w:jc w:val="center"/>
        <w:rPr>
          <w:rFonts w:hint="eastAsia" w:ascii="宋体" w:hAnsi="宋体" w:cs="宋体"/>
          <w:sz w:val="17"/>
          <w:szCs w:val="17"/>
          <w:highlight w:val="none"/>
        </w:rPr>
      </w:pPr>
    </w:p>
    <w:p w14:paraId="44A53D20">
      <w:pPr>
        <w:pStyle w:val="11"/>
        <w:numPr>
          <w:ilvl w:val="1"/>
          <w:numId w:val="0"/>
        </w:numPr>
        <w:ind w:left="567"/>
        <w:outlineLvl w:val="9"/>
        <w:rPr>
          <w:rFonts w:ascii="宋体" w:hAnsi="宋体" w:eastAsia="宋体"/>
          <w:highlight w:val="none"/>
        </w:rPr>
      </w:pPr>
    </w:p>
    <w:p w14:paraId="20C7A37D">
      <w:pPr>
        <w:jc w:val="center"/>
        <w:outlineLvl w:val="1"/>
        <w:rPr>
          <w:rFonts w:hint="eastAsia" w:ascii="宋体" w:hAnsi="宋体" w:eastAsia="宋体" w:cs="宋体"/>
          <w:kern w:val="0"/>
          <w:sz w:val="24"/>
          <w:highlight w:val="none"/>
          <w:lang w:eastAsia="zh-CN" w:bidi="ar"/>
        </w:rPr>
      </w:pPr>
      <w:r>
        <w:rPr>
          <w:rFonts w:hint="eastAsia" w:ascii="宋体" w:hAnsi="宋体" w:cs="宋体"/>
          <w:sz w:val="17"/>
          <w:szCs w:val="17"/>
          <w:highlight w:val="none"/>
        </w:rPr>
        <w:br w:type="page"/>
      </w:r>
      <w:bookmarkStart w:id="219" w:name="_Toc31218"/>
      <w:r>
        <w:rPr>
          <w:rFonts w:hint="eastAsia" w:ascii="宋体" w:hAnsi="宋体" w:cs="宋体"/>
          <w:kern w:val="0"/>
          <w:sz w:val="24"/>
          <w:highlight w:val="none"/>
          <w:lang w:bidi="ar"/>
        </w:rPr>
        <w:t> </w:t>
      </w:r>
      <w:r>
        <w:rPr>
          <w:rFonts w:hint="eastAsia" w:ascii="宋体" w:hAnsi="宋体" w:cs="宋体"/>
          <w:b/>
          <w:bCs/>
          <w:kern w:val="0"/>
          <w:sz w:val="24"/>
          <w:highlight w:val="none"/>
          <w:lang w:bidi="ar"/>
        </w:rPr>
        <w:t>四、</w:t>
      </w:r>
      <w:bookmarkEnd w:id="219"/>
      <w:r>
        <w:rPr>
          <w:rFonts w:hint="eastAsia" w:ascii="宋体" w:hAnsi="宋体" w:cs="宋体"/>
          <w:b/>
          <w:bCs/>
          <w:kern w:val="0"/>
          <w:sz w:val="24"/>
          <w:highlight w:val="none"/>
          <w:lang w:eastAsia="zh-CN" w:bidi="ar"/>
        </w:rPr>
        <w:t>退还投标保证金的函</w:t>
      </w:r>
    </w:p>
    <w:p w14:paraId="2A170A40">
      <w:pPr>
        <w:spacing w:line="440" w:lineRule="exact"/>
        <w:rPr>
          <w:rFonts w:hint="eastAsia" w:ascii="宋体" w:hAnsi="宋体" w:cs="宋体"/>
          <w:bCs/>
          <w:sz w:val="24"/>
          <w:highlight w:val="none"/>
        </w:rPr>
      </w:pPr>
      <w:r>
        <w:rPr>
          <w:rFonts w:hint="eastAsia" w:ascii="宋体" w:hAnsi="宋体" w:cs="宋体"/>
          <w:bCs/>
          <w:sz w:val="24"/>
          <w:highlight w:val="none"/>
        </w:rPr>
        <w:t>福州市鼓楼区城建投资发展集团有限公司</w:t>
      </w:r>
      <w:r>
        <w:rPr>
          <w:rFonts w:hint="eastAsia" w:ascii="宋体" w:hAnsi="宋体" w:cs="宋体"/>
          <w:bCs/>
          <w:sz w:val="24"/>
          <w:highlight w:val="none"/>
          <w:lang w:eastAsia="zh-CN"/>
        </w:rPr>
        <w:t>：</w:t>
      </w:r>
    </w:p>
    <w:p w14:paraId="6C80883C">
      <w:pPr>
        <w:tabs>
          <w:tab w:val="left" w:pos="978"/>
        </w:tabs>
        <w:spacing w:line="440" w:lineRule="exact"/>
        <w:ind w:firstLine="470" w:firstLineChars="196"/>
        <w:rPr>
          <w:rFonts w:hint="eastAsia" w:ascii="宋体" w:hAnsi="宋体" w:cs="宋体"/>
          <w:sz w:val="24"/>
          <w:highlight w:val="none"/>
        </w:rPr>
      </w:pPr>
      <w:r>
        <w:rPr>
          <w:rFonts w:hint="eastAsia" w:ascii="宋体" w:hAnsi="宋体" w:cs="宋体"/>
          <w:sz w:val="24"/>
          <w:highlight w:val="none"/>
        </w:rPr>
        <w:t>兹有我公司参加贵公司</w:t>
      </w: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w:t>
      </w:r>
      <w:r>
        <w:rPr>
          <w:rFonts w:hint="eastAsia" w:ascii="宋体" w:hAnsi="宋体" w:cs="宋体"/>
          <w:sz w:val="24"/>
          <w:highlight w:val="none"/>
          <w:u w:val="single"/>
        </w:rPr>
        <w:t>开标时间</w:t>
      </w:r>
      <w:r>
        <w:rPr>
          <w:rFonts w:hint="eastAsia" w:ascii="宋体" w:hAnsi="宋体" w:cs="宋体"/>
          <w:sz w:val="24"/>
          <w:highlight w:val="none"/>
          <w:u w:val="single"/>
          <w:lang w:eastAsia="zh-CN"/>
        </w:rPr>
        <w:t>）</w:t>
      </w:r>
      <w:r>
        <w:rPr>
          <w:rFonts w:hint="eastAsia" w:ascii="宋体" w:hAnsi="宋体" w:cs="宋体"/>
          <w:sz w:val="24"/>
          <w:highlight w:val="none"/>
          <w:u w:val="single"/>
        </w:rPr>
        <w:t xml:space="preserve">  </w:t>
      </w:r>
      <w:r>
        <w:rPr>
          <w:rFonts w:hint="eastAsia" w:ascii="宋体" w:hAnsi="宋体" w:cs="宋体"/>
          <w:sz w:val="24"/>
          <w:highlight w:val="none"/>
        </w:rPr>
        <w:t>组织的</w:t>
      </w: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w:t>
      </w:r>
      <w:r>
        <w:rPr>
          <w:rFonts w:hint="eastAsia" w:ascii="宋体" w:hAnsi="宋体" w:cs="宋体"/>
          <w:sz w:val="24"/>
          <w:highlight w:val="none"/>
          <w:u w:val="single"/>
          <w:lang w:val="en-US" w:eastAsia="zh-CN"/>
        </w:rPr>
        <w:t>项目名称、项目编号）</w:t>
      </w:r>
      <w:r>
        <w:rPr>
          <w:rFonts w:hint="eastAsia" w:ascii="宋体" w:hAnsi="宋体" w:cs="宋体"/>
          <w:sz w:val="24"/>
          <w:highlight w:val="none"/>
          <w:u w:val="single"/>
        </w:rPr>
        <w:t xml:space="preserve">   </w:t>
      </w:r>
      <w:r>
        <w:rPr>
          <w:rFonts w:hint="eastAsia" w:ascii="宋体" w:hAnsi="宋体" w:cs="宋体"/>
          <w:sz w:val="24"/>
          <w:highlight w:val="none"/>
        </w:rPr>
        <w:t>项目。本公司以</w:t>
      </w: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w:t>
      </w:r>
      <w:r>
        <w:rPr>
          <w:rFonts w:hint="eastAsia" w:ascii="宋体" w:hAnsi="宋体" w:cs="宋体"/>
          <w:sz w:val="24"/>
          <w:highlight w:val="none"/>
          <w:u w:val="single"/>
        </w:rPr>
        <w:t>保证金递交方式</w:t>
      </w:r>
      <w:r>
        <w:rPr>
          <w:rFonts w:hint="eastAsia" w:ascii="宋体" w:hAnsi="宋体" w:cs="宋体"/>
          <w:sz w:val="24"/>
          <w:highlight w:val="none"/>
          <w:u w:val="single"/>
          <w:lang w:eastAsia="zh-CN"/>
        </w:rPr>
        <w:t>）</w:t>
      </w:r>
      <w:r>
        <w:rPr>
          <w:rFonts w:hint="eastAsia" w:ascii="宋体" w:hAnsi="宋体" w:cs="宋体"/>
          <w:sz w:val="24"/>
          <w:highlight w:val="none"/>
          <w:u w:val="single"/>
        </w:rPr>
        <w:t xml:space="preserve">    </w:t>
      </w:r>
      <w:r>
        <w:rPr>
          <w:rFonts w:hint="eastAsia" w:ascii="宋体" w:hAnsi="宋体" w:cs="宋体"/>
          <w:sz w:val="24"/>
          <w:highlight w:val="none"/>
        </w:rPr>
        <w:t>缴纳投标保证金</w:t>
      </w:r>
      <w:r>
        <w:rPr>
          <w:rFonts w:hint="eastAsia" w:ascii="宋体" w:hAnsi="宋体" w:cs="宋体"/>
          <w:sz w:val="24"/>
          <w:highlight w:val="none"/>
          <w:lang w:eastAsia="zh-CN"/>
        </w:rPr>
        <w:t>（</w:t>
      </w:r>
      <w:r>
        <w:rPr>
          <w:rFonts w:hint="eastAsia" w:ascii="宋体" w:hAnsi="宋体" w:cs="宋体"/>
          <w:sz w:val="24"/>
          <w:highlight w:val="none"/>
        </w:rPr>
        <w:t>¥:</w:t>
      </w:r>
      <w:r>
        <w:rPr>
          <w:rFonts w:hint="eastAsia" w:ascii="宋体" w:hAnsi="宋体" w:cs="宋体"/>
          <w:sz w:val="24"/>
          <w:highlight w:val="none"/>
          <w:u w:val="single"/>
        </w:rPr>
        <w:t xml:space="preserve">         </w:t>
      </w:r>
      <w:r>
        <w:rPr>
          <w:rFonts w:hint="eastAsia" w:ascii="宋体" w:hAnsi="宋体" w:cs="宋体"/>
          <w:sz w:val="24"/>
          <w:highlight w:val="none"/>
        </w:rPr>
        <w:t>元</w:t>
      </w:r>
      <w:r>
        <w:rPr>
          <w:rFonts w:hint="eastAsia" w:ascii="宋体" w:hAnsi="宋体" w:cs="宋体"/>
          <w:sz w:val="24"/>
          <w:highlight w:val="none"/>
          <w:lang w:eastAsia="zh-CN"/>
        </w:rPr>
        <w:t>）</w:t>
      </w:r>
      <w:r>
        <w:rPr>
          <w:rFonts w:hint="eastAsia" w:ascii="宋体" w:hAnsi="宋体" w:cs="宋体"/>
          <w:sz w:val="24"/>
          <w:highlight w:val="none"/>
        </w:rPr>
        <w:t>，当可退回时，请贵公司将该款项结清后给予办理退还，并退还至我公司以下账户中</w:t>
      </w:r>
      <w:r>
        <w:rPr>
          <w:rFonts w:hint="eastAsia" w:ascii="宋体" w:hAnsi="宋体" w:cs="宋体"/>
          <w:sz w:val="24"/>
          <w:highlight w:val="none"/>
          <w:lang w:eastAsia="zh-CN"/>
        </w:rPr>
        <w:t>：</w:t>
      </w:r>
    </w:p>
    <w:p w14:paraId="4299EFA5">
      <w:pPr>
        <w:spacing w:line="440" w:lineRule="exact"/>
        <w:ind w:firstLine="420"/>
        <w:rPr>
          <w:rFonts w:hint="eastAsia" w:ascii="宋体" w:hAnsi="宋体" w:cs="宋体"/>
          <w:sz w:val="24"/>
          <w:highlight w:val="none"/>
        </w:rPr>
      </w:pPr>
      <w:r>
        <w:rPr>
          <w:rFonts w:hint="eastAsia" w:ascii="宋体" w:hAnsi="宋体" w:cs="宋体"/>
          <w:sz w:val="24"/>
          <w:highlight w:val="none"/>
        </w:rPr>
        <w:t>公司账户全称</w:t>
      </w:r>
      <w:r>
        <w:rPr>
          <w:rFonts w:hint="eastAsia" w:ascii="宋体" w:hAnsi="宋体" w:cs="宋体"/>
          <w:sz w:val="24"/>
          <w:highlight w:val="none"/>
          <w:lang w:eastAsia="zh-CN"/>
        </w:rPr>
        <w:t>：</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3FB0B9AA">
      <w:pPr>
        <w:spacing w:line="440" w:lineRule="exact"/>
        <w:ind w:firstLine="420"/>
        <w:rPr>
          <w:rFonts w:hint="eastAsia" w:ascii="宋体" w:hAnsi="宋体" w:cs="宋体"/>
          <w:sz w:val="24"/>
          <w:highlight w:val="none"/>
          <w:u w:val="single"/>
        </w:rPr>
      </w:pPr>
      <w:r>
        <w:rPr>
          <w:rFonts w:hint="eastAsia" w:ascii="宋体" w:hAnsi="宋体" w:cs="宋体"/>
          <w:sz w:val="24"/>
          <w:highlight w:val="none"/>
        </w:rPr>
        <w:t>公司账号</w:t>
      </w:r>
      <w:r>
        <w:rPr>
          <w:rFonts w:hint="eastAsia" w:ascii="宋体" w:hAnsi="宋体" w:cs="宋体"/>
          <w:sz w:val="24"/>
          <w:highlight w:val="none"/>
          <w:lang w:eastAsia="zh-CN"/>
        </w:rPr>
        <w:t>：</w:t>
      </w:r>
      <w:r>
        <w:rPr>
          <w:rFonts w:hint="eastAsia" w:ascii="宋体" w:hAnsi="宋体" w:cs="宋体"/>
          <w:sz w:val="24"/>
          <w:highlight w:val="none"/>
          <w:u w:val="single"/>
        </w:rPr>
        <w:t xml:space="preserve">                              </w:t>
      </w:r>
    </w:p>
    <w:p w14:paraId="4E00CCDB">
      <w:pPr>
        <w:spacing w:line="440" w:lineRule="exact"/>
        <w:ind w:firstLine="420"/>
        <w:rPr>
          <w:rFonts w:hint="eastAsia" w:ascii="宋体" w:hAnsi="宋体" w:cs="宋体"/>
          <w:sz w:val="24"/>
          <w:highlight w:val="none"/>
          <w:u w:val="single"/>
        </w:rPr>
      </w:pPr>
      <w:r>
        <w:rPr>
          <w:rFonts w:hint="eastAsia" w:ascii="宋体" w:hAnsi="宋体" w:cs="宋体"/>
          <w:sz w:val="24"/>
          <w:highlight w:val="none"/>
        </w:rPr>
        <w:t>开户银行名称</w:t>
      </w:r>
      <w:r>
        <w:rPr>
          <w:rFonts w:hint="eastAsia" w:ascii="宋体" w:hAnsi="宋体" w:cs="宋体"/>
          <w:sz w:val="24"/>
          <w:highlight w:val="none"/>
          <w:lang w:eastAsia="zh-CN"/>
        </w:rPr>
        <w:t>：</w:t>
      </w:r>
      <w:r>
        <w:rPr>
          <w:rFonts w:hint="eastAsia" w:ascii="宋体" w:hAnsi="宋体" w:cs="宋体"/>
          <w:sz w:val="24"/>
          <w:highlight w:val="none"/>
          <w:u w:val="single"/>
        </w:rPr>
        <w:t xml:space="preserve">           </w:t>
      </w:r>
      <w:bookmarkStart w:id="220" w:name="OLE_LINK12"/>
      <w:r>
        <w:rPr>
          <w:rFonts w:hint="eastAsia" w:ascii="宋体" w:hAnsi="宋体" w:cs="宋体"/>
          <w:sz w:val="24"/>
          <w:highlight w:val="none"/>
          <w:u w:val="single"/>
        </w:rPr>
        <w:t xml:space="preserve">                 </w:t>
      </w:r>
      <w:bookmarkEnd w:id="220"/>
    </w:p>
    <w:p w14:paraId="38941C45">
      <w:pPr>
        <w:spacing w:line="440" w:lineRule="exact"/>
        <w:ind w:firstLine="420"/>
        <w:rPr>
          <w:rFonts w:hint="eastAsia" w:ascii="宋体" w:hAnsi="宋体" w:cs="宋体"/>
          <w:sz w:val="24"/>
          <w:highlight w:val="none"/>
        </w:rPr>
      </w:pPr>
      <w:r>
        <w:rPr>
          <w:rFonts w:hint="eastAsia" w:ascii="宋体" w:hAnsi="宋体" w:cs="宋体"/>
          <w:b/>
          <w:bCs/>
          <w:sz w:val="24"/>
          <w:highlight w:val="none"/>
          <w:u w:val="single"/>
        </w:rPr>
        <w:t>开户银行所属省、市县</w:t>
      </w:r>
      <w:r>
        <w:rPr>
          <w:rFonts w:hint="eastAsia" w:ascii="宋体" w:hAnsi="宋体" w:cs="宋体"/>
          <w:b/>
          <w:bCs/>
          <w:sz w:val="24"/>
          <w:highlight w:val="none"/>
          <w:u w:val="single"/>
          <w:lang w:eastAsia="zh-CN"/>
        </w:rPr>
        <w:t>：</w:t>
      </w:r>
      <w:r>
        <w:rPr>
          <w:rFonts w:hint="eastAsia" w:ascii="宋体" w:hAnsi="宋体" w:cs="宋体"/>
          <w:sz w:val="24"/>
          <w:highlight w:val="none"/>
          <w:u w:val="single"/>
        </w:rPr>
        <w:t xml:space="preserve">                 </w:t>
      </w:r>
    </w:p>
    <w:p w14:paraId="5B0E06D0">
      <w:pPr>
        <w:spacing w:line="440" w:lineRule="exact"/>
        <w:ind w:firstLine="420"/>
        <w:rPr>
          <w:rFonts w:hint="eastAsia" w:ascii="宋体" w:hAnsi="宋体" w:cs="宋体"/>
          <w:sz w:val="24"/>
          <w:highlight w:val="none"/>
        </w:rPr>
      </w:pPr>
    </w:p>
    <w:p w14:paraId="6EDF8A51">
      <w:pPr>
        <w:spacing w:line="440" w:lineRule="exact"/>
        <w:ind w:firstLine="420"/>
        <w:rPr>
          <w:rFonts w:hint="eastAsia" w:ascii="宋体" w:hAnsi="宋体" w:cs="宋体"/>
          <w:sz w:val="24"/>
          <w:highlight w:val="none"/>
          <w:u w:val="single"/>
        </w:rPr>
      </w:pPr>
      <w:r>
        <w:rPr>
          <w:rFonts w:hint="eastAsia" w:ascii="宋体" w:hAnsi="宋体" w:cs="宋体"/>
          <w:sz w:val="24"/>
          <w:highlight w:val="none"/>
        </w:rPr>
        <w:t>投标代表签字</w:t>
      </w:r>
      <w:r>
        <w:rPr>
          <w:rFonts w:hint="eastAsia" w:ascii="宋体" w:hAnsi="宋体" w:cs="宋体"/>
          <w:sz w:val="24"/>
          <w:highlight w:val="none"/>
          <w:lang w:eastAsia="zh-CN"/>
        </w:rPr>
        <w:t>：</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p>
    <w:p w14:paraId="0143B443">
      <w:pPr>
        <w:spacing w:line="440" w:lineRule="exact"/>
        <w:ind w:firstLine="420"/>
        <w:rPr>
          <w:rFonts w:hint="eastAsia" w:ascii="宋体" w:hAnsi="宋体" w:cs="宋体"/>
          <w:sz w:val="24"/>
          <w:highlight w:val="none"/>
          <w:u w:val="single"/>
        </w:rPr>
      </w:pPr>
      <w:r>
        <w:rPr>
          <w:rFonts w:hint="eastAsia" w:ascii="宋体" w:hAnsi="宋体" w:cs="宋体"/>
          <w:sz w:val="24"/>
          <w:highlight w:val="none"/>
        </w:rPr>
        <w:t>投标人联系电话</w:t>
      </w:r>
      <w:r>
        <w:rPr>
          <w:rFonts w:hint="eastAsia" w:ascii="宋体" w:hAnsi="宋体" w:cs="宋体"/>
          <w:sz w:val="24"/>
          <w:highlight w:val="none"/>
          <w:lang w:eastAsia="zh-CN"/>
        </w:rPr>
        <w:t>：</w:t>
      </w:r>
      <w:r>
        <w:rPr>
          <w:rFonts w:hint="eastAsia" w:ascii="宋体" w:hAnsi="宋体" w:cs="宋体"/>
          <w:sz w:val="24"/>
          <w:highlight w:val="none"/>
          <w:u w:val="single"/>
        </w:rPr>
        <w:t xml:space="preserve">  </w:t>
      </w:r>
      <w:bookmarkStart w:id="221" w:name="OLE_LINK13"/>
      <w:r>
        <w:rPr>
          <w:rFonts w:hint="eastAsia" w:ascii="宋体" w:hAnsi="宋体" w:cs="宋体"/>
          <w:sz w:val="24"/>
          <w:highlight w:val="none"/>
          <w:u w:val="single"/>
        </w:rPr>
        <w:t xml:space="preserve">                </w:t>
      </w:r>
      <w:bookmarkEnd w:id="221"/>
    </w:p>
    <w:p w14:paraId="370F38D9">
      <w:pPr>
        <w:spacing w:line="440" w:lineRule="exact"/>
        <w:ind w:firstLine="420"/>
        <w:rPr>
          <w:rFonts w:hint="eastAsia" w:ascii="宋体" w:hAnsi="宋体" w:cs="宋体"/>
          <w:sz w:val="24"/>
          <w:highlight w:val="none"/>
          <w:u w:val="single"/>
        </w:rPr>
      </w:pPr>
    </w:p>
    <w:p w14:paraId="26D35980">
      <w:pPr>
        <w:spacing w:line="440" w:lineRule="exact"/>
        <w:ind w:firstLine="420"/>
        <w:rPr>
          <w:rFonts w:hint="eastAsia" w:ascii="宋体" w:hAnsi="宋体" w:cs="宋体"/>
          <w:sz w:val="24"/>
          <w:highlight w:val="none"/>
          <w:u w:val="single"/>
        </w:rPr>
      </w:pPr>
      <w:r>
        <w:rPr>
          <w:rFonts w:hint="eastAsia" w:ascii="宋体" w:hAnsi="宋体" w:cs="宋体"/>
          <w:sz w:val="24"/>
          <w:highlight w:val="none"/>
          <w:u w:val="single"/>
        </w:rPr>
        <w:t>附：汇款凭证</w:t>
      </w:r>
    </w:p>
    <w:p w14:paraId="7AE4D7D6">
      <w:pPr>
        <w:spacing w:line="440" w:lineRule="exact"/>
        <w:ind w:firstLine="420"/>
        <w:rPr>
          <w:rFonts w:hint="eastAsia" w:ascii="宋体" w:hAnsi="宋体" w:cs="宋体"/>
          <w:b/>
          <w:sz w:val="24"/>
          <w:highlight w:val="none"/>
          <w:u w:val="single"/>
        </w:rPr>
      </w:pPr>
    </w:p>
    <w:p w14:paraId="4B87C487">
      <w:pPr>
        <w:spacing w:line="440" w:lineRule="exact"/>
        <w:rPr>
          <w:rFonts w:hint="eastAsia" w:ascii="宋体" w:hAnsi="宋体" w:cs="宋体"/>
          <w:sz w:val="24"/>
          <w:highlight w:val="none"/>
        </w:rPr>
      </w:pPr>
    </w:p>
    <w:p w14:paraId="1A5A9104">
      <w:pPr>
        <w:widowControl/>
        <w:spacing w:line="440" w:lineRule="exact"/>
        <w:ind w:firstLine="4560" w:firstLineChars="1900"/>
        <w:jc w:val="left"/>
        <w:rPr>
          <w:rFonts w:hint="eastAsia" w:ascii="宋体" w:hAnsi="宋体" w:cs="宋体"/>
          <w:b w:val="0"/>
          <w:bCs/>
          <w:sz w:val="24"/>
          <w:highlight w:val="none"/>
        </w:rPr>
      </w:pPr>
      <w:r>
        <w:rPr>
          <w:rFonts w:hint="eastAsia" w:ascii="宋体" w:hAnsi="宋体" w:cs="宋体"/>
          <w:b w:val="0"/>
          <w:bCs/>
          <w:sz w:val="24"/>
          <w:highlight w:val="none"/>
        </w:rPr>
        <w:t>公司名称</w:t>
      </w:r>
      <w:r>
        <w:rPr>
          <w:rFonts w:hint="eastAsia" w:ascii="宋体" w:hAnsi="宋体" w:cs="宋体"/>
          <w:b w:val="0"/>
          <w:bCs/>
          <w:sz w:val="24"/>
          <w:highlight w:val="none"/>
          <w:lang w:eastAsia="zh-CN"/>
        </w:rPr>
        <w:t>：</w:t>
      </w:r>
      <w:r>
        <w:rPr>
          <w:rFonts w:hint="eastAsia" w:ascii="宋体" w:hAnsi="宋体" w:cs="宋体"/>
          <w:b w:val="0"/>
          <w:bCs/>
          <w:sz w:val="24"/>
          <w:highlight w:val="none"/>
          <w:u w:val="single"/>
        </w:rPr>
        <w:t xml:space="preserve">   </w:t>
      </w:r>
      <w:bookmarkStart w:id="222" w:name="OLE_LINK14"/>
      <w:r>
        <w:rPr>
          <w:rFonts w:hint="eastAsia" w:ascii="宋体" w:hAnsi="宋体" w:cs="宋体"/>
          <w:b w:val="0"/>
          <w:bCs/>
          <w:sz w:val="24"/>
          <w:highlight w:val="none"/>
          <w:u w:val="single"/>
        </w:rPr>
        <w:t xml:space="preserve">             </w:t>
      </w:r>
    </w:p>
    <w:bookmarkEnd w:id="222"/>
    <w:p w14:paraId="53FA1209">
      <w:pPr>
        <w:widowControl/>
        <w:spacing w:line="440" w:lineRule="exact"/>
        <w:ind w:firstLine="4560" w:firstLineChars="1900"/>
        <w:jc w:val="left"/>
        <w:rPr>
          <w:rFonts w:hint="eastAsia" w:ascii="宋体" w:hAnsi="宋体" w:cs="宋体"/>
          <w:b w:val="0"/>
          <w:bCs/>
          <w:sz w:val="24"/>
          <w:highlight w:val="none"/>
        </w:rPr>
      </w:pPr>
      <w:r>
        <w:rPr>
          <w:rFonts w:hint="eastAsia" w:ascii="宋体" w:hAnsi="宋体" w:cs="宋体"/>
          <w:b w:val="0"/>
          <w:bCs/>
          <w:sz w:val="24"/>
          <w:highlight w:val="none"/>
        </w:rPr>
        <w:t>时间</w:t>
      </w:r>
      <w:r>
        <w:rPr>
          <w:rFonts w:hint="eastAsia" w:ascii="宋体" w:hAnsi="宋体" w:cs="宋体"/>
          <w:b w:val="0"/>
          <w:bCs/>
          <w:sz w:val="24"/>
          <w:highlight w:val="none"/>
          <w:lang w:eastAsia="zh-CN"/>
        </w:rPr>
        <w:t>：</w:t>
      </w:r>
      <w:r>
        <w:rPr>
          <w:rFonts w:hint="eastAsia" w:ascii="宋体" w:hAnsi="宋体" w:cs="宋体"/>
          <w:b w:val="0"/>
          <w:bCs/>
          <w:sz w:val="24"/>
          <w:highlight w:val="none"/>
          <w:u w:val="single"/>
        </w:rPr>
        <w:t xml:space="preserve">             </w:t>
      </w:r>
    </w:p>
    <w:p w14:paraId="5F125678">
      <w:pPr>
        <w:widowControl/>
        <w:spacing w:line="440" w:lineRule="exact"/>
        <w:jc w:val="left"/>
        <w:rPr>
          <w:rFonts w:hint="eastAsia" w:ascii="宋体" w:hAnsi="宋体" w:cs="宋体"/>
          <w:b/>
          <w:sz w:val="24"/>
          <w:highlight w:val="none"/>
        </w:rPr>
      </w:pPr>
    </w:p>
    <w:p w14:paraId="7B976489">
      <w:pPr>
        <w:widowControl/>
        <w:spacing w:line="440" w:lineRule="exact"/>
        <w:jc w:val="left"/>
        <w:rPr>
          <w:rFonts w:hint="eastAsia" w:ascii="宋体" w:hAnsi="宋体" w:cs="宋体"/>
          <w:b/>
          <w:sz w:val="24"/>
          <w:highlight w:val="none"/>
          <w:lang w:eastAsia="zh-CN"/>
        </w:rPr>
      </w:pPr>
    </w:p>
    <w:p w14:paraId="4DCAD27A">
      <w:pPr>
        <w:widowControl/>
        <w:spacing w:line="440" w:lineRule="exact"/>
        <w:jc w:val="left"/>
        <w:rPr>
          <w:rFonts w:hint="eastAsia" w:ascii="宋体" w:hAnsi="宋体" w:cs="宋体"/>
          <w:b/>
          <w:sz w:val="24"/>
          <w:highlight w:val="none"/>
          <w:lang w:eastAsia="zh-CN"/>
        </w:rPr>
      </w:pPr>
    </w:p>
    <w:p w14:paraId="660D2D05">
      <w:pPr>
        <w:widowControl/>
        <w:spacing w:line="440" w:lineRule="exact"/>
        <w:ind w:firstLine="482" w:firstLineChars="200"/>
        <w:jc w:val="left"/>
        <w:rPr>
          <w:rFonts w:hint="eastAsia" w:ascii="宋体" w:hAnsi="宋体" w:cs="宋体"/>
          <w:b/>
          <w:sz w:val="24"/>
          <w:highlight w:val="none"/>
        </w:rPr>
      </w:pPr>
      <w:r>
        <w:rPr>
          <w:rFonts w:hint="eastAsia" w:ascii="宋体" w:hAnsi="宋体" w:cs="宋体"/>
          <w:b/>
          <w:sz w:val="24"/>
          <w:highlight w:val="none"/>
        </w:rPr>
        <w:t>注</w:t>
      </w:r>
      <w:r>
        <w:rPr>
          <w:rFonts w:hint="eastAsia" w:ascii="宋体" w:hAnsi="宋体" w:cs="宋体"/>
          <w:b/>
          <w:sz w:val="24"/>
          <w:highlight w:val="none"/>
          <w:lang w:eastAsia="zh-CN"/>
        </w:rPr>
        <w:t>：</w:t>
      </w:r>
      <w:r>
        <w:rPr>
          <w:rFonts w:hint="eastAsia" w:ascii="宋体" w:hAnsi="宋体" w:cs="宋体"/>
          <w:b/>
          <w:sz w:val="24"/>
          <w:highlight w:val="none"/>
        </w:rPr>
        <w:t>本页可不作为</w:t>
      </w:r>
      <w:r>
        <w:rPr>
          <w:rFonts w:hint="eastAsia" w:ascii="宋体" w:hAnsi="宋体" w:cs="宋体"/>
          <w:b/>
          <w:sz w:val="24"/>
          <w:highlight w:val="none"/>
          <w:lang w:val="en-US" w:eastAsia="zh-CN"/>
        </w:rPr>
        <w:t>投标</w:t>
      </w:r>
      <w:r>
        <w:rPr>
          <w:rFonts w:hint="eastAsia" w:ascii="宋体" w:hAnsi="宋体" w:cs="宋体"/>
          <w:b/>
          <w:sz w:val="24"/>
          <w:highlight w:val="none"/>
        </w:rPr>
        <w:t>文件组成，仅提供模板供后期退还保证金使用</w:t>
      </w:r>
      <w:r>
        <w:rPr>
          <w:rFonts w:hint="eastAsia" w:ascii="宋体" w:hAnsi="宋体" w:cs="宋体"/>
          <w:b/>
          <w:sz w:val="24"/>
          <w:highlight w:val="none"/>
          <w:lang w:eastAsia="zh-CN"/>
        </w:rPr>
        <w:t>。</w:t>
      </w:r>
      <w:r>
        <w:rPr>
          <w:rFonts w:hint="eastAsia" w:ascii="宋体" w:hAnsi="宋体" w:cs="宋体"/>
          <w:b/>
          <w:bCs w:val="0"/>
          <w:kern w:val="2"/>
          <w:sz w:val="24"/>
          <w:szCs w:val="24"/>
          <w:highlight w:val="none"/>
        </w:rPr>
        <w:t>请在开标当天，将</w:t>
      </w:r>
      <w:r>
        <w:rPr>
          <w:rFonts w:hint="eastAsia" w:ascii="宋体" w:hAnsi="宋体" w:cs="宋体"/>
          <w:b/>
          <w:bCs w:val="0"/>
          <w:kern w:val="2"/>
          <w:sz w:val="24"/>
          <w:szCs w:val="24"/>
          <w:highlight w:val="none"/>
          <w:lang w:val="en-US" w:eastAsia="zh-CN"/>
        </w:rPr>
        <w:t>办理</w:t>
      </w:r>
      <w:bookmarkStart w:id="223" w:name="OLE_LINK15"/>
      <w:r>
        <w:rPr>
          <w:rFonts w:hint="eastAsia" w:ascii="宋体" w:hAnsi="宋体" w:cs="宋体"/>
          <w:b/>
          <w:bCs w:val="0"/>
          <w:kern w:val="2"/>
          <w:sz w:val="24"/>
          <w:szCs w:val="24"/>
          <w:highlight w:val="none"/>
          <w:lang w:val="en-US" w:eastAsia="zh-CN"/>
        </w:rPr>
        <w:t>退回投标保证金所需材料</w:t>
      </w:r>
      <w:bookmarkEnd w:id="223"/>
      <w:r>
        <w:rPr>
          <w:rFonts w:hint="eastAsia" w:ascii="宋体" w:hAnsi="宋体" w:cs="宋体"/>
          <w:b/>
          <w:bCs w:val="0"/>
          <w:kern w:val="2"/>
          <w:sz w:val="24"/>
          <w:szCs w:val="24"/>
          <w:highlight w:val="none"/>
          <w:lang w:val="en-US" w:eastAsia="zh-CN"/>
        </w:rPr>
        <w:t>（包括①退还投标保证金的函、②</w:t>
      </w:r>
      <w:r>
        <w:rPr>
          <w:rFonts w:hint="eastAsia" w:ascii="宋体" w:hAnsi="宋体" w:cs="宋体"/>
          <w:b/>
          <w:sz w:val="24"/>
          <w:highlight w:val="none"/>
        </w:rPr>
        <w:t>保证金转账凭证、③营业执照</w:t>
      </w:r>
      <w:r>
        <w:rPr>
          <w:rFonts w:hint="eastAsia" w:ascii="宋体" w:hAnsi="宋体" w:cs="宋体"/>
          <w:b/>
          <w:sz w:val="24"/>
          <w:highlight w:val="none"/>
          <w:lang w:val="en-US" w:eastAsia="zh-CN"/>
        </w:rPr>
        <w:t>复印件</w:t>
      </w:r>
      <w:r>
        <w:rPr>
          <w:rFonts w:hint="eastAsia" w:ascii="宋体" w:hAnsi="宋体" w:cs="宋体"/>
          <w:b/>
          <w:sz w:val="24"/>
          <w:highlight w:val="none"/>
          <w:lang w:eastAsia="zh-CN"/>
        </w:rPr>
        <w:t>、</w:t>
      </w:r>
      <w:r>
        <w:rPr>
          <w:rFonts w:hint="eastAsia" w:ascii="宋体" w:hAnsi="宋体" w:cs="宋体"/>
          <w:b/>
          <w:sz w:val="24"/>
          <w:highlight w:val="none"/>
          <w:lang w:val="en-US" w:eastAsia="zh-CN"/>
        </w:rPr>
        <w:t>④</w:t>
      </w:r>
      <w:r>
        <w:rPr>
          <w:rFonts w:hint="eastAsia" w:ascii="宋体" w:hAnsi="宋体" w:cs="宋体"/>
          <w:b/>
          <w:sz w:val="24"/>
          <w:highlight w:val="none"/>
        </w:rPr>
        <w:t>基本户开户信息</w:t>
      </w:r>
      <w:r>
        <w:rPr>
          <w:rFonts w:hint="eastAsia" w:ascii="宋体" w:hAnsi="宋体" w:cs="宋体"/>
          <w:b/>
          <w:sz w:val="24"/>
          <w:highlight w:val="none"/>
          <w:lang w:val="en-US" w:eastAsia="zh-CN"/>
        </w:rPr>
        <w:t>复印件</w:t>
      </w:r>
      <w:r>
        <w:rPr>
          <w:rFonts w:hint="eastAsia" w:ascii="宋体" w:hAnsi="宋体" w:cs="宋体"/>
          <w:b/>
          <w:bCs w:val="0"/>
          <w:kern w:val="2"/>
          <w:sz w:val="24"/>
          <w:szCs w:val="24"/>
          <w:highlight w:val="none"/>
          <w:lang w:val="en-US" w:eastAsia="zh-CN"/>
        </w:rPr>
        <w:t>）加盖公章后</w:t>
      </w:r>
      <w:r>
        <w:rPr>
          <w:rFonts w:hint="eastAsia" w:ascii="宋体" w:hAnsi="宋体" w:cs="宋体"/>
          <w:b/>
          <w:bCs w:val="0"/>
          <w:kern w:val="2"/>
          <w:sz w:val="24"/>
          <w:szCs w:val="24"/>
          <w:highlight w:val="none"/>
        </w:rPr>
        <w:t>单独另册制作一套与报价表一同单独装在信封内密封提交。</w:t>
      </w:r>
      <w:r>
        <w:rPr>
          <w:rFonts w:hint="eastAsia" w:ascii="宋体" w:hAnsi="宋体" w:cs="宋体"/>
          <w:b/>
          <w:sz w:val="24"/>
          <w:highlight w:val="none"/>
        </w:rPr>
        <w:t>未递交相关材料办理</w:t>
      </w:r>
      <w:r>
        <w:rPr>
          <w:rFonts w:hint="eastAsia" w:ascii="宋体" w:hAnsi="宋体" w:cs="宋体"/>
          <w:b/>
          <w:sz w:val="24"/>
          <w:highlight w:val="none"/>
          <w:lang w:val="en-US" w:eastAsia="zh-CN"/>
        </w:rPr>
        <w:t>退保</w:t>
      </w:r>
      <w:r>
        <w:rPr>
          <w:rFonts w:hint="eastAsia" w:ascii="宋体" w:hAnsi="宋体" w:cs="宋体"/>
          <w:b/>
          <w:sz w:val="24"/>
          <w:highlight w:val="none"/>
        </w:rPr>
        <w:t>的，采购人不负相关法律责任。</w:t>
      </w:r>
      <w:r>
        <w:rPr>
          <w:rFonts w:hint="eastAsia" w:ascii="宋体" w:hAnsi="宋体" w:cs="宋体"/>
          <w:b/>
          <w:sz w:val="24"/>
          <w:highlight w:val="none"/>
          <w:lang w:eastAsia="zh-CN"/>
        </w:rPr>
        <w:t>（</w:t>
      </w:r>
      <w:r>
        <w:rPr>
          <w:rFonts w:hint="eastAsia" w:ascii="宋体" w:hAnsi="宋体" w:cs="宋体"/>
          <w:b/>
          <w:bCs w:val="0"/>
          <w:kern w:val="2"/>
          <w:sz w:val="24"/>
          <w:szCs w:val="24"/>
          <w:highlight w:val="none"/>
          <w:lang w:val="en-US" w:eastAsia="zh-CN"/>
        </w:rPr>
        <w:t>特别说明：若中标，除上述退回投标保证金所需材料外，请将采购合同一并送至采购人办理退保手续。）</w:t>
      </w:r>
    </w:p>
    <w:p w14:paraId="1C0B58EB">
      <w:pPr>
        <w:pStyle w:val="10"/>
        <w:ind w:firstLine="482" w:firstLineChars="200"/>
        <w:outlineLvl w:val="0"/>
        <w:rPr>
          <w:rFonts w:hint="eastAsia" w:ascii="宋体" w:hAnsi="宋体" w:cs="宋体"/>
          <w:highlight w:val="none"/>
        </w:rPr>
      </w:pPr>
      <w:r>
        <w:rPr>
          <w:rStyle w:val="34"/>
          <w:rFonts w:hint="eastAsia" w:ascii="宋体" w:hAnsi="宋体" w:cs="宋体"/>
          <w:highlight w:val="none"/>
        </w:rPr>
        <w:br w:type="page"/>
      </w:r>
      <w:bookmarkStart w:id="224" w:name="_Toc30633"/>
      <w:r>
        <w:rPr>
          <w:rStyle w:val="34"/>
          <w:rFonts w:hint="eastAsia" w:ascii="宋体" w:hAnsi="宋体" w:cs="宋体"/>
          <w:sz w:val="22"/>
          <w:szCs w:val="22"/>
          <w:highlight w:val="none"/>
        </w:rPr>
        <w:t>封面格式</w:t>
      </w:r>
      <w:bookmarkEnd w:id="224"/>
    </w:p>
    <w:p w14:paraId="09B2AA76">
      <w:pPr>
        <w:pStyle w:val="10"/>
        <w:jc w:val="center"/>
        <w:rPr>
          <w:rFonts w:hint="eastAsia" w:ascii="宋体" w:hAnsi="宋体" w:cs="宋体"/>
          <w:sz w:val="72"/>
          <w:szCs w:val="72"/>
          <w:highlight w:val="none"/>
        </w:rPr>
      </w:pPr>
      <w:r>
        <w:rPr>
          <w:rStyle w:val="34"/>
          <w:rFonts w:hint="eastAsia" w:ascii="宋体" w:hAnsi="宋体" w:cs="宋体"/>
          <w:sz w:val="72"/>
          <w:szCs w:val="72"/>
          <w:highlight w:val="none"/>
        </w:rPr>
        <w:t>投 标 文 件</w:t>
      </w:r>
    </w:p>
    <w:p w14:paraId="2A7ED032">
      <w:pPr>
        <w:pStyle w:val="10"/>
        <w:jc w:val="center"/>
        <w:rPr>
          <w:rFonts w:hint="eastAsia" w:ascii="宋体" w:hAnsi="宋体" w:cs="宋体"/>
          <w:sz w:val="72"/>
          <w:szCs w:val="72"/>
          <w:highlight w:val="none"/>
        </w:rPr>
      </w:pPr>
      <w:r>
        <w:rPr>
          <w:rStyle w:val="34"/>
          <w:rFonts w:hint="eastAsia" w:ascii="宋体" w:hAnsi="宋体" w:cs="宋体"/>
          <w:sz w:val="72"/>
          <w:szCs w:val="72"/>
          <w:highlight w:val="none"/>
        </w:rPr>
        <w:t>（技术商务部分）</w:t>
      </w:r>
    </w:p>
    <w:p w14:paraId="633B6C4A">
      <w:pPr>
        <w:pStyle w:val="10"/>
        <w:rPr>
          <w:rFonts w:hint="eastAsia" w:ascii="宋体" w:hAnsi="宋体" w:cs="宋体"/>
          <w:sz w:val="72"/>
          <w:szCs w:val="72"/>
          <w:highlight w:val="none"/>
        </w:rPr>
      </w:pPr>
      <w:r>
        <w:rPr>
          <w:rFonts w:hint="eastAsia" w:ascii="宋体" w:hAnsi="宋体" w:cs="宋体"/>
          <w:sz w:val="72"/>
          <w:szCs w:val="72"/>
          <w:highlight w:val="none"/>
        </w:rPr>
        <w:t> </w:t>
      </w:r>
    </w:p>
    <w:p w14:paraId="2A43D053">
      <w:pPr>
        <w:pStyle w:val="10"/>
        <w:jc w:val="center"/>
        <w:outlineLvl w:val="0"/>
        <w:rPr>
          <w:rFonts w:hint="eastAsia" w:ascii="宋体" w:hAnsi="宋体" w:cs="宋体"/>
          <w:sz w:val="44"/>
          <w:szCs w:val="44"/>
          <w:highlight w:val="none"/>
        </w:rPr>
      </w:pPr>
      <w:bookmarkStart w:id="225" w:name="_Toc16514"/>
      <w:r>
        <w:rPr>
          <w:rStyle w:val="34"/>
          <w:rFonts w:hint="eastAsia" w:ascii="宋体" w:hAnsi="宋体" w:cs="宋体"/>
          <w:sz w:val="44"/>
          <w:szCs w:val="44"/>
          <w:highlight w:val="none"/>
          <w:u w:val="single"/>
        </w:rPr>
        <w:t>（填写正本或副本）</w:t>
      </w:r>
      <w:bookmarkEnd w:id="225"/>
    </w:p>
    <w:p w14:paraId="23158D2A">
      <w:pPr>
        <w:pStyle w:val="10"/>
        <w:rPr>
          <w:rFonts w:hint="eastAsia" w:ascii="宋体" w:hAnsi="宋体" w:cs="宋体"/>
          <w:highlight w:val="none"/>
        </w:rPr>
      </w:pPr>
      <w:r>
        <w:rPr>
          <w:rFonts w:hint="eastAsia" w:ascii="宋体" w:hAnsi="宋体" w:cs="宋体"/>
          <w:sz w:val="28"/>
          <w:szCs w:val="28"/>
          <w:highlight w:val="none"/>
        </w:rPr>
        <w:t> </w:t>
      </w:r>
    </w:p>
    <w:p w14:paraId="1C26FC60">
      <w:pPr>
        <w:pStyle w:val="10"/>
        <w:ind w:firstLine="3057" w:firstLineChars="1218"/>
        <w:jc w:val="both"/>
        <w:outlineLvl w:val="1"/>
        <w:rPr>
          <w:rFonts w:hint="eastAsia" w:ascii="宋体" w:hAnsi="宋体" w:cs="宋体"/>
          <w:highlight w:val="none"/>
        </w:rPr>
      </w:pPr>
      <w:bookmarkStart w:id="226" w:name="_Toc26219"/>
      <w:r>
        <w:rPr>
          <w:rStyle w:val="34"/>
          <w:rFonts w:hint="eastAsia" w:ascii="宋体" w:hAnsi="宋体" w:cs="宋体"/>
          <w:sz w:val="25"/>
          <w:szCs w:val="25"/>
          <w:highlight w:val="none"/>
        </w:rPr>
        <w:t>项目名称：</w:t>
      </w:r>
      <w:r>
        <w:rPr>
          <w:rStyle w:val="34"/>
          <w:rFonts w:hint="eastAsia" w:ascii="宋体" w:hAnsi="宋体" w:cs="宋体"/>
          <w:sz w:val="25"/>
          <w:szCs w:val="25"/>
          <w:highlight w:val="none"/>
          <w:u w:val="single"/>
        </w:rPr>
        <w:t>（由投标人填写）</w:t>
      </w:r>
      <w:bookmarkEnd w:id="226"/>
    </w:p>
    <w:p w14:paraId="2948376A">
      <w:pPr>
        <w:pStyle w:val="10"/>
        <w:ind w:firstLine="3057" w:firstLineChars="1218"/>
        <w:jc w:val="both"/>
        <w:outlineLvl w:val="1"/>
        <w:rPr>
          <w:rFonts w:hint="eastAsia" w:ascii="宋体" w:hAnsi="宋体" w:cs="宋体"/>
          <w:highlight w:val="none"/>
        </w:rPr>
      </w:pPr>
      <w:bookmarkStart w:id="227" w:name="_Toc24582"/>
      <w:r>
        <w:rPr>
          <w:rStyle w:val="34"/>
          <w:rFonts w:hint="eastAsia" w:ascii="宋体" w:hAnsi="宋体" w:cs="宋体"/>
          <w:sz w:val="25"/>
          <w:szCs w:val="25"/>
          <w:highlight w:val="none"/>
        </w:rPr>
        <w:t>项目编号：</w:t>
      </w:r>
      <w:r>
        <w:rPr>
          <w:rStyle w:val="34"/>
          <w:rFonts w:hint="eastAsia" w:ascii="宋体" w:hAnsi="宋体" w:cs="宋体"/>
          <w:sz w:val="25"/>
          <w:szCs w:val="25"/>
          <w:highlight w:val="none"/>
          <w:u w:val="single"/>
        </w:rPr>
        <w:t>（由投标人填写）</w:t>
      </w:r>
      <w:bookmarkEnd w:id="227"/>
    </w:p>
    <w:p w14:paraId="66232BF9">
      <w:pPr>
        <w:pStyle w:val="10"/>
        <w:ind w:firstLine="3057" w:firstLineChars="1218"/>
        <w:jc w:val="both"/>
        <w:outlineLvl w:val="1"/>
        <w:rPr>
          <w:rFonts w:hint="eastAsia" w:ascii="宋体" w:hAnsi="宋体" w:cs="宋体"/>
          <w:highlight w:val="none"/>
        </w:rPr>
      </w:pPr>
      <w:bookmarkStart w:id="228" w:name="_Toc11044"/>
      <w:r>
        <w:rPr>
          <w:rStyle w:val="34"/>
          <w:rFonts w:hint="eastAsia" w:ascii="宋体" w:hAnsi="宋体" w:cs="宋体"/>
          <w:sz w:val="25"/>
          <w:szCs w:val="25"/>
          <w:highlight w:val="none"/>
        </w:rPr>
        <w:t>所投采购包：</w:t>
      </w:r>
      <w:r>
        <w:rPr>
          <w:rStyle w:val="34"/>
          <w:rFonts w:hint="eastAsia" w:ascii="宋体" w:hAnsi="宋体" w:cs="宋体"/>
          <w:sz w:val="25"/>
          <w:szCs w:val="25"/>
          <w:highlight w:val="none"/>
          <w:u w:val="single"/>
        </w:rPr>
        <w:t>（由投标人填写）</w:t>
      </w:r>
      <w:bookmarkEnd w:id="228"/>
    </w:p>
    <w:p w14:paraId="1D519FEE">
      <w:pPr>
        <w:pStyle w:val="10"/>
        <w:rPr>
          <w:rFonts w:hint="eastAsia" w:ascii="宋体" w:hAnsi="宋体" w:cs="宋体"/>
          <w:highlight w:val="none"/>
        </w:rPr>
      </w:pPr>
      <w:r>
        <w:rPr>
          <w:rFonts w:hint="eastAsia" w:ascii="宋体" w:hAnsi="宋体" w:cs="宋体"/>
          <w:sz w:val="28"/>
          <w:szCs w:val="28"/>
          <w:highlight w:val="none"/>
        </w:rPr>
        <w:t> </w:t>
      </w:r>
    </w:p>
    <w:p w14:paraId="1B17169B">
      <w:pPr>
        <w:pStyle w:val="10"/>
        <w:rPr>
          <w:rFonts w:hint="eastAsia" w:ascii="宋体" w:hAnsi="宋体" w:cs="宋体"/>
          <w:highlight w:val="none"/>
        </w:rPr>
      </w:pPr>
      <w:r>
        <w:rPr>
          <w:rFonts w:hint="eastAsia" w:ascii="宋体" w:hAnsi="宋体" w:cs="宋体"/>
          <w:sz w:val="28"/>
          <w:szCs w:val="28"/>
          <w:highlight w:val="none"/>
        </w:rPr>
        <w:t> </w:t>
      </w:r>
    </w:p>
    <w:p w14:paraId="6E9C52B1">
      <w:pPr>
        <w:pStyle w:val="10"/>
        <w:jc w:val="center"/>
        <w:rPr>
          <w:rFonts w:hint="eastAsia" w:ascii="宋体" w:hAnsi="宋体" w:cs="宋体"/>
          <w:highlight w:val="none"/>
        </w:rPr>
      </w:pPr>
      <w:r>
        <w:rPr>
          <w:rStyle w:val="34"/>
          <w:rFonts w:hint="eastAsia" w:ascii="宋体" w:hAnsi="宋体" w:cs="宋体"/>
          <w:sz w:val="25"/>
          <w:szCs w:val="25"/>
          <w:highlight w:val="none"/>
        </w:rPr>
        <w:t>投标人：</w:t>
      </w:r>
      <w:r>
        <w:rPr>
          <w:rStyle w:val="34"/>
          <w:rFonts w:hint="eastAsia" w:ascii="宋体" w:hAnsi="宋体" w:cs="宋体"/>
          <w:sz w:val="25"/>
          <w:szCs w:val="25"/>
          <w:highlight w:val="none"/>
          <w:u w:val="single"/>
        </w:rPr>
        <w:t>（填写“全称”）</w:t>
      </w:r>
    </w:p>
    <w:p w14:paraId="715D6E9C">
      <w:pPr>
        <w:pStyle w:val="10"/>
        <w:jc w:val="center"/>
        <w:rPr>
          <w:rFonts w:hint="eastAsia" w:ascii="宋体" w:hAnsi="宋体" w:cs="宋体"/>
          <w:highlight w:val="none"/>
        </w:rPr>
      </w:pPr>
      <w:r>
        <w:rPr>
          <w:rStyle w:val="34"/>
          <w:rFonts w:hint="eastAsia" w:ascii="宋体" w:hAnsi="宋体" w:cs="宋体"/>
          <w:sz w:val="25"/>
          <w:szCs w:val="25"/>
          <w:highlight w:val="none"/>
          <w:u w:val="single"/>
        </w:rPr>
        <w:t>（由投标人填写）</w:t>
      </w:r>
      <w:r>
        <w:rPr>
          <w:rStyle w:val="34"/>
          <w:rFonts w:hint="eastAsia" w:ascii="宋体" w:hAnsi="宋体" w:cs="宋体"/>
          <w:sz w:val="25"/>
          <w:szCs w:val="25"/>
          <w:highlight w:val="none"/>
        </w:rPr>
        <w:t>年</w:t>
      </w:r>
      <w:r>
        <w:rPr>
          <w:rStyle w:val="34"/>
          <w:rFonts w:hint="eastAsia" w:ascii="宋体" w:hAnsi="宋体" w:cs="宋体"/>
          <w:sz w:val="25"/>
          <w:szCs w:val="25"/>
          <w:highlight w:val="none"/>
          <w:u w:val="single"/>
        </w:rPr>
        <w:t>（由投标人填写）</w:t>
      </w:r>
      <w:r>
        <w:rPr>
          <w:rStyle w:val="34"/>
          <w:rFonts w:hint="eastAsia" w:ascii="宋体" w:hAnsi="宋体" w:cs="宋体"/>
          <w:sz w:val="25"/>
          <w:szCs w:val="25"/>
          <w:highlight w:val="none"/>
        </w:rPr>
        <w:t>月</w:t>
      </w:r>
    </w:p>
    <w:p w14:paraId="3001B9FB">
      <w:pPr>
        <w:pStyle w:val="10"/>
        <w:rPr>
          <w:rFonts w:hint="eastAsia" w:ascii="宋体" w:hAnsi="宋体" w:cs="宋体"/>
          <w:highlight w:val="none"/>
        </w:rPr>
      </w:pPr>
      <w:r>
        <w:rPr>
          <w:rFonts w:hint="eastAsia" w:ascii="宋体" w:hAnsi="宋体" w:cs="宋体"/>
          <w:sz w:val="17"/>
          <w:szCs w:val="17"/>
          <w:highlight w:val="none"/>
        </w:rPr>
        <w:t> </w:t>
      </w:r>
    </w:p>
    <w:p w14:paraId="06E42D86">
      <w:pPr>
        <w:pStyle w:val="10"/>
        <w:rPr>
          <w:rFonts w:hint="eastAsia" w:ascii="宋体" w:hAnsi="宋体" w:cs="宋体"/>
          <w:highlight w:val="none"/>
        </w:rPr>
      </w:pPr>
      <w:r>
        <w:rPr>
          <w:rFonts w:hint="eastAsia" w:ascii="宋体" w:hAnsi="宋体" w:cs="宋体"/>
          <w:sz w:val="17"/>
          <w:szCs w:val="17"/>
          <w:highlight w:val="none"/>
        </w:rPr>
        <w:t> </w:t>
      </w:r>
    </w:p>
    <w:p w14:paraId="10B523B0">
      <w:pPr>
        <w:pStyle w:val="10"/>
        <w:jc w:val="center"/>
        <w:rPr>
          <w:rFonts w:hint="eastAsia" w:ascii="宋体" w:hAnsi="宋体" w:cs="宋体"/>
          <w:sz w:val="17"/>
          <w:szCs w:val="17"/>
          <w:highlight w:val="none"/>
        </w:rPr>
      </w:pPr>
    </w:p>
    <w:p w14:paraId="192F42CC">
      <w:pPr>
        <w:pStyle w:val="10"/>
        <w:jc w:val="center"/>
        <w:rPr>
          <w:rFonts w:hint="eastAsia" w:ascii="宋体" w:hAnsi="宋体" w:cs="宋体"/>
          <w:highlight w:val="none"/>
        </w:rPr>
      </w:pPr>
      <w:r>
        <w:rPr>
          <w:rFonts w:hint="eastAsia" w:ascii="宋体" w:hAnsi="宋体" w:cs="宋体"/>
          <w:sz w:val="17"/>
          <w:szCs w:val="17"/>
          <w:highlight w:val="none"/>
        </w:rPr>
        <w:br w:type="page"/>
      </w:r>
      <w:r>
        <w:rPr>
          <w:rStyle w:val="34"/>
          <w:rFonts w:hint="eastAsia" w:ascii="宋体" w:hAnsi="宋体" w:cs="宋体"/>
          <w:sz w:val="22"/>
          <w:szCs w:val="22"/>
          <w:highlight w:val="none"/>
        </w:rPr>
        <w:t>索引</w:t>
      </w:r>
    </w:p>
    <w:p w14:paraId="3E2CE8A2">
      <w:pPr>
        <w:pStyle w:val="10"/>
        <w:rPr>
          <w:rFonts w:hint="eastAsia" w:ascii="宋体" w:hAnsi="宋体" w:cs="宋体"/>
          <w:highlight w:val="none"/>
        </w:rPr>
      </w:pPr>
      <w:r>
        <w:rPr>
          <w:rFonts w:hint="eastAsia" w:ascii="宋体" w:hAnsi="宋体" w:cs="宋体"/>
          <w:sz w:val="22"/>
          <w:szCs w:val="22"/>
          <w:highlight w:val="none"/>
        </w:rPr>
        <w:t>一、标的说明一览表…………………………………………………………………………………（页码）</w:t>
      </w:r>
    </w:p>
    <w:p w14:paraId="78D6D461">
      <w:pPr>
        <w:pStyle w:val="10"/>
        <w:rPr>
          <w:rFonts w:hint="eastAsia" w:ascii="宋体" w:hAnsi="宋体" w:cs="宋体"/>
          <w:highlight w:val="none"/>
        </w:rPr>
      </w:pPr>
      <w:r>
        <w:rPr>
          <w:rFonts w:hint="eastAsia" w:ascii="宋体" w:hAnsi="宋体" w:cs="宋体"/>
          <w:sz w:val="22"/>
          <w:szCs w:val="22"/>
          <w:highlight w:val="none"/>
        </w:rPr>
        <w:t>二、技术和服务要求响应表……………………………………………………………………………（页码）</w:t>
      </w:r>
    </w:p>
    <w:p w14:paraId="2F4C45B2">
      <w:pPr>
        <w:pStyle w:val="10"/>
        <w:rPr>
          <w:rFonts w:hint="eastAsia" w:ascii="宋体" w:hAnsi="宋体" w:cs="宋体"/>
          <w:highlight w:val="none"/>
        </w:rPr>
      </w:pPr>
      <w:r>
        <w:rPr>
          <w:rFonts w:hint="eastAsia" w:ascii="宋体" w:hAnsi="宋体" w:cs="宋体"/>
          <w:sz w:val="22"/>
          <w:szCs w:val="22"/>
          <w:highlight w:val="none"/>
        </w:rPr>
        <w:t>三、商务条件响应表…………………………………………………………………………………（页码）</w:t>
      </w:r>
    </w:p>
    <w:p w14:paraId="334E5C2D">
      <w:pPr>
        <w:pStyle w:val="10"/>
        <w:rPr>
          <w:rFonts w:hint="eastAsia" w:ascii="宋体" w:hAnsi="宋体" w:cs="宋体"/>
          <w:highlight w:val="none"/>
        </w:rPr>
      </w:pPr>
      <w:r>
        <w:rPr>
          <w:rFonts w:hint="eastAsia" w:ascii="宋体" w:hAnsi="宋体" w:cs="宋体"/>
          <w:sz w:val="22"/>
          <w:szCs w:val="22"/>
          <w:highlight w:val="none"/>
        </w:rPr>
        <w:t>四、投标人提交的其他资料（若有）…………………………………………………………………（页码）</w:t>
      </w:r>
    </w:p>
    <w:p w14:paraId="15CBFD52">
      <w:pPr>
        <w:pStyle w:val="10"/>
        <w:jc w:val="center"/>
        <w:rPr>
          <w:rFonts w:hint="eastAsia" w:ascii="宋体" w:hAnsi="宋体" w:cs="宋体"/>
          <w:highlight w:val="none"/>
        </w:rPr>
      </w:pPr>
      <w:r>
        <w:rPr>
          <w:rFonts w:hint="eastAsia" w:ascii="宋体" w:hAnsi="宋体" w:cs="宋体"/>
          <w:sz w:val="17"/>
          <w:szCs w:val="17"/>
          <w:highlight w:val="none"/>
        </w:rPr>
        <w:t> </w:t>
      </w:r>
      <w:r>
        <w:rPr>
          <w:rFonts w:hint="eastAsia" w:ascii="宋体" w:hAnsi="宋体" w:cs="宋体"/>
          <w:highlight w:val="none"/>
        </w:rPr>
        <w:t>注意</w:t>
      </w:r>
    </w:p>
    <w:p w14:paraId="21D4F92C">
      <w:pPr>
        <w:pStyle w:val="10"/>
        <w:ind w:firstLine="330"/>
        <w:rPr>
          <w:rFonts w:hint="eastAsia" w:ascii="宋体" w:hAnsi="宋体" w:cs="宋体"/>
          <w:highlight w:val="none"/>
        </w:rPr>
      </w:pPr>
      <w:r>
        <w:rPr>
          <w:rFonts w:hint="eastAsia" w:ascii="宋体" w:hAnsi="宋体" w:cs="宋体"/>
          <w:highlight w:val="none"/>
        </w:rPr>
        <w:t>技术商务部分中不得出现报价部分的全部或部分的投标报价信息（或组成资料），否则</w:t>
      </w:r>
      <w:r>
        <w:rPr>
          <w:rStyle w:val="34"/>
          <w:rFonts w:hint="eastAsia" w:ascii="宋体" w:hAnsi="宋体" w:cs="宋体"/>
          <w:highlight w:val="none"/>
        </w:rPr>
        <w:t>符合性审查不合格</w:t>
      </w:r>
      <w:r>
        <w:rPr>
          <w:rFonts w:hint="eastAsia" w:ascii="宋体" w:hAnsi="宋体" w:cs="宋体"/>
          <w:highlight w:val="none"/>
        </w:rPr>
        <w:t>。</w:t>
      </w:r>
    </w:p>
    <w:p w14:paraId="06265F8A">
      <w:pPr>
        <w:pStyle w:val="10"/>
        <w:ind w:firstLine="330"/>
        <w:rPr>
          <w:rFonts w:hint="eastAsia" w:ascii="宋体" w:hAnsi="宋体" w:cs="宋体"/>
          <w:highlight w:val="none"/>
        </w:rPr>
      </w:pPr>
    </w:p>
    <w:p w14:paraId="4FB30AFC">
      <w:pPr>
        <w:pStyle w:val="10"/>
        <w:ind w:firstLine="330"/>
        <w:rPr>
          <w:rFonts w:hint="eastAsia" w:ascii="宋体" w:hAnsi="宋体" w:cs="宋体"/>
          <w:highlight w:val="none"/>
        </w:rPr>
      </w:pPr>
      <w:r>
        <w:rPr>
          <w:rFonts w:hint="eastAsia" w:ascii="宋体" w:hAnsi="宋体" w:cs="宋体"/>
          <w:sz w:val="17"/>
          <w:szCs w:val="17"/>
          <w:highlight w:val="none"/>
        </w:rPr>
        <w:t> </w:t>
      </w:r>
    </w:p>
    <w:p w14:paraId="74E9BFB3">
      <w:pPr>
        <w:pStyle w:val="10"/>
        <w:ind w:firstLine="330"/>
        <w:rPr>
          <w:rFonts w:hint="eastAsia" w:ascii="宋体" w:hAnsi="宋体" w:cs="宋体"/>
          <w:highlight w:val="none"/>
        </w:rPr>
      </w:pPr>
      <w:r>
        <w:rPr>
          <w:rFonts w:hint="eastAsia" w:ascii="宋体" w:hAnsi="宋体" w:cs="宋体"/>
          <w:sz w:val="17"/>
          <w:szCs w:val="17"/>
          <w:highlight w:val="none"/>
        </w:rPr>
        <w:t> </w:t>
      </w:r>
    </w:p>
    <w:p w14:paraId="5930B703">
      <w:pPr>
        <w:pStyle w:val="10"/>
        <w:jc w:val="center"/>
        <w:rPr>
          <w:rFonts w:hint="eastAsia" w:ascii="宋体" w:hAnsi="宋体" w:cs="宋体"/>
          <w:sz w:val="17"/>
          <w:szCs w:val="17"/>
          <w:highlight w:val="none"/>
        </w:rPr>
      </w:pPr>
    </w:p>
    <w:p w14:paraId="742E4A4A">
      <w:pPr>
        <w:pStyle w:val="11"/>
        <w:numPr>
          <w:ilvl w:val="1"/>
          <w:numId w:val="0"/>
        </w:numPr>
        <w:ind w:left="567"/>
        <w:outlineLvl w:val="9"/>
        <w:rPr>
          <w:rFonts w:ascii="宋体" w:hAnsi="宋体" w:eastAsia="宋体"/>
          <w:highlight w:val="none"/>
        </w:rPr>
      </w:pPr>
    </w:p>
    <w:p w14:paraId="2C3FDB5B">
      <w:pPr>
        <w:pStyle w:val="10"/>
        <w:jc w:val="center"/>
        <w:outlineLvl w:val="1"/>
        <w:rPr>
          <w:rFonts w:hint="eastAsia" w:ascii="宋体" w:hAnsi="宋体" w:cs="宋体"/>
          <w:highlight w:val="none"/>
        </w:rPr>
      </w:pPr>
      <w:r>
        <w:rPr>
          <w:rFonts w:hint="eastAsia" w:ascii="宋体" w:hAnsi="宋体" w:cs="宋体"/>
          <w:sz w:val="17"/>
          <w:szCs w:val="17"/>
          <w:highlight w:val="none"/>
        </w:rPr>
        <w:br w:type="page"/>
      </w:r>
      <w:bookmarkStart w:id="229" w:name="_Toc29740"/>
      <w:r>
        <w:rPr>
          <w:rStyle w:val="34"/>
          <w:rFonts w:hint="eastAsia" w:ascii="宋体" w:hAnsi="宋体" w:cs="宋体"/>
          <w:highlight w:val="none"/>
        </w:rPr>
        <w:t>一、标的说明一览表</w:t>
      </w:r>
      <w:bookmarkEnd w:id="229"/>
    </w:p>
    <w:p w14:paraId="7F2771B1">
      <w:pPr>
        <w:pStyle w:val="10"/>
        <w:rPr>
          <w:rFonts w:hint="eastAsia" w:ascii="宋体" w:hAnsi="宋体" w:cs="宋体"/>
          <w:highlight w:val="none"/>
          <w:u w:val="single"/>
        </w:rPr>
      </w:pPr>
      <w:r>
        <w:rPr>
          <w:rFonts w:hint="eastAsia" w:ascii="宋体" w:hAnsi="宋体" w:cs="宋体"/>
          <w:highlight w:val="none"/>
        </w:rPr>
        <w:t>项目编号：</w:t>
      </w:r>
      <w:r>
        <w:rPr>
          <w:rFonts w:hint="eastAsia" w:ascii="宋体" w:hAnsi="宋体" w:cs="宋体"/>
          <w:highlight w:val="none"/>
          <w:u w:val="single"/>
        </w:rPr>
        <w:t>          </w:t>
      </w:r>
    </w:p>
    <w:tbl>
      <w:tblPr>
        <w:tblStyle w:val="31"/>
        <w:tblW w:w="5015" w:type="pct"/>
        <w:tblInd w:w="-137" w:type="dxa"/>
        <w:tblLayout w:type="autofit"/>
        <w:tblCellMar>
          <w:top w:w="0" w:type="dxa"/>
          <w:left w:w="108" w:type="dxa"/>
          <w:bottom w:w="0" w:type="dxa"/>
          <w:right w:w="108" w:type="dxa"/>
        </w:tblCellMar>
      </w:tblPr>
      <w:tblGrid>
        <w:gridCol w:w="1265"/>
        <w:gridCol w:w="816"/>
        <w:gridCol w:w="3272"/>
        <w:gridCol w:w="1114"/>
        <w:gridCol w:w="748"/>
        <w:gridCol w:w="809"/>
        <w:gridCol w:w="1051"/>
        <w:gridCol w:w="809"/>
      </w:tblGrid>
      <w:tr w14:paraId="6277E65A">
        <w:tblPrEx>
          <w:tblCellMar>
            <w:top w:w="0" w:type="dxa"/>
            <w:left w:w="108" w:type="dxa"/>
            <w:bottom w:w="0" w:type="dxa"/>
            <w:right w:w="108" w:type="dxa"/>
          </w:tblCellMar>
        </w:tblPrEx>
        <w:trPr>
          <w:trHeight w:val="374" w:hRule="atLeast"/>
        </w:trPr>
        <w:tc>
          <w:tcPr>
            <w:tcW w:w="640"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69D5E554">
            <w:pPr>
              <w:widowControl/>
              <w:jc w:val="center"/>
              <w:textAlignment w:val="center"/>
              <w:rPr>
                <w:rFonts w:hint="eastAsia"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t>品目名称</w:t>
            </w:r>
          </w:p>
        </w:tc>
        <w:tc>
          <w:tcPr>
            <w:tcW w:w="412"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7B7D1FEA">
            <w:pPr>
              <w:widowControl/>
              <w:jc w:val="center"/>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序号</w:t>
            </w:r>
          </w:p>
        </w:tc>
        <w:tc>
          <w:tcPr>
            <w:tcW w:w="1654"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609B33EB">
            <w:pPr>
              <w:widowControl/>
              <w:jc w:val="center"/>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项目名称</w:t>
            </w:r>
          </w:p>
        </w:tc>
        <w:tc>
          <w:tcPr>
            <w:tcW w:w="563"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462E4135">
            <w:pPr>
              <w:widowControl/>
              <w:jc w:val="center"/>
              <w:textAlignment w:val="center"/>
              <w:rPr>
                <w:rFonts w:hint="eastAsia"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t>数量</w:t>
            </w:r>
          </w:p>
        </w:tc>
        <w:tc>
          <w:tcPr>
            <w:tcW w:w="378"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5DAAC6A5">
            <w:pPr>
              <w:widowControl/>
              <w:jc w:val="center"/>
              <w:textAlignment w:val="center"/>
              <w:rPr>
                <w:rFonts w:hint="eastAsia"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t>品牌</w:t>
            </w:r>
          </w:p>
        </w:tc>
        <w:tc>
          <w:tcPr>
            <w:tcW w:w="409"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5CBEAD58">
            <w:pPr>
              <w:widowControl/>
              <w:jc w:val="center"/>
              <w:textAlignment w:val="center"/>
              <w:rPr>
                <w:rFonts w:hint="eastAsia"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t>规格</w:t>
            </w:r>
          </w:p>
        </w:tc>
        <w:tc>
          <w:tcPr>
            <w:tcW w:w="531"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799998F9">
            <w:pPr>
              <w:widowControl/>
              <w:jc w:val="center"/>
              <w:textAlignment w:val="center"/>
              <w:rPr>
                <w:rFonts w:hint="eastAsia"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t>来源地</w:t>
            </w:r>
          </w:p>
        </w:tc>
        <w:tc>
          <w:tcPr>
            <w:tcW w:w="409"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72EE672C">
            <w:pPr>
              <w:widowControl/>
              <w:jc w:val="center"/>
              <w:textAlignment w:val="center"/>
              <w:rPr>
                <w:rFonts w:hint="eastAsia"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t>备注</w:t>
            </w:r>
          </w:p>
        </w:tc>
      </w:tr>
      <w:tr w14:paraId="3BCB265B">
        <w:tblPrEx>
          <w:tblCellMar>
            <w:top w:w="0" w:type="dxa"/>
            <w:left w:w="108" w:type="dxa"/>
            <w:bottom w:w="0" w:type="dxa"/>
            <w:right w:w="108" w:type="dxa"/>
          </w:tblCellMar>
        </w:tblPrEx>
        <w:trPr>
          <w:trHeight w:val="316" w:hRule="atLeast"/>
        </w:trPr>
        <w:tc>
          <w:tcPr>
            <w:tcW w:w="640" w:type="pct"/>
            <w:vMerge w:val="restart"/>
            <w:tcBorders>
              <w:top w:val="single" w:color="000000" w:sz="4" w:space="0"/>
              <w:left w:val="single" w:color="000000" w:sz="4" w:space="0"/>
              <w:right w:val="single" w:color="000000" w:sz="4" w:space="0"/>
            </w:tcBorders>
            <w:vAlign w:val="center"/>
          </w:tcPr>
          <w:p w14:paraId="2352EC0A">
            <w:pPr>
              <w:widowControl/>
              <w:jc w:val="center"/>
              <w:textAlignment w:val="center"/>
              <w:rPr>
                <w:rFonts w:hint="eastAsia" w:ascii="宋体" w:hAnsi="宋体" w:cs="宋体"/>
                <w:color w:val="000000"/>
                <w:kern w:val="0"/>
                <w:sz w:val="24"/>
                <w:highlight w:val="none"/>
                <w:lang w:bidi="ar"/>
              </w:rPr>
            </w:pPr>
            <w:r>
              <w:rPr>
                <w:rFonts w:hint="eastAsia" w:ascii="宋体" w:hAnsi="宋体" w:cs="宋体"/>
                <w:b/>
                <w:bCs/>
                <w:sz w:val="24"/>
                <w:highlight w:val="none"/>
              </w:rPr>
              <w:t>1-1采购人投资</w:t>
            </w:r>
          </w:p>
        </w:tc>
        <w:tc>
          <w:tcPr>
            <w:tcW w:w="412" w:type="pct"/>
            <w:tcBorders>
              <w:top w:val="single" w:color="000000" w:sz="4" w:space="0"/>
              <w:left w:val="single" w:color="000000" w:sz="4" w:space="0"/>
              <w:bottom w:val="single" w:color="000000" w:sz="4" w:space="0"/>
              <w:right w:val="single" w:color="000000" w:sz="4" w:space="0"/>
            </w:tcBorders>
            <w:vAlign w:val="center"/>
          </w:tcPr>
          <w:p w14:paraId="2ADD0B4A">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一</w:t>
            </w:r>
          </w:p>
        </w:tc>
        <w:tc>
          <w:tcPr>
            <w:tcW w:w="1654" w:type="pct"/>
            <w:tcBorders>
              <w:top w:val="single" w:color="000000" w:sz="4" w:space="0"/>
              <w:left w:val="single" w:color="000000" w:sz="4" w:space="0"/>
              <w:bottom w:val="single" w:color="000000" w:sz="4" w:space="0"/>
              <w:right w:val="single" w:color="000000" w:sz="4" w:space="0"/>
            </w:tcBorders>
            <w:vAlign w:val="center"/>
          </w:tcPr>
          <w:p w14:paraId="1435B975">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建设费用</w:t>
            </w:r>
          </w:p>
        </w:tc>
        <w:tc>
          <w:tcPr>
            <w:tcW w:w="563" w:type="pct"/>
            <w:tcBorders>
              <w:top w:val="single" w:color="000000" w:sz="4" w:space="0"/>
              <w:left w:val="single" w:color="000000" w:sz="4" w:space="0"/>
              <w:bottom w:val="single" w:color="000000" w:sz="4" w:space="0"/>
              <w:right w:val="single" w:color="000000" w:sz="4" w:space="0"/>
            </w:tcBorders>
            <w:vAlign w:val="center"/>
          </w:tcPr>
          <w:p w14:paraId="2F71F710">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w:t>
            </w:r>
          </w:p>
        </w:tc>
        <w:tc>
          <w:tcPr>
            <w:tcW w:w="378" w:type="pct"/>
            <w:tcBorders>
              <w:top w:val="single" w:color="000000" w:sz="4" w:space="0"/>
              <w:left w:val="single" w:color="000000" w:sz="4" w:space="0"/>
              <w:bottom w:val="single" w:color="000000" w:sz="4" w:space="0"/>
              <w:right w:val="single" w:color="000000" w:sz="4" w:space="0"/>
            </w:tcBorders>
            <w:vAlign w:val="center"/>
          </w:tcPr>
          <w:p w14:paraId="1CFB49EC">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710DC26A">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5D4CA9E9">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50F3D5BC">
            <w:pPr>
              <w:widowControl/>
              <w:jc w:val="center"/>
              <w:textAlignment w:val="center"/>
              <w:rPr>
                <w:rFonts w:hint="eastAsia" w:ascii="宋体" w:hAnsi="宋体" w:cs="宋体"/>
                <w:color w:val="000000"/>
                <w:kern w:val="0"/>
                <w:sz w:val="24"/>
                <w:highlight w:val="none"/>
                <w:lang w:bidi="ar"/>
              </w:rPr>
            </w:pPr>
          </w:p>
        </w:tc>
      </w:tr>
      <w:tr w14:paraId="221E25D4">
        <w:tblPrEx>
          <w:tblCellMar>
            <w:top w:w="0" w:type="dxa"/>
            <w:left w:w="108" w:type="dxa"/>
            <w:bottom w:w="0" w:type="dxa"/>
            <w:right w:w="108" w:type="dxa"/>
          </w:tblCellMar>
        </w:tblPrEx>
        <w:trPr>
          <w:trHeight w:val="316" w:hRule="atLeast"/>
        </w:trPr>
        <w:tc>
          <w:tcPr>
            <w:tcW w:w="640" w:type="pct"/>
            <w:vMerge w:val="continue"/>
            <w:tcBorders>
              <w:left w:val="single" w:color="000000" w:sz="4" w:space="0"/>
              <w:right w:val="single" w:color="000000" w:sz="4" w:space="0"/>
            </w:tcBorders>
            <w:vAlign w:val="center"/>
          </w:tcPr>
          <w:p w14:paraId="770D0563">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0CE032FF">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w:t>
            </w:r>
          </w:p>
        </w:tc>
        <w:tc>
          <w:tcPr>
            <w:tcW w:w="1654" w:type="pct"/>
            <w:tcBorders>
              <w:top w:val="single" w:color="000000" w:sz="4" w:space="0"/>
              <w:left w:val="single" w:color="000000" w:sz="4" w:space="0"/>
              <w:bottom w:val="single" w:color="000000" w:sz="4" w:space="0"/>
              <w:right w:val="single" w:color="000000" w:sz="4" w:space="0"/>
            </w:tcBorders>
            <w:vAlign w:val="center"/>
          </w:tcPr>
          <w:p w14:paraId="00089D36">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可信数据空间平台</w:t>
            </w:r>
          </w:p>
        </w:tc>
        <w:tc>
          <w:tcPr>
            <w:tcW w:w="563" w:type="pct"/>
            <w:tcBorders>
              <w:top w:val="single" w:color="000000" w:sz="4" w:space="0"/>
              <w:left w:val="single" w:color="000000" w:sz="4" w:space="0"/>
              <w:bottom w:val="single" w:color="000000" w:sz="4" w:space="0"/>
              <w:right w:val="single" w:color="000000" w:sz="4" w:space="0"/>
            </w:tcBorders>
            <w:vAlign w:val="center"/>
          </w:tcPr>
          <w:p w14:paraId="3C0EF3E6">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w:t>
            </w:r>
          </w:p>
        </w:tc>
        <w:tc>
          <w:tcPr>
            <w:tcW w:w="378" w:type="pct"/>
            <w:tcBorders>
              <w:top w:val="single" w:color="000000" w:sz="4" w:space="0"/>
              <w:left w:val="single" w:color="000000" w:sz="4" w:space="0"/>
              <w:bottom w:val="single" w:color="000000" w:sz="4" w:space="0"/>
              <w:right w:val="single" w:color="000000" w:sz="4" w:space="0"/>
            </w:tcBorders>
            <w:vAlign w:val="center"/>
          </w:tcPr>
          <w:p w14:paraId="63D275F4">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2E2A9F44">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4683E976">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5C4845FF">
            <w:pPr>
              <w:widowControl/>
              <w:jc w:val="center"/>
              <w:textAlignment w:val="center"/>
              <w:rPr>
                <w:rFonts w:hint="eastAsia" w:ascii="宋体" w:hAnsi="宋体" w:cs="宋体"/>
                <w:color w:val="000000"/>
                <w:kern w:val="0"/>
                <w:sz w:val="24"/>
                <w:highlight w:val="none"/>
                <w:lang w:bidi="ar"/>
              </w:rPr>
            </w:pPr>
          </w:p>
        </w:tc>
      </w:tr>
      <w:tr w14:paraId="46FB4DAE">
        <w:tblPrEx>
          <w:tblCellMar>
            <w:top w:w="0" w:type="dxa"/>
            <w:left w:w="108" w:type="dxa"/>
            <w:bottom w:w="0" w:type="dxa"/>
            <w:right w:w="108" w:type="dxa"/>
          </w:tblCellMar>
        </w:tblPrEx>
        <w:trPr>
          <w:trHeight w:val="316" w:hRule="atLeast"/>
        </w:trPr>
        <w:tc>
          <w:tcPr>
            <w:tcW w:w="640" w:type="pct"/>
            <w:vMerge w:val="continue"/>
            <w:tcBorders>
              <w:left w:val="single" w:color="000000" w:sz="4" w:space="0"/>
              <w:right w:val="single" w:color="000000" w:sz="4" w:space="0"/>
            </w:tcBorders>
            <w:vAlign w:val="center"/>
          </w:tcPr>
          <w:p w14:paraId="6C5FE011">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05E28C57">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1.1</w:t>
            </w:r>
          </w:p>
        </w:tc>
        <w:tc>
          <w:tcPr>
            <w:tcW w:w="1654" w:type="pct"/>
            <w:tcBorders>
              <w:top w:val="single" w:color="000000" w:sz="4" w:space="0"/>
              <w:left w:val="single" w:color="000000" w:sz="4" w:space="0"/>
              <w:bottom w:val="single" w:color="000000" w:sz="4" w:space="0"/>
              <w:right w:val="single" w:color="000000" w:sz="4" w:space="0"/>
            </w:tcBorders>
            <w:vAlign w:val="center"/>
          </w:tcPr>
          <w:p w14:paraId="1648B933">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可信身份认证</w:t>
            </w:r>
          </w:p>
        </w:tc>
        <w:tc>
          <w:tcPr>
            <w:tcW w:w="563" w:type="pct"/>
            <w:tcBorders>
              <w:top w:val="single" w:color="000000" w:sz="4" w:space="0"/>
              <w:left w:val="single" w:color="000000" w:sz="4" w:space="0"/>
              <w:bottom w:val="single" w:color="000000" w:sz="4" w:space="0"/>
              <w:right w:val="single" w:color="000000" w:sz="4" w:space="0"/>
            </w:tcBorders>
            <w:vAlign w:val="center"/>
          </w:tcPr>
          <w:p w14:paraId="2AA97291">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378" w:type="pct"/>
            <w:tcBorders>
              <w:top w:val="single" w:color="000000" w:sz="4" w:space="0"/>
              <w:left w:val="single" w:color="000000" w:sz="4" w:space="0"/>
              <w:bottom w:val="single" w:color="000000" w:sz="4" w:space="0"/>
              <w:right w:val="single" w:color="000000" w:sz="4" w:space="0"/>
            </w:tcBorders>
            <w:vAlign w:val="center"/>
          </w:tcPr>
          <w:p w14:paraId="1522FD51">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223C1BDF">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689264B6">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0CBED769">
            <w:pPr>
              <w:widowControl/>
              <w:jc w:val="center"/>
              <w:textAlignment w:val="center"/>
              <w:rPr>
                <w:rFonts w:hint="eastAsia" w:ascii="宋体" w:hAnsi="宋体" w:cs="宋体"/>
                <w:color w:val="000000"/>
                <w:kern w:val="0"/>
                <w:sz w:val="24"/>
                <w:highlight w:val="none"/>
                <w:lang w:bidi="ar"/>
              </w:rPr>
            </w:pPr>
          </w:p>
        </w:tc>
      </w:tr>
      <w:tr w14:paraId="7EBF452C">
        <w:tblPrEx>
          <w:tblCellMar>
            <w:top w:w="0" w:type="dxa"/>
            <w:left w:w="108" w:type="dxa"/>
            <w:bottom w:w="0" w:type="dxa"/>
            <w:right w:w="108" w:type="dxa"/>
          </w:tblCellMar>
        </w:tblPrEx>
        <w:trPr>
          <w:trHeight w:val="316" w:hRule="atLeast"/>
        </w:trPr>
        <w:tc>
          <w:tcPr>
            <w:tcW w:w="640" w:type="pct"/>
            <w:vMerge w:val="continue"/>
            <w:tcBorders>
              <w:left w:val="single" w:color="000000" w:sz="4" w:space="0"/>
              <w:right w:val="single" w:color="000000" w:sz="4" w:space="0"/>
            </w:tcBorders>
            <w:vAlign w:val="center"/>
          </w:tcPr>
          <w:p w14:paraId="65C67E1B">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5CA4DC1F">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1.2</w:t>
            </w:r>
          </w:p>
        </w:tc>
        <w:tc>
          <w:tcPr>
            <w:tcW w:w="1654" w:type="pct"/>
            <w:tcBorders>
              <w:top w:val="single" w:color="000000" w:sz="4" w:space="0"/>
              <w:left w:val="single" w:color="000000" w:sz="4" w:space="0"/>
              <w:bottom w:val="single" w:color="000000" w:sz="4" w:space="0"/>
              <w:right w:val="single" w:color="000000" w:sz="4" w:space="0"/>
            </w:tcBorders>
            <w:vAlign w:val="center"/>
          </w:tcPr>
          <w:p w14:paraId="563DAE0A">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隐私计算</w:t>
            </w:r>
          </w:p>
        </w:tc>
        <w:tc>
          <w:tcPr>
            <w:tcW w:w="563" w:type="pct"/>
            <w:tcBorders>
              <w:top w:val="single" w:color="000000" w:sz="4" w:space="0"/>
              <w:left w:val="single" w:color="000000" w:sz="4" w:space="0"/>
              <w:bottom w:val="single" w:color="000000" w:sz="4" w:space="0"/>
              <w:right w:val="single" w:color="000000" w:sz="4" w:space="0"/>
            </w:tcBorders>
            <w:vAlign w:val="center"/>
          </w:tcPr>
          <w:p w14:paraId="048F70AE">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378" w:type="pct"/>
            <w:tcBorders>
              <w:top w:val="single" w:color="000000" w:sz="4" w:space="0"/>
              <w:left w:val="single" w:color="000000" w:sz="4" w:space="0"/>
              <w:bottom w:val="single" w:color="000000" w:sz="4" w:space="0"/>
              <w:right w:val="single" w:color="000000" w:sz="4" w:space="0"/>
            </w:tcBorders>
            <w:vAlign w:val="center"/>
          </w:tcPr>
          <w:p w14:paraId="3C674839">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4B510FEA">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0C708BE3">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40AB1FBA">
            <w:pPr>
              <w:widowControl/>
              <w:jc w:val="center"/>
              <w:textAlignment w:val="center"/>
              <w:rPr>
                <w:rFonts w:hint="eastAsia" w:ascii="宋体" w:hAnsi="宋体" w:cs="宋体"/>
                <w:color w:val="000000"/>
                <w:kern w:val="0"/>
                <w:sz w:val="24"/>
                <w:highlight w:val="none"/>
                <w:lang w:bidi="ar"/>
              </w:rPr>
            </w:pPr>
          </w:p>
        </w:tc>
      </w:tr>
      <w:tr w14:paraId="5F171B1A">
        <w:tblPrEx>
          <w:tblCellMar>
            <w:top w:w="0" w:type="dxa"/>
            <w:left w:w="108" w:type="dxa"/>
            <w:bottom w:w="0" w:type="dxa"/>
            <w:right w:w="108" w:type="dxa"/>
          </w:tblCellMar>
        </w:tblPrEx>
        <w:trPr>
          <w:trHeight w:val="316" w:hRule="atLeast"/>
        </w:trPr>
        <w:tc>
          <w:tcPr>
            <w:tcW w:w="640" w:type="pct"/>
            <w:vMerge w:val="continue"/>
            <w:tcBorders>
              <w:left w:val="single" w:color="000000" w:sz="4" w:space="0"/>
              <w:right w:val="single" w:color="000000" w:sz="4" w:space="0"/>
            </w:tcBorders>
            <w:vAlign w:val="center"/>
          </w:tcPr>
          <w:p w14:paraId="2B99925D">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3DCBACEB">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w:t>
            </w:r>
          </w:p>
        </w:tc>
        <w:tc>
          <w:tcPr>
            <w:tcW w:w="1654" w:type="pct"/>
            <w:tcBorders>
              <w:top w:val="single" w:color="000000" w:sz="4" w:space="0"/>
              <w:left w:val="single" w:color="000000" w:sz="4" w:space="0"/>
              <w:bottom w:val="single" w:color="000000" w:sz="4" w:space="0"/>
              <w:right w:val="single" w:color="000000" w:sz="4" w:space="0"/>
            </w:tcBorders>
            <w:vAlign w:val="center"/>
          </w:tcPr>
          <w:p w14:paraId="20CA7A24">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数据沙箱</w:t>
            </w:r>
          </w:p>
        </w:tc>
        <w:tc>
          <w:tcPr>
            <w:tcW w:w="563" w:type="pct"/>
            <w:tcBorders>
              <w:top w:val="single" w:color="000000" w:sz="4" w:space="0"/>
              <w:left w:val="single" w:color="000000" w:sz="4" w:space="0"/>
              <w:bottom w:val="single" w:color="000000" w:sz="4" w:space="0"/>
              <w:right w:val="single" w:color="000000" w:sz="4" w:space="0"/>
            </w:tcBorders>
            <w:vAlign w:val="center"/>
          </w:tcPr>
          <w:p w14:paraId="72E15747">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378" w:type="pct"/>
            <w:tcBorders>
              <w:top w:val="single" w:color="000000" w:sz="4" w:space="0"/>
              <w:left w:val="single" w:color="000000" w:sz="4" w:space="0"/>
              <w:bottom w:val="single" w:color="000000" w:sz="4" w:space="0"/>
              <w:right w:val="single" w:color="000000" w:sz="4" w:space="0"/>
            </w:tcBorders>
            <w:vAlign w:val="center"/>
          </w:tcPr>
          <w:p w14:paraId="4E411998">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118E0189">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1B5BEB14">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3D1D27DF">
            <w:pPr>
              <w:widowControl/>
              <w:jc w:val="center"/>
              <w:textAlignment w:val="center"/>
              <w:rPr>
                <w:rFonts w:hint="eastAsia" w:ascii="宋体" w:hAnsi="宋体" w:cs="宋体"/>
                <w:color w:val="000000"/>
                <w:kern w:val="0"/>
                <w:sz w:val="24"/>
                <w:highlight w:val="none"/>
                <w:lang w:bidi="ar"/>
              </w:rPr>
            </w:pPr>
          </w:p>
        </w:tc>
      </w:tr>
      <w:tr w14:paraId="0A953F64">
        <w:tblPrEx>
          <w:tblCellMar>
            <w:top w:w="0" w:type="dxa"/>
            <w:left w:w="108" w:type="dxa"/>
            <w:bottom w:w="0" w:type="dxa"/>
            <w:right w:w="108" w:type="dxa"/>
          </w:tblCellMar>
        </w:tblPrEx>
        <w:trPr>
          <w:trHeight w:val="316" w:hRule="atLeast"/>
        </w:trPr>
        <w:tc>
          <w:tcPr>
            <w:tcW w:w="640" w:type="pct"/>
            <w:vMerge w:val="continue"/>
            <w:tcBorders>
              <w:left w:val="single" w:color="000000" w:sz="4" w:space="0"/>
              <w:right w:val="single" w:color="000000" w:sz="4" w:space="0"/>
            </w:tcBorders>
            <w:vAlign w:val="center"/>
          </w:tcPr>
          <w:p w14:paraId="0FC7367C">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57B2217A">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1.4</w:t>
            </w:r>
          </w:p>
        </w:tc>
        <w:tc>
          <w:tcPr>
            <w:tcW w:w="1654" w:type="pct"/>
            <w:tcBorders>
              <w:top w:val="single" w:color="000000" w:sz="4" w:space="0"/>
              <w:left w:val="single" w:color="000000" w:sz="4" w:space="0"/>
              <w:bottom w:val="single" w:color="000000" w:sz="4" w:space="0"/>
              <w:right w:val="single" w:color="000000" w:sz="4" w:space="0"/>
            </w:tcBorders>
            <w:vAlign w:val="center"/>
          </w:tcPr>
          <w:p w14:paraId="0B6724BE">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区块链存证</w:t>
            </w:r>
          </w:p>
        </w:tc>
        <w:tc>
          <w:tcPr>
            <w:tcW w:w="563" w:type="pct"/>
            <w:tcBorders>
              <w:top w:val="single" w:color="000000" w:sz="4" w:space="0"/>
              <w:left w:val="single" w:color="000000" w:sz="4" w:space="0"/>
              <w:bottom w:val="single" w:color="000000" w:sz="4" w:space="0"/>
              <w:right w:val="single" w:color="000000" w:sz="4" w:space="0"/>
            </w:tcBorders>
            <w:vAlign w:val="center"/>
          </w:tcPr>
          <w:p w14:paraId="2DC3CDAB">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378" w:type="pct"/>
            <w:tcBorders>
              <w:top w:val="single" w:color="000000" w:sz="4" w:space="0"/>
              <w:left w:val="single" w:color="000000" w:sz="4" w:space="0"/>
              <w:bottom w:val="single" w:color="000000" w:sz="4" w:space="0"/>
              <w:right w:val="single" w:color="000000" w:sz="4" w:space="0"/>
            </w:tcBorders>
            <w:vAlign w:val="center"/>
          </w:tcPr>
          <w:p w14:paraId="3F41AC1D">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5B6FCCA9">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69A7BBE5">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2AB8614C">
            <w:pPr>
              <w:widowControl/>
              <w:jc w:val="center"/>
              <w:textAlignment w:val="center"/>
              <w:rPr>
                <w:rFonts w:hint="eastAsia" w:ascii="宋体" w:hAnsi="宋体" w:cs="宋体"/>
                <w:color w:val="000000"/>
                <w:kern w:val="0"/>
                <w:sz w:val="24"/>
                <w:highlight w:val="none"/>
                <w:lang w:bidi="ar"/>
              </w:rPr>
            </w:pPr>
          </w:p>
        </w:tc>
      </w:tr>
      <w:tr w14:paraId="34F27970">
        <w:tblPrEx>
          <w:tblCellMar>
            <w:top w:w="0" w:type="dxa"/>
            <w:left w:w="108" w:type="dxa"/>
            <w:bottom w:w="0" w:type="dxa"/>
            <w:right w:w="108" w:type="dxa"/>
          </w:tblCellMar>
        </w:tblPrEx>
        <w:trPr>
          <w:trHeight w:val="316" w:hRule="atLeast"/>
        </w:trPr>
        <w:tc>
          <w:tcPr>
            <w:tcW w:w="640" w:type="pct"/>
            <w:vMerge w:val="continue"/>
            <w:tcBorders>
              <w:left w:val="single" w:color="000000" w:sz="4" w:space="0"/>
              <w:right w:val="single" w:color="000000" w:sz="4" w:space="0"/>
            </w:tcBorders>
            <w:vAlign w:val="center"/>
          </w:tcPr>
          <w:p w14:paraId="6CDBB895">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058E79D5">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1.5</w:t>
            </w:r>
          </w:p>
        </w:tc>
        <w:tc>
          <w:tcPr>
            <w:tcW w:w="1654" w:type="pct"/>
            <w:tcBorders>
              <w:top w:val="single" w:color="000000" w:sz="4" w:space="0"/>
              <w:left w:val="single" w:color="000000" w:sz="4" w:space="0"/>
              <w:bottom w:val="single" w:color="000000" w:sz="4" w:space="0"/>
              <w:right w:val="single" w:color="000000" w:sz="4" w:space="0"/>
            </w:tcBorders>
            <w:vAlign w:val="center"/>
          </w:tcPr>
          <w:p w14:paraId="5D2AF55A">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智能合约</w:t>
            </w:r>
          </w:p>
        </w:tc>
        <w:tc>
          <w:tcPr>
            <w:tcW w:w="563" w:type="pct"/>
            <w:tcBorders>
              <w:top w:val="single" w:color="000000" w:sz="4" w:space="0"/>
              <w:left w:val="single" w:color="000000" w:sz="4" w:space="0"/>
              <w:bottom w:val="single" w:color="000000" w:sz="4" w:space="0"/>
              <w:right w:val="single" w:color="000000" w:sz="4" w:space="0"/>
            </w:tcBorders>
            <w:vAlign w:val="center"/>
          </w:tcPr>
          <w:p w14:paraId="034995C9">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378" w:type="pct"/>
            <w:tcBorders>
              <w:top w:val="single" w:color="000000" w:sz="4" w:space="0"/>
              <w:left w:val="single" w:color="000000" w:sz="4" w:space="0"/>
              <w:bottom w:val="single" w:color="000000" w:sz="4" w:space="0"/>
              <w:right w:val="single" w:color="000000" w:sz="4" w:space="0"/>
            </w:tcBorders>
            <w:vAlign w:val="center"/>
          </w:tcPr>
          <w:p w14:paraId="739787C2">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35A50B86">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0DB4310F">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7E617BE0">
            <w:pPr>
              <w:widowControl/>
              <w:jc w:val="center"/>
              <w:textAlignment w:val="center"/>
              <w:rPr>
                <w:rFonts w:hint="eastAsia" w:ascii="宋体" w:hAnsi="宋体" w:cs="宋体"/>
                <w:color w:val="000000"/>
                <w:kern w:val="0"/>
                <w:sz w:val="24"/>
                <w:highlight w:val="none"/>
                <w:lang w:bidi="ar"/>
              </w:rPr>
            </w:pPr>
          </w:p>
        </w:tc>
      </w:tr>
      <w:tr w14:paraId="064772F2">
        <w:tblPrEx>
          <w:tblCellMar>
            <w:top w:w="0" w:type="dxa"/>
            <w:left w:w="108" w:type="dxa"/>
            <w:bottom w:w="0" w:type="dxa"/>
            <w:right w:w="108" w:type="dxa"/>
          </w:tblCellMar>
        </w:tblPrEx>
        <w:trPr>
          <w:trHeight w:val="316" w:hRule="atLeast"/>
        </w:trPr>
        <w:tc>
          <w:tcPr>
            <w:tcW w:w="640" w:type="pct"/>
            <w:vMerge w:val="continue"/>
            <w:tcBorders>
              <w:left w:val="single" w:color="000000" w:sz="4" w:space="0"/>
              <w:right w:val="single" w:color="000000" w:sz="4" w:space="0"/>
            </w:tcBorders>
            <w:vAlign w:val="center"/>
          </w:tcPr>
          <w:p w14:paraId="6A876E56">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6C72722A">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1.6</w:t>
            </w:r>
          </w:p>
        </w:tc>
        <w:tc>
          <w:tcPr>
            <w:tcW w:w="1654" w:type="pct"/>
            <w:tcBorders>
              <w:top w:val="single" w:color="000000" w:sz="4" w:space="0"/>
              <w:left w:val="single" w:color="000000" w:sz="4" w:space="0"/>
              <w:bottom w:val="single" w:color="000000" w:sz="4" w:space="0"/>
              <w:right w:val="single" w:color="000000" w:sz="4" w:space="0"/>
            </w:tcBorders>
            <w:vAlign w:val="center"/>
          </w:tcPr>
          <w:p w14:paraId="6EEDFE71">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数据连接器</w:t>
            </w:r>
          </w:p>
        </w:tc>
        <w:tc>
          <w:tcPr>
            <w:tcW w:w="563" w:type="pct"/>
            <w:tcBorders>
              <w:top w:val="single" w:color="000000" w:sz="4" w:space="0"/>
              <w:left w:val="single" w:color="000000" w:sz="4" w:space="0"/>
              <w:bottom w:val="single" w:color="000000" w:sz="4" w:space="0"/>
              <w:right w:val="single" w:color="000000" w:sz="4" w:space="0"/>
            </w:tcBorders>
            <w:vAlign w:val="center"/>
          </w:tcPr>
          <w:p w14:paraId="47C418AC">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378" w:type="pct"/>
            <w:tcBorders>
              <w:top w:val="single" w:color="000000" w:sz="4" w:space="0"/>
              <w:left w:val="single" w:color="000000" w:sz="4" w:space="0"/>
              <w:bottom w:val="single" w:color="000000" w:sz="4" w:space="0"/>
              <w:right w:val="single" w:color="000000" w:sz="4" w:space="0"/>
            </w:tcBorders>
            <w:vAlign w:val="center"/>
          </w:tcPr>
          <w:p w14:paraId="6C5F2AE1">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58C7BD89">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2E38E2F4">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71D0036A">
            <w:pPr>
              <w:widowControl/>
              <w:jc w:val="center"/>
              <w:textAlignment w:val="center"/>
              <w:rPr>
                <w:rFonts w:hint="eastAsia" w:ascii="宋体" w:hAnsi="宋体" w:cs="宋体"/>
                <w:color w:val="000000"/>
                <w:kern w:val="0"/>
                <w:sz w:val="24"/>
                <w:highlight w:val="none"/>
                <w:lang w:bidi="ar"/>
              </w:rPr>
            </w:pPr>
          </w:p>
        </w:tc>
      </w:tr>
      <w:tr w14:paraId="12A781CF">
        <w:tblPrEx>
          <w:tblCellMar>
            <w:top w:w="0" w:type="dxa"/>
            <w:left w:w="108" w:type="dxa"/>
            <w:bottom w:w="0" w:type="dxa"/>
            <w:right w:w="108" w:type="dxa"/>
          </w:tblCellMar>
        </w:tblPrEx>
        <w:trPr>
          <w:trHeight w:val="316" w:hRule="atLeast"/>
        </w:trPr>
        <w:tc>
          <w:tcPr>
            <w:tcW w:w="640" w:type="pct"/>
            <w:vMerge w:val="continue"/>
            <w:tcBorders>
              <w:left w:val="single" w:color="000000" w:sz="4" w:space="0"/>
              <w:right w:val="single" w:color="000000" w:sz="4" w:space="0"/>
            </w:tcBorders>
            <w:vAlign w:val="center"/>
          </w:tcPr>
          <w:p w14:paraId="3B73729D">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4E0C805A">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w:t>
            </w:r>
          </w:p>
        </w:tc>
        <w:tc>
          <w:tcPr>
            <w:tcW w:w="1654" w:type="pct"/>
            <w:tcBorders>
              <w:top w:val="single" w:color="000000" w:sz="4" w:space="0"/>
              <w:left w:val="single" w:color="000000" w:sz="4" w:space="0"/>
              <w:bottom w:val="single" w:color="000000" w:sz="4" w:space="0"/>
              <w:right w:val="single" w:color="000000" w:sz="4" w:space="0"/>
            </w:tcBorders>
            <w:vAlign w:val="center"/>
          </w:tcPr>
          <w:p w14:paraId="64E8FBCD">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配套硬件设备建设</w:t>
            </w:r>
          </w:p>
        </w:tc>
        <w:tc>
          <w:tcPr>
            <w:tcW w:w="563" w:type="pct"/>
            <w:tcBorders>
              <w:top w:val="single" w:color="000000" w:sz="4" w:space="0"/>
              <w:left w:val="single" w:color="000000" w:sz="4" w:space="0"/>
              <w:bottom w:val="single" w:color="000000" w:sz="4" w:space="0"/>
              <w:right w:val="single" w:color="000000" w:sz="4" w:space="0"/>
            </w:tcBorders>
            <w:vAlign w:val="center"/>
          </w:tcPr>
          <w:p w14:paraId="6E439908">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w:t>
            </w:r>
          </w:p>
        </w:tc>
        <w:tc>
          <w:tcPr>
            <w:tcW w:w="378" w:type="pct"/>
            <w:tcBorders>
              <w:top w:val="single" w:color="000000" w:sz="4" w:space="0"/>
              <w:left w:val="single" w:color="000000" w:sz="4" w:space="0"/>
              <w:bottom w:val="single" w:color="000000" w:sz="4" w:space="0"/>
              <w:right w:val="single" w:color="000000" w:sz="4" w:space="0"/>
            </w:tcBorders>
            <w:vAlign w:val="center"/>
          </w:tcPr>
          <w:p w14:paraId="5D3B5F75">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55492AE4">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5D640190">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1FB1CC3C">
            <w:pPr>
              <w:widowControl/>
              <w:jc w:val="center"/>
              <w:textAlignment w:val="center"/>
              <w:rPr>
                <w:rFonts w:hint="eastAsia" w:ascii="宋体" w:hAnsi="宋体" w:cs="宋体"/>
                <w:color w:val="000000"/>
                <w:kern w:val="0"/>
                <w:sz w:val="24"/>
                <w:highlight w:val="none"/>
                <w:lang w:bidi="ar"/>
              </w:rPr>
            </w:pPr>
          </w:p>
        </w:tc>
      </w:tr>
      <w:tr w14:paraId="307DBAC4">
        <w:tblPrEx>
          <w:tblCellMar>
            <w:top w:w="0" w:type="dxa"/>
            <w:left w:w="108" w:type="dxa"/>
            <w:bottom w:w="0" w:type="dxa"/>
            <w:right w:w="108" w:type="dxa"/>
          </w:tblCellMar>
        </w:tblPrEx>
        <w:trPr>
          <w:trHeight w:val="316" w:hRule="atLeast"/>
        </w:trPr>
        <w:tc>
          <w:tcPr>
            <w:tcW w:w="640" w:type="pct"/>
            <w:vMerge w:val="continue"/>
            <w:tcBorders>
              <w:left w:val="single" w:color="000000" w:sz="4" w:space="0"/>
              <w:right w:val="single" w:color="000000" w:sz="4" w:space="0"/>
            </w:tcBorders>
            <w:vAlign w:val="center"/>
          </w:tcPr>
          <w:p w14:paraId="5937037A">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33801EC6">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2.1</w:t>
            </w:r>
          </w:p>
        </w:tc>
        <w:tc>
          <w:tcPr>
            <w:tcW w:w="1654" w:type="pct"/>
            <w:tcBorders>
              <w:top w:val="single" w:color="000000" w:sz="4" w:space="0"/>
              <w:left w:val="single" w:color="000000" w:sz="4" w:space="0"/>
              <w:bottom w:val="single" w:color="000000" w:sz="4" w:space="0"/>
              <w:right w:val="single" w:color="000000" w:sz="4" w:space="0"/>
            </w:tcBorders>
            <w:vAlign w:val="center"/>
          </w:tcPr>
          <w:p w14:paraId="4A57C671">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核心防火墙</w:t>
            </w:r>
          </w:p>
        </w:tc>
        <w:tc>
          <w:tcPr>
            <w:tcW w:w="563" w:type="pct"/>
            <w:tcBorders>
              <w:top w:val="single" w:color="000000" w:sz="4" w:space="0"/>
              <w:left w:val="single" w:color="000000" w:sz="4" w:space="0"/>
              <w:bottom w:val="single" w:color="000000" w:sz="4" w:space="0"/>
              <w:right w:val="single" w:color="000000" w:sz="4" w:space="0"/>
            </w:tcBorders>
            <w:vAlign w:val="center"/>
          </w:tcPr>
          <w:p w14:paraId="09DE1DF3">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2台</w:t>
            </w:r>
          </w:p>
        </w:tc>
        <w:tc>
          <w:tcPr>
            <w:tcW w:w="378" w:type="pct"/>
            <w:tcBorders>
              <w:top w:val="single" w:color="000000" w:sz="4" w:space="0"/>
              <w:left w:val="single" w:color="000000" w:sz="4" w:space="0"/>
              <w:bottom w:val="single" w:color="000000" w:sz="4" w:space="0"/>
              <w:right w:val="single" w:color="000000" w:sz="4" w:space="0"/>
            </w:tcBorders>
            <w:vAlign w:val="center"/>
          </w:tcPr>
          <w:p w14:paraId="0C09C51E">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17484915">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59BC6652">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0B3DCE98">
            <w:pPr>
              <w:widowControl/>
              <w:jc w:val="center"/>
              <w:textAlignment w:val="center"/>
              <w:rPr>
                <w:rFonts w:hint="eastAsia" w:ascii="宋体" w:hAnsi="宋体" w:cs="宋体"/>
                <w:color w:val="000000"/>
                <w:kern w:val="0"/>
                <w:sz w:val="24"/>
                <w:highlight w:val="none"/>
                <w:lang w:bidi="ar"/>
              </w:rPr>
            </w:pPr>
          </w:p>
        </w:tc>
      </w:tr>
      <w:tr w14:paraId="06087F04">
        <w:tblPrEx>
          <w:tblCellMar>
            <w:top w:w="0" w:type="dxa"/>
            <w:left w:w="108" w:type="dxa"/>
            <w:bottom w:w="0" w:type="dxa"/>
            <w:right w:w="108" w:type="dxa"/>
          </w:tblCellMar>
        </w:tblPrEx>
        <w:trPr>
          <w:trHeight w:val="316" w:hRule="atLeast"/>
        </w:trPr>
        <w:tc>
          <w:tcPr>
            <w:tcW w:w="640" w:type="pct"/>
            <w:vMerge w:val="continue"/>
            <w:tcBorders>
              <w:left w:val="single" w:color="000000" w:sz="4" w:space="0"/>
              <w:right w:val="single" w:color="000000" w:sz="4" w:space="0"/>
            </w:tcBorders>
            <w:vAlign w:val="center"/>
          </w:tcPr>
          <w:p w14:paraId="43B08AF9">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44D9D72A">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2.2</w:t>
            </w:r>
          </w:p>
        </w:tc>
        <w:tc>
          <w:tcPr>
            <w:tcW w:w="1654" w:type="pct"/>
            <w:tcBorders>
              <w:top w:val="single" w:color="000000" w:sz="4" w:space="0"/>
              <w:left w:val="single" w:color="000000" w:sz="4" w:space="0"/>
              <w:bottom w:val="single" w:color="000000" w:sz="4" w:space="0"/>
              <w:right w:val="single" w:color="000000" w:sz="4" w:space="0"/>
            </w:tcBorders>
            <w:vAlign w:val="center"/>
          </w:tcPr>
          <w:p w14:paraId="2B0647FE">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Web应用防火墙</w:t>
            </w:r>
          </w:p>
        </w:tc>
        <w:tc>
          <w:tcPr>
            <w:tcW w:w="563" w:type="pct"/>
            <w:tcBorders>
              <w:top w:val="single" w:color="000000" w:sz="4" w:space="0"/>
              <w:left w:val="single" w:color="000000" w:sz="4" w:space="0"/>
              <w:bottom w:val="single" w:color="000000" w:sz="4" w:space="0"/>
              <w:right w:val="single" w:color="000000" w:sz="4" w:space="0"/>
            </w:tcBorders>
            <w:vAlign w:val="center"/>
          </w:tcPr>
          <w:p w14:paraId="58F8FDB2">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2台</w:t>
            </w:r>
          </w:p>
        </w:tc>
        <w:tc>
          <w:tcPr>
            <w:tcW w:w="378" w:type="pct"/>
            <w:tcBorders>
              <w:top w:val="single" w:color="000000" w:sz="4" w:space="0"/>
              <w:left w:val="single" w:color="000000" w:sz="4" w:space="0"/>
              <w:bottom w:val="single" w:color="000000" w:sz="4" w:space="0"/>
              <w:right w:val="single" w:color="000000" w:sz="4" w:space="0"/>
            </w:tcBorders>
            <w:vAlign w:val="center"/>
          </w:tcPr>
          <w:p w14:paraId="30C11B5F">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36036CA1">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0BA894A4">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1BC9C68E">
            <w:pPr>
              <w:widowControl/>
              <w:jc w:val="center"/>
              <w:textAlignment w:val="center"/>
              <w:rPr>
                <w:rFonts w:hint="eastAsia" w:ascii="宋体" w:hAnsi="宋体" w:cs="宋体"/>
                <w:color w:val="000000"/>
                <w:kern w:val="0"/>
                <w:sz w:val="24"/>
                <w:highlight w:val="none"/>
                <w:lang w:bidi="ar"/>
              </w:rPr>
            </w:pPr>
          </w:p>
        </w:tc>
      </w:tr>
      <w:tr w14:paraId="0FA6E6E5">
        <w:tblPrEx>
          <w:tblCellMar>
            <w:top w:w="0" w:type="dxa"/>
            <w:left w:w="108" w:type="dxa"/>
            <w:bottom w:w="0" w:type="dxa"/>
            <w:right w:w="108" w:type="dxa"/>
          </w:tblCellMar>
        </w:tblPrEx>
        <w:trPr>
          <w:trHeight w:val="316" w:hRule="atLeast"/>
        </w:trPr>
        <w:tc>
          <w:tcPr>
            <w:tcW w:w="640" w:type="pct"/>
            <w:vMerge w:val="continue"/>
            <w:tcBorders>
              <w:left w:val="single" w:color="000000" w:sz="4" w:space="0"/>
              <w:right w:val="single" w:color="000000" w:sz="4" w:space="0"/>
            </w:tcBorders>
            <w:vAlign w:val="center"/>
          </w:tcPr>
          <w:p w14:paraId="7A40B0FB">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24439764">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2.3</w:t>
            </w:r>
          </w:p>
        </w:tc>
        <w:tc>
          <w:tcPr>
            <w:tcW w:w="1654" w:type="pct"/>
            <w:tcBorders>
              <w:top w:val="single" w:color="000000" w:sz="4" w:space="0"/>
              <w:left w:val="single" w:color="000000" w:sz="4" w:space="0"/>
              <w:bottom w:val="single" w:color="000000" w:sz="4" w:space="0"/>
              <w:right w:val="single" w:color="000000" w:sz="4" w:space="0"/>
            </w:tcBorders>
            <w:vAlign w:val="center"/>
          </w:tcPr>
          <w:p w14:paraId="39D88012">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核心交换机</w:t>
            </w:r>
          </w:p>
        </w:tc>
        <w:tc>
          <w:tcPr>
            <w:tcW w:w="563" w:type="pct"/>
            <w:tcBorders>
              <w:top w:val="single" w:color="000000" w:sz="4" w:space="0"/>
              <w:left w:val="single" w:color="000000" w:sz="4" w:space="0"/>
              <w:bottom w:val="single" w:color="000000" w:sz="4" w:space="0"/>
              <w:right w:val="single" w:color="000000" w:sz="4" w:space="0"/>
            </w:tcBorders>
            <w:vAlign w:val="center"/>
          </w:tcPr>
          <w:p w14:paraId="33774AD7">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2台</w:t>
            </w:r>
          </w:p>
        </w:tc>
        <w:tc>
          <w:tcPr>
            <w:tcW w:w="378" w:type="pct"/>
            <w:tcBorders>
              <w:top w:val="single" w:color="000000" w:sz="4" w:space="0"/>
              <w:left w:val="single" w:color="000000" w:sz="4" w:space="0"/>
              <w:bottom w:val="single" w:color="000000" w:sz="4" w:space="0"/>
              <w:right w:val="single" w:color="000000" w:sz="4" w:space="0"/>
            </w:tcBorders>
            <w:vAlign w:val="center"/>
          </w:tcPr>
          <w:p w14:paraId="6B87B7D1">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071637AD">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657716E6">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425BFB22">
            <w:pPr>
              <w:widowControl/>
              <w:jc w:val="center"/>
              <w:textAlignment w:val="center"/>
              <w:rPr>
                <w:rFonts w:hint="eastAsia" w:ascii="宋体" w:hAnsi="宋体" w:cs="宋体"/>
                <w:color w:val="000000"/>
                <w:kern w:val="0"/>
                <w:sz w:val="24"/>
                <w:highlight w:val="none"/>
                <w:lang w:bidi="ar"/>
              </w:rPr>
            </w:pPr>
          </w:p>
        </w:tc>
      </w:tr>
      <w:tr w14:paraId="01348DD5">
        <w:tblPrEx>
          <w:tblCellMar>
            <w:top w:w="0" w:type="dxa"/>
            <w:left w:w="108" w:type="dxa"/>
            <w:bottom w:w="0" w:type="dxa"/>
            <w:right w:w="108" w:type="dxa"/>
          </w:tblCellMar>
        </w:tblPrEx>
        <w:trPr>
          <w:trHeight w:val="316" w:hRule="atLeast"/>
        </w:trPr>
        <w:tc>
          <w:tcPr>
            <w:tcW w:w="640" w:type="pct"/>
            <w:vMerge w:val="continue"/>
            <w:tcBorders>
              <w:left w:val="single" w:color="000000" w:sz="4" w:space="0"/>
              <w:right w:val="single" w:color="000000" w:sz="4" w:space="0"/>
            </w:tcBorders>
            <w:vAlign w:val="center"/>
          </w:tcPr>
          <w:p w14:paraId="1750964C">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2610C677">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2.4</w:t>
            </w:r>
          </w:p>
        </w:tc>
        <w:tc>
          <w:tcPr>
            <w:tcW w:w="1654" w:type="pct"/>
            <w:tcBorders>
              <w:top w:val="single" w:color="000000" w:sz="4" w:space="0"/>
              <w:left w:val="single" w:color="000000" w:sz="4" w:space="0"/>
              <w:bottom w:val="single" w:color="000000" w:sz="4" w:space="0"/>
              <w:right w:val="single" w:color="000000" w:sz="4" w:space="0"/>
            </w:tcBorders>
            <w:vAlign w:val="center"/>
          </w:tcPr>
          <w:p w14:paraId="19120FF5">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接入交换机</w:t>
            </w:r>
          </w:p>
        </w:tc>
        <w:tc>
          <w:tcPr>
            <w:tcW w:w="563" w:type="pct"/>
            <w:tcBorders>
              <w:top w:val="single" w:color="000000" w:sz="4" w:space="0"/>
              <w:left w:val="single" w:color="000000" w:sz="4" w:space="0"/>
              <w:bottom w:val="single" w:color="000000" w:sz="4" w:space="0"/>
              <w:right w:val="single" w:color="000000" w:sz="4" w:space="0"/>
            </w:tcBorders>
            <w:vAlign w:val="center"/>
          </w:tcPr>
          <w:p w14:paraId="565C4550">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4台</w:t>
            </w:r>
          </w:p>
        </w:tc>
        <w:tc>
          <w:tcPr>
            <w:tcW w:w="378" w:type="pct"/>
            <w:tcBorders>
              <w:top w:val="single" w:color="000000" w:sz="4" w:space="0"/>
              <w:left w:val="single" w:color="000000" w:sz="4" w:space="0"/>
              <w:bottom w:val="single" w:color="000000" w:sz="4" w:space="0"/>
              <w:right w:val="single" w:color="000000" w:sz="4" w:space="0"/>
            </w:tcBorders>
            <w:vAlign w:val="center"/>
          </w:tcPr>
          <w:p w14:paraId="3457226F">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58DB6F7C">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547411AC">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3D259264">
            <w:pPr>
              <w:widowControl/>
              <w:jc w:val="center"/>
              <w:textAlignment w:val="center"/>
              <w:rPr>
                <w:rFonts w:hint="eastAsia" w:ascii="宋体" w:hAnsi="宋体" w:cs="宋体"/>
                <w:color w:val="000000"/>
                <w:kern w:val="0"/>
                <w:sz w:val="24"/>
                <w:highlight w:val="none"/>
                <w:lang w:bidi="ar"/>
              </w:rPr>
            </w:pPr>
          </w:p>
        </w:tc>
      </w:tr>
      <w:tr w14:paraId="20BC7FE7">
        <w:tblPrEx>
          <w:tblCellMar>
            <w:top w:w="0" w:type="dxa"/>
            <w:left w:w="108" w:type="dxa"/>
            <w:bottom w:w="0" w:type="dxa"/>
            <w:right w:w="108" w:type="dxa"/>
          </w:tblCellMar>
        </w:tblPrEx>
        <w:trPr>
          <w:trHeight w:val="316" w:hRule="atLeast"/>
        </w:trPr>
        <w:tc>
          <w:tcPr>
            <w:tcW w:w="640" w:type="pct"/>
            <w:vMerge w:val="continue"/>
            <w:tcBorders>
              <w:left w:val="single" w:color="000000" w:sz="4" w:space="0"/>
              <w:right w:val="single" w:color="000000" w:sz="4" w:space="0"/>
            </w:tcBorders>
            <w:vAlign w:val="center"/>
          </w:tcPr>
          <w:p w14:paraId="5B8D9F77">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3EA7CC8A">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2.5</w:t>
            </w:r>
          </w:p>
        </w:tc>
        <w:tc>
          <w:tcPr>
            <w:tcW w:w="1654" w:type="pct"/>
            <w:tcBorders>
              <w:top w:val="single" w:color="000000" w:sz="4" w:space="0"/>
              <w:left w:val="single" w:color="000000" w:sz="4" w:space="0"/>
              <w:bottom w:val="single" w:color="000000" w:sz="4" w:space="0"/>
              <w:right w:val="single" w:color="000000" w:sz="4" w:space="0"/>
            </w:tcBorders>
            <w:vAlign w:val="center"/>
          </w:tcPr>
          <w:p w14:paraId="72F17575">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计算节点</w:t>
            </w:r>
          </w:p>
        </w:tc>
        <w:tc>
          <w:tcPr>
            <w:tcW w:w="563" w:type="pct"/>
            <w:tcBorders>
              <w:top w:val="single" w:color="000000" w:sz="4" w:space="0"/>
              <w:left w:val="single" w:color="000000" w:sz="4" w:space="0"/>
              <w:bottom w:val="single" w:color="000000" w:sz="4" w:space="0"/>
              <w:right w:val="single" w:color="000000" w:sz="4" w:space="0"/>
            </w:tcBorders>
            <w:vAlign w:val="center"/>
          </w:tcPr>
          <w:p w14:paraId="557B21D7">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val="en-US" w:eastAsia="zh-CN" w:bidi="ar"/>
              </w:rPr>
              <w:t>3</w:t>
            </w:r>
            <w:r>
              <w:rPr>
                <w:rFonts w:hint="eastAsia" w:ascii="宋体" w:hAnsi="宋体" w:cs="宋体"/>
                <w:color w:val="000000"/>
                <w:kern w:val="0"/>
                <w:sz w:val="24"/>
                <w:highlight w:val="none"/>
                <w:lang w:bidi="ar"/>
              </w:rPr>
              <w:t>台</w:t>
            </w:r>
          </w:p>
        </w:tc>
        <w:tc>
          <w:tcPr>
            <w:tcW w:w="378" w:type="pct"/>
            <w:tcBorders>
              <w:top w:val="single" w:color="000000" w:sz="4" w:space="0"/>
              <w:left w:val="single" w:color="000000" w:sz="4" w:space="0"/>
              <w:bottom w:val="single" w:color="000000" w:sz="4" w:space="0"/>
              <w:right w:val="single" w:color="000000" w:sz="4" w:space="0"/>
            </w:tcBorders>
            <w:vAlign w:val="center"/>
          </w:tcPr>
          <w:p w14:paraId="3AC51751">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08B05C02">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3DA5C900">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1C9D5E88">
            <w:pPr>
              <w:widowControl/>
              <w:jc w:val="center"/>
              <w:textAlignment w:val="center"/>
              <w:rPr>
                <w:rFonts w:hint="eastAsia" w:ascii="宋体" w:hAnsi="宋体" w:cs="宋体"/>
                <w:color w:val="000000"/>
                <w:kern w:val="0"/>
                <w:sz w:val="24"/>
                <w:highlight w:val="none"/>
                <w:lang w:bidi="ar"/>
              </w:rPr>
            </w:pPr>
          </w:p>
        </w:tc>
      </w:tr>
      <w:tr w14:paraId="4127278A">
        <w:tblPrEx>
          <w:tblCellMar>
            <w:top w:w="0" w:type="dxa"/>
            <w:left w:w="108" w:type="dxa"/>
            <w:bottom w:w="0" w:type="dxa"/>
            <w:right w:w="108" w:type="dxa"/>
          </w:tblCellMar>
        </w:tblPrEx>
        <w:trPr>
          <w:trHeight w:val="316" w:hRule="atLeast"/>
        </w:trPr>
        <w:tc>
          <w:tcPr>
            <w:tcW w:w="640" w:type="pct"/>
            <w:vMerge w:val="continue"/>
            <w:tcBorders>
              <w:left w:val="single" w:color="000000" w:sz="4" w:space="0"/>
              <w:right w:val="single" w:color="000000" w:sz="4" w:space="0"/>
            </w:tcBorders>
            <w:vAlign w:val="center"/>
          </w:tcPr>
          <w:p w14:paraId="65319461">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7C998FB5">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2.6</w:t>
            </w:r>
          </w:p>
        </w:tc>
        <w:tc>
          <w:tcPr>
            <w:tcW w:w="1654" w:type="pct"/>
            <w:tcBorders>
              <w:top w:val="single" w:color="000000" w:sz="4" w:space="0"/>
              <w:left w:val="single" w:color="000000" w:sz="4" w:space="0"/>
              <w:bottom w:val="single" w:color="000000" w:sz="4" w:space="0"/>
              <w:right w:val="single" w:color="000000" w:sz="4" w:space="0"/>
            </w:tcBorders>
            <w:vAlign w:val="center"/>
          </w:tcPr>
          <w:p w14:paraId="01FB2FDA">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管理节点</w:t>
            </w:r>
          </w:p>
        </w:tc>
        <w:tc>
          <w:tcPr>
            <w:tcW w:w="563" w:type="pct"/>
            <w:tcBorders>
              <w:top w:val="single" w:color="000000" w:sz="4" w:space="0"/>
              <w:left w:val="single" w:color="000000" w:sz="4" w:space="0"/>
              <w:bottom w:val="single" w:color="000000" w:sz="4" w:space="0"/>
              <w:right w:val="single" w:color="000000" w:sz="4" w:space="0"/>
            </w:tcBorders>
            <w:vAlign w:val="center"/>
          </w:tcPr>
          <w:p w14:paraId="65ED71FD">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3台</w:t>
            </w:r>
          </w:p>
        </w:tc>
        <w:tc>
          <w:tcPr>
            <w:tcW w:w="378" w:type="pct"/>
            <w:tcBorders>
              <w:top w:val="single" w:color="000000" w:sz="4" w:space="0"/>
              <w:left w:val="single" w:color="000000" w:sz="4" w:space="0"/>
              <w:bottom w:val="single" w:color="000000" w:sz="4" w:space="0"/>
              <w:right w:val="single" w:color="000000" w:sz="4" w:space="0"/>
            </w:tcBorders>
            <w:vAlign w:val="center"/>
          </w:tcPr>
          <w:p w14:paraId="7172C291">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6431C803">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458963E5">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7B6BE232">
            <w:pPr>
              <w:widowControl/>
              <w:jc w:val="center"/>
              <w:textAlignment w:val="center"/>
              <w:rPr>
                <w:rFonts w:hint="eastAsia" w:ascii="宋体" w:hAnsi="宋体" w:cs="宋体"/>
                <w:color w:val="000000"/>
                <w:kern w:val="0"/>
                <w:sz w:val="24"/>
                <w:highlight w:val="none"/>
                <w:lang w:bidi="ar"/>
              </w:rPr>
            </w:pPr>
          </w:p>
        </w:tc>
      </w:tr>
      <w:tr w14:paraId="2A0A6B0A">
        <w:tblPrEx>
          <w:tblCellMar>
            <w:top w:w="0" w:type="dxa"/>
            <w:left w:w="108" w:type="dxa"/>
            <w:bottom w:w="0" w:type="dxa"/>
            <w:right w:w="108" w:type="dxa"/>
          </w:tblCellMar>
        </w:tblPrEx>
        <w:trPr>
          <w:trHeight w:val="316" w:hRule="atLeast"/>
        </w:trPr>
        <w:tc>
          <w:tcPr>
            <w:tcW w:w="640" w:type="pct"/>
            <w:vMerge w:val="continue"/>
            <w:tcBorders>
              <w:left w:val="single" w:color="000000" w:sz="4" w:space="0"/>
              <w:bottom w:val="single" w:color="000000" w:sz="4" w:space="0"/>
              <w:right w:val="single" w:color="000000" w:sz="4" w:space="0"/>
            </w:tcBorders>
            <w:vAlign w:val="center"/>
          </w:tcPr>
          <w:p w14:paraId="23D534EB">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2829F84F">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2.7</w:t>
            </w:r>
          </w:p>
        </w:tc>
        <w:tc>
          <w:tcPr>
            <w:tcW w:w="1654" w:type="pct"/>
            <w:tcBorders>
              <w:top w:val="single" w:color="000000" w:sz="4" w:space="0"/>
              <w:left w:val="single" w:color="000000" w:sz="4" w:space="0"/>
              <w:bottom w:val="single" w:color="000000" w:sz="4" w:space="0"/>
              <w:right w:val="single" w:color="000000" w:sz="4" w:space="0"/>
            </w:tcBorders>
            <w:vAlign w:val="center"/>
          </w:tcPr>
          <w:p w14:paraId="329AC82E">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云管理平台软件</w:t>
            </w:r>
          </w:p>
        </w:tc>
        <w:tc>
          <w:tcPr>
            <w:tcW w:w="563" w:type="pct"/>
            <w:tcBorders>
              <w:top w:val="single" w:color="000000" w:sz="4" w:space="0"/>
              <w:left w:val="single" w:color="000000" w:sz="4" w:space="0"/>
              <w:bottom w:val="single" w:color="000000" w:sz="4" w:space="0"/>
              <w:right w:val="single" w:color="000000" w:sz="4" w:space="0"/>
            </w:tcBorders>
            <w:vAlign w:val="center"/>
          </w:tcPr>
          <w:p w14:paraId="5A720F67">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378" w:type="pct"/>
            <w:tcBorders>
              <w:top w:val="single" w:color="000000" w:sz="4" w:space="0"/>
              <w:left w:val="single" w:color="000000" w:sz="4" w:space="0"/>
              <w:bottom w:val="single" w:color="000000" w:sz="4" w:space="0"/>
              <w:right w:val="single" w:color="000000" w:sz="4" w:space="0"/>
            </w:tcBorders>
            <w:vAlign w:val="center"/>
          </w:tcPr>
          <w:p w14:paraId="0DC9F825">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58B0B066">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44DA00CE">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0BDFB970">
            <w:pPr>
              <w:widowControl/>
              <w:jc w:val="center"/>
              <w:textAlignment w:val="center"/>
              <w:rPr>
                <w:rFonts w:hint="eastAsia" w:ascii="宋体" w:hAnsi="宋体" w:cs="宋体"/>
                <w:color w:val="000000"/>
                <w:kern w:val="0"/>
                <w:sz w:val="24"/>
                <w:highlight w:val="none"/>
                <w:lang w:bidi="ar"/>
              </w:rPr>
            </w:pPr>
          </w:p>
        </w:tc>
      </w:tr>
      <w:tr w14:paraId="2D919350">
        <w:tblPrEx>
          <w:tblCellMar>
            <w:top w:w="0" w:type="dxa"/>
            <w:left w:w="108" w:type="dxa"/>
            <w:bottom w:w="0" w:type="dxa"/>
            <w:right w:w="108" w:type="dxa"/>
          </w:tblCellMar>
        </w:tblPrEx>
        <w:trPr>
          <w:trHeight w:val="324" w:hRule="atLeast"/>
        </w:trPr>
        <w:tc>
          <w:tcPr>
            <w:tcW w:w="640"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2996F083">
            <w:pPr>
              <w:widowControl/>
              <w:jc w:val="center"/>
              <w:textAlignment w:val="center"/>
              <w:rPr>
                <w:rFonts w:hint="eastAsia"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t>品目名称</w:t>
            </w:r>
          </w:p>
        </w:tc>
        <w:tc>
          <w:tcPr>
            <w:tcW w:w="412"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5E88175E">
            <w:pPr>
              <w:widowControl/>
              <w:jc w:val="center"/>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序号</w:t>
            </w:r>
          </w:p>
        </w:tc>
        <w:tc>
          <w:tcPr>
            <w:tcW w:w="1654"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5ADD1E5F">
            <w:pPr>
              <w:widowControl/>
              <w:jc w:val="center"/>
              <w:textAlignment w:val="center"/>
              <w:rPr>
                <w:rFonts w:hint="eastAsia" w:ascii="宋体" w:hAnsi="宋体" w:cs="宋体"/>
                <w:b/>
                <w:bCs/>
                <w:color w:val="000000"/>
                <w:sz w:val="24"/>
                <w:highlight w:val="none"/>
              </w:rPr>
            </w:pPr>
            <w:r>
              <w:rPr>
                <w:rFonts w:hint="eastAsia" w:ascii="宋体" w:hAnsi="宋体" w:cs="宋体"/>
                <w:b/>
                <w:bCs/>
                <w:color w:val="000000"/>
                <w:kern w:val="0"/>
                <w:sz w:val="24"/>
                <w:highlight w:val="none"/>
                <w:lang w:bidi="ar"/>
              </w:rPr>
              <w:t>项目名称</w:t>
            </w:r>
          </w:p>
        </w:tc>
        <w:tc>
          <w:tcPr>
            <w:tcW w:w="563"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675F00D2">
            <w:pPr>
              <w:widowControl/>
              <w:jc w:val="center"/>
              <w:textAlignment w:val="center"/>
              <w:rPr>
                <w:rFonts w:hint="eastAsia"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t>数量</w:t>
            </w:r>
          </w:p>
        </w:tc>
        <w:tc>
          <w:tcPr>
            <w:tcW w:w="378"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6DD8CEF6">
            <w:pPr>
              <w:widowControl/>
              <w:jc w:val="center"/>
              <w:textAlignment w:val="center"/>
              <w:rPr>
                <w:rFonts w:hint="eastAsia" w:ascii="宋体" w:hAnsi="宋体" w:cs="宋体"/>
                <w:b/>
                <w:bCs/>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37981BE1">
            <w:pPr>
              <w:widowControl/>
              <w:jc w:val="center"/>
              <w:textAlignment w:val="center"/>
              <w:rPr>
                <w:rFonts w:hint="eastAsia" w:ascii="宋体" w:hAnsi="宋体" w:cs="宋体"/>
                <w:b/>
                <w:bCs/>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52C2C308">
            <w:pPr>
              <w:widowControl/>
              <w:jc w:val="center"/>
              <w:textAlignment w:val="center"/>
              <w:rPr>
                <w:rFonts w:hint="eastAsia" w:ascii="宋体" w:hAnsi="宋体" w:cs="宋体"/>
                <w:b/>
                <w:bCs/>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BEBEBE"/>
            <w:vAlign w:val="center"/>
          </w:tcPr>
          <w:p w14:paraId="3AB43DEE">
            <w:pPr>
              <w:widowControl/>
              <w:jc w:val="center"/>
              <w:textAlignment w:val="center"/>
              <w:rPr>
                <w:rFonts w:hint="eastAsia" w:ascii="宋体" w:hAnsi="宋体" w:cs="宋体"/>
                <w:b/>
                <w:bCs/>
                <w:color w:val="000000"/>
                <w:kern w:val="0"/>
                <w:sz w:val="24"/>
                <w:highlight w:val="none"/>
                <w:lang w:bidi="ar"/>
              </w:rPr>
            </w:pPr>
          </w:p>
        </w:tc>
      </w:tr>
      <w:tr w14:paraId="798C10C8">
        <w:tblPrEx>
          <w:tblCellMar>
            <w:top w:w="0" w:type="dxa"/>
            <w:left w:w="108" w:type="dxa"/>
            <w:bottom w:w="0" w:type="dxa"/>
            <w:right w:w="108" w:type="dxa"/>
          </w:tblCellMar>
        </w:tblPrEx>
        <w:trPr>
          <w:trHeight w:val="312" w:hRule="atLeast"/>
        </w:trPr>
        <w:tc>
          <w:tcPr>
            <w:tcW w:w="640" w:type="pct"/>
            <w:vMerge w:val="restart"/>
            <w:tcBorders>
              <w:top w:val="single" w:color="000000" w:sz="4" w:space="0"/>
              <w:left w:val="single" w:color="000000" w:sz="4" w:space="0"/>
              <w:right w:val="single" w:color="000000" w:sz="4" w:space="0"/>
            </w:tcBorders>
            <w:vAlign w:val="center"/>
          </w:tcPr>
          <w:p w14:paraId="32BC734C">
            <w:pPr>
              <w:widowControl/>
              <w:jc w:val="center"/>
              <w:textAlignment w:val="center"/>
              <w:rPr>
                <w:rFonts w:hint="eastAsia" w:ascii="宋体" w:hAnsi="宋体" w:cs="宋体"/>
                <w:color w:val="000000"/>
                <w:kern w:val="0"/>
                <w:sz w:val="24"/>
                <w:highlight w:val="none"/>
                <w:lang w:bidi="ar"/>
              </w:rPr>
            </w:pPr>
            <w:r>
              <w:rPr>
                <w:rFonts w:hint="eastAsia" w:ascii="宋体" w:hAnsi="宋体" w:cs="宋体"/>
                <w:b/>
                <w:bCs/>
                <w:sz w:val="24"/>
                <w:highlight w:val="none"/>
              </w:rPr>
              <w:t>1-2中标企业自筹</w:t>
            </w:r>
          </w:p>
        </w:tc>
        <w:tc>
          <w:tcPr>
            <w:tcW w:w="412" w:type="pct"/>
            <w:tcBorders>
              <w:top w:val="single" w:color="000000" w:sz="4" w:space="0"/>
              <w:left w:val="single" w:color="000000" w:sz="4" w:space="0"/>
              <w:bottom w:val="single" w:color="000000" w:sz="4" w:space="0"/>
              <w:right w:val="single" w:color="000000" w:sz="4" w:space="0"/>
            </w:tcBorders>
            <w:vAlign w:val="center"/>
          </w:tcPr>
          <w:p w14:paraId="6F4C7039">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一</w:t>
            </w:r>
          </w:p>
        </w:tc>
        <w:tc>
          <w:tcPr>
            <w:tcW w:w="1654" w:type="pct"/>
            <w:tcBorders>
              <w:top w:val="single" w:color="000000" w:sz="4" w:space="0"/>
              <w:left w:val="single" w:color="000000" w:sz="4" w:space="0"/>
              <w:bottom w:val="single" w:color="000000" w:sz="4" w:space="0"/>
              <w:right w:val="single" w:color="000000" w:sz="4" w:space="0"/>
            </w:tcBorders>
            <w:vAlign w:val="center"/>
          </w:tcPr>
          <w:p w14:paraId="4B8C534C">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建设费用</w:t>
            </w:r>
          </w:p>
        </w:tc>
        <w:tc>
          <w:tcPr>
            <w:tcW w:w="563" w:type="pct"/>
            <w:tcBorders>
              <w:top w:val="single" w:color="000000" w:sz="4" w:space="0"/>
              <w:left w:val="single" w:color="000000" w:sz="4" w:space="0"/>
              <w:bottom w:val="single" w:color="000000" w:sz="4" w:space="0"/>
              <w:right w:val="single" w:color="000000" w:sz="4" w:space="0"/>
            </w:tcBorders>
            <w:vAlign w:val="center"/>
          </w:tcPr>
          <w:p w14:paraId="4F74DB47">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w:t>
            </w:r>
          </w:p>
        </w:tc>
        <w:tc>
          <w:tcPr>
            <w:tcW w:w="378" w:type="pct"/>
            <w:tcBorders>
              <w:top w:val="single" w:color="000000" w:sz="4" w:space="0"/>
              <w:left w:val="single" w:color="000000" w:sz="4" w:space="0"/>
              <w:bottom w:val="single" w:color="000000" w:sz="4" w:space="0"/>
              <w:right w:val="single" w:color="000000" w:sz="4" w:space="0"/>
            </w:tcBorders>
            <w:vAlign w:val="center"/>
          </w:tcPr>
          <w:p w14:paraId="19A253D4">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0AF59126">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72487841">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569C494F">
            <w:pPr>
              <w:widowControl/>
              <w:jc w:val="center"/>
              <w:textAlignment w:val="center"/>
              <w:rPr>
                <w:rFonts w:hint="eastAsia" w:ascii="宋体" w:hAnsi="宋体" w:cs="宋体"/>
                <w:color w:val="000000"/>
                <w:kern w:val="0"/>
                <w:sz w:val="24"/>
                <w:highlight w:val="none"/>
                <w:lang w:bidi="ar"/>
              </w:rPr>
            </w:pPr>
          </w:p>
        </w:tc>
      </w:tr>
      <w:tr w14:paraId="0B5DC258">
        <w:tblPrEx>
          <w:tblCellMar>
            <w:top w:w="0" w:type="dxa"/>
            <w:left w:w="108" w:type="dxa"/>
            <w:bottom w:w="0" w:type="dxa"/>
            <w:right w:w="108" w:type="dxa"/>
          </w:tblCellMar>
        </w:tblPrEx>
        <w:trPr>
          <w:trHeight w:val="312" w:hRule="atLeast"/>
        </w:trPr>
        <w:tc>
          <w:tcPr>
            <w:tcW w:w="640" w:type="pct"/>
            <w:vMerge w:val="continue"/>
            <w:tcBorders>
              <w:left w:val="single" w:color="000000" w:sz="4" w:space="0"/>
              <w:right w:val="single" w:color="000000" w:sz="4" w:space="0"/>
            </w:tcBorders>
            <w:vAlign w:val="center"/>
          </w:tcPr>
          <w:p w14:paraId="2FB988EB">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3324A7C7">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w:t>
            </w:r>
          </w:p>
        </w:tc>
        <w:tc>
          <w:tcPr>
            <w:tcW w:w="1654" w:type="pct"/>
            <w:tcBorders>
              <w:top w:val="single" w:color="000000" w:sz="4" w:space="0"/>
              <w:left w:val="single" w:color="000000" w:sz="4" w:space="0"/>
              <w:bottom w:val="single" w:color="000000" w:sz="4" w:space="0"/>
              <w:right w:val="single" w:color="000000" w:sz="4" w:space="0"/>
            </w:tcBorders>
            <w:vAlign w:val="center"/>
          </w:tcPr>
          <w:p w14:paraId="0ACD5F9D">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数据资产全过程管理平台</w:t>
            </w:r>
          </w:p>
        </w:tc>
        <w:tc>
          <w:tcPr>
            <w:tcW w:w="563" w:type="pct"/>
            <w:tcBorders>
              <w:top w:val="single" w:color="000000" w:sz="4" w:space="0"/>
              <w:left w:val="single" w:color="000000" w:sz="4" w:space="0"/>
              <w:bottom w:val="single" w:color="000000" w:sz="4" w:space="0"/>
              <w:right w:val="single" w:color="000000" w:sz="4" w:space="0"/>
            </w:tcBorders>
            <w:vAlign w:val="center"/>
          </w:tcPr>
          <w:p w14:paraId="58BB253B">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w:t>
            </w:r>
          </w:p>
        </w:tc>
        <w:tc>
          <w:tcPr>
            <w:tcW w:w="378" w:type="pct"/>
            <w:tcBorders>
              <w:top w:val="single" w:color="000000" w:sz="4" w:space="0"/>
              <w:left w:val="single" w:color="000000" w:sz="4" w:space="0"/>
              <w:bottom w:val="single" w:color="000000" w:sz="4" w:space="0"/>
              <w:right w:val="single" w:color="000000" w:sz="4" w:space="0"/>
            </w:tcBorders>
            <w:vAlign w:val="center"/>
          </w:tcPr>
          <w:p w14:paraId="14666A74">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02BA530D">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623BC0C1">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763A7F31">
            <w:pPr>
              <w:widowControl/>
              <w:jc w:val="center"/>
              <w:textAlignment w:val="center"/>
              <w:rPr>
                <w:rFonts w:hint="eastAsia" w:ascii="宋体" w:hAnsi="宋体" w:cs="宋体"/>
                <w:color w:val="000000"/>
                <w:kern w:val="0"/>
                <w:sz w:val="24"/>
                <w:highlight w:val="none"/>
                <w:lang w:bidi="ar"/>
              </w:rPr>
            </w:pPr>
          </w:p>
        </w:tc>
      </w:tr>
      <w:tr w14:paraId="37D565A5">
        <w:tblPrEx>
          <w:tblCellMar>
            <w:top w:w="0" w:type="dxa"/>
            <w:left w:w="108" w:type="dxa"/>
            <w:bottom w:w="0" w:type="dxa"/>
            <w:right w:w="108" w:type="dxa"/>
          </w:tblCellMar>
        </w:tblPrEx>
        <w:trPr>
          <w:trHeight w:val="312" w:hRule="atLeast"/>
        </w:trPr>
        <w:tc>
          <w:tcPr>
            <w:tcW w:w="640" w:type="pct"/>
            <w:vMerge w:val="continue"/>
            <w:tcBorders>
              <w:left w:val="single" w:color="000000" w:sz="4" w:space="0"/>
              <w:right w:val="single" w:color="000000" w:sz="4" w:space="0"/>
            </w:tcBorders>
            <w:vAlign w:val="center"/>
          </w:tcPr>
          <w:p w14:paraId="3341B972">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5EDA9A04">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1.1</w:t>
            </w:r>
          </w:p>
        </w:tc>
        <w:tc>
          <w:tcPr>
            <w:tcW w:w="1654" w:type="pct"/>
            <w:tcBorders>
              <w:top w:val="single" w:color="000000" w:sz="4" w:space="0"/>
              <w:left w:val="single" w:color="000000" w:sz="4" w:space="0"/>
              <w:bottom w:val="single" w:color="000000" w:sz="4" w:space="0"/>
              <w:right w:val="single" w:color="000000" w:sz="4" w:space="0"/>
            </w:tcBorders>
            <w:vAlign w:val="center"/>
          </w:tcPr>
          <w:p w14:paraId="46CB885D">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数据资产管理系统</w:t>
            </w:r>
          </w:p>
        </w:tc>
        <w:tc>
          <w:tcPr>
            <w:tcW w:w="563" w:type="pct"/>
            <w:tcBorders>
              <w:top w:val="single" w:color="000000" w:sz="4" w:space="0"/>
              <w:left w:val="single" w:color="000000" w:sz="4" w:space="0"/>
              <w:bottom w:val="single" w:color="000000" w:sz="4" w:space="0"/>
              <w:right w:val="single" w:color="000000" w:sz="4" w:space="0"/>
            </w:tcBorders>
            <w:vAlign w:val="center"/>
          </w:tcPr>
          <w:p w14:paraId="35F01ADF">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378" w:type="pct"/>
            <w:tcBorders>
              <w:top w:val="single" w:color="000000" w:sz="4" w:space="0"/>
              <w:left w:val="single" w:color="000000" w:sz="4" w:space="0"/>
              <w:bottom w:val="single" w:color="000000" w:sz="4" w:space="0"/>
              <w:right w:val="single" w:color="000000" w:sz="4" w:space="0"/>
            </w:tcBorders>
            <w:vAlign w:val="center"/>
          </w:tcPr>
          <w:p w14:paraId="54873BA7">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1DC8ADDC">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513F611E">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7A303F16">
            <w:pPr>
              <w:widowControl/>
              <w:jc w:val="center"/>
              <w:textAlignment w:val="center"/>
              <w:rPr>
                <w:rFonts w:hint="eastAsia" w:ascii="宋体" w:hAnsi="宋体" w:cs="宋体"/>
                <w:color w:val="000000"/>
                <w:kern w:val="0"/>
                <w:sz w:val="24"/>
                <w:highlight w:val="none"/>
                <w:lang w:bidi="ar"/>
              </w:rPr>
            </w:pPr>
          </w:p>
        </w:tc>
      </w:tr>
      <w:tr w14:paraId="7F7E40E3">
        <w:tblPrEx>
          <w:tblCellMar>
            <w:top w:w="0" w:type="dxa"/>
            <w:left w:w="108" w:type="dxa"/>
            <w:bottom w:w="0" w:type="dxa"/>
            <w:right w:w="108" w:type="dxa"/>
          </w:tblCellMar>
        </w:tblPrEx>
        <w:trPr>
          <w:trHeight w:val="312" w:hRule="atLeast"/>
        </w:trPr>
        <w:tc>
          <w:tcPr>
            <w:tcW w:w="640" w:type="pct"/>
            <w:vMerge w:val="continue"/>
            <w:tcBorders>
              <w:left w:val="single" w:color="000000" w:sz="4" w:space="0"/>
              <w:right w:val="single" w:color="000000" w:sz="4" w:space="0"/>
            </w:tcBorders>
            <w:vAlign w:val="center"/>
          </w:tcPr>
          <w:p w14:paraId="46AEDE69">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7AB6EED6">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1.2</w:t>
            </w:r>
          </w:p>
        </w:tc>
        <w:tc>
          <w:tcPr>
            <w:tcW w:w="1654" w:type="pct"/>
            <w:tcBorders>
              <w:top w:val="single" w:color="000000" w:sz="4" w:space="0"/>
              <w:left w:val="single" w:color="000000" w:sz="4" w:space="0"/>
              <w:bottom w:val="single" w:color="000000" w:sz="4" w:space="0"/>
              <w:right w:val="single" w:color="000000" w:sz="4" w:space="0"/>
            </w:tcBorders>
            <w:vAlign w:val="center"/>
          </w:tcPr>
          <w:p w14:paraId="714772F7">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AI数据开发利用系统</w:t>
            </w:r>
          </w:p>
        </w:tc>
        <w:tc>
          <w:tcPr>
            <w:tcW w:w="563" w:type="pct"/>
            <w:tcBorders>
              <w:top w:val="single" w:color="000000" w:sz="4" w:space="0"/>
              <w:left w:val="single" w:color="000000" w:sz="4" w:space="0"/>
              <w:bottom w:val="single" w:color="000000" w:sz="4" w:space="0"/>
              <w:right w:val="single" w:color="000000" w:sz="4" w:space="0"/>
            </w:tcBorders>
            <w:vAlign w:val="center"/>
          </w:tcPr>
          <w:p w14:paraId="79BB180E">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378" w:type="pct"/>
            <w:tcBorders>
              <w:top w:val="single" w:color="000000" w:sz="4" w:space="0"/>
              <w:left w:val="single" w:color="000000" w:sz="4" w:space="0"/>
              <w:bottom w:val="single" w:color="000000" w:sz="4" w:space="0"/>
              <w:right w:val="single" w:color="000000" w:sz="4" w:space="0"/>
            </w:tcBorders>
            <w:vAlign w:val="center"/>
          </w:tcPr>
          <w:p w14:paraId="430D2BB0">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65E63E31">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2224DC42">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382A0E24">
            <w:pPr>
              <w:widowControl/>
              <w:jc w:val="center"/>
              <w:textAlignment w:val="center"/>
              <w:rPr>
                <w:rFonts w:hint="eastAsia" w:ascii="宋体" w:hAnsi="宋体" w:cs="宋体"/>
                <w:color w:val="000000"/>
                <w:kern w:val="0"/>
                <w:sz w:val="24"/>
                <w:highlight w:val="none"/>
                <w:lang w:bidi="ar"/>
              </w:rPr>
            </w:pPr>
          </w:p>
        </w:tc>
      </w:tr>
      <w:tr w14:paraId="48C3689A">
        <w:tblPrEx>
          <w:tblCellMar>
            <w:top w:w="0" w:type="dxa"/>
            <w:left w:w="108" w:type="dxa"/>
            <w:bottom w:w="0" w:type="dxa"/>
            <w:right w:w="108" w:type="dxa"/>
          </w:tblCellMar>
        </w:tblPrEx>
        <w:trPr>
          <w:trHeight w:val="312" w:hRule="atLeast"/>
        </w:trPr>
        <w:tc>
          <w:tcPr>
            <w:tcW w:w="640" w:type="pct"/>
            <w:vMerge w:val="continue"/>
            <w:tcBorders>
              <w:left w:val="single" w:color="000000" w:sz="4" w:space="0"/>
              <w:right w:val="single" w:color="000000" w:sz="4" w:space="0"/>
            </w:tcBorders>
            <w:vAlign w:val="center"/>
          </w:tcPr>
          <w:p w14:paraId="2EDC7CD5">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50789861">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w:t>
            </w:r>
          </w:p>
        </w:tc>
        <w:tc>
          <w:tcPr>
            <w:tcW w:w="1654" w:type="pct"/>
            <w:tcBorders>
              <w:top w:val="single" w:color="000000" w:sz="4" w:space="0"/>
              <w:left w:val="single" w:color="000000" w:sz="4" w:space="0"/>
              <w:bottom w:val="single" w:color="000000" w:sz="4" w:space="0"/>
              <w:right w:val="single" w:color="000000" w:sz="4" w:space="0"/>
            </w:tcBorders>
            <w:vAlign w:val="center"/>
          </w:tcPr>
          <w:p w14:paraId="4887A2C2">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数据交易流通平台</w:t>
            </w:r>
          </w:p>
        </w:tc>
        <w:tc>
          <w:tcPr>
            <w:tcW w:w="563" w:type="pct"/>
            <w:tcBorders>
              <w:top w:val="single" w:color="000000" w:sz="4" w:space="0"/>
              <w:left w:val="single" w:color="000000" w:sz="4" w:space="0"/>
              <w:bottom w:val="single" w:color="000000" w:sz="4" w:space="0"/>
              <w:right w:val="single" w:color="000000" w:sz="4" w:space="0"/>
            </w:tcBorders>
            <w:vAlign w:val="center"/>
          </w:tcPr>
          <w:p w14:paraId="09D9770B">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w:t>
            </w:r>
          </w:p>
        </w:tc>
        <w:tc>
          <w:tcPr>
            <w:tcW w:w="378" w:type="pct"/>
            <w:tcBorders>
              <w:top w:val="single" w:color="000000" w:sz="4" w:space="0"/>
              <w:left w:val="single" w:color="000000" w:sz="4" w:space="0"/>
              <w:bottom w:val="single" w:color="000000" w:sz="4" w:space="0"/>
              <w:right w:val="single" w:color="000000" w:sz="4" w:space="0"/>
            </w:tcBorders>
            <w:vAlign w:val="center"/>
          </w:tcPr>
          <w:p w14:paraId="6A2CEF8F">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1537E345">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630693D7">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1FF5EA58">
            <w:pPr>
              <w:widowControl/>
              <w:jc w:val="center"/>
              <w:textAlignment w:val="center"/>
              <w:rPr>
                <w:rFonts w:hint="eastAsia" w:ascii="宋体" w:hAnsi="宋体" w:cs="宋体"/>
                <w:color w:val="000000"/>
                <w:kern w:val="0"/>
                <w:sz w:val="24"/>
                <w:highlight w:val="none"/>
                <w:lang w:bidi="ar"/>
              </w:rPr>
            </w:pPr>
          </w:p>
        </w:tc>
      </w:tr>
      <w:tr w14:paraId="62432938">
        <w:tblPrEx>
          <w:tblCellMar>
            <w:top w:w="0" w:type="dxa"/>
            <w:left w:w="108" w:type="dxa"/>
            <w:bottom w:w="0" w:type="dxa"/>
            <w:right w:w="108" w:type="dxa"/>
          </w:tblCellMar>
        </w:tblPrEx>
        <w:trPr>
          <w:trHeight w:val="312" w:hRule="atLeast"/>
        </w:trPr>
        <w:tc>
          <w:tcPr>
            <w:tcW w:w="640" w:type="pct"/>
            <w:vMerge w:val="continue"/>
            <w:tcBorders>
              <w:left w:val="single" w:color="000000" w:sz="4" w:space="0"/>
              <w:right w:val="single" w:color="000000" w:sz="4" w:space="0"/>
            </w:tcBorders>
            <w:vAlign w:val="center"/>
          </w:tcPr>
          <w:p w14:paraId="40A2A8F8">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4D6E42C4">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1.3.1</w:t>
            </w:r>
          </w:p>
        </w:tc>
        <w:tc>
          <w:tcPr>
            <w:tcW w:w="1654" w:type="pct"/>
            <w:tcBorders>
              <w:top w:val="single" w:color="000000" w:sz="4" w:space="0"/>
              <w:left w:val="single" w:color="000000" w:sz="4" w:space="0"/>
              <w:bottom w:val="single" w:color="000000" w:sz="4" w:space="0"/>
              <w:right w:val="single" w:color="000000" w:sz="4" w:space="0"/>
            </w:tcBorders>
            <w:vAlign w:val="center"/>
          </w:tcPr>
          <w:p w14:paraId="2E1A92FF">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企业服务门户</w:t>
            </w:r>
          </w:p>
        </w:tc>
        <w:tc>
          <w:tcPr>
            <w:tcW w:w="563" w:type="pct"/>
            <w:tcBorders>
              <w:top w:val="single" w:color="000000" w:sz="4" w:space="0"/>
              <w:left w:val="single" w:color="000000" w:sz="4" w:space="0"/>
              <w:bottom w:val="single" w:color="000000" w:sz="4" w:space="0"/>
              <w:right w:val="single" w:color="000000" w:sz="4" w:space="0"/>
            </w:tcBorders>
            <w:vAlign w:val="center"/>
          </w:tcPr>
          <w:p w14:paraId="4D0AFECF">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378" w:type="pct"/>
            <w:tcBorders>
              <w:top w:val="single" w:color="000000" w:sz="4" w:space="0"/>
              <w:left w:val="single" w:color="000000" w:sz="4" w:space="0"/>
              <w:bottom w:val="single" w:color="000000" w:sz="4" w:space="0"/>
              <w:right w:val="single" w:color="000000" w:sz="4" w:space="0"/>
            </w:tcBorders>
            <w:vAlign w:val="center"/>
          </w:tcPr>
          <w:p w14:paraId="6BC498B1">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1306CB99">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3803A0E6">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67F9EA7A">
            <w:pPr>
              <w:widowControl/>
              <w:jc w:val="center"/>
              <w:textAlignment w:val="center"/>
              <w:rPr>
                <w:rFonts w:hint="eastAsia" w:ascii="宋体" w:hAnsi="宋体" w:cs="宋体"/>
                <w:color w:val="000000"/>
                <w:kern w:val="0"/>
                <w:sz w:val="24"/>
                <w:highlight w:val="none"/>
                <w:lang w:bidi="ar"/>
              </w:rPr>
            </w:pPr>
          </w:p>
        </w:tc>
      </w:tr>
      <w:tr w14:paraId="5A13FF73">
        <w:tblPrEx>
          <w:tblCellMar>
            <w:top w:w="0" w:type="dxa"/>
            <w:left w:w="108" w:type="dxa"/>
            <w:bottom w:w="0" w:type="dxa"/>
            <w:right w:w="108" w:type="dxa"/>
          </w:tblCellMar>
        </w:tblPrEx>
        <w:trPr>
          <w:trHeight w:val="312" w:hRule="atLeast"/>
        </w:trPr>
        <w:tc>
          <w:tcPr>
            <w:tcW w:w="640" w:type="pct"/>
            <w:vMerge w:val="continue"/>
            <w:tcBorders>
              <w:left w:val="single" w:color="000000" w:sz="4" w:space="0"/>
              <w:right w:val="single" w:color="000000" w:sz="4" w:space="0"/>
            </w:tcBorders>
            <w:vAlign w:val="center"/>
          </w:tcPr>
          <w:p w14:paraId="7D18AFF2">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2EB93AB7">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1.3.2</w:t>
            </w:r>
          </w:p>
        </w:tc>
        <w:tc>
          <w:tcPr>
            <w:tcW w:w="1654" w:type="pct"/>
            <w:tcBorders>
              <w:top w:val="single" w:color="000000" w:sz="4" w:space="0"/>
              <w:left w:val="single" w:color="000000" w:sz="4" w:space="0"/>
              <w:bottom w:val="single" w:color="000000" w:sz="4" w:space="0"/>
              <w:right w:val="single" w:color="000000" w:sz="4" w:space="0"/>
            </w:tcBorders>
            <w:vAlign w:val="center"/>
          </w:tcPr>
          <w:p w14:paraId="0234EA46">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资源供需对接系统</w:t>
            </w:r>
          </w:p>
        </w:tc>
        <w:tc>
          <w:tcPr>
            <w:tcW w:w="563" w:type="pct"/>
            <w:tcBorders>
              <w:top w:val="single" w:color="000000" w:sz="4" w:space="0"/>
              <w:left w:val="single" w:color="000000" w:sz="4" w:space="0"/>
              <w:bottom w:val="single" w:color="000000" w:sz="4" w:space="0"/>
              <w:right w:val="single" w:color="000000" w:sz="4" w:space="0"/>
            </w:tcBorders>
            <w:vAlign w:val="center"/>
          </w:tcPr>
          <w:p w14:paraId="3BAFF62E">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378" w:type="pct"/>
            <w:tcBorders>
              <w:top w:val="single" w:color="000000" w:sz="4" w:space="0"/>
              <w:left w:val="single" w:color="000000" w:sz="4" w:space="0"/>
              <w:bottom w:val="single" w:color="000000" w:sz="4" w:space="0"/>
              <w:right w:val="single" w:color="000000" w:sz="4" w:space="0"/>
            </w:tcBorders>
            <w:vAlign w:val="center"/>
          </w:tcPr>
          <w:p w14:paraId="3629ABD1">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7226C556">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66C7ED88">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6F7C3B8C">
            <w:pPr>
              <w:widowControl/>
              <w:jc w:val="center"/>
              <w:textAlignment w:val="center"/>
              <w:rPr>
                <w:rFonts w:hint="eastAsia" w:ascii="宋体" w:hAnsi="宋体" w:cs="宋体"/>
                <w:color w:val="000000"/>
                <w:kern w:val="0"/>
                <w:sz w:val="24"/>
                <w:highlight w:val="none"/>
                <w:lang w:bidi="ar"/>
              </w:rPr>
            </w:pPr>
          </w:p>
        </w:tc>
      </w:tr>
      <w:tr w14:paraId="4CF27F6F">
        <w:tblPrEx>
          <w:tblCellMar>
            <w:top w:w="0" w:type="dxa"/>
            <w:left w:w="108" w:type="dxa"/>
            <w:bottom w:w="0" w:type="dxa"/>
            <w:right w:w="108" w:type="dxa"/>
          </w:tblCellMar>
        </w:tblPrEx>
        <w:trPr>
          <w:trHeight w:val="312" w:hRule="atLeast"/>
        </w:trPr>
        <w:tc>
          <w:tcPr>
            <w:tcW w:w="640" w:type="pct"/>
            <w:vMerge w:val="continue"/>
            <w:tcBorders>
              <w:left w:val="single" w:color="000000" w:sz="4" w:space="0"/>
              <w:right w:val="single" w:color="000000" w:sz="4" w:space="0"/>
            </w:tcBorders>
            <w:vAlign w:val="center"/>
          </w:tcPr>
          <w:p w14:paraId="3E934F5D">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4752CA10">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1.3.3</w:t>
            </w:r>
          </w:p>
        </w:tc>
        <w:tc>
          <w:tcPr>
            <w:tcW w:w="1654" w:type="pct"/>
            <w:tcBorders>
              <w:top w:val="single" w:color="000000" w:sz="4" w:space="0"/>
              <w:left w:val="single" w:color="000000" w:sz="4" w:space="0"/>
              <w:bottom w:val="single" w:color="000000" w:sz="4" w:space="0"/>
              <w:right w:val="single" w:color="000000" w:sz="4" w:space="0"/>
            </w:tcBorders>
            <w:vAlign w:val="center"/>
          </w:tcPr>
          <w:p w14:paraId="3E6707AF">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数据产品管理系统</w:t>
            </w:r>
          </w:p>
        </w:tc>
        <w:tc>
          <w:tcPr>
            <w:tcW w:w="563" w:type="pct"/>
            <w:tcBorders>
              <w:top w:val="single" w:color="000000" w:sz="4" w:space="0"/>
              <w:left w:val="single" w:color="000000" w:sz="4" w:space="0"/>
              <w:bottom w:val="single" w:color="000000" w:sz="4" w:space="0"/>
              <w:right w:val="single" w:color="000000" w:sz="4" w:space="0"/>
            </w:tcBorders>
            <w:vAlign w:val="center"/>
          </w:tcPr>
          <w:p w14:paraId="31F88789">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378" w:type="pct"/>
            <w:tcBorders>
              <w:top w:val="single" w:color="000000" w:sz="4" w:space="0"/>
              <w:left w:val="single" w:color="000000" w:sz="4" w:space="0"/>
              <w:bottom w:val="single" w:color="000000" w:sz="4" w:space="0"/>
              <w:right w:val="single" w:color="000000" w:sz="4" w:space="0"/>
            </w:tcBorders>
            <w:vAlign w:val="center"/>
          </w:tcPr>
          <w:p w14:paraId="2BA26D66">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3D937CBD">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5DA68DC0">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16F8AAF3">
            <w:pPr>
              <w:widowControl/>
              <w:jc w:val="center"/>
              <w:textAlignment w:val="center"/>
              <w:rPr>
                <w:rFonts w:hint="eastAsia" w:ascii="宋体" w:hAnsi="宋体" w:cs="宋体"/>
                <w:color w:val="000000"/>
                <w:kern w:val="0"/>
                <w:sz w:val="24"/>
                <w:highlight w:val="none"/>
                <w:lang w:bidi="ar"/>
              </w:rPr>
            </w:pPr>
          </w:p>
        </w:tc>
      </w:tr>
      <w:tr w14:paraId="0C6D1624">
        <w:tblPrEx>
          <w:tblCellMar>
            <w:top w:w="0" w:type="dxa"/>
            <w:left w:w="108" w:type="dxa"/>
            <w:bottom w:w="0" w:type="dxa"/>
            <w:right w:w="108" w:type="dxa"/>
          </w:tblCellMar>
        </w:tblPrEx>
        <w:trPr>
          <w:trHeight w:val="312" w:hRule="atLeast"/>
        </w:trPr>
        <w:tc>
          <w:tcPr>
            <w:tcW w:w="640" w:type="pct"/>
            <w:vMerge w:val="continue"/>
            <w:tcBorders>
              <w:left w:val="single" w:color="000000" w:sz="4" w:space="0"/>
              <w:right w:val="single" w:color="000000" w:sz="4" w:space="0"/>
            </w:tcBorders>
            <w:vAlign w:val="center"/>
          </w:tcPr>
          <w:p w14:paraId="78CE9D7C">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28F0B05E">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1.3.4</w:t>
            </w:r>
          </w:p>
        </w:tc>
        <w:tc>
          <w:tcPr>
            <w:tcW w:w="1654" w:type="pct"/>
            <w:tcBorders>
              <w:top w:val="single" w:color="000000" w:sz="4" w:space="0"/>
              <w:left w:val="single" w:color="000000" w:sz="4" w:space="0"/>
              <w:bottom w:val="single" w:color="000000" w:sz="4" w:space="0"/>
              <w:right w:val="single" w:color="000000" w:sz="4" w:space="0"/>
            </w:tcBorders>
            <w:vAlign w:val="center"/>
          </w:tcPr>
          <w:p w14:paraId="776D4E11">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平台运营管理系统</w:t>
            </w:r>
          </w:p>
        </w:tc>
        <w:tc>
          <w:tcPr>
            <w:tcW w:w="563" w:type="pct"/>
            <w:tcBorders>
              <w:top w:val="single" w:color="000000" w:sz="4" w:space="0"/>
              <w:left w:val="single" w:color="000000" w:sz="4" w:space="0"/>
              <w:bottom w:val="single" w:color="000000" w:sz="4" w:space="0"/>
              <w:right w:val="single" w:color="000000" w:sz="4" w:space="0"/>
            </w:tcBorders>
            <w:vAlign w:val="center"/>
          </w:tcPr>
          <w:p w14:paraId="797D85F3">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378" w:type="pct"/>
            <w:tcBorders>
              <w:top w:val="single" w:color="000000" w:sz="4" w:space="0"/>
              <w:left w:val="single" w:color="000000" w:sz="4" w:space="0"/>
              <w:bottom w:val="single" w:color="000000" w:sz="4" w:space="0"/>
              <w:right w:val="single" w:color="000000" w:sz="4" w:space="0"/>
            </w:tcBorders>
            <w:vAlign w:val="center"/>
          </w:tcPr>
          <w:p w14:paraId="66C982A0">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7C9959CB">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6E584F4C">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67962E48">
            <w:pPr>
              <w:widowControl/>
              <w:jc w:val="center"/>
              <w:textAlignment w:val="center"/>
              <w:rPr>
                <w:rFonts w:hint="eastAsia" w:ascii="宋体" w:hAnsi="宋体" w:cs="宋体"/>
                <w:color w:val="000000"/>
                <w:kern w:val="0"/>
                <w:sz w:val="24"/>
                <w:highlight w:val="none"/>
                <w:lang w:bidi="ar"/>
              </w:rPr>
            </w:pPr>
          </w:p>
        </w:tc>
      </w:tr>
      <w:tr w14:paraId="442517AB">
        <w:tblPrEx>
          <w:tblCellMar>
            <w:top w:w="0" w:type="dxa"/>
            <w:left w:w="108" w:type="dxa"/>
            <w:bottom w:w="0" w:type="dxa"/>
            <w:right w:w="108" w:type="dxa"/>
          </w:tblCellMar>
        </w:tblPrEx>
        <w:trPr>
          <w:trHeight w:val="312" w:hRule="atLeast"/>
        </w:trPr>
        <w:tc>
          <w:tcPr>
            <w:tcW w:w="640" w:type="pct"/>
            <w:vMerge w:val="continue"/>
            <w:tcBorders>
              <w:left w:val="single" w:color="000000" w:sz="4" w:space="0"/>
              <w:right w:val="single" w:color="000000" w:sz="4" w:space="0"/>
            </w:tcBorders>
            <w:vAlign w:val="center"/>
          </w:tcPr>
          <w:p w14:paraId="341DE86F">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537D68DE">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1.3.5</w:t>
            </w:r>
          </w:p>
        </w:tc>
        <w:tc>
          <w:tcPr>
            <w:tcW w:w="1654" w:type="pct"/>
            <w:tcBorders>
              <w:top w:val="single" w:color="000000" w:sz="4" w:space="0"/>
              <w:left w:val="single" w:color="000000" w:sz="4" w:space="0"/>
              <w:bottom w:val="single" w:color="000000" w:sz="4" w:space="0"/>
              <w:right w:val="single" w:color="000000" w:sz="4" w:space="0"/>
            </w:tcBorders>
            <w:vAlign w:val="center"/>
          </w:tcPr>
          <w:p w14:paraId="4BD4E722">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平台基础支撑系统</w:t>
            </w:r>
          </w:p>
        </w:tc>
        <w:tc>
          <w:tcPr>
            <w:tcW w:w="563" w:type="pct"/>
            <w:tcBorders>
              <w:top w:val="single" w:color="000000" w:sz="4" w:space="0"/>
              <w:left w:val="single" w:color="000000" w:sz="4" w:space="0"/>
              <w:bottom w:val="single" w:color="000000" w:sz="4" w:space="0"/>
              <w:right w:val="single" w:color="000000" w:sz="4" w:space="0"/>
            </w:tcBorders>
            <w:vAlign w:val="center"/>
          </w:tcPr>
          <w:p w14:paraId="198CEB40">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378" w:type="pct"/>
            <w:tcBorders>
              <w:top w:val="single" w:color="000000" w:sz="4" w:space="0"/>
              <w:left w:val="single" w:color="000000" w:sz="4" w:space="0"/>
              <w:bottom w:val="single" w:color="000000" w:sz="4" w:space="0"/>
              <w:right w:val="single" w:color="000000" w:sz="4" w:space="0"/>
            </w:tcBorders>
            <w:vAlign w:val="center"/>
          </w:tcPr>
          <w:p w14:paraId="4C409F34">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3BC948BF">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12C8DD27">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4191D48F">
            <w:pPr>
              <w:widowControl/>
              <w:jc w:val="center"/>
              <w:textAlignment w:val="center"/>
              <w:rPr>
                <w:rFonts w:hint="eastAsia" w:ascii="宋体" w:hAnsi="宋体" w:cs="宋体"/>
                <w:color w:val="000000"/>
                <w:kern w:val="0"/>
                <w:sz w:val="24"/>
                <w:highlight w:val="none"/>
                <w:lang w:bidi="ar"/>
              </w:rPr>
            </w:pPr>
          </w:p>
        </w:tc>
      </w:tr>
      <w:tr w14:paraId="0E9C4ACA">
        <w:tblPrEx>
          <w:tblCellMar>
            <w:top w:w="0" w:type="dxa"/>
            <w:left w:w="108" w:type="dxa"/>
            <w:bottom w:w="0" w:type="dxa"/>
            <w:right w:w="108" w:type="dxa"/>
          </w:tblCellMar>
        </w:tblPrEx>
        <w:trPr>
          <w:trHeight w:val="312" w:hRule="atLeast"/>
        </w:trPr>
        <w:tc>
          <w:tcPr>
            <w:tcW w:w="640" w:type="pct"/>
            <w:vMerge w:val="continue"/>
            <w:tcBorders>
              <w:left w:val="single" w:color="000000" w:sz="4" w:space="0"/>
              <w:right w:val="single" w:color="000000" w:sz="4" w:space="0"/>
            </w:tcBorders>
            <w:vAlign w:val="center"/>
          </w:tcPr>
          <w:p w14:paraId="08D8AD83">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44BFB86C">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1.3.6</w:t>
            </w:r>
          </w:p>
        </w:tc>
        <w:tc>
          <w:tcPr>
            <w:tcW w:w="1654" w:type="pct"/>
            <w:tcBorders>
              <w:top w:val="single" w:color="000000" w:sz="4" w:space="0"/>
              <w:left w:val="single" w:color="000000" w:sz="4" w:space="0"/>
              <w:bottom w:val="single" w:color="000000" w:sz="4" w:space="0"/>
              <w:right w:val="single" w:color="000000" w:sz="4" w:space="0"/>
            </w:tcBorders>
            <w:vAlign w:val="center"/>
          </w:tcPr>
          <w:p w14:paraId="4BE728E8">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合规管理系统</w:t>
            </w:r>
          </w:p>
        </w:tc>
        <w:tc>
          <w:tcPr>
            <w:tcW w:w="563" w:type="pct"/>
            <w:tcBorders>
              <w:top w:val="single" w:color="000000" w:sz="4" w:space="0"/>
              <w:left w:val="single" w:color="000000" w:sz="4" w:space="0"/>
              <w:bottom w:val="single" w:color="000000" w:sz="4" w:space="0"/>
              <w:right w:val="single" w:color="000000" w:sz="4" w:space="0"/>
            </w:tcBorders>
            <w:vAlign w:val="center"/>
          </w:tcPr>
          <w:p w14:paraId="4A0DB818">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378" w:type="pct"/>
            <w:tcBorders>
              <w:top w:val="single" w:color="000000" w:sz="4" w:space="0"/>
              <w:left w:val="single" w:color="000000" w:sz="4" w:space="0"/>
              <w:bottom w:val="single" w:color="000000" w:sz="4" w:space="0"/>
              <w:right w:val="single" w:color="000000" w:sz="4" w:space="0"/>
            </w:tcBorders>
            <w:vAlign w:val="center"/>
          </w:tcPr>
          <w:p w14:paraId="483A7895">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0781A3B2">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259AFE0D">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320D42CB">
            <w:pPr>
              <w:widowControl/>
              <w:jc w:val="center"/>
              <w:textAlignment w:val="center"/>
              <w:rPr>
                <w:rFonts w:hint="eastAsia" w:ascii="宋体" w:hAnsi="宋体" w:cs="宋体"/>
                <w:color w:val="000000"/>
                <w:kern w:val="0"/>
                <w:sz w:val="24"/>
                <w:highlight w:val="none"/>
                <w:lang w:bidi="ar"/>
              </w:rPr>
            </w:pPr>
          </w:p>
        </w:tc>
      </w:tr>
      <w:tr w14:paraId="3DFCF787">
        <w:tblPrEx>
          <w:tblCellMar>
            <w:top w:w="0" w:type="dxa"/>
            <w:left w:w="108" w:type="dxa"/>
            <w:bottom w:w="0" w:type="dxa"/>
            <w:right w:w="108" w:type="dxa"/>
          </w:tblCellMar>
        </w:tblPrEx>
        <w:trPr>
          <w:trHeight w:val="312" w:hRule="atLeast"/>
        </w:trPr>
        <w:tc>
          <w:tcPr>
            <w:tcW w:w="640" w:type="pct"/>
            <w:vMerge w:val="continue"/>
            <w:tcBorders>
              <w:left w:val="single" w:color="000000" w:sz="4" w:space="0"/>
              <w:right w:val="single" w:color="000000" w:sz="4" w:space="0"/>
            </w:tcBorders>
            <w:vAlign w:val="center"/>
          </w:tcPr>
          <w:p w14:paraId="074BB261">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685DCFC6">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1.3.7</w:t>
            </w:r>
          </w:p>
        </w:tc>
        <w:tc>
          <w:tcPr>
            <w:tcW w:w="1654" w:type="pct"/>
            <w:tcBorders>
              <w:top w:val="single" w:color="000000" w:sz="4" w:space="0"/>
              <w:left w:val="single" w:color="000000" w:sz="4" w:space="0"/>
              <w:bottom w:val="single" w:color="000000" w:sz="4" w:space="0"/>
              <w:right w:val="single" w:color="000000" w:sz="4" w:space="0"/>
            </w:tcBorders>
            <w:vAlign w:val="center"/>
          </w:tcPr>
          <w:p w14:paraId="0AE31C75">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数据接入应用</w:t>
            </w:r>
          </w:p>
        </w:tc>
        <w:tc>
          <w:tcPr>
            <w:tcW w:w="563" w:type="pct"/>
            <w:tcBorders>
              <w:top w:val="single" w:color="000000" w:sz="4" w:space="0"/>
              <w:left w:val="single" w:color="000000" w:sz="4" w:space="0"/>
              <w:bottom w:val="single" w:color="000000" w:sz="4" w:space="0"/>
              <w:right w:val="single" w:color="000000" w:sz="4" w:space="0"/>
            </w:tcBorders>
            <w:vAlign w:val="center"/>
          </w:tcPr>
          <w:p w14:paraId="34F69EE7">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1套</w:t>
            </w:r>
          </w:p>
        </w:tc>
        <w:tc>
          <w:tcPr>
            <w:tcW w:w="378" w:type="pct"/>
            <w:tcBorders>
              <w:top w:val="single" w:color="000000" w:sz="4" w:space="0"/>
              <w:left w:val="single" w:color="000000" w:sz="4" w:space="0"/>
              <w:bottom w:val="single" w:color="000000" w:sz="4" w:space="0"/>
              <w:right w:val="single" w:color="000000" w:sz="4" w:space="0"/>
            </w:tcBorders>
            <w:vAlign w:val="center"/>
          </w:tcPr>
          <w:p w14:paraId="364F4FD2">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15908C9F">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4A6E3D0B">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41A86A31">
            <w:pPr>
              <w:widowControl/>
              <w:jc w:val="center"/>
              <w:textAlignment w:val="center"/>
              <w:rPr>
                <w:rFonts w:hint="eastAsia" w:ascii="宋体" w:hAnsi="宋体" w:cs="宋体"/>
                <w:color w:val="000000"/>
                <w:kern w:val="0"/>
                <w:sz w:val="24"/>
                <w:highlight w:val="none"/>
                <w:lang w:bidi="ar"/>
              </w:rPr>
            </w:pPr>
          </w:p>
        </w:tc>
      </w:tr>
      <w:tr w14:paraId="6D804D82">
        <w:tblPrEx>
          <w:tblCellMar>
            <w:top w:w="0" w:type="dxa"/>
            <w:left w:w="108" w:type="dxa"/>
            <w:bottom w:w="0" w:type="dxa"/>
            <w:right w:w="108" w:type="dxa"/>
          </w:tblCellMar>
        </w:tblPrEx>
        <w:trPr>
          <w:trHeight w:val="312" w:hRule="atLeast"/>
        </w:trPr>
        <w:tc>
          <w:tcPr>
            <w:tcW w:w="640" w:type="pct"/>
            <w:vMerge w:val="continue"/>
            <w:tcBorders>
              <w:left w:val="single" w:color="000000" w:sz="4" w:space="0"/>
              <w:right w:val="single" w:color="000000" w:sz="4" w:space="0"/>
            </w:tcBorders>
            <w:vAlign w:val="center"/>
          </w:tcPr>
          <w:p w14:paraId="4A65CCB9">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5E7E396A">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二</w:t>
            </w:r>
          </w:p>
        </w:tc>
        <w:tc>
          <w:tcPr>
            <w:tcW w:w="1654" w:type="pct"/>
            <w:tcBorders>
              <w:top w:val="single" w:color="000000" w:sz="4" w:space="0"/>
              <w:left w:val="single" w:color="000000" w:sz="4" w:space="0"/>
              <w:bottom w:val="single" w:color="000000" w:sz="4" w:space="0"/>
              <w:right w:val="single" w:color="000000" w:sz="4" w:space="0"/>
            </w:tcBorders>
            <w:vAlign w:val="center"/>
          </w:tcPr>
          <w:p w14:paraId="76B98648">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其他费用</w:t>
            </w:r>
          </w:p>
        </w:tc>
        <w:tc>
          <w:tcPr>
            <w:tcW w:w="563" w:type="pct"/>
            <w:tcBorders>
              <w:top w:val="single" w:color="000000" w:sz="4" w:space="0"/>
              <w:left w:val="single" w:color="000000" w:sz="4" w:space="0"/>
              <w:bottom w:val="single" w:color="000000" w:sz="4" w:space="0"/>
              <w:right w:val="single" w:color="000000" w:sz="4" w:space="0"/>
            </w:tcBorders>
            <w:vAlign w:val="center"/>
          </w:tcPr>
          <w:p w14:paraId="7E425DCA">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w:t>
            </w:r>
          </w:p>
        </w:tc>
        <w:tc>
          <w:tcPr>
            <w:tcW w:w="378" w:type="pct"/>
            <w:tcBorders>
              <w:top w:val="single" w:color="000000" w:sz="4" w:space="0"/>
              <w:left w:val="single" w:color="000000" w:sz="4" w:space="0"/>
              <w:bottom w:val="single" w:color="000000" w:sz="4" w:space="0"/>
              <w:right w:val="single" w:color="000000" w:sz="4" w:space="0"/>
            </w:tcBorders>
            <w:vAlign w:val="center"/>
          </w:tcPr>
          <w:p w14:paraId="4A9D74F6">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76968E48">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262BA111">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679B34B5">
            <w:pPr>
              <w:widowControl/>
              <w:jc w:val="center"/>
              <w:textAlignment w:val="center"/>
              <w:rPr>
                <w:rFonts w:hint="eastAsia" w:ascii="宋体" w:hAnsi="宋体" w:cs="宋体"/>
                <w:color w:val="000000"/>
                <w:kern w:val="0"/>
                <w:sz w:val="24"/>
                <w:highlight w:val="none"/>
                <w:lang w:bidi="ar"/>
              </w:rPr>
            </w:pPr>
          </w:p>
        </w:tc>
      </w:tr>
      <w:tr w14:paraId="72042B3A">
        <w:tblPrEx>
          <w:tblCellMar>
            <w:top w:w="0" w:type="dxa"/>
            <w:left w:w="108" w:type="dxa"/>
            <w:bottom w:w="0" w:type="dxa"/>
            <w:right w:w="108" w:type="dxa"/>
          </w:tblCellMar>
        </w:tblPrEx>
        <w:trPr>
          <w:trHeight w:val="312" w:hRule="atLeast"/>
        </w:trPr>
        <w:tc>
          <w:tcPr>
            <w:tcW w:w="640" w:type="pct"/>
            <w:vMerge w:val="continue"/>
            <w:tcBorders>
              <w:left w:val="single" w:color="000000" w:sz="4" w:space="0"/>
              <w:right w:val="single" w:color="000000" w:sz="4" w:space="0"/>
            </w:tcBorders>
            <w:vAlign w:val="center"/>
          </w:tcPr>
          <w:p w14:paraId="1C4DF8F5">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2D288D5F">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2</w:t>
            </w:r>
          </w:p>
        </w:tc>
        <w:tc>
          <w:tcPr>
            <w:tcW w:w="1654" w:type="pct"/>
            <w:tcBorders>
              <w:top w:val="single" w:color="000000" w:sz="4" w:space="0"/>
              <w:left w:val="single" w:color="000000" w:sz="4" w:space="0"/>
              <w:bottom w:val="single" w:color="000000" w:sz="4" w:space="0"/>
              <w:right w:val="single" w:color="000000" w:sz="4" w:space="0"/>
            </w:tcBorders>
            <w:vAlign w:val="center"/>
          </w:tcPr>
          <w:p w14:paraId="16EC3FB7">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项目运营、系统集成与培训</w:t>
            </w:r>
          </w:p>
        </w:tc>
        <w:tc>
          <w:tcPr>
            <w:tcW w:w="563" w:type="pct"/>
            <w:tcBorders>
              <w:top w:val="single" w:color="000000" w:sz="4" w:space="0"/>
              <w:left w:val="single" w:color="000000" w:sz="4" w:space="0"/>
              <w:bottom w:val="single" w:color="000000" w:sz="4" w:space="0"/>
              <w:right w:val="single" w:color="000000" w:sz="4" w:space="0"/>
            </w:tcBorders>
            <w:vAlign w:val="center"/>
          </w:tcPr>
          <w:p w14:paraId="7644535E">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w:t>
            </w:r>
          </w:p>
        </w:tc>
        <w:tc>
          <w:tcPr>
            <w:tcW w:w="378" w:type="pct"/>
            <w:tcBorders>
              <w:top w:val="single" w:color="000000" w:sz="4" w:space="0"/>
              <w:left w:val="single" w:color="000000" w:sz="4" w:space="0"/>
              <w:bottom w:val="single" w:color="000000" w:sz="4" w:space="0"/>
              <w:right w:val="single" w:color="000000" w:sz="4" w:space="0"/>
            </w:tcBorders>
            <w:vAlign w:val="center"/>
          </w:tcPr>
          <w:p w14:paraId="660E6E71">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27B4F7B4">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5C7C3CDE">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7E356A2D">
            <w:pPr>
              <w:widowControl/>
              <w:jc w:val="center"/>
              <w:textAlignment w:val="center"/>
              <w:rPr>
                <w:rFonts w:hint="eastAsia" w:ascii="宋体" w:hAnsi="宋体" w:cs="宋体"/>
                <w:color w:val="000000"/>
                <w:kern w:val="0"/>
                <w:sz w:val="24"/>
                <w:highlight w:val="none"/>
                <w:lang w:bidi="ar"/>
              </w:rPr>
            </w:pPr>
          </w:p>
        </w:tc>
      </w:tr>
      <w:tr w14:paraId="7C6A76BE">
        <w:tblPrEx>
          <w:tblCellMar>
            <w:top w:w="0" w:type="dxa"/>
            <w:left w:w="108" w:type="dxa"/>
            <w:bottom w:w="0" w:type="dxa"/>
            <w:right w:w="108" w:type="dxa"/>
          </w:tblCellMar>
        </w:tblPrEx>
        <w:trPr>
          <w:trHeight w:val="312" w:hRule="atLeast"/>
        </w:trPr>
        <w:tc>
          <w:tcPr>
            <w:tcW w:w="640" w:type="pct"/>
            <w:vMerge w:val="continue"/>
            <w:tcBorders>
              <w:left w:val="single" w:color="000000" w:sz="4" w:space="0"/>
              <w:right w:val="single" w:color="000000" w:sz="4" w:space="0"/>
            </w:tcBorders>
            <w:vAlign w:val="center"/>
          </w:tcPr>
          <w:p w14:paraId="18BA1A60">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5495EDCC">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2.1</w:t>
            </w:r>
          </w:p>
        </w:tc>
        <w:tc>
          <w:tcPr>
            <w:tcW w:w="1654" w:type="pct"/>
            <w:tcBorders>
              <w:top w:val="single" w:color="000000" w:sz="4" w:space="0"/>
              <w:left w:val="single" w:color="000000" w:sz="4" w:space="0"/>
              <w:bottom w:val="single" w:color="000000" w:sz="4" w:space="0"/>
              <w:right w:val="single" w:color="000000" w:sz="4" w:space="0"/>
            </w:tcBorders>
            <w:vAlign w:val="center"/>
          </w:tcPr>
          <w:p w14:paraId="7F6F7AD0">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项目运营</w:t>
            </w:r>
          </w:p>
        </w:tc>
        <w:tc>
          <w:tcPr>
            <w:tcW w:w="563" w:type="pct"/>
            <w:tcBorders>
              <w:top w:val="single" w:color="000000" w:sz="4" w:space="0"/>
              <w:left w:val="single" w:color="000000" w:sz="4" w:space="0"/>
              <w:bottom w:val="single" w:color="000000" w:sz="4" w:space="0"/>
              <w:right w:val="single" w:color="000000" w:sz="4" w:space="0"/>
            </w:tcBorders>
            <w:vAlign w:val="center"/>
          </w:tcPr>
          <w:p w14:paraId="7B1D9944">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1项</w:t>
            </w:r>
          </w:p>
        </w:tc>
        <w:tc>
          <w:tcPr>
            <w:tcW w:w="378" w:type="pct"/>
            <w:tcBorders>
              <w:top w:val="single" w:color="000000" w:sz="4" w:space="0"/>
              <w:left w:val="single" w:color="000000" w:sz="4" w:space="0"/>
              <w:bottom w:val="single" w:color="000000" w:sz="4" w:space="0"/>
              <w:right w:val="single" w:color="000000" w:sz="4" w:space="0"/>
            </w:tcBorders>
            <w:vAlign w:val="center"/>
          </w:tcPr>
          <w:p w14:paraId="10141632">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32658267">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1FE8A8F4">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2B7DAC74">
            <w:pPr>
              <w:widowControl/>
              <w:jc w:val="center"/>
              <w:textAlignment w:val="center"/>
              <w:rPr>
                <w:rFonts w:hint="eastAsia" w:ascii="宋体" w:hAnsi="宋体" w:cs="宋体"/>
                <w:color w:val="000000"/>
                <w:kern w:val="0"/>
                <w:sz w:val="24"/>
                <w:highlight w:val="none"/>
                <w:lang w:bidi="ar"/>
              </w:rPr>
            </w:pPr>
          </w:p>
        </w:tc>
      </w:tr>
      <w:tr w14:paraId="34313324">
        <w:tblPrEx>
          <w:tblCellMar>
            <w:top w:w="0" w:type="dxa"/>
            <w:left w:w="108" w:type="dxa"/>
            <w:bottom w:w="0" w:type="dxa"/>
            <w:right w:w="108" w:type="dxa"/>
          </w:tblCellMar>
        </w:tblPrEx>
        <w:trPr>
          <w:trHeight w:val="312" w:hRule="atLeast"/>
        </w:trPr>
        <w:tc>
          <w:tcPr>
            <w:tcW w:w="640" w:type="pct"/>
            <w:vMerge w:val="continue"/>
            <w:tcBorders>
              <w:left w:val="single" w:color="000000" w:sz="4" w:space="0"/>
              <w:right w:val="single" w:color="000000" w:sz="4" w:space="0"/>
            </w:tcBorders>
            <w:vAlign w:val="center"/>
          </w:tcPr>
          <w:p w14:paraId="33425EBD">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3BD093EB">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2.2</w:t>
            </w:r>
          </w:p>
        </w:tc>
        <w:tc>
          <w:tcPr>
            <w:tcW w:w="1654" w:type="pct"/>
            <w:tcBorders>
              <w:top w:val="single" w:color="000000" w:sz="4" w:space="0"/>
              <w:left w:val="single" w:color="000000" w:sz="4" w:space="0"/>
              <w:bottom w:val="single" w:color="000000" w:sz="4" w:space="0"/>
              <w:right w:val="single" w:color="000000" w:sz="4" w:space="0"/>
            </w:tcBorders>
            <w:vAlign w:val="center"/>
          </w:tcPr>
          <w:p w14:paraId="54394583">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系统集成费</w:t>
            </w:r>
          </w:p>
        </w:tc>
        <w:tc>
          <w:tcPr>
            <w:tcW w:w="563" w:type="pct"/>
            <w:tcBorders>
              <w:top w:val="single" w:color="000000" w:sz="4" w:space="0"/>
              <w:left w:val="single" w:color="000000" w:sz="4" w:space="0"/>
              <w:bottom w:val="single" w:color="000000" w:sz="4" w:space="0"/>
              <w:right w:val="single" w:color="000000" w:sz="4" w:space="0"/>
            </w:tcBorders>
            <w:vAlign w:val="center"/>
          </w:tcPr>
          <w:p w14:paraId="57DD9D92">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1项</w:t>
            </w:r>
          </w:p>
        </w:tc>
        <w:tc>
          <w:tcPr>
            <w:tcW w:w="378" w:type="pct"/>
            <w:tcBorders>
              <w:top w:val="single" w:color="000000" w:sz="4" w:space="0"/>
              <w:left w:val="single" w:color="000000" w:sz="4" w:space="0"/>
              <w:bottom w:val="single" w:color="000000" w:sz="4" w:space="0"/>
              <w:right w:val="single" w:color="000000" w:sz="4" w:space="0"/>
            </w:tcBorders>
            <w:vAlign w:val="center"/>
          </w:tcPr>
          <w:p w14:paraId="1F7837BB">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3C85F9B3">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4AEBF47E">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1942FFBA">
            <w:pPr>
              <w:widowControl/>
              <w:jc w:val="center"/>
              <w:textAlignment w:val="center"/>
              <w:rPr>
                <w:rFonts w:hint="eastAsia" w:ascii="宋体" w:hAnsi="宋体" w:cs="宋体"/>
                <w:color w:val="000000"/>
                <w:kern w:val="0"/>
                <w:sz w:val="24"/>
                <w:highlight w:val="none"/>
                <w:lang w:bidi="ar"/>
              </w:rPr>
            </w:pPr>
          </w:p>
        </w:tc>
      </w:tr>
      <w:tr w14:paraId="1EAD6FE5">
        <w:tblPrEx>
          <w:tblCellMar>
            <w:top w:w="0" w:type="dxa"/>
            <w:left w:w="108" w:type="dxa"/>
            <w:bottom w:w="0" w:type="dxa"/>
            <w:right w:w="108" w:type="dxa"/>
          </w:tblCellMar>
        </w:tblPrEx>
        <w:trPr>
          <w:trHeight w:val="312" w:hRule="atLeast"/>
        </w:trPr>
        <w:tc>
          <w:tcPr>
            <w:tcW w:w="640" w:type="pct"/>
            <w:vMerge w:val="continue"/>
            <w:tcBorders>
              <w:left w:val="single" w:color="000000" w:sz="4" w:space="0"/>
              <w:bottom w:val="single" w:color="000000" w:sz="4" w:space="0"/>
              <w:right w:val="single" w:color="000000" w:sz="4" w:space="0"/>
            </w:tcBorders>
            <w:vAlign w:val="center"/>
          </w:tcPr>
          <w:p w14:paraId="513C698F">
            <w:pPr>
              <w:widowControl/>
              <w:jc w:val="center"/>
              <w:textAlignment w:val="center"/>
              <w:rPr>
                <w:rFonts w:hint="eastAsia" w:ascii="宋体" w:hAnsi="宋体" w:cs="宋体"/>
                <w:color w:val="000000"/>
                <w:kern w:val="0"/>
                <w:sz w:val="24"/>
                <w:highlight w:val="none"/>
                <w:lang w:bidi="ar"/>
              </w:rPr>
            </w:pPr>
          </w:p>
        </w:tc>
        <w:tc>
          <w:tcPr>
            <w:tcW w:w="412" w:type="pct"/>
            <w:tcBorders>
              <w:top w:val="single" w:color="000000" w:sz="4" w:space="0"/>
              <w:left w:val="single" w:color="000000" w:sz="4" w:space="0"/>
              <w:bottom w:val="single" w:color="000000" w:sz="4" w:space="0"/>
              <w:right w:val="single" w:color="000000" w:sz="4" w:space="0"/>
            </w:tcBorders>
            <w:vAlign w:val="center"/>
          </w:tcPr>
          <w:p w14:paraId="6D659562">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2.3</w:t>
            </w:r>
          </w:p>
        </w:tc>
        <w:tc>
          <w:tcPr>
            <w:tcW w:w="1654" w:type="pct"/>
            <w:tcBorders>
              <w:top w:val="single" w:color="000000" w:sz="4" w:space="0"/>
              <w:left w:val="single" w:color="000000" w:sz="4" w:space="0"/>
              <w:bottom w:val="single" w:color="000000" w:sz="4" w:space="0"/>
              <w:right w:val="single" w:color="000000" w:sz="4" w:space="0"/>
            </w:tcBorders>
            <w:vAlign w:val="center"/>
          </w:tcPr>
          <w:p w14:paraId="1EC05E5B">
            <w:pPr>
              <w:widowControl/>
              <w:jc w:val="center"/>
              <w:textAlignment w:val="center"/>
              <w:rPr>
                <w:rFonts w:hint="eastAsia" w:ascii="宋体" w:hAnsi="宋体" w:cs="宋体"/>
                <w:color w:val="000000"/>
                <w:sz w:val="24"/>
                <w:highlight w:val="none"/>
              </w:rPr>
            </w:pPr>
            <w:r>
              <w:rPr>
                <w:rFonts w:hint="eastAsia" w:ascii="宋体" w:hAnsi="宋体" w:cs="宋体"/>
                <w:color w:val="000000"/>
                <w:kern w:val="0"/>
                <w:sz w:val="24"/>
                <w:highlight w:val="none"/>
                <w:lang w:bidi="ar"/>
              </w:rPr>
              <w:t>培训费</w:t>
            </w:r>
          </w:p>
        </w:tc>
        <w:tc>
          <w:tcPr>
            <w:tcW w:w="563" w:type="pct"/>
            <w:tcBorders>
              <w:top w:val="single" w:color="000000" w:sz="4" w:space="0"/>
              <w:left w:val="single" w:color="000000" w:sz="4" w:space="0"/>
              <w:bottom w:val="single" w:color="000000" w:sz="4" w:space="0"/>
              <w:right w:val="single" w:color="000000" w:sz="4" w:space="0"/>
            </w:tcBorders>
            <w:vAlign w:val="center"/>
          </w:tcPr>
          <w:p w14:paraId="7422090A">
            <w:pPr>
              <w:widowControl/>
              <w:jc w:val="center"/>
              <w:textAlignment w:val="center"/>
              <w:rPr>
                <w:rFonts w:hint="eastAsia" w:ascii="宋体" w:hAnsi="宋体" w:cs="宋体"/>
                <w:color w:val="000000"/>
                <w:kern w:val="0"/>
                <w:sz w:val="24"/>
                <w:highlight w:val="none"/>
                <w:lang w:bidi="ar"/>
              </w:rPr>
            </w:pPr>
            <w:r>
              <w:rPr>
                <w:rFonts w:hint="eastAsia" w:ascii="宋体" w:hAnsi="宋体" w:cs="宋体"/>
                <w:color w:val="000000"/>
                <w:kern w:val="0"/>
                <w:sz w:val="24"/>
                <w:highlight w:val="none"/>
                <w:lang w:bidi="ar"/>
              </w:rPr>
              <w:t>1项</w:t>
            </w:r>
          </w:p>
        </w:tc>
        <w:tc>
          <w:tcPr>
            <w:tcW w:w="378" w:type="pct"/>
            <w:tcBorders>
              <w:top w:val="single" w:color="000000" w:sz="4" w:space="0"/>
              <w:left w:val="single" w:color="000000" w:sz="4" w:space="0"/>
              <w:bottom w:val="single" w:color="000000" w:sz="4" w:space="0"/>
              <w:right w:val="single" w:color="000000" w:sz="4" w:space="0"/>
            </w:tcBorders>
            <w:vAlign w:val="center"/>
          </w:tcPr>
          <w:p w14:paraId="537859FC">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5F186CE1">
            <w:pPr>
              <w:widowControl/>
              <w:jc w:val="center"/>
              <w:textAlignment w:val="center"/>
              <w:rPr>
                <w:rFonts w:hint="eastAsia" w:ascii="宋体" w:hAnsi="宋体" w:cs="宋体"/>
                <w:color w:val="000000"/>
                <w:kern w:val="0"/>
                <w:sz w:val="24"/>
                <w:highlight w:val="none"/>
                <w:lang w:bidi="ar"/>
              </w:rPr>
            </w:pPr>
          </w:p>
        </w:tc>
        <w:tc>
          <w:tcPr>
            <w:tcW w:w="531" w:type="pct"/>
            <w:tcBorders>
              <w:top w:val="single" w:color="000000" w:sz="4" w:space="0"/>
              <w:left w:val="single" w:color="000000" w:sz="4" w:space="0"/>
              <w:bottom w:val="single" w:color="000000" w:sz="4" w:space="0"/>
              <w:right w:val="single" w:color="000000" w:sz="4" w:space="0"/>
            </w:tcBorders>
            <w:vAlign w:val="center"/>
          </w:tcPr>
          <w:p w14:paraId="40D02AC9">
            <w:pPr>
              <w:widowControl/>
              <w:jc w:val="center"/>
              <w:textAlignment w:val="center"/>
              <w:rPr>
                <w:rFonts w:hint="eastAsia" w:ascii="宋体" w:hAnsi="宋体" w:cs="宋体"/>
                <w:color w:val="000000"/>
                <w:kern w:val="0"/>
                <w:sz w:val="24"/>
                <w:highlight w:val="none"/>
                <w:lang w:bidi="ar"/>
              </w:rPr>
            </w:pPr>
          </w:p>
        </w:tc>
        <w:tc>
          <w:tcPr>
            <w:tcW w:w="409" w:type="pct"/>
            <w:tcBorders>
              <w:top w:val="single" w:color="000000" w:sz="4" w:space="0"/>
              <w:left w:val="single" w:color="000000" w:sz="4" w:space="0"/>
              <w:bottom w:val="single" w:color="000000" w:sz="4" w:space="0"/>
              <w:right w:val="single" w:color="000000" w:sz="4" w:space="0"/>
            </w:tcBorders>
            <w:vAlign w:val="center"/>
          </w:tcPr>
          <w:p w14:paraId="012ECF95">
            <w:pPr>
              <w:widowControl/>
              <w:jc w:val="center"/>
              <w:textAlignment w:val="center"/>
              <w:rPr>
                <w:rFonts w:hint="eastAsia" w:ascii="宋体" w:hAnsi="宋体" w:cs="宋体"/>
                <w:color w:val="000000"/>
                <w:kern w:val="0"/>
                <w:sz w:val="24"/>
                <w:highlight w:val="none"/>
                <w:lang w:bidi="ar"/>
              </w:rPr>
            </w:pPr>
          </w:p>
        </w:tc>
      </w:tr>
    </w:tbl>
    <w:p w14:paraId="27127AFF">
      <w:pPr>
        <w:pStyle w:val="10"/>
        <w:rPr>
          <w:rFonts w:hint="eastAsia" w:ascii="宋体" w:hAnsi="宋体" w:cs="宋体"/>
          <w:highlight w:val="none"/>
        </w:rPr>
      </w:pPr>
      <w:r>
        <w:rPr>
          <w:rFonts w:hint="eastAsia" w:ascii="宋体" w:hAnsi="宋体" w:cs="宋体"/>
          <w:highlight w:val="none"/>
        </w:rPr>
        <w:t>注意：</w:t>
      </w:r>
    </w:p>
    <w:p w14:paraId="4B839634">
      <w:pPr>
        <w:pStyle w:val="10"/>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本表应按照下列规定填写：</w:t>
      </w:r>
    </w:p>
    <w:p w14:paraId="3A8AE564">
      <w:pPr>
        <w:pStyle w:val="10"/>
        <w:rPr>
          <w:rFonts w:hint="eastAsia" w:ascii="宋体" w:hAnsi="宋体" w:cs="宋体"/>
          <w:highlight w:val="none"/>
        </w:rPr>
      </w:pPr>
      <w:r>
        <w:rPr>
          <w:rFonts w:hint="eastAsia" w:ascii="宋体" w:hAnsi="宋体" w:cs="宋体"/>
          <w:highlight w:val="none"/>
        </w:rPr>
        <w:t>1.1投标标的为货物的：</w:t>
      </w:r>
      <w:r>
        <w:rPr>
          <w:rStyle w:val="34"/>
          <w:rFonts w:hint="eastAsia" w:ascii="宋体" w:hAnsi="宋体" w:cs="宋体"/>
          <w:highlight w:val="none"/>
        </w:rPr>
        <w:t>“品牌”</w:t>
      </w:r>
      <w:r>
        <w:rPr>
          <w:rFonts w:hint="eastAsia" w:ascii="宋体" w:hAnsi="宋体" w:cs="宋体"/>
          <w:highlight w:val="none"/>
        </w:rPr>
        <w:t>项下应填写货物制造厂商赋予的品牌（属于节能、环保清单产品的货物，填写的品牌名称应与清单载明的品牌名称保持一致），</w:t>
      </w:r>
      <w:r>
        <w:rPr>
          <w:rStyle w:val="34"/>
          <w:rFonts w:hint="eastAsia" w:ascii="宋体" w:hAnsi="宋体" w:cs="宋体"/>
          <w:highlight w:val="none"/>
        </w:rPr>
        <w:t>“规格”</w:t>
      </w:r>
      <w:r>
        <w:rPr>
          <w:rFonts w:hint="eastAsia" w:ascii="宋体" w:hAnsi="宋体" w:cs="宋体"/>
          <w:highlight w:val="none"/>
        </w:rPr>
        <w:t>项下应填写货物制造厂商赋予的具体型号（属于节能、环保清单产品的货物，填写的品牌名称应与清单载明的品牌名称保持一致）。</w:t>
      </w:r>
      <w:r>
        <w:rPr>
          <w:rStyle w:val="34"/>
          <w:rFonts w:hint="eastAsia" w:ascii="宋体" w:hAnsi="宋体" w:cs="宋体"/>
          <w:highlight w:val="none"/>
        </w:rPr>
        <w:t>“来源地”</w:t>
      </w:r>
      <w:r>
        <w:rPr>
          <w:rFonts w:hint="eastAsia" w:ascii="宋体" w:hAnsi="宋体" w:cs="宋体"/>
          <w:highlight w:val="none"/>
        </w:rPr>
        <w:t>应填写货物的原产地。</w:t>
      </w:r>
      <w:r>
        <w:rPr>
          <w:rStyle w:val="34"/>
          <w:rFonts w:hint="eastAsia" w:ascii="宋体" w:hAnsi="宋体" w:cs="宋体"/>
          <w:highlight w:val="none"/>
        </w:rPr>
        <w:t>“备注”</w:t>
      </w:r>
      <w:r>
        <w:rPr>
          <w:rFonts w:hint="eastAsia" w:ascii="宋体" w:hAnsi="宋体" w:cs="宋体"/>
          <w:highlight w:val="none"/>
        </w:rPr>
        <w:t>项下应填写货物的详细性能说明及供货范围清单（若有），其中供货范围清单包括但不限于：组成货物的主要件和关键件的名称、数量、原产地，专用工具（若有）的名称、数量、原产地，备品备件（若有）的名称、数量、原产地等。</w:t>
      </w:r>
    </w:p>
    <w:p w14:paraId="23C868D1">
      <w:pPr>
        <w:pStyle w:val="10"/>
        <w:rPr>
          <w:rFonts w:hint="eastAsia" w:ascii="宋体" w:hAnsi="宋体" w:cs="宋体"/>
          <w:highlight w:val="none"/>
        </w:rPr>
      </w:pPr>
      <w:r>
        <w:rPr>
          <w:rFonts w:hint="eastAsia" w:ascii="宋体" w:hAnsi="宋体" w:cs="宋体"/>
          <w:highlight w:val="none"/>
        </w:rPr>
        <w:t>1.2投标标的为服务的：</w:t>
      </w:r>
      <w:r>
        <w:rPr>
          <w:rStyle w:val="34"/>
          <w:rFonts w:hint="eastAsia" w:ascii="宋体" w:hAnsi="宋体" w:cs="宋体"/>
          <w:highlight w:val="none"/>
        </w:rPr>
        <w:t>“品牌”</w:t>
      </w:r>
      <w:r>
        <w:rPr>
          <w:rFonts w:hint="eastAsia" w:ascii="宋体" w:hAnsi="宋体" w:cs="宋体"/>
          <w:highlight w:val="none"/>
        </w:rPr>
        <w:t>项下应填写服务提供者提供的品牌，</w:t>
      </w:r>
      <w:r>
        <w:rPr>
          <w:rStyle w:val="34"/>
          <w:rFonts w:hint="eastAsia" w:ascii="宋体" w:hAnsi="宋体" w:cs="宋体"/>
          <w:highlight w:val="none"/>
        </w:rPr>
        <w:t>“规格”</w:t>
      </w:r>
      <w:r>
        <w:rPr>
          <w:rFonts w:hint="eastAsia" w:ascii="宋体" w:hAnsi="宋体" w:cs="宋体"/>
          <w:highlight w:val="none"/>
        </w:rPr>
        <w:t>项下应填写服务提供者提供的服务标准。</w:t>
      </w:r>
      <w:r>
        <w:rPr>
          <w:rStyle w:val="34"/>
          <w:rFonts w:hint="eastAsia" w:ascii="宋体" w:hAnsi="宋体" w:cs="宋体"/>
          <w:highlight w:val="none"/>
        </w:rPr>
        <w:t>“来源地”</w:t>
      </w:r>
      <w:r>
        <w:rPr>
          <w:rFonts w:hint="eastAsia" w:ascii="宋体" w:hAnsi="宋体" w:cs="宋体"/>
          <w:highlight w:val="none"/>
        </w:rPr>
        <w:t>应填写服务提供者的所在地。</w:t>
      </w:r>
      <w:r>
        <w:rPr>
          <w:rStyle w:val="34"/>
          <w:rFonts w:hint="eastAsia" w:ascii="宋体" w:hAnsi="宋体" w:cs="宋体"/>
          <w:highlight w:val="none"/>
        </w:rPr>
        <w:t>“备注”</w:t>
      </w:r>
      <w:r>
        <w:rPr>
          <w:rFonts w:hint="eastAsia" w:ascii="宋体" w:hAnsi="宋体" w:cs="宋体"/>
          <w:highlight w:val="none"/>
        </w:rPr>
        <w:t>项下应填写关于服务标准所涵盖的具体项目或内容的说明等。</w:t>
      </w:r>
    </w:p>
    <w:p w14:paraId="13E4C740">
      <w:pPr>
        <w:pStyle w:val="10"/>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投标文件中涉及</w:t>
      </w:r>
      <w:r>
        <w:rPr>
          <w:rStyle w:val="34"/>
          <w:rFonts w:hint="eastAsia" w:ascii="宋体" w:hAnsi="宋体" w:cs="宋体"/>
          <w:highlight w:val="none"/>
        </w:rPr>
        <w:t>“投标标的</w:t>
      </w:r>
      <w:r>
        <w:rPr>
          <w:rStyle w:val="34"/>
          <w:rFonts w:hint="eastAsia" w:ascii="宋体" w:hAnsi="宋体" w:cs="宋体"/>
          <w:highlight w:val="none"/>
          <w:lang w:eastAsia="zh-CN"/>
        </w:rPr>
        <w:t>”“</w:t>
      </w:r>
      <w:r>
        <w:rPr>
          <w:rStyle w:val="34"/>
          <w:rFonts w:hint="eastAsia" w:ascii="宋体" w:hAnsi="宋体" w:cs="宋体"/>
          <w:highlight w:val="none"/>
        </w:rPr>
        <w:t>数量</w:t>
      </w:r>
      <w:r>
        <w:rPr>
          <w:rStyle w:val="34"/>
          <w:rFonts w:hint="eastAsia" w:ascii="宋体" w:hAnsi="宋体" w:cs="宋体"/>
          <w:highlight w:val="none"/>
          <w:lang w:eastAsia="zh-CN"/>
        </w:rPr>
        <w:t>”“</w:t>
      </w:r>
      <w:r>
        <w:rPr>
          <w:rStyle w:val="34"/>
          <w:rFonts w:hint="eastAsia" w:ascii="宋体" w:hAnsi="宋体" w:cs="宋体"/>
          <w:highlight w:val="none"/>
        </w:rPr>
        <w:t>规格</w:t>
      </w:r>
      <w:r>
        <w:rPr>
          <w:rStyle w:val="34"/>
          <w:rFonts w:hint="eastAsia" w:ascii="宋体" w:hAnsi="宋体" w:cs="宋体"/>
          <w:highlight w:val="none"/>
          <w:lang w:eastAsia="zh-CN"/>
        </w:rPr>
        <w:t>”“</w:t>
      </w:r>
      <w:r>
        <w:rPr>
          <w:rStyle w:val="34"/>
          <w:rFonts w:hint="eastAsia" w:ascii="宋体" w:hAnsi="宋体" w:cs="宋体"/>
          <w:highlight w:val="none"/>
        </w:rPr>
        <w:t>来源地”</w:t>
      </w:r>
      <w:r>
        <w:rPr>
          <w:rFonts w:hint="eastAsia" w:ascii="宋体" w:hAnsi="宋体" w:cs="宋体"/>
          <w:highlight w:val="none"/>
        </w:rPr>
        <w:t>的内容若不一致，</w:t>
      </w:r>
      <w:r>
        <w:rPr>
          <w:rStyle w:val="34"/>
          <w:rFonts w:hint="eastAsia" w:ascii="宋体" w:hAnsi="宋体" w:cs="宋体"/>
          <w:highlight w:val="none"/>
        </w:rPr>
        <w:t>应以本表为准</w:t>
      </w:r>
      <w:r>
        <w:rPr>
          <w:rFonts w:hint="eastAsia" w:ascii="宋体" w:hAnsi="宋体" w:cs="宋体"/>
          <w:highlight w:val="none"/>
        </w:rPr>
        <w:t>。</w:t>
      </w:r>
    </w:p>
    <w:p w14:paraId="215D0014">
      <w:pPr>
        <w:pStyle w:val="10"/>
        <w:rPr>
          <w:rFonts w:hint="eastAsia" w:ascii="宋体" w:hAnsi="宋体" w:cs="宋体"/>
          <w:highlight w:val="none"/>
        </w:rPr>
      </w:pPr>
    </w:p>
    <w:p w14:paraId="1E913A62">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4F68B22B">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3FD109E9">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67B09B06">
      <w:pPr>
        <w:pStyle w:val="10"/>
        <w:rPr>
          <w:rFonts w:hint="eastAsia" w:ascii="宋体" w:hAnsi="宋体" w:cs="宋体"/>
          <w:highlight w:val="none"/>
        </w:rPr>
      </w:pPr>
      <w:r>
        <w:rPr>
          <w:rFonts w:hint="eastAsia" w:ascii="宋体" w:hAnsi="宋体" w:cs="宋体"/>
          <w:highlight w:val="none"/>
        </w:rPr>
        <w:t> </w:t>
      </w:r>
    </w:p>
    <w:p w14:paraId="6D6FE041">
      <w:pPr>
        <w:pStyle w:val="10"/>
        <w:jc w:val="center"/>
        <w:rPr>
          <w:rFonts w:hint="eastAsia" w:ascii="宋体" w:hAnsi="宋体" w:cs="宋体"/>
          <w:b/>
          <w:bCs/>
          <w:highlight w:val="none"/>
        </w:rPr>
      </w:pPr>
    </w:p>
    <w:p w14:paraId="6CCB4043">
      <w:pPr>
        <w:pStyle w:val="10"/>
        <w:jc w:val="center"/>
        <w:outlineLvl w:val="1"/>
        <w:rPr>
          <w:rFonts w:hint="eastAsia" w:ascii="宋体" w:hAnsi="宋体" w:cs="宋体"/>
          <w:highlight w:val="none"/>
        </w:rPr>
      </w:pPr>
      <w:r>
        <w:rPr>
          <w:rFonts w:hint="eastAsia" w:ascii="宋体" w:hAnsi="宋体" w:cs="宋体"/>
          <w:b/>
          <w:bCs/>
          <w:highlight w:val="none"/>
        </w:rPr>
        <w:br w:type="page"/>
      </w:r>
      <w:bookmarkStart w:id="230" w:name="_Toc25434"/>
      <w:r>
        <w:rPr>
          <w:rStyle w:val="34"/>
          <w:rFonts w:hint="eastAsia" w:ascii="宋体" w:hAnsi="宋体" w:cs="宋体"/>
          <w:highlight w:val="none"/>
        </w:rPr>
        <w:t>二、技术和服务要求响应表</w:t>
      </w:r>
      <w:bookmarkEnd w:id="230"/>
    </w:p>
    <w:p w14:paraId="6AFFAA7B">
      <w:pPr>
        <w:pStyle w:val="10"/>
        <w:rPr>
          <w:rFonts w:hint="eastAsia" w:ascii="宋体" w:hAnsi="宋体" w:cs="宋体"/>
          <w:highlight w:val="none"/>
        </w:rPr>
      </w:pPr>
      <w:r>
        <w:rPr>
          <w:rFonts w:hint="eastAsia" w:ascii="宋体" w:hAnsi="宋体" w:cs="宋体"/>
          <w:highlight w:val="none"/>
        </w:rPr>
        <w:t>项目编号：</w:t>
      </w:r>
      <w:r>
        <w:rPr>
          <w:rFonts w:hint="eastAsia" w:ascii="宋体" w:hAnsi="宋体" w:cs="宋体"/>
          <w:highlight w:val="none"/>
          <w:u w:val="single"/>
        </w:rPr>
        <w:t>                   </w:t>
      </w:r>
    </w:p>
    <w:tbl>
      <w:tblPr>
        <w:tblStyle w:val="31"/>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63"/>
        <w:gridCol w:w="1485"/>
        <w:gridCol w:w="2333"/>
        <w:gridCol w:w="2302"/>
        <w:gridCol w:w="1911"/>
      </w:tblGrid>
      <w:tr w14:paraId="238C8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1" w:hRule="atLeast"/>
          <w:tblCellSpacing w:w="15" w:type="dxa"/>
        </w:trPr>
        <w:tc>
          <w:tcPr>
            <w:tcW w:w="1518" w:type="dxa"/>
            <w:tcMar>
              <w:top w:w="0" w:type="dxa"/>
              <w:left w:w="83" w:type="dxa"/>
              <w:bottom w:w="0" w:type="dxa"/>
              <w:right w:w="83" w:type="dxa"/>
            </w:tcMar>
            <w:vAlign w:val="center"/>
          </w:tcPr>
          <w:p w14:paraId="0254FD79">
            <w:pPr>
              <w:pStyle w:val="10"/>
              <w:spacing w:line="201" w:lineRule="atLeast"/>
              <w:jc w:val="center"/>
              <w:rPr>
                <w:rFonts w:hint="eastAsia" w:ascii="宋体" w:hAnsi="宋体" w:cs="宋体"/>
                <w:highlight w:val="none"/>
              </w:rPr>
            </w:pPr>
            <w:r>
              <w:rPr>
                <w:rFonts w:hint="eastAsia" w:ascii="宋体" w:hAnsi="宋体" w:cs="宋体"/>
                <w:highlight w:val="none"/>
              </w:rPr>
              <w:t>采购包</w:t>
            </w:r>
          </w:p>
        </w:tc>
        <w:tc>
          <w:tcPr>
            <w:tcW w:w="1455" w:type="dxa"/>
            <w:tcMar>
              <w:top w:w="0" w:type="dxa"/>
              <w:left w:w="83" w:type="dxa"/>
              <w:bottom w:w="0" w:type="dxa"/>
              <w:right w:w="83" w:type="dxa"/>
            </w:tcMar>
            <w:vAlign w:val="center"/>
          </w:tcPr>
          <w:p w14:paraId="65F0D273">
            <w:pPr>
              <w:pStyle w:val="10"/>
              <w:spacing w:line="201" w:lineRule="atLeast"/>
              <w:jc w:val="center"/>
              <w:rPr>
                <w:rFonts w:hint="eastAsia" w:ascii="宋体" w:hAnsi="宋体" w:cs="宋体"/>
                <w:highlight w:val="none"/>
              </w:rPr>
            </w:pPr>
            <w:r>
              <w:rPr>
                <w:rFonts w:hint="eastAsia" w:ascii="宋体" w:hAnsi="宋体" w:cs="宋体"/>
                <w:highlight w:val="none"/>
              </w:rPr>
              <w:t>品目号</w:t>
            </w:r>
          </w:p>
        </w:tc>
        <w:tc>
          <w:tcPr>
            <w:tcW w:w="2303" w:type="dxa"/>
            <w:tcMar>
              <w:top w:w="0" w:type="dxa"/>
              <w:left w:w="83" w:type="dxa"/>
              <w:bottom w:w="0" w:type="dxa"/>
              <w:right w:w="83" w:type="dxa"/>
            </w:tcMar>
            <w:vAlign w:val="center"/>
          </w:tcPr>
          <w:p w14:paraId="5DC202BD">
            <w:pPr>
              <w:pStyle w:val="10"/>
              <w:spacing w:line="201" w:lineRule="atLeast"/>
              <w:jc w:val="center"/>
              <w:rPr>
                <w:rFonts w:hint="eastAsia" w:ascii="宋体" w:hAnsi="宋体" w:cs="宋体"/>
                <w:highlight w:val="none"/>
              </w:rPr>
            </w:pPr>
            <w:r>
              <w:rPr>
                <w:rFonts w:hint="eastAsia" w:ascii="宋体" w:hAnsi="宋体" w:cs="宋体"/>
                <w:highlight w:val="none"/>
              </w:rPr>
              <w:t>技术和服务要求</w:t>
            </w:r>
          </w:p>
        </w:tc>
        <w:tc>
          <w:tcPr>
            <w:tcW w:w="2272" w:type="dxa"/>
            <w:tcMar>
              <w:top w:w="0" w:type="dxa"/>
              <w:left w:w="83" w:type="dxa"/>
              <w:bottom w:w="0" w:type="dxa"/>
              <w:right w:w="83" w:type="dxa"/>
            </w:tcMar>
            <w:vAlign w:val="center"/>
          </w:tcPr>
          <w:p w14:paraId="7D5F2ABB">
            <w:pPr>
              <w:pStyle w:val="10"/>
              <w:spacing w:line="201" w:lineRule="atLeast"/>
              <w:jc w:val="center"/>
              <w:rPr>
                <w:rFonts w:hint="eastAsia" w:ascii="宋体" w:hAnsi="宋体" w:cs="宋体"/>
                <w:highlight w:val="none"/>
              </w:rPr>
            </w:pPr>
            <w:r>
              <w:rPr>
                <w:rFonts w:hint="eastAsia" w:ascii="宋体" w:hAnsi="宋体" w:cs="宋体"/>
                <w:highlight w:val="none"/>
              </w:rPr>
              <w:t>投标响应</w:t>
            </w:r>
          </w:p>
        </w:tc>
        <w:tc>
          <w:tcPr>
            <w:tcW w:w="1866" w:type="dxa"/>
            <w:tcMar>
              <w:top w:w="0" w:type="dxa"/>
              <w:left w:w="83" w:type="dxa"/>
              <w:bottom w:w="0" w:type="dxa"/>
              <w:right w:w="83" w:type="dxa"/>
            </w:tcMar>
            <w:vAlign w:val="center"/>
          </w:tcPr>
          <w:p w14:paraId="10BB11F8">
            <w:pPr>
              <w:pStyle w:val="10"/>
              <w:spacing w:line="201" w:lineRule="atLeast"/>
              <w:jc w:val="center"/>
              <w:rPr>
                <w:rFonts w:hint="eastAsia" w:ascii="宋体" w:hAnsi="宋体" w:cs="宋体"/>
                <w:highlight w:val="none"/>
              </w:rPr>
            </w:pPr>
            <w:r>
              <w:rPr>
                <w:rFonts w:hint="eastAsia" w:ascii="宋体" w:hAnsi="宋体" w:cs="宋体"/>
                <w:highlight w:val="none"/>
              </w:rPr>
              <w:t>是否偏离及说明</w:t>
            </w:r>
          </w:p>
        </w:tc>
      </w:tr>
      <w:tr w14:paraId="040E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518" w:type="dxa"/>
            <w:vMerge w:val="restart"/>
            <w:tcMar>
              <w:top w:w="0" w:type="dxa"/>
              <w:left w:w="83" w:type="dxa"/>
              <w:bottom w:w="0" w:type="dxa"/>
              <w:right w:w="83" w:type="dxa"/>
            </w:tcMar>
            <w:vAlign w:val="center"/>
          </w:tcPr>
          <w:p w14:paraId="6F1A894E">
            <w:pPr>
              <w:pStyle w:val="10"/>
              <w:jc w:val="center"/>
              <w:rPr>
                <w:rFonts w:hint="eastAsia" w:ascii="宋体" w:hAnsi="宋体" w:cs="宋体"/>
                <w:highlight w:val="none"/>
              </w:rPr>
            </w:pPr>
            <w:r>
              <w:rPr>
                <w:rFonts w:hint="eastAsia" w:ascii="宋体" w:hAnsi="宋体" w:cs="宋体"/>
                <w:highlight w:val="none"/>
              </w:rPr>
              <w:t>*</w:t>
            </w:r>
          </w:p>
        </w:tc>
        <w:tc>
          <w:tcPr>
            <w:tcW w:w="1455" w:type="dxa"/>
            <w:tcMar>
              <w:top w:w="0" w:type="dxa"/>
              <w:left w:w="83" w:type="dxa"/>
              <w:bottom w:w="0" w:type="dxa"/>
              <w:right w:w="83" w:type="dxa"/>
            </w:tcMar>
            <w:vAlign w:val="center"/>
          </w:tcPr>
          <w:p w14:paraId="402415B5">
            <w:pPr>
              <w:pStyle w:val="10"/>
              <w:jc w:val="center"/>
              <w:rPr>
                <w:rFonts w:hint="eastAsia" w:ascii="宋体" w:hAnsi="宋体" w:cs="宋体"/>
                <w:highlight w:val="none"/>
              </w:rPr>
            </w:pPr>
            <w:r>
              <w:rPr>
                <w:rFonts w:hint="eastAsia" w:ascii="宋体" w:hAnsi="宋体" w:cs="宋体"/>
                <w:highlight w:val="none"/>
              </w:rPr>
              <w:t>*-1</w:t>
            </w:r>
          </w:p>
        </w:tc>
        <w:tc>
          <w:tcPr>
            <w:tcW w:w="2303" w:type="dxa"/>
            <w:tcMar>
              <w:top w:w="0" w:type="dxa"/>
              <w:left w:w="83" w:type="dxa"/>
              <w:bottom w:w="0" w:type="dxa"/>
              <w:right w:w="83" w:type="dxa"/>
            </w:tcMar>
          </w:tcPr>
          <w:p w14:paraId="0FB4F578">
            <w:pPr>
              <w:rPr>
                <w:rFonts w:hint="eastAsia" w:ascii="宋体" w:hAnsi="宋体" w:cs="宋体"/>
                <w:sz w:val="24"/>
                <w:highlight w:val="none"/>
              </w:rPr>
            </w:pPr>
          </w:p>
        </w:tc>
        <w:tc>
          <w:tcPr>
            <w:tcW w:w="2272" w:type="dxa"/>
            <w:tcMar>
              <w:top w:w="0" w:type="dxa"/>
              <w:left w:w="83" w:type="dxa"/>
              <w:bottom w:w="0" w:type="dxa"/>
              <w:right w:w="83" w:type="dxa"/>
            </w:tcMar>
          </w:tcPr>
          <w:p w14:paraId="5076D2FB">
            <w:pPr>
              <w:rPr>
                <w:rFonts w:hint="eastAsia" w:ascii="宋体" w:hAnsi="宋体" w:cs="宋体"/>
                <w:sz w:val="24"/>
                <w:highlight w:val="none"/>
              </w:rPr>
            </w:pPr>
          </w:p>
        </w:tc>
        <w:tc>
          <w:tcPr>
            <w:tcW w:w="1866" w:type="dxa"/>
            <w:tcMar>
              <w:top w:w="0" w:type="dxa"/>
              <w:left w:w="83" w:type="dxa"/>
              <w:bottom w:w="0" w:type="dxa"/>
              <w:right w:w="83" w:type="dxa"/>
            </w:tcMar>
          </w:tcPr>
          <w:p w14:paraId="3A9A25C0">
            <w:pPr>
              <w:rPr>
                <w:rFonts w:hint="eastAsia" w:ascii="宋体" w:hAnsi="宋体" w:cs="宋体"/>
                <w:sz w:val="24"/>
                <w:highlight w:val="none"/>
              </w:rPr>
            </w:pPr>
          </w:p>
        </w:tc>
      </w:tr>
      <w:tr w14:paraId="3184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518" w:type="dxa"/>
            <w:vMerge w:val="continue"/>
            <w:vAlign w:val="center"/>
          </w:tcPr>
          <w:p w14:paraId="5578ABA6">
            <w:pPr>
              <w:rPr>
                <w:rFonts w:hint="eastAsia" w:ascii="宋体" w:hAnsi="宋体" w:cs="宋体"/>
                <w:sz w:val="24"/>
                <w:highlight w:val="none"/>
              </w:rPr>
            </w:pPr>
          </w:p>
        </w:tc>
        <w:tc>
          <w:tcPr>
            <w:tcW w:w="1455" w:type="dxa"/>
            <w:tcMar>
              <w:top w:w="0" w:type="dxa"/>
              <w:left w:w="83" w:type="dxa"/>
              <w:bottom w:w="0" w:type="dxa"/>
              <w:right w:w="83" w:type="dxa"/>
            </w:tcMar>
            <w:vAlign w:val="center"/>
          </w:tcPr>
          <w:p w14:paraId="4EAF928B">
            <w:pPr>
              <w:pStyle w:val="10"/>
              <w:jc w:val="center"/>
              <w:rPr>
                <w:rFonts w:hint="eastAsia" w:ascii="宋体" w:hAnsi="宋体" w:cs="宋体"/>
                <w:highlight w:val="none"/>
              </w:rPr>
            </w:pPr>
            <w:r>
              <w:rPr>
                <w:rFonts w:hint="eastAsia" w:ascii="宋体" w:hAnsi="宋体" w:cs="宋体"/>
                <w:highlight w:val="none"/>
              </w:rPr>
              <w:t>…</w:t>
            </w:r>
          </w:p>
        </w:tc>
        <w:tc>
          <w:tcPr>
            <w:tcW w:w="2303" w:type="dxa"/>
            <w:tcMar>
              <w:top w:w="0" w:type="dxa"/>
              <w:left w:w="83" w:type="dxa"/>
              <w:bottom w:w="0" w:type="dxa"/>
              <w:right w:w="83" w:type="dxa"/>
            </w:tcMar>
          </w:tcPr>
          <w:p w14:paraId="390B8AEC">
            <w:pPr>
              <w:rPr>
                <w:rFonts w:hint="eastAsia" w:ascii="宋体" w:hAnsi="宋体" w:cs="宋体"/>
                <w:sz w:val="24"/>
                <w:highlight w:val="none"/>
              </w:rPr>
            </w:pPr>
          </w:p>
        </w:tc>
        <w:tc>
          <w:tcPr>
            <w:tcW w:w="2272" w:type="dxa"/>
            <w:tcMar>
              <w:top w:w="0" w:type="dxa"/>
              <w:left w:w="83" w:type="dxa"/>
              <w:bottom w:w="0" w:type="dxa"/>
              <w:right w:w="83" w:type="dxa"/>
            </w:tcMar>
          </w:tcPr>
          <w:p w14:paraId="5A4E4DA8">
            <w:pPr>
              <w:rPr>
                <w:rFonts w:hint="eastAsia" w:ascii="宋体" w:hAnsi="宋体" w:cs="宋体"/>
                <w:sz w:val="24"/>
                <w:highlight w:val="none"/>
              </w:rPr>
            </w:pPr>
          </w:p>
        </w:tc>
        <w:tc>
          <w:tcPr>
            <w:tcW w:w="1866" w:type="dxa"/>
            <w:tcMar>
              <w:top w:w="0" w:type="dxa"/>
              <w:left w:w="83" w:type="dxa"/>
              <w:bottom w:w="0" w:type="dxa"/>
              <w:right w:w="83" w:type="dxa"/>
            </w:tcMar>
          </w:tcPr>
          <w:p w14:paraId="6064E38C">
            <w:pPr>
              <w:rPr>
                <w:rFonts w:hint="eastAsia" w:ascii="宋体" w:hAnsi="宋体" w:cs="宋体"/>
                <w:sz w:val="24"/>
                <w:highlight w:val="none"/>
              </w:rPr>
            </w:pPr>
          </w:p>
        </w:tc>
      </w:tr>
      <w:tr w14:paraId="7E1E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518" w:type="dxa"/>
            <w:tcMar>
              <w:top w:w="0" w:type="dxa"/>
              <w:left w:w="83" w:type="dxa"/>
              <w:bottom w:w="0" w:type="dxa"/>
              <w:right w:w="83" w:type="dxa"/>
            </w:tcMar>
            <w:vAlign w:val="center"/>
          </w:tcPr>
          <w:p w14:paraId="7DB34DAE">
            <w:pPr>
              <w:pStyle w:val="10"/>
              <w:jc w:val="center"/>
              <w:rPr>
                <w:rFonts w:hint="eastAsia" w:ascii="宋体" w:hAnsi="宋体" w:cs="宋体"/>
                <w:highlight w:val="none"/>
              </w:rPr>
            </w:pPr>
            <w:r>
              <w:rPr>
                <w:rFonts w:hint="eastAsia" w:ascii="宋体" w:hAnsi="宋体" w:cs="宋体"/>
                <w:highlight w:val="none"/>
              </w:rPr>
              <w:t>…</w:t>
            </w:r>
          </w:p>
        </w:tc>
        <w:tc>
          <w:tcPr>
            <w:tcW w:w="1455" w:type="dxa"/>
            <w:tcMar>
              <w:top w:w="0" w:type="dxa"/>
              <w:left w:w="83" w:type="dxa"/>
              <w:bottom w:w="0" w:type="dxa"/>
              <w:right w:w="83" w:type="dxa"/>
            </w:tcMar>
            <w:vAlign w:val="center"/>
          </w:tcPr>
          <w:p w14:paraId="1AFE331A">
            <w:pPr>
              <w:rPr>
                <w:rFonts w:hint="eastAsia" w:ascii="宋体" w:hAnsi="宋体" w:cs="宋体"/>
                <w:sz w:val="24"/>
                <w:highlight w:val="none"/>
              </w:rPr>
            </w:pPr>
          </w:p>
        </w:tc>
        <w:tc>
          <w:tcPr>
            <w:tcW w:w="2303" w:type="dxa"/>
            <w:tcMar>
              <w:top w:w="0" w:type="dxa"/>
              <w:left w:w="83" w:type="dxa"/>
              <w:bottom w:w="0" w:type="dxa"/>
              <w:right w:w="83" w:type="dxa"/>
            </w:tcMar>
            <w:vAlign w:val="center"/>
          </w:tcPr>
          <w:p w14:paraId="0FF3CE47">
            <w:pPr>
              <w:rPr>
                <w:rFonts w:hint="eastAsia" w:ascii="宋体" w:hAnsi="宋体" w:cs="宋体"/>
                <w:sz w:val="24"/>
                <w:highlight w:val="none"/>
              </w:rPr>
            </w:pPr>
          </w:p>
        </w:tc>
        <w:tc>
          <w:tcPr>
            <w:tcW w:w="2272" w:type="dxa"/>
            <w:tcMar>
              <w:top w:w="0" w:type="dxa"/>
              <w:left w:w="83" w:type="dxa"/>
              <w:bottom w:w="0" w:type="dxa"/>
              <w:right w:w="83" w:type="dxa"/>
            </w:tcMar>
            <w:vAlign w:val="center"/>
          </w:tcPr>
          <w:p w14:paraId="268840CE">
            <w:pPr>
              <w:rPr>
                <w:rFonts w:hint="eastAsia" w:ascii="宋体" w:hAnsi="宋体" w:cs="宋体"/>
                <w:sz w:val="24"/>
                <w:highlight w:val="none"/>
              </w:rPr>
            </w:pPr>
          </w:p>
        </w:tc>
        <w:tc>
          <w:tcPr>
            <w:tcW w:w="1866" w:type="dxa"/>
            <w:tcMar>
              <w:top w:w="0" w:type="dxa"/>
              <w:left w:w="83" w:type="dxa"/>
              <w:bottom w:w="0" w:type="dxa"/>
              <w:right w:w="83" w:type="dxa"/>
            </w:tcMar>
            <w:vAlign w:val="center"/>
          </w:tcPr>
          <w:p w14:paraId="1914512F">
            <w:pPr>
              <w:rPr>
                <w:rFonts w:hint="eastAsia" w:ascii="宋体" w:hAnsi="宋体" w:cs="宋体"/>
                <w:sz w:val="24"/>
                <w:highlight w:val="none"/>
              </w:rPr>
            </w:pPr>
          </w:p>
        </w:tc>
      </w:tr>
    </w:tbl>
    <w:p w14:paraId="42A84F53">
      <w:pPr>
        <w:pStyle w:val="10"/>
        <w:rPr>
          <w:rFonts w:hint="eastAsia" w:ascii="宋体" w:hAnsi="宋体" w:cs="宋体"/>
          <w:highlight w:val="none"/>
        </w:rPr>
      </w:pPr>
      <w:r>
        <w:rPr>
          <w:rFonts w:hint="eastAsia" w:ascii="宋体" w:hAnsi="宋体" w:cs="宋体"/>
          <w:highlight w:val="none"/>
        </w:rPr>
        <w:t>注意：</w:t>
      </w:r>
    </w:p>
    <w:p w14:paraId="12E76DCA">
      <w:pPr>
        <w:pStyle w:val="10"/>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本表应按照下列规定填写：</w:t>
      </w:r>
    </w:p>
    <w:p w14:paraId="6941482B">
      <w:pPr>
        <w:pStyle w:val="10"/>
        <w:rPr>
          <w:rFonts w:hint="eastAsia" w:ascii="宋体" w:hAnsi="宋体" w:cs="宋体"/>
          <w:highlight w:val="none"/>
        </w:rPr>
      </w:pPr>
      <w:r>
        <w:rPr>
          <w:rFonts w:hint="eastAsia" w:ascii="宋体" w:hAnsi="宋体" w:cs="宋体"/>
          <w:highlight w:val="none"/>
        </w:rPr>
        <w:t>1.1“技术和服务要求”项下填写的内容应与招标文件第五章“技术和服务要求”的内容保持一致。</w:t>
      </w:r>
    </w:p>
    <w:p w14:paraId="322A0D27">
      <w:pPr>
        <w:pStyle w:val="10"/>
        <w:rPr>
          <w:rFonts w:hint="eastAsia" w:ascii="宋体" w:hAnsi="宋体" w:cs="宋体"/>
          <w:highlight w:val="none"/>
        </w:rPr>
      </w:pPr>
      <w:r>
        <w:rPr>
          <w:rFonts w:hint="eastAsia" w:ascii="宋体" w:hAnsi="宋体" w:cs="宋体"/>
          <w:highlight w:val="none"/>
        </w:rPr>
        <w:t>1.2“投标响应”项下应填写具体的响应内容并与“技术和服务要求”项下填写的内容逐项对应；</w:t>
      </w:r>
    </w:p>
    <w:p w14:paraId="716D1D99">
      <w:pPr>
        <w:pStyle w:val="10"/>
        <w:rPr>
          <w:rFonts w:hint="eastAsia" w:ascii="宋体" w:hAnsi="宋体" w:cs="宋体"/>
          <w:highlight w:val="none"/>
        </w:rPr>
      </w:pPr>
      <w:r>
        <w:rPr>
          <w:rFonts w:hint="eastAsia" w:ascii="宋体" w:hAnsi="宋体" w:cs="宋体"/>
          <w:highlight w:val="none"/>
        </w:rPr>
        <w:t>1.3“是否偏离及说明”项下应按下列规定填写：优于的，填写“正偏离”；符合的，填写“无偏离”；低于的，填写“负偏离”。</w:t>
      </w:r>
    </w:p>
    <w:p w14:paraId="296AD98C">
      <w:pPr>
        <w:pStyle w:val="10"/>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投标人需要说明的内容若需特殊表达，应先在本表中进行相应说明，并另页应答。</w:t>
      </w:r>
    </w:p>
    <w:p w14:paraId="1D05C98E">
      <w:pPr>
        <w:pStyle w:val="10"/>
        <w:rPr>
          <w:rFonts w:hint="eastAsia" w:ascii="宋体" w:hAnsi="宋体" w:cs="宋体"/>
          <w:highlight w:val="none"/>
        </w:rPr>
      </w:pPr>
      <w:r>
        <w:rPr>
          <w:rFonts w:hint="eastAsia" w:ascii="宋体" w:hAnsi="宋体" w:cs="宋体"/>
          <w:highlight w:val="none"/>
        </w:rPr>
        <w:t> </w:t>
      </w:r>
    </w:p>
    <w:p w14:paraId="10A1F735">
      <w:pPr>
        <w:pStyle w:val="10"/>
        <w:rPr>
          <w:rFonts w:hint="eastAsia" w:ascii="宋体" w:hAnsi="宋体" w:cs="宋体"/>
          <w:highlight w:val="none"/>
        </w:rPr>
      </w:pPr>
      <w:r>
        <w:rPr>
          <w:rFonts w:hint="eastAsia" w:ascii="宋体" w:hAnsi="宋体" w:cs="宋体"/>
          <w:highlight w:val="none"/>
        </w:rPr>
        <w:t> </w:t>
      </w:r>
    </w:p>
    <w:p w14:paraId="3994562D">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1D88A5FA">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194BE030">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3031FD05">
      <w:pPr>
        <w:pStyle w:val="10"/>
        <w:rPr>
          <w:rFonts w:hint="eastAsia" w:ascii="宋体" w:hAnsi="宋体" w:cs="宋体"/>
          <w:highlight w:val="none"/>
        </w:rPr>
      </w:pPr>
      <w:r>
        <w:rPr>
          <w:rFonts w:hint="eastAsia" w:ascii="宋体" w:hAnsi="宋体" w:cs="宋体"/>
          <w:highlight w:val="none"/>
        </w:rPr>
        <w:t> </w:t>
      </w:r>
    </w:p>
    <w:p w14:paraId="760A749B">
      <w:pPr>
        <w:pStyle w:val="10"/>
        <w:rPr>
          <w:rFonts w:hint="eastAsia" w:ascii="宋体" w:hAnsi="宋体" w:cs="宋体"/>
          <w:highlight w:val="none"/>
        </w:rPr>
      </w:pPr>
      <w:r>
        <w:rPr>
          <w:rFonts w:hint="eastAsia" w:ascii="宋体" w:hAnsi="宋体" w:cs="宋体"/>
          <w:highlight w:val="none"/>
        </w:rPr>
        <w:t> </w:t>
      </w:r>
    </w:p>
    <w:p w14:paraId="78611499">
      <w:pPr>
        <w:pStyle w:val="11"/>
        <w:numPr>
          <w:ilvl w:val="1"/>
          <w:numId w:val="0"/>
        </w:numPr>
        <w:outlineLvl w:val="9"/>
        <w:rPr>
          <w:rFonts w:ascii="宋体" w:hAnsi="宋体" w:eastAsia="宋体"/>
          <w:highlight w:val="none"/>
        </w:rPr>
      </w:pPr>
    </w:p>
    <w:p w14:paraId="0B881FBE">
      <w:pPr>
        <w:pStyle w:val="10"/>
        <w:jc w:val="center"/>
        <w:outlineLvl w:val="1"/>
        <w:rPr>
          <w:rFonts w:hint="eastAsia" w:ascii="宋体" w:hAnsi="宋体" w:cs="宋体"/>
          <w:highlight w:val="none"/>
        </w:rPr>
      </w:pPr>
      <w:r>
        <w:rPr>
          <w:rFonts w:hint="eastAsia" w:ascii="宋体" w:hAnsi="宋体" w:cs="宋体"/>
          <w:highlight w:val="none"/>
        </w:rPr>
        <w:br w:type="page"/>
      </w:r>
      <w:bookmarkStart w:id="231" w:name="_Toc6832"/>
      <w:r>
        <w:rPr>
          <w:rStyle w:val="34"/>
          <w:rFonts w:hint="eastAsia" w:ascii="宋体" w:hAnsi="宋体" w:cs="宋体"/>
          <w:highlight w:val="none"/>
        </w:rPr>
        <w:t>三、商务条件响应表</w:t>
      </w:r>
      <w:bookmarkEnd w:id="231"/>
    </w:p>
    <w:p w14:paraId="4AE8E35A">
      <w:pPr>
        <w:pStyle w:val="10"/>
        <w:rPr>
          <w:rFonts w:hint="eastAsia" w:ascii="宋体" w:hAnsi="宋体" w:cs="宋体"/>
          <w:highlight w:val="none"/>
        </w:rPr>
      </w:pPr>
      <w:r>
        <w:rPr>
          <w:rFonts w:hint="eastAsia" w:ascii="宋体" w:hAnsi="宋体" w:cs="宋体"/>
          <w:highlight w:val="none"/>
        </w:rPr>
        <w:t>项目编号：</w:t>
      </w:r>
      <w:r>
        <w:rPr>
          <w:rFonts w:hint="eastAsia" w:ascii="宋体" w:hAnsi="宋体" w:cs="宋体"/>
          <w:highlight w:val="none"/>
          <w:u w:val="single"/>
        </w:rPr>
        <w:t>                   </w:t>
      </w:r>
    </w:p>
    <w:tbl>
      <w:tblPr>
        <w:tblStyle w:val="31"/>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799"/>
        <w:gridCol w:w="1484"/>
        <w:gridCol w:w="2332"/>
        <w:gridCol w:w="2888"/>
        <w:gridCol w:w="2074"/>
      </w:tblGrid>
      <w:tr w14:paraId="4A4E0A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blCellSpacing w:w="15" w:type="dxa"/>
        </w:trPr>
        <w:tc>
          <w:tcPr>
            <w:tcW w:w="754" w:type="dxa"/>
            <w:tcMar>
              <w:top w:w="0" w:type="dxa"/>
              <w:left w:w="83" w:type="dxa"/>
              <w:bottom w:w="0" w:type="dxa"/>
              <w:right w:w="83" w:type="dxa"/>
            </w:tcMar>
            <w:vAlign w:val="center"/>
          </w:tcPr>
          <w:p w14:paraId="16D6DE3E">
            <w:pPr>
              <w:pStyle w:val="10"/>
              <w:jc w:val="center"/>
              <w:rPr>
                <w:rFonts w:hint="eastAsia" w:ascii="宋体" w:hAnsi="宋体" w:cs="宋体"/>
                <w:highlight w:val="none"/>
              </w:rPr>
            </w:pPr>
            <w:r>
              <w:rPr>
                <w:rFonts w:hint="eastAsia" w:ascii="宋体" w:hAnsi="宋体" w:cs="宋体"/>
                <w:highlight w:val="none"/>
              </w:rPr>
              <w:t>采购包</w:t>
            </w:r>
          </w:p>
        </w:tc>
        <w:tc>
          <w:tcPr>
            <w:tcW w:w="1454" w:type="dxa"/>
            <w:tcMar>
              <w:top w:w="0" w:type="dxa"/>
              <w:left w:w="83" w:type="dxa"/>
              <w:bottom w:w="0" w:type="dxa"/>
              <w:right w:w="83" w:type="dxa"/>
            </w:tcMar>
            <w:vAlign w:val="center"/>
          </w:tcPr>
          <w:p w14:paraId="03F9A235">
            <w:pPr>
              <w:pStyle w:val="10"/>
              <w:jc w:val="center"/>
              <w:rPr>
                <w:rFonts w:hint="eastAsia" w:ascii="宋体" w:hAnsi="宋体" w:cs="宋体"/>
                <w:highlight w:val="none"/>
              </w:rPr>
            </w:pPr>
            <w:r>
              <w:rPr>
                <w:rFonts w:hint="eastAsia" w:ascii="宋体" w:hAnsi="宋体" w:cs="宋体"/>
                <w:highlight w:val="none"/>
              </w:rPr>
              <w:t>品目号</w:t>
            </w:r>
          </w:p>
        </w:tc>
        <w:tc>
          <w:tcPr>
            <w:tcW w:w="2302" w:type="dxa"/>
            <w:tcMar>
              <w:top w:w="0" w:type="dxa"/>
              <w:left w:w="83" w:type="dxa"/>
              <w:bottom w:w="0" w:type="dxa"/>
              <w:right w:w="83" w:type="dxa"/>
            </w:tcMar>
            <w:vAlign w:val="center"/>
          </w:tcPr>
          <w:p w14:paraId="33DF2B21">
            <w:pPr>
              <w:pStyle w:val="10"/>
              <w:jc w:val="center"/>
              <w:rPr>
                <w:rFonts w:hint="eastAsia" w:ascii="宋体" w:hAnsi="宋体" w:cs="宋体"/>
                <w:highlight w:val="none"/>
              </w:rPr>
            </w:pPr>
            <w:r>
              <w:rPr>
                <w:rFonts w:hint="eastAsia" w:ascii="宋体" w:hAnsi="宋体" w:cs="宋体"/>
                <w:highlight w:val="none"/>
              </w:rPr>
              <w:t>商务条件</w:t>
            </w:r>
          </w:p>
        </w:tc>
        <w:tc>
          <w:tcPr>
            <w:tcW w:w="2858" w:type="dxa"/>
            <w:tcMar>
              <w:top w:w="0" w:type="dxa"/>
              <w:left w:w="83" w:type="dxa"/>
              <w:bottom w:w="0" w:type="dxa"/>
              <w:right w:w="83" w:type="dxa"/>
            </w:tcMar>
            <w:vAlign w:val="center"/>
          </w:tcPr>
          <w:p w14:paraId="79F99603">
            <w:pPr>
              <w:pStyle w:val="10"/>
              <w:jc w:val="center"/>
              <w:rPr>
                <w:rFonts w:hint="eastAsia" w:ascii="宋体" w:hAnsi="宋体" w:cs="宋体"/>
                <w:highlight w:val="none"/>
              </w:rPr>
            </w:pPr>
            <w:r>
              <w:rPr>
                <w:rFonts w:hint="eastAsia" w:ascii="宋体" w:hAnsi="宋体" w:cs="宋体"/>
                <w:highlight w:val="none"/>
              </w:rPr>
              <w:t>投标响应</w:t>
            </w:r>
          </w:p>
        </w:tc>
        <w:tc>
          <w:tcPr>
            <w:tcW w:w="2029" w:type="dxa"/>
            <w:tcMar>
              <w:top w:w="0" w:type="dxa"/>
              <w:left w:w="83" w:type="dxa"/>
              <w:bottom w:w="0" w:type="dxa"/>
              <w:right w:w="83" w:type="dxa"/>
            </w:tcMar>
            <w:vAlign w:val="center"/>
          </w:tcPr>
          <w:p w14:paraId="51661F61">
            <w:pPr>
              <w:pStyle w:val="10"/>
              <w:jc w:val="center"/>
              <w:rPr>
                <w:rFonts w:hint="eastAsia" w:ascii="宋体" w:hAnsi="宋体" w:cs="宋体"/>
                <w:highlight w:val="none"/>
              </w:rPr>
            </w:pPr>
            <w:r>
              <w:rPr>
                <w:rFonts w:hint="eastAsia" w:ascii="宋体" w:hAnsi="宋体" w:cs="宋体"/>
                <w:highlight w:val="none"/>
              </w:rPr>
              <w:t>是否偏离及说明</w:t>
            </w:r>
          </w:p>
        </w:tc>
      </w:tr>
      <w:tr w14:paraId="0B7E90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blCellSpacing w:w="15" w:type="dxa"/>
        </w:trPr>
        <w:tc>
          <w:tcPr>
            <w:tcW w:w="754" w:type="dxa"/>
            <w:vMerge w:val="restart"/>
            <w:tcMar>
              <w:top w:w="0" w:type="dxa"/>
              <w:left w:w="83" w:type="dxa"/>
              <w:bottom w:w="0" w:type="dxa"/>
              <w:right w:w="83" w:type="dxa"/>
            </w:tcMar>
            <w:vAlign w:val="center"/>
          </w:tcPr>
          <w:p w14:paraId="4A0BEA4C">
            <w:pPr>
              <w:pStyle w:val="10"/>
              <w:jc w:val="center"/>
              <w:rPr>
                <w:rFonts w:hint="eastAsia" w:ascii="宋体" w:hAnsi="宋体" w:cs="宋体"/>
                <w:highlight w:val="none"/>
              </w:rPr>
            </w:pPr>
            <w:r>
              <w:rPr>
                <w:rFonts w:hint="eastAsia" w:ascii="宋体" w:hAnsi="宋体" w:cs="宋体"/>
                <w:highlight w:val="none"/>
              </w:rPr>
              <w:t>*</w:t>
            </w:r>
          </w:p>
        </w:tc>
        <w:tc>
          <w:tcPr>
            <w:tcW w:w="1454" w:type="dxa"/>
            <w:tcMar>
              <w:top w:w="0" w:type="dxa"/>
              <w:left w:w="83" w:type="dxa"/>
              <w:bottom w:w="0" w:type="dxa"/>
              <w:right w:w="83" w:type="dxa"/>
            </w:tcMar>
            <w:vAlign w:val="center"/>
          </w:tcPr>
          <w:p w14:paraId="0DAD9B41">
            <w:pPr>
              <w:pStyle w:val="10"/>
              <w:jc w:val="center"/>
              <w:rPr>
                <w:rFonts w:hint="eastAsia" w:ascii="宋体" w:hAnsi="宋体" w:cs="宋体"/>
                <w:highlight w:val="none"/>
              </w:rPr>
            </w:pPr>
            <w:r>
              <w:rPr>
                <w:rFonts w:hint="eastAsia" w:ascii="宋体" w:hAnsi="宋体" w:cs="宋体"/>
                <w:highlight w:val="none"/>
              </w:rPr>
              <w:t>*-1</w:t>
            </w:r>
          </w:p>
        </w:tc>
        <w:tc>
          <w:tcPr>
            <w:tcW w:w="2302" w:type="dxa"/>
            <w:tcMar>
              <w:top w:w="0" w:type="dxa"/>
              <w:left w:w="83" w:type="dxa"/>
              <w:bottom w:w="0" w:type="dxa"/>
              <w:right w:w="83" w:type="dxa"/>
            </w:tcMar>
          </w:tcPr>
          <w:p w14:paraId="42367220">
            <w:pPr>
              <w:rPr>
                <w:rFonts w:hint="eastAsia" w:ascii="宋体" w:hAnsi="宋体" w:cs="宋体"/>
                <w:sz w:val="24"/>
                <w:highlight w:val="none"/>
              </w:rPr>
            </w:pPr>
          </w:p>
        </w:tc>
        <w:tc>
          <w:tcPr>
            <w:tcW w:w="2858" w:type="dxa"/>
            <w:tcMar>
              <w:top w:w="0" w:type="dxa"/>
              <w:left w:w="83" w:type="dxa"/>
              <w:bottom w:w="0" w:type="dxa"/>
              <w:right w:w="83" w:type="dxa"/>
            </w:tcMar>
          </w:tcPr>
          <w:p w14:paraId="4DFF6EA7">
            <w:pPr>
              <w:rPr>
                <w:rFonts w:hint="eastAsia" w:ascii="宋体" w:hAnsi="宋体" w:cs="宋体"/>
                <w:sz w:val="24"/>
                <w:highlight w:val="none"/>
              </w:rPr>
            </w:pPr>
          </w:p>
        </w:tc>
        <w:tc>
          <w:tcPr>
            <w:tcW w:w="2029" w:type="dxa"/>
            <w:tcMar>
              <w:top w:w="0" w:type="dxa"/>
              <w:left w:w="83" w:type="dxa"/>
              <w:bottom w:w="0" w:type="dxa"/>
              <w:right w:w="83" w:type="dxa"/>
            </w:tcMar>
          </w:tcPr>
          <w:p w14:paraId="492E0FE6">
            <w:pPr>
              <w:rPr>
                <w:rFonts w:hint="eastAsia" w:ascii="宋体" w:hAnsi="宋体" w:cs="宋体"/>
                <w:sz w:val="24"/>
                <w:highlight w:val="none"/>
              </w:rPr>
            </w:pPr>
          </w:p>
        </w:tc>
      </w:tr>
      <w:tr w14:paraId="47F295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blCellSpacing w:w="15" w:type="dxa"/>
        </w:trPr>
        <w:tc>
          <w:tcPr>
            <w:tcW w:w="754" w:type="dxa"/>
            <w:vMerge w:val="continue"/>
            <w:vAlign w:val="center"/>
          </w:tcPr>
          <w:p w14:paraId="72ED649A">
            <w:pPr>
              <w:rPr>
                <w:rFonts w:hint="eastAsia" w:ascii="宋体" w:hAnsi="宋体" w:cs="宋体"/>
                <w:sz w:val="24"/>
                <w:highlight w:val="none"/>
              </w:rPr>
            </w:pPr>
          </w:p>
        </w:tc>
        <w:tc>
          <w:tcPr>
            <w:tcW w:w="1454" w:type="dxa"/>
            <w:tcMar>
              <w:top w:w="0" w:type="dxa"/>
              <w:left w:w="83" w:type="dxa"/>
              <w:bottom w:w="0" w:type="dxa"/>
              <w:right w:w="83" w:type="dxa"/>
            </w:tcMar>
            <w:vAlign w:val="center"/>
          </w:tcPr>
          <w:p w14:paraId="546C62D9">
            <w:pPr>
              <w:pStyle w:val="10"/>
              <w:jc w:val="center"/>
              <w:rPr>
                <w:rFonts w:hint="eastAsia" w:ascii="宋体" w:hAnsi="宋体" w:cs="宋体"/>
                <w:highlight w:val="none"/>
              </w:rPr>
            </w:pPr>
            <w:r>
              <w:rPr>
                <w:rFonts w:hint="eastAsia" w:ascii="宋体" w:hAnsi="宋体" w:cs="宋体"/>
                <w:highlight w:val="none"/>
              </w:rPr>
              <w:t>…</w:t>
            </w:r>
          </w:p>
        </w:tc>
        <w:tc>
          <w:tcPr>
            <w:tcW w:w="2302" w:type="dxa"/>
            <w:tcMar>
              <w:top w:w="0" w:type="dxa"/>
              <w:left w:w="83" w:type="dxa"/>
              <w:bottom w:w="0" w:type="dxa"/>
              <w:right w:w="83" w:type="dxa"/>
            </w:tcMar>
          </w:tcPr>
          <w:p w14:paraId="40C725F5">
            <w:pPr>
              <w:rPr>
                <w:rFonts w:hint="eastAsia" w:ascii="宋体" w:hAnsi="宋体" w:cs="宋体"/>
                <w:sz w:val="24"/>
                <w:highlight w:val="none"/>
              </w:rPr>
            </w:pPr>
          </w:p>
        </w:tc>
        <w:tc>
          <w:tcPr>
            <w:tcW w:w="2858" w:type="dxa"/>
            <w:tcMar>
              <w:top w:w="0" w:type="dxa"/>
              <w:left w:w="83" w:type="dxa"/>
              <w:bottom w:w="0" w:type="dxa"/>
              <w:right w:w="83" w:type="dxa"/>
            </w:tcMar>
          </w:tcPr>
          <w:p w14:paraId="4EC6256D">
            <w:pPr>
              <w:rPr>
                <w:rFonts w:hint="eastAsia" w:ascii="宋体" w:hAnsi="宋体" w:cs="宋体"/>
                <w:sz w:val="24"/>
                <w:highlight w:val="none"/>
              </w:rPr>
            </w:pPr>
          </w:p>
        </w:tc>
        <w:tc>
          <w:tcPr>
            <w:tcW w:w="2029" w:type="dxa"/>
            <w:tcMar>
              <w:top w:w="0" w:type="dxa"/>
              <w:left w:w="83" w:type="dxa"/>
              <w:bottom w:w="0" w:type="dxa"/>
              <w:right w:w="83" w:type="dxa"/>
            </w:tcMar>
          </w:tcPr>
          <w:p w14:paraId="3E8595FA">
            <w:pPr>
              <w:rPr>
                <w:rFonts w:hint="eastAsia" w:ascii="宋体" w:hAnsi="宋体" w:cs="宋体"/>
                <w:sz w:val="24"/>
                <w:highlight w:val="none"/>
              </w:rPr>
            </w:pPr>
          </w:p>
        </w:tc>
      </w:tr>
      <w:tr w14:paraId="7BE9E8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blCellSpacing w:w="15" w:type="dxa"/>
        </w:trPr>
        <w:tc>
          <w:tcPr>
            <w:tcW w:w="754" w:type="dxa"/>
            <w:tcMar>
              <w:top w:w="0" w:type="dxa"/>
              <w:left w:w="83" w:type="dxa"/>
              <w:bottom w:w="0" w:type="dxa"/>
              <w:right w:w="83" w:type="dxa"/>
            </w:tcMar>
            <w:vAlign w:val="center"/>
          </w:tcPr>
          <w:p w14:paraId="25E26CDE">
            <w:pPr>
              <w:pStyle w:val="10"/>
              <w:jc w:val="center"/>
              <w:rPr>
                <w:rFonts w:hint="eastAsia" w:ascii="宋体" w:hAnsi="宋体" w:cs="宋体"/>
                <w:highlight w:val="none"/>
              </w:rPr>
            </w:pPr>
            <w:r>
              <w:rPr>
                <w:rFonts w:hint="eastAsia" w:ascii="宋体" w:hAnsi="宋体" w:cs="宋体"/>
                <w:highlight w:val="none"/>
              </w:rPr>
              <w:t>…</w:t>
            </w:r>
          </w:p>
        </w:tc>
        <w:tc>
          <w:tcPr>
            <w:tcW w:w="1454" w:type="dxa"/>
            <w:tcMar>
              <w:top w:w="0" w:type="dxa"/>
              <w:left w:w="83" w:type="dxa"/>
              <w:bottom w:w="0" w:type="dxa"/>
              <w:right w:w="83" w:type="dxa"/>
            </w:tcMar>
            <w:vAlign w:val="center"/>
          </w:tcPr>
          <w:p w14:paraId="34E13260">
            <w:pPr>
              <w:rPr>
                <w:rFonts w:hint="eastAsia" w:ascii="宋体" w:hAnsi="宋体" w:cs="宋体"/>
                <w:sz w:val="24"/>
                <w:highlight w:val="none"/>
              </w:rPr>
            </w:pPr>
          </w:p>
        </w:tc>
        <w:tc>
          <w:tcPr>
            <w:tcW w:w="2302" w:type="dxa"/>
            <w:tcMar>
              <w:top w:w="0" w:type="dxa"/>
              <w:left w:w="83" w:type="dxa"/>
              <w:bottom w:w="0" w:type="dxa"/>
              <w:right w:w="83" w:type="dxa"/>
            </w:tcMar>
            <w:vAlign w:val="center"/>
          </w:tcPr>
          <w:p w14:paraId="4B773E6E">
            <w:pPr>
              <w:rPr>
                <w:rFonts w:hint="eastAsia" w:ascii="宋体" w:hAnsi="宋体" w:cs="宋体"/>
                <w:sz w:val="24"/>
                <w:highlight w:val="none"/>
              </w:rPr>
            </w:pPr>
          </w:p>
        </w:tc>
        <w:tc>
          <w:tcPr>
            <w:tcW w:w="2858" w:type="dxa"/>
            <w:tcMar>
              <w:top w:w="0" w:type="dxa"/>
              <w:left w:w="83" w:type="dxa"/>
              <w:bottom w:w="0" w:type="dxa"/>
              <w:right w:w="83" w:type="dxa"/>
            </w:tcMar>
            <w:vAlign w:val="center"/>
          </w:tcPr>
          <w:p w14:paraId="51558C3C">
            <w:pPr>
              <w:rPr>
                <w:rFonts w:hint="eastAsia" w:ascii="宋体" w:hAnsi="宋体" w:cs="宋体"/>
                <w:sz w:val="24"/>
                <w:highlight w:val="none"/>
              </w:rPr>
            </w:pPr>
          </w:p>
        </w:tc>
        <w:tc>
          <w:tcPr>
            <w:tcW w:w="2029" w:type="dxa"/>
            <w:tcMar>
              <w:top w:w="0" w:type="dxa"/>
              <w:left w:w="83" w:type="dxa"/>
              <w:bottom w:w="0" w:type="dxa"/>
              <w:right w:w="83" w:type="dxa"/>
            </w:tcMar>
            <w:vAlign w:val="center"/>
          </w:tcPr>
          <w:p w14:paraId="17BA31D2">
            <w:pPr>
              <w:rPr>
                <w:rFonts w:hint="eastAsia" w:ascii="宋体" w:hAnsi="宋体" w:cs="宋体"/>
                <w:sz w:val="24"/>
                <w:highlight w:val="none"/>
              </w:rPr>
            </w:pPr>
          </w:p>
        </w:tc>
      </w:tr>
    </w:tbl>
    <w:p w14:paraId="197FCD10">
      <w:pPr>
        <w:pStyle w:val="10"/>
        <w:rPr>
          <w:rFonts w:hint="eastAsia" w:ascii="宋体" w:hAnsi="宋体" w:cs="宋体"/>
          <w:highlight w:val="none"/>
        </w:rPr>
      </w:pPr>
      <w:r>
        <w:rPr>
          <w:rFonts w:hint="eastAsia" w:ascii="宋体" w:hAnsi="宋体" w:cs="宋体"/>
          <w:highlight w:val="none"/>
        </w:rPr>
        <w:t>注意：</w:t>
      </w:r>
    </w:p>
    <w:p w14:paraId="3C0573A1">
      <w:pPr>
        <w:pStyle w:val="10"/>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本表应按照下列规定填写：</w:t>
      </w:r>
    </w:p>
    <w:p w14:paraId="64CF65FF">
      <w:pPr>
        <w:pStyle w:val="10"/>
        <w:rPr>
          <w:rFonts w:hint="eastAsia" w:ascii="宋体" w:hAnsi="宋体" w:cs="宋体"/>
          <w:highlight w:val="none"/>
        </w:rPr>
      </w:pPr>
      <w:r>
        <w:rPr>
          <w:rFonts w:hint="eastAsia" w:ascii="宋体" w:hAnsi="宋体" w:cs="宋体"/>
          <w:highlight w:val="none"/>
        </w:rPr>
        <w:t>1.1“商务条件”项下填写的内容应与招标文件第五章“商务条件”的内容保持一致。</w:t>
      </w:r>
    </w:p>
    <w:p w14:paraId="62272F02">
      <w:pPr>
        <w:pStyle w:val="10"/>
        <w:rPr>
          <w:rFonts w:hint="eastAsia" w:ascii="宋体" w:hAnsi="宋体" w:cs="宋体"/>
          <w:highlight w:val="none"/>
        </w:rPr>
      </w:pPr>
      <w:r>
        <w:rPr>
          <w:rFonts w:hint="eastAsia" w:ascii="宋体" w:hAnsi="宋体" w:cs="宋体"/>
          <w:highlight w:val="none"/>
        </w:rPr>
        <w:t>1.2“投标响应”项下应填写具体的响应内容并与“商务条件”项下填写的内容逐项对应。</w:t>
      </w:r>
    </w:p>
    <w:p w14:paraId="500D2089">
      <w:pPr>
        <w:pStyle w:val="10"/>
        <w:rPr>
          <w:rFonts w:hint="eastAsia" w:ascii="宋体" w:hAnsi="宋体" w:cs="宋体"/>
          <w:highlight w:val="none"/>
        </w:rPr>
      </w:pPr>
      <w:r>
        <w:rPr>
          <w:rFonts w:hint="eastAsia" w:ascii="宋体" w:hAnsi="宋体" w:cs="宋体"/>
          <w:highlight w:val="none"/>
        </w:rPr>
        <w:t>1.3“是否偏离及说明”项下应按下列规定填写：优于的，填写“正偏离”；符合的，填写“无偏离”；低于的，填写“负偏离”。</w:t>
      </w:r>
    </w:p>
    <w:p w14:paraId="6D03A8E1">
      <w:pPr>
        <w:pStyle w:val="10"/>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投标人需要说明的内容若需特殊表达，应先在本表中进行相应说明，再另页应答。</w:t>
      </w:r>
    </w:p>
    <w:p w14:paraId="0201CCA0">
      <w:pPr>
        <w:pStyle w:val="10"/>
        <w:rPr>
          <w:rFonts w:hint="eastAsia" w:ascii="宋体" w:hAnsi="宋体" w:cs="宋体"/>
          <w:highlight w:val="none"/>
        </w:rPr>
      </w:pPr>
      <w:r>
        <w:rPr>
          <w:rFonts w:hint="eastAsia" w:ascii="宋体" w:hAnsi="宋体" w:cs="宋体"/>
          <w:highlight w:val="none"/>
        </w:rPr>
        <w:t> </w:t>
      </w:r>
    </w:p>
    <w:p w14:paraId="12F0B25E">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7944E56C">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4141BAD4">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6B031E64">
      <w:pPr>
        <w:pStyle w:val="10"/>
        <w:rPr>
          <w:rFonts w:hint="eastAsia" w:ascii="宋体" w:hAnsi="宋体" w:cs="宋体"/>
          <w:highlight w:val="none"/>
        </w:rPr>
      </w:pPr>
      <w:r>
        <w:rPr>
          <w:rFonts w:hint="eastAsia" w:ascii="宋体" w:hAnsi="宋体" w:cs="宋体"/>
          <w:highlight w:val="none"/>
        </w:rPr>
        <w:t> </w:t>
      </w:r>
    </w:p>
    <w:p w14:paraId="7B11AA44">
      <w:pPr>
        <w:pStyle w:val="10"/>
        <w:rPr>
          <w:rFonts w:hint="eastAsia" w:ascii="宋体" w:hAnsi="宋体" w:cs="宋体"/>
          <w:highlight w:val="none"/>
        </w:rPr>
      </w:pPr>
      <w:r>
        <w:rPr>
          <w:rFonts w:hint="eastAsia" w:ascii="宋体" w:hAnsi="宋体" w:cs="宋体"/>
          <w:highlight w:val="none"/>
        </w:rPr>
        <w:t> </w:t>
      </w:r>
    </w:p>
    <w:p w14:paraId="48D7F826">
      <w:pPr>
        <w:pStyle w:val="11"/>
        <w:numPr>
          <w:ilvl w:val="1"/>
          <w:numId w:val="0"/>
        </w:numPr>
        <w:outlineLvl w:val="9"/>
        <w:rPr>
          <w:rFonts w:ascii="宋体" w:hAnsi="宋体" w:eastAsia="宋体"/>
          <w:highlight w:val="none"/>
        </w:rPr>
      </w:pPr>
    </w:p>
    <w:p w14:paraId="33EB03BB">
      <w:pPr>
        <w:pStyle w:val="10"/>
        <w:jc w:val="center"/>
        <w:outlineLvl w:val="1"/>
        <w:rPr>
          <w:rFonts w:hint="eastAsia" w:ascii="宋体" w:hAnsi="宋体" w:cs="宋体"/>
          <w:highlight w:val="none"/>
        </w:rPr>
      </w:pPr>
      <w:r>
        <w:rPr>
          <w:rFonts w:hint="eastAsia" w:ascii="宋体" w:hAnsi="宋体" w:cs="宋体"/>
          <w:highlight w:val="none"/>
        </w:rPr>
        <w:br w:type="page"/>
      </w:r>
      <w:bookmarkStart w:id="232" w:name="_Toc31486"/>
      <w:r>
        <w:rPr>
          <w:rStyle w:val="34"/>
          <w:rFonts w:hint="eastAsia" w:ascii="宋体" w:hAnsi="宋体" w:cs="宋体"/>
          <w:highlight w:val="none"/>
        </w:rPr>
        <w:t>四、投标人提交的其他资料（若有）</w:t>
      </w:r>
      <w:bookmarkEnd w:id="232"/>
    </w:p>
    <w:p w14:paraId="43A2A2B1">
      <w:pPr>
        <w:pStyle w:val="10"/>
        <w:rPr>
          <w:rFonts w:hint="eastAsia" w:ascii="宋体" w:hAnsi="宋体" w:cs="宋体"/>
          <w:highlight w:val="none"/>
        </w:rPr>
      </w:pPr>
      <w:r>
        <w:rPr>
          <w:rFonts w:hint="eastAsia" w:ascii="宋体" w:hAnsi="宋体" w:cs="宋体"/>
          <w:highlight w:val="none"/>
        </w:rPr>
        <w:t> </w:t>
      </w:r>
    </w:p>
    <w:p w14:paraId="0314D14E">
      <w:pPr>
        <w:pStyle w:val="10"/>
        <w:rPr>
          <w:rFonts w:hint="eastAsia" w:ascii="宋体" w:hAnsi="宋体" w:cs="宋体"/>
          <w:highlight w:val="none"/>
        </w:rPr>
      </w:pPr>
      <w:r>
        <w:rPr>
          <w:rFonts w:hint="eastAsia" w:ascii="宋体" w:hAnsi="宋体" w:cs="宋体"/>
          <w:highlight w:val="none"/>
        </w:rPr>
        <w:t> </w:t>
      </w:r>
    </w:p>
    <w:p w14:paraId="6B2BE883">
      <w:pPr>
        <w:pStyle w:val="10"/>
        <w:jc w:val="center"/>
        <w:rPr>
          <w:rFonts w:hint="eastAsia" w:ascii="宋体" w:hAnsi="宋体" w:cs="宋体"/>
          <w:highlight w:val="none"/>
        </w:rPr>
      </w:pPr>
      <w:r>
        <w:rPr>
          <w:rFonts w:hint="eastAsia" w:ascii="宋体" w:hAnsi="宋体" w:cs="宋体"/>
          <w:highlight w:val="none"/>
        </w:rPr>
        <w:t>编制说明</w:t>
      </w:r>
    </w:p>
    <w:p w14:paraId="43CE75C2">
      <w:pPr>
        <w:pStyle w:val="10"/>
        <w:rPr>
          <w:rFonts w:hint="eastAsia" w:ascii="宋体" w:hAnsi="宋体" w:cs="宋体"/>
          <w:highlight w:val="none"/>
        </w:rPr>
      </w:pPr>
      <w:r>
        <w:rPr>
          <w:rFonts w:hint="eastAsia" w:ascii="宋体" w:hAnsi="宋体" w:cs="宋体"/>
          <w:highlight w:val="none"/>
        </w:rPr>
        <w:t> </w:t>
      </w:r>
    </w:p>
    <w:p w14:paraId="7E20CB0B">
      <w:pPr>
        <w:pStyle w:val="10"/>
        <w:rPr>
          <w:rFonts w:hint="eastAsia" w:ascii="宋体" w:hAnsi="宋体" w:cs="宋体"/>
          <w:highlight w:val="none"/>
        </w:rPr>
      </w:pPr>
      <w:r>
        <w:rPr>
          <w:rFonts w:hint="eastAsia" w:ascii="宋体" w:hAnsi="宋体" w:cs="宋体"/>
          <w:highlight w:val="none"/>
          <w:lang w:eastAsia="zh-CN"/>
        </w:rPr>
        <w:t>1.</w:t>
      </w:r>
      <w:r>
        <w:rPr>
          <w:rFonts w:hint="eastAsia" w:ascii="宋体" w:hAnsi="宋体" w:cs="宋体"/>
          <w:highlight w:val="none"/>
        </w:rPr>
        <w:t>招标文件要求提交的除</w:t>
      </w:r>
      <w:r>
        <w:rPr>
          <w:rStyle w:val="34"/>
          <w:rFonts w:hint="eastAsia" w:ascii="宋体" w:hAnsi="宋体" w:cs="宋体"/>
          <w:highlight w:val="none"/>
        </w:rPr>
        <w:t>“资格及资信证明部分</w:t>
      </w:r>
      <w:r>
        <w:rPr>
          <w:rStyle w:val="34"/>
          <w:rFonts w:hint="eastAsia" w:ascii="宋体" w:hAnsi="宋体" w:cs="宋体"/>
          <w:highlight w:val="none"/>
          <w:lang w:eastAsia="zh-CN"/>
        </w:rPr>
        <w:t>”“</w:t>
      </w:r>
      <w:r>
        <w:rPr>
          <w:rStyle w:val="34"/>
          <w:rFonts w:hint="eastAsia" w:ascii="宋体" w:hAnsi="宋体" w:cs="宋体"/>
          <w:highlight w:val="none"/>
        </w:rPr>
        <w:t>报价部分”</w:t>
      </w:r>
      <w:r>
        <w:rPr>
          <w:rFonts w:hint="eastAsia" w:ascii="宋体" w:hAnsi="宋体" w:cs="宋体"/>
          <w:highlight w:val="none"/>
        </w:rPr>
        <w:t>外的其他证明材料或资料加盖投标人的单位公章后应在此项下提交。</w:t>
      </w:r>
    </w:p>
    <w:p w14:paraId="7BD6248A">
      <w:pPr>
        <w:pStyle w:val="10"/>
        <w:rPr>
          <w:rFonts w:hint="eastAsia" w:ascii="宋体" w:hAnsi="宋体" w:cs="宋体"/>
          <w:highlight w:val="none"/>
        </w:rPr>
      </w:pPr>
      <w:r>
        <w:rPr>
          <w:rFonts w:hint="eastAsia" w:ascii="宋体" w:hAnsi="宋体" w:cs="宋体"/>
          <w:highlight w:val="none"/>
          <w:lang w:eastAsia="zh-CN"/>
        </w:rPr>
        <w:t>2.</w:t>
      </w:r>
      <w:r>
        <w:rPr>
          <w:rFonts w:hint="eastAsia" w:ascii="宋体" w:hAnsi="宋体" w:cs="宋体"/>
          <w:highlight w:val="none"/>
        </w:rPr>
        <w:t>招标文件要求投标人提供方案（包括但不限于：组织、实施、技术、服务方案等）的，投标人应在此项下提交。</w:t>
      </w:r>
    </w:p>
    <w:p w14:paraId="14424CCC">
      <w:pPr>
        <w:pStyle w:val="10"/>
        <w:rPr>
          <w:rFonts w:hint="eastAsia" w:ascii="宋体" w:hAnsi="宋体" w:cs="宋体"/>
          <w:highlight w:val="none"/>
        </w:rPr>
      </w:pPr>
      <w:r>
        <w:rPr>
          <w:rFonts w:hint="eastAsia" w:ascii="宋体" w:hAnsi="宋体" w:cs="宋体"/>
          <w:highlight w:val="none"/>
          <w:lang w:eastAsia="zh-CN"/>
        </w:rPr>
        <w:t>3.</w:t>
      </w:r>
      <w:r>
        <w:rPr>
          <w:rFonts w:hint="eastAsia" w:ascii="宋体" w:hAnsi="宋体" w:cs="宋体"/>
          <w:highlight w:val="none"/>
        </w:rPr>
        <w:t>除招标文件另有规定外，投标人认为需要提交的其他证明材料或资料加盖投标人的单位公章后应在此项下提交。</w:t>
      </w:r>
    </w:p>
    <w:p w14:paraId="716215A3">
      <w:pPr>
        <w:pStyle w:val="10"/>
        <w:rPr>
          <w:rFonts w:hint="eastAsia" w:ascii="宋体" w:hAnsi="宋体" w:cs="宋体"/>
          <w:highlight w:val="none"/>
        </w:rPr>
      </w:pPr>
    </w:p>
    <w:p w14:paraId="748B0D2D">
      <w:pPr>
        <w:rPr>
          <w:highlight w:val="none"/>
        </w:rPr>
      </w:pPr>
      <w:r>
        <w:rPr>
          <w:highlight w:val="none"/>
        </w:rPr>
        <w:br w:type="page"/>
      </w:r>
    </w:p>
    <w:p w14:paraId="740675E9">
      <w:pPr>
        <w:pStyle w:val="10"/>
        <w:jc w:val="center"/>
        <w:outlineLvl w:val="1"/>
        <w:rPr>
          <w:rStyle w:val="34"/>
          <w:rFonts w:hint="eastAsia" w:ascii="宋体" w:hAnsi="宋体" w:eastAsia="宋体" w:cs="宋体"/>
          <w:highlight w:val="none"/>
        </w:rPr>
      </w:pPr>
      <w:r>
        <w:rPr>
          <w:rStyle w:val="34"/>
          <w:rFonts w:ascii="宋体" w:hAnsi="宋体" w:eastAsia="宋体" w:cs="宋体"/>
          <w:highlight w:val="none"/>
        </w:rPr>
        <w:t>投标人自筹资金承诺函</w:t>
      </w:r>
    </w:p>
    <w:p w14:paraId="3BD749EB">
      <w:pPr>
        <w:pStyle w:val="10"/>
        <w:rPr>
          <w:rFonts w:hint="eastAsia" w:ascii="宋体" w:hAnsi="宋体" w:cs="宋体"/>
          <w:highlight w:val="none"/>
        </w:rPr>
      </w:pPr>
      <w:r>
        <w:rPr>
          <w:rFonts w:hint="eastAsia" w:ascii="宋体" w:hAnsi="宋体" w:cs="宋体"/>
          <w:highlight w:val="none"/>
        </w:rPr>
        <w:t>致：</w:t>
      </w:r>
      <w:r>
        <w:rPr>
          <w:rFonts w:hint="eastAsia" w:ascii="宋体" w:hAnsi="宋体" w:cs="宋体"/>
          <w:highlight w:val="none"/>
          <w:u w:val="single"/>
        </w:rPr>
        <w:t>       </w:t>
      </w:r>
    </w:p>
    <w:p w14:paraId="54E24BE1">
      <w:pPr>
        <w:pStyle w:val="10"/>
        <w:ind w:firstLine="330"/>
        <w:rPr>
          <w:rFonts w:hint="eastAsia" w:ascii="宋体" w:hAnsi="宋体" w:eastAsia="宋体" w:cs="宋体"/>
          <w:highlight w:val="none"/>
        </w:rPr>
      </w:pPr>
      <w:r>
        <w:rPr>
          <w:rFonts w:hint="eastAsia" w:ascii="宋体" w:hAnsi="宋体" w:eastAsia="宋体" w:cs="宋体"/>
          <w:b w:val="0"/>
          <w:bCs w:val="0"/>
          <w:szCs w:val="24"/>
          <w:highlight w:val="none"/>
          <w:lang w:val="en-US" w:eastAsia="zh-CN"/>
        </w:rPr>
        <w:t>我公司</w:t>
      </w:r>
      <w:r>
        <w:rPr>
          <w:rFonts w:hint="eastAsia" w:ascii="宋体" w:hAnsi="宋体" w:cs="宋体"/>
          <w:b w:val="0"/>
          <w:bCs w:val="0"/>
          <w:szCs w:val="24"/>
          <w:highlight w:val="none"/>
          <w:lang w:val="en-US" w:eastAsia="zh-CN"/>
        </w:rPr>
        <w:t>承诺中标后在项目建设期内自筹资金需达到2200万元，并提供相关投资资金证明</w:t>
      </w:r>
      <w:r>
        <w:rPr>
          <w:rFonts w:hint="eastAsia" w:ascii="宋体" w:hAnsi="宋体" w:eastAsia="宋体" w:cs="宋体"/>
          <w:highlight w:val="none"/>
        </w:rPr>
        <w:t>，否则产生不利后果由我方承担责任。</w:t>
      </w:r>
    </w:p>
    <w:p w14:paraId="1FFE3FCE">
      <w:pPr>
        <w:pStyle w:val="10"/>
        <w:ind w:firstLine="330"/>
        <w:rPr>
          <w:rFonts w:hint="eastAsia" w:ascii="宋体" w:hAnsi="宋体" w:eastAsia="宋体" w:cs="宋体"/>
          <w:highlight w:val="none"/>
        </w:rPr>
      </w:pPr>
      <w:r>
        <w:rPr>
          <w:rFonts w:hint="eastAsia" w:ascii="宋体" w:hAnsi="宋体" w:eastAsia="宋体" w:cs="宋体"/>
          <w:highlight w:val="none"/>
        </w:rPr>
        <w:t>特此声明。</w:t>
      </w:r>
    </w:p>
    <w:p w14:paraId="21ED27F9">
      <w:pPr>
        <w:pStyle w:val="10"/>
        <w:rPr>
          <w:rFonts w:hint="eastAsia" w:ascii="宋体" w:hAnsi="宋体" w:cs="宋体"/>
          <w:highlight w:val="none"/>
        </w:rPr>
      </w:pPr>
      <w:r>
        <w:rPr>
          <w:rFonts w:hint="eastAsia" w:ascii="宋体" w:hAnsi="宋体" w:cs="宋体"/>
          <w:highlight w:val="none"/>
        </w:rPr>
        <w:t> </w:t>
      </w:r>
    </w:p>
    <w:p w14:paraId="27B1C494">
      <w:pPr>
        <w:pStyle w:val="10"/>
        <w:rPr>
          <w:rFonts w:hint="eastAsia" w:ascii="宋体" w:hAnsi="宋体" w:cs="宋体"/>
          <w:highlight w:val="none"/>
        </w:rPr>
      </w:pPr>
      <w:r>
        <w:rPr>
          <w:rFonts w:hint="eastAsia" w:ascii="宋体" w:hAnsi="宋体" w:cs="宋体"/>
          <w:highlight w:val="none"/>
        </w:rPr>
        <w:t>注意：请投标人根据实际情况如实声明，否则</w:t>
      </w:r>
      <w:r>
        <w:rPr>
          <w:rStyle w:val="34"/>
          <w:rFonts w:hint="eastAsia" w:ascii="宋体" w:hAnsi="宋体" w:cs="宋体"/>
          <w:highlight w:val="none"/>
        </w:rPr>
        <w:t>视为提供虚假材料。</w:t>
      </w:r>
    </w:p>
    <w:p w14:paraId="6F999377">
      <w:pPr>
        <w:pStyle w:val="10"/>
        <w:rPr>
          <w:rFonts w:hint="eastAsia" w:ascii="宋体" w:hAnsi="宋体" w:cs="宋体"/>
          <w:highlight w:val="none"/>
        </w:rPr>
      </w:pPr>
      <w:r>
        <w:rPr>
          <w:rFonts w:hint="eastAsia" w:ascii="宋体" w:hAnsi="宋体" w:cs="宋体"/>
          <w:highlight w:val="none"/>
        </w:rPr>
        <w:t> </w:t>
      </w:r>
    </w:p>
    <w:p w14:paraId="59844AA1">
      <w:pPr>
        <w:pStyle w:val="10"/>
        <w:rPr>
          <w:rFonts w:hint="eastAsia" w:ascii="宋体" w:hAnsi="宋体" w:cs="宋体"/>
          <w:highlight w:val="none"/>
        </w:rPr>
      </w:pPr>
      <w:r>
        <w:rPr>
          <w:rFonts w:hint="eastAsia" w:ascii="宋体" w:hAnsi="宋体" w:cs="宋体"/>
          <w:highlight w:val="none"/>
        </w:rPr>
        <w:t> </w:t>
      </w:r>
    </w:p>
    <w:p w14:paraId="5B0794C2">
      <w:pPr>
        <w:pStyle w:val="10"/>
        <w:rPr>
          <w:rFonts w:hint="eastAsia" w:ascii="宋体" w:hAnsi="宋体" w:cs="宋体"/>
          <w:highlight w:val="none"/>
        </w:rPr>
      </w:pPr>
      <w:r>
        <w:rPr>
          <w:rFonts w:hint="eastAsia" w:ascii="宋体" w:hAnsi="宋体" w:cs="宋体"/>
          <w:highlight w:val="none"/>
        </w:rPr>
        <w:t>投标人：</w:t>
      </w:r>
      <w:r>
        <w:rPr>
          <w:rFonts w:hint="eastAsia" w:ascii="宋体" w:hAnsi="宋体" w:cs="宋体"/>
          <w:highlight w:val="none"/>
          <w:u w:val="single"/>
        </w:rPr>
        <w:t>（全称并加盖单位公章）</w:t>
      </w:r>
    </w:p>
    <w:p w14:paraId="2BF2D3B6">
      <w:pPr>
        <w:pStyle w:val="10"/>
        <w:rPr>
          <w:rFonts w:hint="eastAsia" w:ascii="宋体" w:hAnsi="宋体" w:cs="宋体"/>
          <w:highlight w:val="none"/>
        </w:rPr>
      </w:pPr>
      <w:r>
        <w:rPr>
          <w:rFonts w:hint="eastAsia" w:ascii="宋体" w:hAnsi="宋体" w:cs="宋体"/>
          <w:highlight w:val="none"/>
        </w:rPr>
        <w:t>投标人代表签字：</w:t>
      </w:r>
      <w:r>
        <w:rPr>
          <w:rFonts w:hint="eastAsia" w:ascii="宋体" w:hAnsi="宋体" w:cs="宋体"/>
          <w:highlight w:val="none"/>
          <w:u w:val="single"/>
        </w:rPr>
        <w:t>        </w:t>
      </w:r>
    </w:p>
    <w:p w14:paraId="2E43578D">
      <w:pPr>
        <w:pStyle w:val="1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3AB57435">
      <w:pPr>
        <w:pStyle w:val="2"/>
      </w:pPr>
    </w:p>
    <w:sectPr>
      <w:footerReference r:id="rId8" w:type="first"/>
      <w:footerReference r:id="rId7" w:type="default"/>
      <w:pgSz w:w="11906" w:h="16838"/>
      <w:pgMar w:top="1134" w:right="1134" w:bottom="1134" w:left="1134"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华文楷体">
    <w:altName w:val="楷体_GB2312"/>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Noto Sans CJK JP Regular">
    <w:altName w:val="Arial"/>
    <w:panose1 w:val="00000000000000000000"/>
    <w:charset w:val="00"/>
    <w:family w:val="swiss"/>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6D17C">
    <w:pPr>
      <w:pStyle w:val="20"/>
      <w:framePr w:wrap="around" w:vAnchor="text" w:hAnchor="margin" w:xAlign="center" w:y="1"/>
      <w:rPr>
        <w:rStyle w:val="35"/>
      </w:rPr>
    </w:pPr>
    <w:r>
      <w:fldChar w:fldCharType="begin"/>
    </w:r>
    <w:r>
      <w:rPr>
        <w:rStyle w:val="35"/>
      </w:rPr>
      <w:instrText xml:space="preserve">PAGE  </w:instrText>
    </w:r>
    <w:r>
      <w:fldChar w:fldCharType="end"/>
    </w:r>
  </w:p>
  <w:p w14:paraId="3DD3FEC4">
    <w:pPr>
      <w:pStyle w:val="2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D56CC7">
                          <w:pPr>
                            <w:pStyle w:val="20"/>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FSzFLCAQAAjgMAAA4AAAAAAAAAAQAgAAAAHgEAAGRycy9lMm9Eb2MueG1sUEsF&#10;BgAAAAAGAAYAWQEAAFIFAAAAAA==&#10;">
              <v:fill on="f" focussize="0,0"/>
              <v:stroke on="f"/>
              <v:imagedata o:title=""/>
              <o:lock v:ext="edit" aspectratio="f"/>
              <v:textbox inset="0mm,0mm,0mm,0mm" style="mso-fit-shape-to-text:t;">
                <w:txbxContent>
                  <w:p w14:paraId="72D56CC7">
                    <w:pPr>
                      <w:pStyle w:val="20"/>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FD4F7">
    <w:pPr>
      <w:pStyle w:val="20"/>
      <w:framePr w:wrap="around" w:vAnchor="text" w:hAnchor="margin" w:xAlign="right" w:y="1"/>
      <w:rPr>
        <w:rStyle w:val="35"/>
      </w:rPr>
    </w:pPr>
    <w:r>
      <w:fldChar w:fldCharType="begin"/>
    </w:r>
    <w:r>
      <w:rPr>
        <w:rStyle w:val="35"/>
      </w:rPr>
      <w:instrText xml:space="preserve">PAGE  </w:instrText>
    </w:r>
    <w:r>
      <w:fldChar w:fldCharType="end"/>
    </w:r>
  </w:p>
  <w:p w14:paraId="7577B620">
    <w:pPr>
      <w:pStyle w:val="2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36FE0">
    <w:pPr>
      <w:pStyle w:val="20"/>
    </w:pPr>
    <w:r>
      <mc:AlternateContent>
        <mc:Choice Requires="wps">
          <w:drawing>
            <wp:anchor distT="0" distB="0" distL="114300" distR="114300" simplePos="0" relativeHeight="251659264" behindDoc="0" locked="0" layoutInCell="1" allowOverlap="1">
              <wp:simplePos x="0" y="0"/>
              <wp:positionH relativeFrom="margin">
                <wp:posOffset>2645410</wp:posOffset>
              </wp:positionH>
              <wp:positionV relativeFrom="paragraph">
                <wp:posOffset>-19050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2C057E"/>
                      </w:txbxContent>
                    </wps:txbx>
                    <wps:bodyPr wrap="none" lIns="0" tIns="0" rIns="0" bIns="0">
                      <a:spAutoFit/>
                    </wps:bodyPr>
                  </wps:wsp>
                </a:graphicData>
              </a:graphic>
            </wp:anchor>
          </w:drawing>
        </mc:Choice>
        <mc:Fallback>
          <w:pict>
            <v:shape id="文本框 5" o:spid="_x0000_s1026" o:spt="202" type="#_x0000_t202" style="position:absolute;left:0pt;margin-left:208.3pt;margin-top:-1.5pt;height:144pt;width:144pt;mso-position-horizontal-relative:margin;mso-wrap-style:none;z-index:251659264;mso-width-relative:page;mso-height-relative:page;" filled="f" stroked="f" coordsize="21600,21600" o:gfxdata="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0IF7wtYAAAAKAQAADwAAAAAAAAABACAAAAAiAAAAZHJzL2Rvd25yZXYueG1s&#10;UEsBAhQAFAAAAAgAh07iQN8bzffBAQAAjQMAAA4AAAAAAAAAAQAgAAAAJQEAAGRycy9lMm9Eb2Mu&#10;eG1sUEsFBgAAAAAGAAYAWQEAAFgFAAAAAA==&#10;">
              <v:fill on="f" focussize="0,0"/>
              <v:stroke on="f"/>
              <v:imagedata o:title=""/>
              <o:lock v:ext="edit" aspectratio="f"/>
              <v:textbox inset="0mm,0mm,0mm,0mm" style="mso-fit-shape-to-text:t;">
                <w:txbxContent>
                  <w:p w14:paraId="422C057E"/>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388A0">
    <w:pPr>
      <w:pStyle w:val="20"/>
      <w:ind w:right="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C4425B">
                          <w:pPr>
                            <w:pStyle w:val="20"/>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wrap="none" lIns="0" tIns="0" rIns="0" bIns="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JUqLMIBAACO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Ll&#10;KuvTB6gx7SFgYhru/IBbM/sBnZn2oKLNXyREMI7qnq/qyiERkR+tV+t1hSGBsfmC+OzxeYiQ3kpv&#10;STYaGnF8RVV+eg9pTJ1TcjXn77UxZYTG/eVAzOxhufexx2ylYT9MhPa+PSOfHiffUIeLTol551DY&#10;vCSzEWdjPxm5BoTbY8LCpZ+MOkJNxXBMhdG0UnkP/ryXrMffaP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MSVKizCAQAAjgMAAA4AAAAAAAAAAQAgAAAAHgEAAGRycy9lMm9Eb2MueG1sUEsF&#10;BgAAAAAGAAYAWQEAAFIFAAAAAA==&#10;">
              <v:fill on="f" focussize="0,0"/>
              <v:stroke on="f"/>
              <v:imagedata o:title=""/>
              <o:lock v:ext="edit" aspectratio="f"/>
              <v:textbox inset="0mm,0mm,0mm,0mm" style="mso-fit-shape-to-text:t;">
                <w:txbxContent>
                  <w:p w14:paraId="27C4425B">
                    <w:pPr>
                      <w:pStyle w:val="20"/>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39B64">
    <w:pPr>
      <w:pStyle w:val="2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BC9D6F">
                          <w:pPr>
                            <w:pStyle w:val="2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7tfUsIBAACO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LEcYsDv3z/dvnx6/LzK1m+&#10;zPr0AWpMuwuYmIa3fsCtmf2Azkx7UNHmLxIiGEd1z1d15ZCIyI/Wq/W6wpDA2HxBfPbwPERI76S3&#10;JBsNjTi+oio/fYA0ps4puZrzt9qYMkLj/nIgZvaw3PvYY7bSsB8mQnvfnpFPj5NvqMNFp8S8dyhs&#10;XpLZiLOxn4xcA8KbY8LCpZ+MOkJNxXBMhdG0UnkP/ryXrIffaP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7X1LCAQAAjgMAAA4AAAAAAAAAAQAgAAAAHgEAAGRycy9lMm9Eb2MueG1sUEsF&#10;BgAAAAAGAAYAWQEAAFIFAAAAAA==&#10;">
              <v:fill on="f" focussize="0,0"/>
              <v:stroke on="f"/>
              <v:imagedata o:title=""/>
              <o:lock v:ext="edit" aspectratio="f"/>
              <v:textbox inset="0mm,0mm,0mm,0mm" style="mso-fit-shape-to-text:t;">
                <w:txbxContent>
                  <w:p w14:paraId="34BC9D6F">
                    <w:pPr>
                      <w:pStyle w:val="2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7185A8"/>
                      </w:txbxContent>
                    </wps:txbx>
                    <wps:bodyPr wrap="none" lIns="0" tIns="0" rIns="0" bIns="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1Wah8IBAACN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FtQ5eUOG5x4OefP86/Hs8P38nb&#10;LE8foMasu4B5aXjvB1ya2Q/ozKwHFW3+Ih+CcRT3dBFXDomI/Gi1XK0qDAmMzRfEZ0/PQ4T0QXpL&#10;stHQiNMrovLjJ0hj6pySqzl/q40pEzTuLwdiZg/LvY89ZisNu2EitPPtCfn0OPiGOtxzSsxHh7rm&#10;HZmNOBu7ycg1ILw7JCxc+smoI9RUDKdUGE0bldfgz3vJevqLN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E9VmofCAQAAjQMAAA4AAAAAAAAAAQAgAAAAHgEAAGRycy9lMm9Eb2MueG1sUEsF&#10;BgAAAAAGAAYAWQEAAFIFAAAAAA==&#10;">
              <v:fill on="f" focussize="0,0"/>
              <v:stroke on="f"/>
              <v:imagedata o:title=""/>
              <o:lock v:ext="edit" aspectratio="f"/>
              <v:textbox inset="0mm,0mm,0mm,0mm" style="mso-fit-shape-to-text:t;">
                <w:txbxContent>
                  <w:p w14:paraId="2D7185A8"/>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A8FCA">
    <w:pPr>
      <w:pStyle w:val="2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BA6212"/>
    <w:multiLevelType w:val="singleLevel"/>
    <w:tmpl w:val="32BA6212"/>
    <w:lvl w:ilvl="0" w:tentative="0">
      <w:start w:val="1"/>
      <w:numFmt w:val="decimal"/>
      <w:suff w:val="nothing"/>
      <w:lvlText w:val="%1、"/>
      <w:lvlJc w:val="left"/>
    </w:lvl>
  </w:abstractNum>
  <w:abstractNum w:abstractNumId="1">
    <w:nsid w:val="4F1E04CA"/>
    <w:multiLevelType w:val="multilevel"/>
    <w:tmpl w:val="4F1E04CA"/>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0" w:firstLine="0"/>
      </w:pPr>
      <w:rPr>
        <w:rFonts w:hint="eastAsia" w:cs="Times New Roman"/>
        <w:b/>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2" w:tentative="0">
      <w:start w:val="1"/>
      <w:numFmt w:val="decimal"/>
      <w:suff w:val="space"/>
      <w:lvlText w:val="%1.%2.%3."/>
      <w:lvlJc w:val="left"/>
      <w:pPr>
        <w:ind w:left="720" w:hanging="720"/>
      </w:pPr>
      <w:rPr>
        <w:rFonts w:hint="eastAsia"/>
      </w:rPr>
    </w:lvl>
    <w:lvl w:ilvl="3" w:tentative="0">
      <w:start w:val="1"/>
      <w:numFmt w:val="decimal"/>
      <w:suff w:val="space"/>
      <w:lvlText w:val="%1.%2.%3.%4."/>
      <w:lvlJc w:val="left"/>
      <w:pPr>
        <w:ind w:left="0" w:firstLine="0"/>
      </w:pPr>
      <w:rPr>
        <w:rFonts w:hint="eastAsia"/>
      </w:rPr>
    </w:lvl>
    <w:lvl w:ilvl="4" w:tentative="0">
      <w:start w:val="1"/>
      <w:numFmt w:val="decimal"/>
      <w:suff w:val="space"/>
      <w:lvlText w:val="%1.%2.%3.%4.%5."/>
      <w:lvlJc w:val="left"/>
      <w:pPr>
        <w:ind w:left="1008" w:hanging="1008"/>
      </w:pPr>
      <w:rPr>
        <w:rFonts w:hint="eastAsia"/>
      </w:rPr>
    </w:lvl>
    <w:lvl w:ilvl="5" w:tentative="0">
      <w:start w:val="1"/>
      <w:numFmt w:val="decimal"/>
      <w:suff w:val="space"/>
      <w:lvlText w:val="%1.%2.%3.%4.%5.%6."/>
      <w:lvlJc w:val="left"/>
      <w:pPr>
        <w:ind w:left="1152" w:hanging="1152"/>
      </w:pPr>
      <w:rPr>
        <w:rFonts w:hint="eastAsia"/>
        <w:b/>
      </w:rPr>
    </w:lvl>
    <w:lvl w:ilvl="6" w:tentative="0">
      <w:start w:val="1"/>
      <w:numFmt w:val="decimal"/>
      <w:suff w:val="space"/>
      <w:lvlText w:val="%1.%2.%3.%4.%5.%6.%7."/>
      <w:lvlJc w:val="left"/>
      <w:pPr>
        <w:ind w:left="1296" w:hanging="1296"/>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1584" w:hanging="1584"/>
      </w:pPr>
      <w:rPr>
        <w:rFonts w:hint="eastAsia"/>
      </w:rPr>
    </w:lvl>
  </w:abstractNum>
  <w:abstractNum w:abstractNumId="2">
    <w:nsid w:val="527D8687"/>
    <w:multiLevelType w:val="singleLevel"/>
    <w:tmpl w:val="527D8687"/>
    <w:lvl w:ilvl="0" w:tentative="0">
      <w:start w:val="1"/>
      <w:numFmt w:val="decimal"/>
      <w:suff w:val="nothing"/>
      <w:lvlText w:val="%1、"/>
      <w:lvlJc w:val="left"/>
    </w:lvl>
  </w:abstractNum>
  <w:abstractNum w:abstractNumId="3">
    <w:nsid w:val="57B83969"/>
    <w:multiLevelType w:val="multilevel"/>
    <w:tmpl w:val="57B83969"/>
    <w:lvl w:ilvl="0" w:tentative="0">
      <w:start w:val="1"/>
      <w:numFmt w:val="decimal"/>
      <w:pStyle w:val="3"/>
      <w:lvlText w:val="%1."/>
      <w:lvlJc w:val="left"/>
      <w:pPr>
        <w:tabs>
          <w:tab w:val="left" w:pos="425"/>
        </w:tabs>
        <w:ind w:left="425" w:hanging="425"/>
      </w:pPr>
      <w:rPr>
        <w:rFonts w:hint="default"/>
      </w:rPr>
    </w:lvl>
    <w:lvl w:ilvl="1" w:tentative="0">
      <w:start w:val="1"/>
      <w:numFmt w:val="decimal"/>
      <w:pStyle w:val="4"/>
      <w:lvlText w:val="%1.%2."/>
      <w:lvlJc w:val="left"/>
      <w:pPr>
        <w:tabs>
          <w:tab w:val="left" w:pos="567"/>
        </w:tabs>
        <w:ind w:left="567" w:hanging="567"/>
      </w:pPr>
      <w:rPr>
        <w:rFonts w:hint="default" w:ascii="宋体" w:hAnsi="宋体" w:eastAsia="宋体" w:cs="宋体"/>
        <w:b/>
      </w:rPr>
    </w:lvl>
    <w:lvl w:ilvl="2" w:tentative="0">
      <w:start w:val="1"/>
      <w:numFmt w:val="decimal"/>
      <w:lvlText w:val="%1.%2.%3."/>
      <w:lvlJc w:val="left"/>
      <w:pPr>
        <w:tabs>
          <w:tab w:val="left" w:pos="709"/>
        </w:tabs>
        <w:ind w:left="709" w:hanging="709"/>
      </w:pPr>
      <w:rPr>
        <w:rFonts w:hint="default" w:ascii="宋体" w:hAnsi="宋体" w:eastAsia="宋体" w:cs="宋体"/>
      </w:rPr>
    </w:lvl>
    <w:lvl w:ilvl="3" w:tentative="0">
      <w:start w:val="1"/>
      <w:numFmt w:val="decimal"/>
      <w:lvlText w:val="%1.%2.%3.%4."/>
      <w:lvlJc w:val="left"/>
      <w:pPr>
        <w:tabs>
          <w:tab w:val="left" w:pos="850"/>
        </w:tabs>
        <w:ind w:left="850" w:hanging="850"/>
      </w:pPr>
      <w:rPr>
        <w:rFonts w:hint="default" w:ascii="宋体" w:hAnsi="宋体" w:eastAsia="宋体" w:cs="宋体"/>
      </w:rPr>
    </w:lvl>
    <w:lvl w:ilvl="4" w:tentative="0">
      <w:start w:val="1"/>
      <w:numFmt w:val="decimal"/>
      <w:lvlText w:val="%1.%2.%3.%4.%5."/>
      <w:lvlJc w:val="left"/>
      <w:pPr>
        <w:tabs>
          <w:tab w:val="left" w:pos="991"/>
        </w:tabs>
        <w:ind w:left="991" w:hanging="991"/>
      </w:pPr>
      <w:rPr>
        <w:rFonts w:hint="default" w:ascii="宋体" w:hAnsi="宋体" w:eastAsia="宋体" w:cs="宋体"/>
      </w:rPr>
    </w:lvl>
    <w:lvl w:ilvl="5" w:tentative="0">
      <w:start w:val="1"/>
      <w:numFmt w:val="decimal"/>
      <w:lvlText w:val="%1.%2.%3.%4.%5.%6."/>
      <w:lvlJc w:val="left"/>
      <w:pPr>
        <w:tabs>
          <w:tab w:val="left" w:pos="1134"/>
        </w:tabs>
        <w:ind w:left="1134" w:hanging="1134"/>
      </w:pPr>
      <w:rPr>
        <w:rFonts w:hint="default"/>
      </w:rPr>
    </w:lvl>
    <w:lvl w:ilvl="6" w:tentative="0">
      <w:start w:val="1"/>
      <w:numFmt w:val="decimal"/>
      <w:lvlText w:val="%1.%2.%3.%4.%5.%6.%7."/>
      <w:lvlJc w:val="left"/>
      <w:pPr>
        <w:tabs>
          <w:tab w:val="left" w:pos="1275"/>
        </w:tabs>
        <w:ind w:left="1275" w:hanging="1275"/>
      </w:pPr>
      <w:rPr>
        <w:rFonts w:hint="default"/>
      </w:rPr>
    </w:lvl>
    <w:lvl w:ilvl="7" w:tentative="0">
      <w:start w:val="1"/>
      <w:numFmt w:val="decimal"/>
      <w:lvlText w:val="%1.%2.%3.%4.%5.%6.%7.%8."/>
      <w:lvlJc w:val="left"/>
      <w:pPr>
        <w:tabs>
          <w:tab w:val="left" w:pos="1418"/>
        </w:tabs>
        <w:ind w:left="1418" w:hanging="1418"/>
      </w:pPr>
      <w:rPr>
        <w:rFonts w:hint="default"/>
      </w:rPr>
    </w:lvl>
    <w:lvl w:ilvl="8" w:tentative="0">
      <w:start w:val="1"/>
      <w:numFmt w:val="decimal"/>
      <w:lvlText w:val="%1.%2.%3.%4.%5.%6.%7.%8.%9."/>
      <w:lvlJc w:val="left"/>
      <w:pPr>
        <w:tabs>
          <w:tab w:val="left" w:pos="1558"/>
        </w:tabs>
        <w:ind w:left="1558" w:hanging="1558"/>
      </w:pPr>
      <w:rPr>
        <w:rFonts w:hint="default"/>
      </w:rPr>
    </w:lvl>
  </w:abstractNum>
  <w:abstractNum w:abstractNumId="4">
    <w:nsid w:val="7D74AD6B"/>
    <w:multiLevelType w:val="multilevel"/>
    <w:tmpl w:val="7D74AD6B"/>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0" w:firstLine="0"/>
      </w:pPr>
      <w:rPr>
        <w:rFonts w:hint="eastAsia" w:cs="Times New Roman"/>
        <w:b/>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2" w:tentative="0">
      <w:start w:val="1"/>
      <w:numFmt w:val="decimal"/>
      <w:suff w:val="space"/>
      <w:lvlText w:val="%1.%2.%3."/>
      <w:lvlJc w:val="left"/>
      <w:pPr>
        <w:ind w:left="720" w:hanging="720"/>
      </w:pPr>
      <w:rPr>
        <w:rFonts w:hint="eastAsia"/>
      </w:rPr>
    </w:lvl>
    <w:lvl w:ilvl="3" w:tentative="0">
      <w:start w:val="1"/>
      <w:numFmt w:val="decimal"/>
      <w:suff w:val="space"/>
      <w:lvlText w:val="%1.%2.%3.%4."/>
      <w:lvlJc w:val="left"/>
      <w:pPr>
        <w:ind w:left="0" w:firstLine="0"/>
      </w:pPr>
      <w:rPr>
        <w:rFonts w:hint="eastAsia"/>
      </w:rPr>
    </w:lvl>
    <w:lvl w:ilvl="4" w:tentative="0">
      <w:start w:val="1"/>
      <w:numFmt w:val="decimal"/>
      <w:suff w:val="space"/>
      <w:lvlText w:val="%1.%2.%3.%4.%5."/>
      <w:lvlJc w:val="left"/>
      <w:pPr>
        <w:ind w:left="1008" w:hanging="1008"/>
      </w:pPr>
      <w:rPr>
        <w:rFonts w:hint="eastAsia"/>
      </w:rPr>
    </w:lvl>
    <w:lvl w:ilvl="5" w:tentative="0">
      <w:start w:val="1"/>
      <w:numFmt w:val="decimal"/>
      <w:suff w:val="space"/>
      <w:lvlText w:val="%1.%2.%3.%4.%5.%6."/>
      <w:lvlJc w:val="left"/>
      <w:pPr>
        <w:ind w:left="1152" w:hanging="1152"/>
      </w:pPr>
      <w:rPr>
        <w:rFonts w:hint="eastAsia"/>
        <w:b/>
      </w:rPr>
    </w:lvl>
    <w:lvl w:ilvl="6" w:tentative="0">
      <w:start w:val="1"/>
      <w:numFmt w:val="decimal"/>
      <w:suff w:val="space"/>
      <w:lvlText w:val="%1.%2.%3.%4.%5.%6.%7."/>
      <w:lvlJc w:val="left"/>
      <w:pPr>
        <w:ind w:left="1296" w:hanging="1296"/>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1584" w:hanging="1584"/>
      </w:pPr>
      <w:rPr>
        <w:rFonts w:hint="eastAsia"/>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iMjdlYjE0MzlkMTAxN2Y2ZDkxNmZiMmFhNzcwYTAifQ=="/>
    <w:docVar w:name="KGWebUrl" w:val="http://oa.fjjl.net/weaver/weaver.file.FileDownloadForNews?uuid=8b29a79f-de65-4843-99eb-2aa73e4271ba&amp;fileid=228725&amp;type=document&amp;isofficeview=0&amp;requestid=undefined&amp;authStr=undefined&amp;authSignatureStr=undefined&amp;f_weaver_belongto_userid=undefined&amp;isrequest=1&amp;download=1&amp;f_weaver_belongto_usertype=0"/>
    <w:docVar w:name="KSO_WPS_MARK_KEY" w:val="8a358587-1b81-4fb5-aaa4-bf940d5f38b1"/>
  </w:docVars>
  <w:rsids>
    <w:rsidRoot w:val="00172A27"/>
    <w:rsid w:val="00000D77"/>
    <w:rsid w:val="00005523"/>
    <w:rsid w:val="000057D8"/>
    <w:rsid w:val="000059A9"/>
    <w:rsid w:val="0000744A"/>
    <w:rsid w:val="00010541"/>
    <w:rsid w:val="00012C61"/>
    <w:rsid w:val="0001351F"/>
    <w:rsid w:val="00017064"/>
    <w:rsid w:val="000203FE"/>
    <w:rsid w:val="000217FA"/>
    <w:rsid w:val="000225E5"/>
    <w:rsid w:val="00023AE3"/>
    <w:rsid w:val="00024BDD"/>
    <w:rsid w:val="0002592C"/>
    <w:rsid w:val="000325E5"/>
    <w:rsid w:val="00035E81"/>
    <w:rsid w:val="000375A8"/>
    <w:rsid w:val="00040583"/>
    <w:rsid w:val="00045E6D"/>
    <w:rsid w:val="000476CC"/>
    <w:rsid w:val="000507F4"/>
    <w:rsid w:val="00054E00"/>
    <w:rsid w:val="000554F4"/>
    <w:rsid w:val="00056A50"/>
    <w:rsid w:val="000612A4"/>
    <w:rsid w:val="00061625"/>
    <w:rsid w:val="00061850"/>
    <w:rsid w:val="00061ECA"/>
    <w:rsid w:val="00062CDB"/>
    <w:rsid w:val="00062FDC"/>
    <w:rsid w:val="000633ED"/>
    <w:rsid w:val="000667DF"/>
    <w:rsid w:val="000703ED"/>
    <w:rsid w:val="000718FF"/>
    <w:rsid w:val="00071FE5"/>
    <w:rsid w:val="0008003F"/>
    <w:rsid w:val="00082336"/>
    <w:rsid w:val="000827DC"/>
    <w:rsid w:val="00082D0F"/>
    <w:rsid w:val="000876E1"/>
    <w:rsid w:val="00087AE9"/>
    <w:rsid w:val="00087F1C"/>
    <w:rsid w:val="00090DBF"/>
    <w:rsid w:val="0009726D"/>
    <w:rsid w:val="000A29EA"/>
    <w:rsid w:val="000A2C37"/>
    <w:rsid w:val="000A762D"/>
    <w:rsid w:val="000B0792"/>
    <w:rsid w:val="000B0A0D"/>
    <w:rsid w:val="000B2C45"/>
    <w:rsid w:val="000B362E"/>
    <w:rsid w:val="000B3B5A"/>
    <w:rsid w:val="000B6E8E"/>
    <w:rsid w:val="000C0C58"/>
    <w:rsid w:val="000C129B"/>
    <w:rsid w:val="000C15FD"/>
    <w:rsid w:val="000C4C02"/>
    <w:rsid w:val="000C6BEC"/>
    <w:rsid w:val="000D0437"/>
    <w:rsid w:val="000D18FF"/>
    <w:rsid w:val="000D228A"/>
    <w:rsid w:val="000D45E8"/>
    <w:rsid w:val="000D474A"/>
    <w:rsid w:val="000D4EE1"/>
    <w:rsid w:val="000D5FF2"/>
    <w:rsid w:val="000D713B"/>
    <w:rsid w:val="000E055D"/>
    <w:rsid w:val="000E166E"/>
    <w:rsid w:val="000E28CD"/>
    <w:rsid w:val="000E369B"/>
    <w:rsid w:val="000E3737"/>
    <w:rsid w:val="000E42C6"/>
    <w:rsid w:val="000E4EF0"/>
    <w:rsid w:val="000F3A41"/>
    <w:rsid w:val="000F4A50"/>
    <w:rsid w:val="000F4B74"/>
    <w:rsid w:val="000F5066"/>
    <w:rsid w:val="000F5478"/>
    <w:rsid w:val="000F6B42"/>
    <w:rsid w:val="000F7234"/>
    <w:rsid w:val="00101901"/>
    <w:rsid w:val="00102164"/>
    <w:rsid w:val="001049BA"/>
    <w:rsid w:val="00110008"/>
    <w:rsid w:val="001108BA"/>
    <w:rsid w:val="0011145F"/>
    <w:rsid w:val="00111B7A"/>
    <w:rsid w:val="001124C3"/>
    <w:rsid w:val="001154B7"/>
    <w:rsid w:val="0011557B"/>
    <w:rsid w:val="001162B6"/>
    <w:rsid w:val="001204DD"/>
    <w:rsid w:val="00121985"/>
    <w:rsid w:val="001237F4"/>
    <w:rsid w:val="00124C7D"/>
    <w:rsid w:val="00130101"/>
    <w:rsid w:val="001301FD"/>
    <w:rsid w:val="00132B76"/>
    <w:rsid w:val="0013346C"/>
    <w:rsid w:val="00133F20"/>
    <w:rsid w:val="00136D7F"/>
    <w:rsid w:val="00136D91"/>
    <w:rsid w:val="00140567"/>
    <w:rsid w:val="00140D63"/>
    <w:rsid w:val="00140ECA"/>
    <w:rsid w:val="001431A7"/>
    <w:rsid w:val="001447A8"/>
    <w:rsid w:val="00144E7F"/>
    <w:rsid w:val="001451B0"/>
    <w:rsid w:val="00150D62"/>
    <w:rsid w:val="0015217A"/>
    <w:rsid w:val="001521CD"/>
    <w:rsid w:val="001525F6"/>
    <w:rsid w:val="001555DB"/>
    <w:rsid w:val="00164741"/>
    <w:rsid w:val="00167A90"/>
    <w:rsid w:val="00171A5A"/>
    <w:rsid w:val="001722AD"/>
    <w:rsid w:val="00172934"/>
    <w:rsid w:val="00172A27"/>
    <w:rsid w:val="00173396"/>
    <w:rsid w:val="00173E90"/>
    <w:rsid w:val="00174583"/>
    <w:rsid w:val="00176AAB"/>
    <w:rsid w:val="001801AC"/>
    <w:rsid w:val="00180261"/>
    <w:rsid w:val="0018165A"/>
    <w:rsid w:val="00182D44"/>
    <w:rsid w:val="00183C25"/>
    <w:rsid w:val="001842C5"/>
    <w:rsid w:val="00187913"/>
    <w:rsid w:val="00192227"/>
    <w:rsid w:val="00193654"/>
    <w:rsid w:val="00197A1C"/>
    <w:rsid w:val="001A04D7"/>
    <w:rsid w:val="001A499D"/>
    <w:rsid w:val="001A4AE1"/>
    <w:rsid w:val="001A5663"/>
    <w:rsid w:val="001B12EB"/>
    <w:rsid w:val="001B1B11"/>
    <w:rsid w:val="001B3009"/>
    <w:rsid w:val="001B552F"/>
    <w:rsid w:val="001C137A"/>
    <w:rsid w:val="001C2219"/>
    <w:rsid w:val="001C2E77"/>
    <w:rsid w:val="001C2F8C"/>
    <w:rsid w:val="001C3990"/>
    <w:rsid w:val="001C3BE0"/>
    <w:rsid w:val="001C5211"/>
    <w:rsid w:val="001C5308"/>
    <w:rsid w:val="001C6854"/>
    <w:rsid w:val="001D0023"/>
    <w:rsid w:val="001D0F7A"/>
    <w:rsid w:val="001D1C9E"/>
    <w:rsid w:val="001D3EB3"/>
    <w:rsid w:val="001D53F8"/>
    <w:rsid w:val="001D58B0"/>
    <w:rsid w:val="001D710E"/>
    <w:rsid w:val="001E3A00"/>
    <w:rsid w:val="001E4287"/>
    <w:rsid w:val="001E659B"/>
    <w:rsid w:val="001E7607"/>
    <w:rsid w:val="001E7ACD"/>
    <w:rsid w:val="001F0FC8"/>
    <w:rsid w:val="001F31B2"/>
    <w:rsid w:val="001F419F"/>
    <w:rsid w:val="001F4BA3"/>
    <w:rsid w:val="001F4D39"/>
    <w:rsid w:val="001F7925"/>
    <w:rsid w:val="00200F5C"/>
    <w:rsid w:val="00201A10"/>
    <w:rsid w:val="00203CF1"/>
    <w:rsid w:val="00212F0D"/>
    <w:rsid w:val="0021475C"/>
    <w:rsid w:val="0021571F"/>
    <w:rsid w:val="00217989"/>
    <w:rsid w:val="00217EA7"/>
    <w:rsid w:val="00221B61"/>
    <w:rsid w:val="00224580"/>
    <w:rsid w:val="00225B08"/>
    <w:rsid w:val="0022657A"/>
    <w:rsid w:val="00230A99"/>
    <w:rsid w:val="002315ED"/>
    <w:rsid w:val="0023166F"/>
    <w:rsid w:val="00233B40"/>
    <w:rsid w:val="002408BF"/>
    <w:rsid w:val="00240CE8"/>
    <w:rsid w:val="00241BC4"/>
    <w:rsid w:val="00250E50"/>
    <w:rsid w:val="002519BD"/>
    <w:rsid w:val="0025472D"/>
    <w:rsid w:val="0025590A"/>
    <w:rsid w:val="00260C02"/>
    <w:rsid w:val="0026327B"/>
    <w:rsid w:val="00263B57"/>
    <w:rsid w:val="00265BF1"/>
    <w:rsid w:val="00265ED9"/>
    <w:rsid w:val="00265FD8"/>
    <w:rsid w:val="00265FF9"/>
    <w:rsid w:val="002673B9"/>
    <w:rsid w:val="002718C0"/>
    <w:rsid w:val="00272666"/>
    <w:rsid w:val="00273599"/>
    <w:rsid w:val="00274183"/>
    <w:rsid w:val="002818D0"/>
    <w:rsid w:val="00281ED7"/>
    <w:rsid w:val="00297512"/>
    <w:rsid w:val="002B0D91"/>
    <w:rsid w:val="002B1D30"/>
    <w:rsid w:val="002B3C31"/>
    <w:rsid w:val="002B463E"/>
    <w:rsid w:val="002B6B18"/>
    <w:rsid w:val="002B7428"/>
    <w:rsid w:val="002C0ADE"/>
    <w:rsid w:val="002C3018"/>
    <w:rsid w:val="002D046A"/>
    <w:rsid w:val="002D2FBD"/>
    <w:rsid w:val="002D3972"/>
    <w:rsid w:val="002D7B39"/>
    <w:rsid w:val="002E09A6"/>
    <w:rsid w:val="002E0D70"/>
    <w:rsid w:val="002E1AFD"/>
    <w:rsid w:val="002E2DC0"/>
    <w:rsid w:val="002E3EF9"/>
    <w:rsid w:val="002F1607"/>
    <w:rsid w:val="002F2A63"/>
    <w:rsid w:val="002F3858"/>
    <w:rsid w:val="002F5291"/>
    <w:rsid w:val="00301EF9"/>
    <w:rsid w:val="0030221A"/>
    <w:rsid w:val="00302A7A"/>
    <w:rsid w:val="0030364B"/>
    <w:rsid w:val="003061AC"/>
    <w:rsid w:val="003061E5"/>
    <w:rsid w:val="003064F8"/>
    <w:rsid w:val="003067D6"/>
    <w:rsid w:val="00306A7B"/>
    <w:rsid w:val="003130D2"/>
    <w:rsid w:val="003138B5"/>
    <w:rsid w:val="00314E40"/>
    <w:rsid w:val="00314FD2"/>
    <w:rsid w:val="00315164"/>
    <w:rsid w:val="00321993"/>
    <w:rsid w:val="003220D1"/>
    <w:rsid w:val="00322DA1"/>
    <w:rsid w:val="00323BDC"/>
    <w:rsid w:val="00326D9C"/>
    <w:rsid w:val="00327D8E"/>
    <w:rsid w:val="003301DC"/>
    <w:rsid w:val="00332157"/>
    <w:rsid w:val="003351E2"/>
    <w:rsid w:val="00336190"/>
    <w:rsid w:val="003373FF"/>
    <w:rsid w:val="003428E6"/>
    <w:rsid w:val="003435B2"/>
    <w:rsid w:val="00344C0F"/>
    <w:rsid w:val="003458EA"/>
    <w:rsid w:val="00352770"/>
    <w:rsid w:val="00355D8D"/>
    <w:rsid w:val="0035670B"/>
    <w:rsid w:val="00356B03"/>
    <w:rsid w:val="00356B57"/>
    <w:rsid w:val="00357A78"/>
    <w:rsid w:val="0036523A"/>
    <w:rsid w:val="00365EAE"/>
    <w:rsid w:val="003718EC"/>
    <w:rsid w:val="00374593"/>
    <w:rsid w:val="00375239"/>
    <w:rsid w:val="00380748"/>
    <w:rsid w:val="00383E13"/>
    <w:rsid w:val="00385DB2"/>
    <w:rsid w:val="003873D0"/>
    <w:rsid w:val="00387CB7"/>
    <w:rsid w:val="00394269"/>
    <w:rsid w:val="00396BCA"/>
    <w:rsid w:val="0039760D"/>
    <w:rsid w:val="00397DEB"/>
    <w:rsid w:val="00397EB2"/>
    <w:rsid w:val="003A00F4"/>
    <w:rsid w:val="003A0BF8"/>
    <w:rsid w:val="003A30B1"/>
    <w:rsid w:val="003A39FB"/>
    <w:rsid w:val="003A4312"/>
    <w:rsid w:val="003A46A1"/>
    <w:rsid w:val="003A5D09"/>
    <w:rsid w:val="003B00E9"/>
    <w:rsid w:val="003B0441"/>
    <w:rsid w:val="003B25C6"/>
    <w:rsid w:val="003B319F"/>
    <w:rsid w:val="003B492C"/>
    <w:rsid w:val="003C588A"/>
    <w:rsid w:val="003C69A2"/>
    <w:rsid w:val="003D1E95"/>
    <w:rsid w:val="003D555C"/>
    <w:rsid w:val="003D5D2F"/>
    <w:rsid w:val="003D650C"/>
    <w:rsid w:val="003D65AD"/>
    <w:rsid w:val="003D7530"/>
    <w:rsid w:val="003E03CF"/>
    <w:rsid w:val="003E35AC"/>
    <w:rsid w:val="003E448A"/>
    <w:rsid w:val="003E4A8A"/>
    <w:rsid w:val="003F0E13"/>
    <w:rsid w:val="003F48B4"/>
    <w:rsid w:val="003F554E"/>
    <w:rsid w:val="003F60F4"/>
    <w:rsid w:val="003F6239"/>
    <w:rsid w:val="003F7136"/>
    <w:rsid w:val="003F7816"/>
    <w:rsid w:val="00403F94"/>
    <w:rsid w:val="00404E55"/>
    <w:rsid w:val="00413CA1"/>
    <w:rsid w:val="00413ED0"/>
    <w:rsid w:val="004146FC"/>
    <w:rsid w:val="004158C8"/>
    <w:rsid w:val="004161C0"/>
    <w:rsid w:val="004206EE"/>
    <w:rsid w:val="0042101C"/>
    <w:rsid w:val="004215F1"/>
    <w:rsid w:val="00421D93"/>
    <w:rsid w:val="00422012"/>
    <w:rsid w:val="004224C2"/>
    <w:rsid w:val="004319C6"/>
    <w:rsid w:val="00434229"/>
    <w:rsid w:val="004371A8"/>
    <w:rsid w:val="0044040F"/>
    <w:rsid w:val="0044068F"/>
    <w:rsid w:val="00442090"/>
    <w:rsid w:val="00446926"/>
    <w:rsid w:val="004514F0"/>
    <w:rsid w:val="00453BBE"/>
    <w:rsid w:val="004567AF"/>
    <w:rsid w:val="00457890"/>
    <w:rsid w:val="004612CB"/>
    <w:rsid w:val="00461C10"/>
    <w:rsid w:val="004655EA"/>
    <w:rsid w:val="0046596B"/>
    <w:rsid w:val="00465CFD"/>
    <w:rsid w:val="00466777"/>
    <w:rsid w:val="00467EEF"/>
    <w:rsid w:val="004717A1"/>
    <w:rsid w:val="00471D7E"/>
    <w:rsid w:val="0047244B"/>
    <w:rsid w:val="004756B2"/>
    <w:rsid w:val="0047732D"/>
    <w:rsid w:val="00477DB3"/>
    <w:rsid w:val="00482B01"/>
    <w:rsid w:val="00484D8A"/>
    <w:rsid w:val="00491A79"/>
    <w:rsid w:val="004930D6"/>
    <w:rsid w:val="0049576B"/>
    <w:rsid w:val="00495E56"/>
    <w:rsid w:val="004A25AF"/>
    <w:rsid w:val="004A71E7"/>
    <w:rsid w:val="004A7290"/>
    <w:rsid w:val="004B02DF"/>
    <w:rsid w:val="004B032C"/>
    <w:rsid w:val="004B39D0"/>
    <w:rsid w:val="004B532F"/>
    <w:rsid w:val="004B5416"/>
    <w:rsid w:val="004B6249"/>
    <w:rsid w:val="004B763A"/>
    <w:rsid w:val="004C0276"/>
    <w:rsid w:val="004C3C8E"/>
    <w:rsid w:val="004C70EB"/>
    <w:rsid w:val="004D1537"/>
    <w:rsid w:val="004D1CBA"/>
    <w:rsid w:val="004D2F86"/>
    <w:rsid w:val="004D3960"/>
    <w:rsid w:val="004D6549"/>
    <w:rsid w:val="004D736A"/>
    <w:rsid w:val="004D7FA5"/>
    <w:rsid w:val="004E0560"/>
    <w:rsid w:val="004E59AE"/>
    <w:rsid w:val="004E5AA0"/>
    <w:rsid w:val="004E5C08"/>
    <w:rsid w:val="004E5C97"/>
    <w:rsid w:val="004E60C5"/>
    <w:rsid w:val="004E7566"/>
    <w:rsid w:val="004E7A78"/>
    <w:rsid w:val="004F0F18"/>
    <w:rsid w:val="004F74DB"/>
    <w:rsid w:val="004F7AFD"/>
    <w:rsid w:val="004F7D16"/>
    <w:rsid w:val="00500432"/>
    <w:rsid w:val="00501A66"/>
    <w:rsid w:val="00501FC9"/>
    <w:rsid w:val="00502D3C"/>
    <w:rsid w:val="00502FFB"/>
    <w:rsid w:val="00503518"/>
    <w:rsid w:val="0050406E"/>
    <w:rsid w:val="0050670C"/>
    <w:rsid w:val="0050682D"/>
    <w:rsid w:val="00507563"/>
    <w:rsid w:val="0051083A"/>
    <w:rsid w:val="00510A6A"/>
    <w:rsid w:val="00512F7A"/>
    <w:rsid w:val="00513111"/>
    <w:rsid w:val="00514669"/>
    <w:rsid w:val="005213AF"/>
    <w:rsid w:val="005215E6"/>
    <w:rsid w:val="005219AB"/>
    <w:rsid w:val="00521A53"/>
    <w:rsid w:val="00524032"/>
    <w:rsid w:val="0052474D"/>
    <w:rsid w:val="00535E5A"/>
    <w:rsid w:val="00536C48"/>
    <w:rsid w:val="0053736B"/>
    <w:rsid w:val="00537497"/>
    <w:rsid w:val="00537C28"/>
    <w:rsid w:val="00541845"/>
    <w:rsid w:val="00542965"/>
    <w:rsid w:val="005444BC"/>
    <w:rsid w:val="005447A7"/>
    <w:rsid w:val="005500B1"/>
    <w:rsid w:val="00550E75"/>
    <w:rsid w:val="00555BF6"/>
    <w:rsid w:val="00557028"/>
    <w:rsid w:val="00561DE9"/>
    <w:rsid w:val="00562AF4"/>
    <w:rsid w:val="00563B1E"/>
    <w:rsid w:val="00565E91"/>
    <w:rsid w:val="00566D95"/>
    <w:rsid w:val="0056708F"/>
    <w:rsid w:val="00570338"/>
    <w:rsid w:val="005711FF"/>
    <w:rsid w:val="00571AC7"/>
    <w:rsid w:val="00574DC5"/>
    <w:rsid w:val="005765C4"/>
    <w:rsid w:val="0057715E"/>
    <w:rsid w:val="005801E1"/>
    <w:rsid w:val="00581198"/>
    <w:rsid w:val="005812B5"/>
    <w:rsid w:val="00582D73"/>
    <w:rsid w:val="00584186"/>
    <w:rsid w:val="005856C9"/>
    <w:rsid w:val="005861E4"/>
    <w:rsid w:val="005900AC"/>
    <w:rsid w:val="00590E8B"/>
    <w:rsid w:val="005966BA"/>
    <w:rsid w:val="005A2088"/>
    <w:rsid w:val="005B0896"/>
    <w:rsid w:val="005B12A9"/>
    <w:rsid w:val="005B287E"/>
    <w:rsid w:val="005B476F"/>
    <w:rsid w:val="005B62E1"/>
    <w:rsid w:val="005C36A1"/>
    <w:rsid w:val="005C41A4"/>
    <w:rsid w:val="005C4271"/>
    <w:rsid w:val="005C58AF"/>
    <w:rsid w:val="005C5E55"/>
    <w:rsid w:val="005C60A1"/>
    <w:rsid w:val="005C6493"/>
    <w:rsid w:val="005D017B"/>
    <w:rsid w:val="005D02FA"/>
    <w:rsid w:val="005D3471"/>
    <w:rsid w:val="005D5CD6"/>
    <w:rsid w:val="005E077B"/>
    <w:rsid w:val="005E1274"/>
    <w:rsid w:val="005E130F"/>
    <w:rsid w:val="005E225C"/>
    <w:rsid w:val="005E32EC"/>
    <w:rsid w:val="005E3E0D"/>
    <w:rsid w:val="005E6473"/>
    <w:rsid w:val="005F08B0"/>
    <w:rsid w:val="005F0DF8"/>
    <w:rsid w:val="005F1DE7"/>
    <w:rsid w:val="005F3B15"/>
    <w:rsid w:val="005F5B93"/>
    <w:rsid w:val="005F5DAC"/>
    <w:rsid w:val="005F7A4B"/>
    <w:rsid w:val="005F7CC3"/>
    <w:rsid w:val="0060011A"/>
    <w:rsid w:val="00604B51"/>
    <w:rsid w:val="00607C74"/>
    <w:rsid w:val="00607F12"/>
    <w:rsid w:val="006114A2"/>
    <w:rsid w:val="00611F81"/>
    <w:rsid w:val="006123CC"/>
    <w:rsid w:val="00612E29"/>
    <w:rsid w:val="00613044"/>
    <w:rsid w:val="006132ED"/>
    <w:rsid w:val="00615A65"/>
    <w:rsid w:val="00615BA8"/>
    <w:rsid w:val="00617030"/>
    <w:rsid w:val="00620D66"/>
    <w:rsid w:val="00621ADC"/>
    <w:rsid w:val="00621D40"/>
    <w:rsid w:val="00622753"/>
    <w:rsid w:val="00624E3B"/>
    <w:rsid w:val="00626F77"/>
    <w:rsid w:val="00631480"/>
    <w:rsid w:val="00641622"/>
    <w:rsid w:val="0064437C"/>
    <w:rsid w:val="0064578C"/>
    <w:rsid w:val="00647191"/>
    <w:rsid w:val="00654686"/>
    <w:rsid w:val="006554A2"/>
    <w:rsid w:val="00655898"/>
    <w:rsid w:val="00656015"/>
    <w:rsid w:val="00662052"/>
    <w:rsid w:val="00663569"/>
    <w:rsid w:val="00664289"/>
    <w:rsid w:val="00674142"/>
    <w:rsid w:val="006762E2"/>
    <w:rsid w:val="00680FF9"/>
    <w:rsid w:val="00681E24"/>
    <w:rsid w:val="00681E62"/>
    <w:rsid w:val="00682B15"/>
    <w:rsid w:val="006838A8"/>
    <w:rsid w:val="00690B82"/>
    <w:rsid w:val="00692475"/>
    <w:rsid w:val="00693FFC"/>
    <w:rsid w:val="0069521C"/>
    <w:rsid w:val="006A538A"/>
    <w:rsid w:val="006A7691"/>
    <w:rsid w:val="006A7AF9"/>
    <w:rsid w:val="006B1E3C"/>
    <w:rsid w:val="006B3BD5"/>
    <w:rsid w:val="006B4516"/>
    <w:rsid w:val="006B7306"/>
    <w:rsid w:val="006C083D"/>
    <w:rsid w:val="006C33EE"/>
    <w:rsid w:val="006C47D4"/>
    <w:rsid w:val="006D0ADF"/>
    <w:rsid w:val="006D1DEF"/>
    <w:rsid w:val="006D50E1"/>
    <w:rsid w:val="006D5E23"/>
    <w:rsid w:val="006D75F5"/>
    <w:rsid w:val="006E0DEE"/>
    <w:rsid w:val="006E2DB7"/>
    <w:rsid w:val="006E3DCF"/>
    <w:rsid w:val="006E522C"/>
    <w:rsid w:val="006E587D"/>
    <w:rsid w:val="006E61AF"/>
    <w:rsid w:val="006E79A3"/>
    <w:rsid w:val="006F0C7C"/>
    <w:rsid w:val="006F7EEA"/>
    <w:rsid w:val="0070589F"/>
    <w:rsid w:val="0070634C"/>
    <w:rsid w:val="00706C32"/>
    <w:rsid w:val="00706CB6"/>
    <w:rsid w:val="0071050C"/>
    <w:rsid w:val="00711A9A"/>
    <w:rsid w:val="00711AD4"/>
    <w:rsid w:val="007125C7"/>
    <w:rsid w:val="00712DE2"/>
    <w:rsid w:val="00713D98"/>
    <w:rsid w:val="00714A63"/>
    <w:rsid w:val="00715520"/>
    <w:rsid w:val="007156E2"/>
    <w:rsid w:val="00716313"/>
    <w:rsid w:val="00716D5B"/>
    <w:rsid w:val="00717654"/>
    <w:rsid w:val="007201D7"/>
    <w:rsid w:val="0072026B"/>
    <w:rsid w:val="007245C3"/>
    <w:rsid w:val="0072491F"/>
    <w:rsid w:val="007252F4"/>
    <w:rsid w:val="007253AF"/>
    <w:rsid w:val="00725EA2"/>
    <w:rsid w:val="00731986"/>
    <w:rsid w:val="00732519"/>
    <w:rsid w:val="00733530"/>
    <w:rsid w:val="00733B99"/>
    <w:rsid w:val="00736506"/>
    <w:rsid w:val="00737A5E"/>
    <w:rsid w:val="00740269"/>
    <w:rsid w:val="0074058C"/>
    <w:rsid w:val="00743D24"/>
    <w:rsid w:val="00743F4C"/>
    <w:rsid w:val="00755157"/>
    <w:rsid w:val="00755CE0"/>
    <w:rsid w:val="007560D3"/>
    <w:rsid w:val="00763B7B"/>
    <w:rsid w:val="00763E0A"/>
    <w:rsid w:val="0076447F"/>
    <w:rsid w:val="007673D3"/>
    <w:rsid w:val="00767494"/>
    <w:rsid w:val="00773DF8"/>
    <w:rsid w:val="007763B4"/>
    <w:rsid w:val="007774E6"/>
    <w:rsid w:val="00777FB4"/>
    <w:rsid w:val="00780A59"/>
    <w:rsid w:val="00780F0E"/>
    <w:rsid w:val="007823FA"/>
    <w:rsid w:val="00783076"/>
    <w:rsid w:val="0078343D"/>
    <w:rsid w:val="00791287"/>
    <w:rsid w:val="007932DD"/>
    <w:rsid w:val="00794798"/>
    <w:rsid w:val="007A1F0B"/>
    <w:rsid w:val="007A1F1B"/>
    <w:rsid w:val="007A3305"/>
    <w:rsid w:val="007A4C14"/>
    <w:rsid w:val="007A573C"/>
    <w:rsid w:val="007A650C"/>
    <w:rsid w:val="007A67D9"/>
    <w:rsid w:val="007B088F"/>
    <w:rsid w:val="007B4D6D"/>
    <w:rsid w:val="007B7228"/>
    <w:rsid w:val="007C11C2"/>
    <w:rsid w:val="007C3DEB"/>
    <w:rsid w:val="007C5DBA"/>
    <w:rsid w:val="007C7F2B"/>
    <w:rsid w:val="007D0641"/>
    <w:rsid w:val="007D0720"/>
    <w:rsid w:val="007D3EAB"/>
    <w:rsid w:val="007D4D5E"/>
    <w:rsid w:val="007D5667"/>
    <w:rsid w:val="007D58AF"/>
    <w:rsid w:val="007D5C0C"/>
    <w:rsid w:val="007D5F52"/>
    <w:rsid w:val="007D6E00"/>
    <w:rsid w:val="007E0015"/>
    <w:rsid w:val="007E1C49"/>
    <w:rsid w:val="007E7596"/>
    <w:rsid w:val="007F03FE"/>
    <w:rsid w:val="007F2316"/>
    <w:rsid w:val="007F4038"/>
    <w:rsid w:val="007F473B"/>
    <w:rsid w:val="007F4998"/>
    <w:rsid w:val="007F7679"/>
    <w:rsid w:val="007F7EC2"/>
    <w:rsid w:val="007F7F77"/>
    <w:rsid w:val="00803F37"/>
    <w:rsid w:val="00805BB1"/>
    <w:rsid w:val="00807E3C"/>
    <w:rsid w:val="00811D45"/>
    <w:rsid w:val="00815AA3"/>
    <w:rsid w:val="0082099C"/>
    <w:rsid w:val="008220E2"/>
    <w:rsid w:val="008226D8"/>
    <w:rsid w:val="008234CC"/>
    <w:rsid w:val="008255F1"/>
    <w:rsid w:val="008268D3"/>
    <w:rsid w:val="008310C8"/>
    <w:rsid w:val="00833627"/>
    <w:rsid w:val="00834348"/>
    <w:rsid w:val="00840570"/>
    <w:rsid w:val="00841073"/>
    <w:rsid w:val="008427A1"/>
    <w:rsid w:val="00844DDD"/>
    <w:rsid w:val="0084579F"/>
    <w:rsid w:val="008459B2"/>
    <w:rsid w:val="00847059"/>
    <w:rsid w:val="00847F5A"/>
    <w:rsid w:val="00851AB3"/>
    <w:rsid w:val="008520EC"/>
    <w:rsid w:val="00853125"/>
    <w:rsid w:val="00855C2F"/>
    <w:rsid w:val="008561D2"/>
    <w:rsid w:val="008563D8"/>
    <w:rsid w:val="00860587"/>
    <w:rsid w:val="00863382"/>
    <w:rsid w:val="0086483E"/>
    <w:rsid w:val="008651C2"/>
    <w:rsid w:val="00866AA3"/>
    <w:rsid w:val="00867897"/>
    <w:rsid w:val="008678D0"/>
    <w:rsid w:val="00870A33"/>
    <w:rsid w:val="00871CC8"/>
    <w:rsid w:val="008723B0"/>
    <w:rsid w:val="00877034"/>
    <w:rsid w:val="008812FC"/>
    <w:rsid w:val="00883ECE"/>
    <w:rsid w:val="00885CE2"/>
    <w:rsid w:val="00890673"/>
    <w:rsid w:val="00892C9C"/>
    <w:rsid w:val="008932F9"/>
    <w:rsid w:val="00896779"/>
    <w:rsid w:val="008976C4"/>
    <w:rsid w:val="008A074F"/>
    <w:rsid w:val="008A7ABF"/>
    <w:rsid w:val="008B10B2"/>
    <w:rsid w:val="008B2BFD"/>
    <w:rsid w:val="008B5E7C"/>
    <w:rsid w:val="008B6232"/>
    <w:rsid w:val="008B706C"/>
    <w:rsid w:val="008C3C08"/>
    <w:rsid w:val="008C43CC"/>
    <w:rsid w:val="008C478F"/>
    <w:rsid w:val="008C4DC0"/>
    <w:rsid w:val="008D2B98"/>
    <w:rsid w:val="008D45CC"/>
    <w:rsid w:val="008D4F71"/>
    <w:rsid w:val="008E3CB8"/>
    <w:rsid w:val="008F22A8"/>
    <w:rsid w:val="008F23D0"/>
    <w:rsid w:val="008F2CC8"/>
    <w:rsid w:val="008F2D72"/>
    <w:rsid w:val="008F2ED6"/>
    <w:rsid w:val="008F31C4"/>
    <w:rsid w:val="008F3C72"/>
    <w:rsid w:val="008F684B"/>
    <w:rsid w:val="008F6BE6"/>
    <w:rsid w:val="008F6D03"/>
    <w:rsid w:val="0090130E"/>
    <w:rsid w:val="0090267C"/>
    <w:rsid w:val="009037A9"/>
    <w:rsid w:val="009041C7"/>
    <w:rsid w:val="00906697"/>
    <w:rsid w:val="00906AA7"/>
    <w:rsid w:val="00907247"/>
    <w:rsid w:val="00910C1E"/>
    <w:rsid w:val="00910F1F"/>
    <w:rsid w:val="0091225D"/>
    <w:rsid w:val="00914880"/>
    <w:rsid w:val="009150E4"/>
    <w:rsid w:val="00915EA2"/>
    <w:rsid w:val="00916612"/>
    <w:rsid w:val="00916D4A"/>
    <w:rsid w:val="00917FB7"/>
    <w:rsid w:val="00920BF7"/>
    <w:rsid w:val="00921EC8"/>
    <w:rsid w:val="00924A35"/>
    <w:rsid w:val="009276FE"/>
    <w:rsid w:val="00933465"/>
    <w:rsid w:val="00933BD1"/>
    <w:rsid w:val="00936956"/>
    <w:rsid w:val="00941410"/>
    <w:rsid w:val="00941484"/>
    <w:rsid w:val="00943C26"/>
    <w:rsid w:val="0095006D"/>
    <w:rsid w:val="00951570"/>
    <w:rsid w:val="00951C6F"/>
    <w:rsid w:val="00954C19"/>
    <w:rsid w:val="00960968"/>
    <w:rsid w:val="009618E7"/>
    <w:rsid w:val="00961A7B"/>
    <w:rsid w:val="009629A8"/>
    <w:rsid w:val="00964104"/>
    <w:rsid w:val="00973A12"/>
    <w:rsid w:val="00974BA9"/>
    <w:rsid w:val="009755ED"/>
    <w:rsid w:val="00985072"/>
    <w:rsid w:val="00985CA8"/>
    <w:rsid w:val="00990AAC"/>
    <w:rsid w:val="00990B5C"/>
    <w:rsid w:val="009931F9"/>
    <w:rsid w:val="009975B7"/>
    <w:rsid w:val="009A0F3C"/>
    <w:rsid w:val="009A3A13"/>
    <w:rsid w:val="009A4419"/>
    <w:rsid w:val="009A5967"/>
    <w:rsid w:val="009B0770"/>
    <w:rsid w:val="009B102B"/>
    <w:rsid w:val="009B2B54"/>
    <w:rsid w:val="009B560E"/>
    <w:rsid w:val="009C05CB"/>
    <w:rsid w:val="009C10B7"/>
    <w:rsid w:val="009C1B32"/>
    <w:rsid w:val="009C1C25"/>
    <w:rsid w:val="009C2BD9"/>
    <w:rsid w:val="009C2EF8"/>
    <w:rsid w:val="009C59F6"/>
    <w:rsid w:val="009D2B20"/>
    <w:rsid w:val="009D351C"/>
    <w:rsid w:val="009D45F4"/>
    <w:rsid w:val="009D5C63"/>
    <w:rsid w:val="009D6974"/>
    <w:rsid w:val="009E3167"/>
    <w:rsid w:val="009E3A8C"/>
    <w:rsid w:val="009E429D"/>
    <w:rsid w:val="009E4A47"/>
    <w:rsid w:val="009E5A95"/>
    <w:rsid w:val="009E759D"/>
    <w:rsid w:val="009F00D7"/>
    <w:rsid w:val="009F1133"/>
    <w:rsid w:val="009F1AA5"/>
    <w:rsid w:val="009F2200"/>
    <w:rsid w:val="009F45A9"/>
    <w:rsid w:val="009F5A95"/>
    <w:rsid w:val="009F5BB1"/>
    <w:rsid w:val="009F5DD2"/>
    <w:rsid w:val="009F6DF3"/>
    <w:rsid w:val="00A01C8B"/>
    <w:rsid w:val="00A03AF6"/>
    <w:rsid w:val="00A054A4"/>
    <w:rsid w:val="00A061FD"/>
    <w:rsid w:val="00A06E65"/>
    <w:rsid w:val="00A11B2F"/>
    <w:rsid w:val="00A12D41"/>
    <w:rsid w:val="00A13A8C"/>
    <w:rsid w:val="00A13C48"/>
    <w:rsid w:val="00A16967"/>
    <w:rsid w:val="00A17C85"/>
    <w:rsid w:val="00A206E3"/>
    <w:rsid w:val="00A20F12"/>
    <w:rsid w:val="00A2203F"/>
    <w:rsid w:val="00A2263C"/>
    <w:rsid w:val="00A2492F"/>
    <w:rsid w:val="00A265AE"/>
    <w:rsid w:val="00A26B51"/>
    <w:rsid w:val="00A274C7"/>
    <w:rsid w:val="00A2785F"/>
    <w:rsid w:val="00A31B1E"/>
    <w:rsid w:val="00A31B4A"/>
    <w:rsid w:val="00A33CAF"/>
    <w:rsid w:val="00A355AA"/>
    <w:rsid w:val="00A36CA7"/>
    <w:rsid w:val="00A41090"/>
    <w:rsid w:val="00A42D37"/>
    <w:rsid w:val="00A46BD6"/>
    <w:rsid w:val="00A46F38"/>
    <w:rsid w:val="00A47530"/>
    <w:rsid w:val="00A55E8A"/>
    <w:rsid w:val="00A603A2"/>
    <w:rsid w:val="00A61640"/>
    <w:rsid w:val="00A623DD"/>
    <w:rsid w:val="00A62757"/>
    <w:rsid w:val="00A6479A"/>
    <w:rsid w:val="00A73C7C"/>
    <w:rsid w:val="00A744F9"/>
    <w:rsid w:val="00A75AE3"/>
    <w:rsid w:val="00A76311"/>
    <w:rsid w:val="00A82A88"/>
    <w:rsid w:val="00A82DAC"/>
    <w:rsid w:val="00A83878"/>
    <w:rsid w:val="00A83DEC"/>
    <w:rsid w:val="00A87DB7"/>
    <w:rsid w:val="00A90F6F"/>
    <w:rsid w:val="00A9261E"/>
    <w:rsid w:val="00A9456D"/>
    <w:rsid w:val="00A954D0"/>
    <w:rsid w:val="00A97044"/>
    <w:rsid w:val="00A97A4F"/>
    <w:rsid w:val="00AA2D6A"/>
    <w:rsid w:val="00AA3073"/>
    <w:rsid w:val="00AA3322"/>
    <w:rsid w:val="00AA505E"/>
    <w:rsid w:val="00AA6EFF"/>
    <w:rsid w:val="00AA7A02"/>
    <w:rsid w:val="00AB0092"/>
    <w:rsid w:val="00AB03F2"/>
    <w:rsid w:val="00AB25C1"/>
    <w:rsid w:val="00AB427C"/>
    <w:rsid w:val="00AB484C"/>
    <w:rsid w:val="00AB55D1"/>
    <w:rsid w:val="00AB56E1"/>
    <w:rsid w:val="00AB5E3C"/>
    <w:rsid w:val="00AB70B7"/>
    <w:rsid w:val="00AC1DF4"/>
    <w:rsid w:val="00AC2990"/>
    <w:rsid w:val="00AC34C4"/>
    <w:rsid w:val="00AC6B90"/>
    <w:rsid w:val="00AD0383"/>
    <w:rsid w:val="00AD2E85"/>
    <w:rsid w:val="00AD4613"/>
    <w:rsid w:val="00AD7FBB"/>
    <w:rsid w:val="00AE0AAE"/>
    <w:rsid w:val="00AE1513"/>
    <w:rsid w:val="00AE31E7"/>
    <w:rsid w:val="00AE4AD1"/>
    <w:rsid w:val="00AE6051"/>
    <w:rsid w:val="00AF3182"/>
    <w:rsid w:val="00AF7866"/>
    <w:rsid w:val="00B011CD"/>
    <w:rsid w:val="00B036C5"/>
    <w:rsid w:val="00B0462A"/>
    <w:rsid w:val="00B04830"/>
    <w:rsid w:val="00B051B6"/>
    <w:rsid w:val="00B11475"/>
    <w:rsid w:val="00B11AF1"/>
    <w:rsid w:val="00B11EB2"/>
    <w:rsid w:val="00B13E87"/>
    <w:rsid w:val="00B15A2E"/>
    <w:rsid w:val="00B17898"/>
    <w:rsid w:val="00B17C2F"/>
    <w:rsid w:val="00B21B14"/>
    <w:rsid w:val="00B22F8D"/>
    <w:rsid w:val="00B24965"/>
    <w:rsid w:val="00B24EF3"/>
    <w:rsid w:val="00B2582C"/>
    <w:rsid w:val="00B279A9"/>
    <w:rsid w:val="00B316F2"/>
    <w:rsid w:val="00B40270"/>
    <w:rsid w:val="00B4533D"/>
    <w:rsid w:val="00B4767F"/>
    <w:rsid w:val="00B5285C"/>
    <w:rsid w:val="00B56784"/>
    <w:rsid w:val="00B573C1"/>
    <w:rsid w:val="00B57E2F"/>
    <w:rsid w:val="00B60EE1"/>
    <w:rsid w:val="00B627F0"/>
    <w:rsid w:val="00B63454"/>
    <w:rsid w:val="00B63796"/>
    <w:rsid w:val="00B63F2E"/>
    <w:rsid w:val="00B64A23"/>
    <w:rsid w:val="00B65E3C"/>
    <w:rsid w:val="00B65E3D"/>
    <w:rsid w:val="00B714B7"/>
    <w:rsid w:val="00B72079"/>
    <w:rsid w:val="00B75E29"/>
    <w:rsid w:val="00B75E58"/>
    <w:rsid w:val="00B76CAE"/>
    <w:rsid w:val="00B773F1"/>
    <w:rsid w:val="00B828EE"/>
    <w:rsid w:val="00B84B45"/>
    <w:rsid w:val="00B84F32"/>
    <w:rsid w:val="00B852E6"/>
    <w:rsid w:val="00B854A1"/>
    <w:rsid w:val="00B9030E"/>
    <w:rsid w:val="00B90BF6"/>
    <w:rsid w:val="00B92CAF"/>
    <w:rsid w:val="00B96700"/>
    <w:rsid w:val="00B971B6"/>
    <w:rsid w:val="00BA1276"/>
    <w:rsid w:val="00BA23E2"/>
    <w:rsid w:val="00BA3B8D"/>
    <w:rsid w:val="00BA3D4D"/>
    <w:rsid w:val="00BA4388"/>
    <w:rsid w:val="00BA62AA"/>
    <w:rsid w:val="00BA7DE2"/>
    <w:rsid w:val="00BB04B2"/>
    <w:rsid w:val="00BB0B1D"/>
    <w:rsid w:val="00BB1282"/>
    <w:rsid w:val="00BB47AA"/>
    <w:rsid w:val="00BB65C1"/>
    <w:rsid w:val="00BB6F40"/>
    <w:rsid w:val="00BC1D4D"/>
    <w:rsid w:val="00BC2CEA"/>
    <w:rsid w:val="00BC39C2"/>
    <w:rsid w:val="00BC5C73"/>
    <w:rsid w:val="00BC7B08"/>
    <w:rsid w:val="00BC7F12"/>
    <w:rsid w:val="00BD019A"/>
    <w:rsid w:val="00BD074E"/>
    <w:rsid w:val="00BD35D6"/>
    <w:rsid w:val="00BD3FA1"/>
    <w:rsid w:val="00BD4C74"/>
    <w:rsid w:val="00BE23F7"/>
    <w:rsid w:val="00BE34EC"/>
    <w:rsid w:val="00BE4196"/>
    <w:rsid w:val="00BE4E95"/>
    <w:rsid w:val="00BF368F"/>
    <w:rsid w:val="00BF518E"/>
    <w:rsid w:val="00BF5C9D"/>
    <w:rsid w:val="00BF7C4D"/>
    <w:rsid w:val="00C03D0F"/>
    <w:rsid w:val="00C062B6"/>
    <w:rsid w:val="00C0794C"/>
    <w:rsid w:val="00C109CA"/>
    <w:rsid w:val="00C11CC6"/>
    <w:rsid w:val="00C14EBB"/>
    <w:rsid w:val="00C1736B"/>
    <w:rsid w:val="00C21763"/>
    <w:rsid w:val="00C27075"/>
    <w:rsid w:val="00C27A32"/>
    <w:rsid w:val="00C30369"/>
    <w:rsid w:val="00C31EEB"/>
    <w:rsid w:val="00C32445"/>
    <w:rsid w:val="00C34799"/>
    <w:rsid w:val="00C34AAD"/>
    <w:rsid w:val="00C3637E"/>
    <w:rsid w:val="00C366AC"/>
    <w:rsid w:val="00C3708B"/>
    <w:rsid w:val="00C40CB2"/>
    <w:rsid w:val="00C41C70"/>
    <w:rsid w:val="00C509D6"/>
    <w:rsid w:val="00C55403"/>
    <w:rsid w:val="00C57978"/>
    <w:rsid w:val="00C63A91"/>
    <w:rsid w:val="00C63DBF"/>
    <w:rsid w:val="00C7281F"/>
    <w:rsid w:val="00C77210"/>
    <w:rsid w:val="00C773CC"/>
    <w:rsid w:val="00C77D6E"/>
    <w:rsid w:val="00C819F6"/>
    <w:rsid w:val="00C82198"/>
    <w:rsid w:val="00C84FF7"/>
    <w:rsid w:val="00C86A60"/>
    <w:rsid w:val="00C877E1"/>
    <w:rsid w:val="00C91669"/>
    <w:rsid w:val="00C96BB4"/>
    <w:rsid w:val="00CA0672"/>
    <w:rsid w:val="00CA067E"/>
    <w:rsid w:val="00CA3521"/>
    <w:rsid w:val="00CA3752"/>
    <w:rsid w:val="00CA3786"/>
    <w:rsid w:val="00CA63B1"/>
    <w:rsid w:val="00CB37E8"/>
    <w:rsid w:val="00CC1692"/>
    <w:rsid w:val="00CC735A"/>
    <w:rsid w:val="00CC7F8E"/>
    <w:rsid w:val="00CD29A2"/>
    <w:rsid w:val="00CD42F9"/>
    <w:rsid w:val="00CD5988"/>
    <w:rsid w:val="00CD5A27"/>
    <w:rsid w:val="00CD65D5"/>
    <w:rsid w:val="00CD779F"/>
    <w:rsid w:val="00CE056A"/>
    <w:rsid w:val="00CE3806"/>
    <w:rsid w:val="00CE38E8"/>
    <w:rsid w:val="00CE73B3"/>
    <w:rsid w:val="00CE7989"/>
    <w:rsid w:val="00CF1A63"/>
    <w:rsid w:val="00CF3C49"/>
    <w:rsid w:val="00CF46BD"/>
    <w:rsid w:val="00CF77F2"/>
    <w:rsid w:val="00D019F2"/>
    <w:rsid w:val="00D033CE"/>
    <w:rsid w:val="00D054AD"/>
    <w:rsid w:val="00D05DC1"/>
    <w:rsid w:val="00D06EDA"/>
    <w:rsid w:val="00D07D8F"/>
    <w:rsid w:val="00D12C3C"/>
    <w:rsid w:val="00D139EA"/>
    <w:rsid w:val="00D17DA8"/>
    <w:rsid w:val="00D20125"/>
    <w:rsid w:val="00D20927"/>
    <w:rsid w:val="00D25E62"/>
    <w:rsid w:val="00D2720E"/>
    <w:rsid w:val="00D30AE1"/>
    <w:rsid w:val="00D31530"/>
    <w:rsid w:val="00D32983"/>
    <w:rsid w:val="00D3472C"/>
    <w:rsid w:val="00D352BA"/>
    <w:rsid w:val="00D3660E"/>
    <w:rsid w:val="00D37D9C"/>
    <w:rsid w:val="00D40908"/>
    <w:rsid w:val="00D4155F"/>
    <w:rsid w:val="00D439DB"/>
    <w:rsid w:val="00D453B4"/>
    <w:rsid w:val="00D454A3"/>
    <w:rsid w:val="00D47BC3"/>
    <w:rsid w:val="00D51020"/>
    <w:rsid w:val="00D51930"/>
    <w:rsid w:val="00D537B4"/>
    <w:rsid w:val="00D55AF1"/>
    <w:rsid w:val="00D631B2"/>
    <w:rsid w:val="00D63BA0"/>
    <w:rsid w:val="00D64288"/>
    <w:rsid w:val="00D6502B"/>
    <w:rsid w:val="00D65DA6"/>
    <w:rsid w:val="00D66F77"/>
    <w:rsid w:val="00D700E8"/>
    <w:rsid w:val="00D81306"/>
    <w:rsid w:val="00D850B5"/>
    <w:rsid w:val="00D85692"/>
    <w:rsid w:val="00D86648"/>
    <w:rsid w:val="00D86E6F"/>
    <w:rsid w:val="00D8724A"/>
    <w:rsid w:val="00D878DB"/>
    <w:rsid w:val="00D9031F"/>
    <w:rsid w:val="00D905D5"/>
    <w:rsid w:val="00D946C8"/>
    <w:rsid w:val="00DA078A"/>
    <w:rsid w:val="00DA10E9"/>
    <w:rsid w:val="00DA1A31"/>
    <w:rsid w:val="00DA257F"/>
    <w:rsid w:val="00DA4FD3"/>
    <w:rsid w:val="00DA7D9C"/>
    <w:rsid w:val="00DA7DCF"/>
    <w:rsid w:val="00DB0C49"/>
    <w:rsid w:val="00DB0D79"/>
    <w:rsid w:val="00DB298A"/>
    <w:rsid w:val="00DB3E1E"/>
    <w:rsid w:val="00DB4734"/>
    <w:rsid w:val="00DB79AF"/>
    <w:rsid w:val="00DC0C2F"/>
    <w:rsid w:val="00DC16AF"/>
    <w:rsid w:val="00DC1767"/>
    <w:rsid w:val="00DC2E2A"/>
    <w:rsid w:val="00DC41F9"/>
    <w:rsid w:val="00DC5912"/>
    <w:rsid w:val="00DC6A77"/>
    <w:rsid w:val="00DD04E7"/>
    <w:rsid w:val="00DD6274"/>
    <w:rsid w:val="00DD6E8A"/>
    <w:rsid w:val="00DE30EE"/>
    <w:rsid w:val="00DE4ED9"/>
    <w:rsid w:val="00DE5422"/>
    <w:rsid w:val="00DE5C15"/>
    <w:rsid w:val="00DF0E2B"/>
    <w:rsid w:val="00DF1A55"/>
    <w:rsid w:val="00DF5204"/>
    <w:rsid w:val="00E049AE"/>
    <w:rsid w:val="00E06BFE"/>
    <w:rsid w:val="00E07537"/>
    <w:rsid w:val="00E104E9"/>
    <w:rsid w:val="00E10F92"/>
    <w:rsid w:val="00E115A4"/>
    <w:rsid w:val="00E115B9"/>
    <w:rsid w:val="00E1337A"/>
    <w:rsid w:val="00E135CA"/>
    <w:rsid w:val="00E13C76"/>
    <w:rsid w:val="00E14D1F"/>
    <w:rsid w:val="00E2155B"/>
    <w:rsid w:val="00E215D3"/>
    <w:rsid w:val="00E2285C"/>
    <w:rsid w:val="00E2293D"/>
    <w:rsid w:val="00E22A62"/>
    <w:rsid w:val="00E2509E"/>
    <w:rsid w:val="00E3009D"/>
    <w:rsid w:val="00E30444"/>
    <w:rsid w:val="00E31AB9"/>
    <w:rsid w:val="00E35242"/>
    <w:rsid w:val="00E401EE"/>
    <w:rsid w:val="00E417F9"/>
    <w:rsid w:val="00E42490"/>
    <w:rsid w:val="00E4620D"/>
    <w:rsid w:val="00E5122A"/>
    <w:rsid w:val="00E51282"/>
    <w:rsid w:val="00E532EC"/>
    <w:rsid w:val="00E57F65"/>
    <w:rsid w:val="00E60700"/>
    <w:rsid w:val="00E62319"/>
    <w:rsid w:val="00E6679D"/>
    <w:rsid w:val="00E676A4"/>
    <w:rsid w:val="00E67F97"/>
    <w:rsid w:val="00E703EF"/>
    <w:rsid w:val="00E749B0"/>
    <w:rsid w:val="00E76789"/>
    <w:rsid w:val="00E77A8E"/>
    <w:rsid w:val="00E87B6C"/>
    <w:rsid w:val="00E91934"/>
    <w:rsid w:val="00E91A72"/>
    <w:rsid w:val="00E91B5C"/>
    <w:rsid w:val="00E92A72"/>
    <w:rsid w:val="00E931CC"/>
    <w:rsid w:val="00EA0FA8"/>
    <w:rsid w:val="00EA141A"/>
    <w:rsid w:val="00EA4A6A"/>
    <w:rsid w:val="00EA5A08"/>
    <w:rsid w:val="00EA5A4D"/>
    <w:rsid w:val="00EA6195"/>
    <w:rsid w:val="00EA6203"/>
    <w:rsid w:val="00EA7B22"/>
    <w:rsid w:val="00EB0510"/>
    <w:rsid w:val="00EB3A9D"/>
    <w:rsid w:val="00EB5E99"/>
    <w:rsid w:val="00EC0A5C"/>
    <w:rsid w:val="00EC4C88"/>
    <w:rsid w:val="00EC7113"/>
    <w:rsid w:val="00EC78BC"/>
    <w:rsid w:val="00ED57C1"/>
    <w:rsid w:val="00ED5962"/>
    <w:rsid w:val="00ED66E4"/>
    <w:rsid w:val="00ED7D79"/>
    <w:rsid w:val="00EE203B"/>
    <w:rsid w:val="00EE2153"/>
    <w:rsid w:val="00EE2681"/>
    <w:rsid w:val="00EE4808"/>
    <w:rsid w:val="00EE55D1"/>
    <w:rsid w:val="00EF1899"/>
    <w:rsid w:val="00EF386B"/>
    <w:rsid w:val="00EF46E8"/>
    <w:rsid w:val="00EF492B"/>
    <w:rsid w:val="00EF4C47"/>
    <w:rsid w:val="00EF52E1"/>
    <w:rsid w:val="00EF60EC"/>
    <w:rsid w:val="00F03302"/>
    <w:rsid w:val="00F03B5E"/>
    <w:rsid w:val="00F0507D"/>
    <w:rsid w:val="00F0589A"/>
    <w:rsid w:val="00F05FAA"/>
    <w:rsid w:val="00F07BCB"/>
    <w:rsid w:val="00F1143A"/>
    <w:rsid w:val="00F1443D"/>
    <w:rsid w:val="00F1477F"/>
    <w:rsid w:val="00F15007"/>
    <w:rsid w:val="00F16139"/>
    <w:rsid w:val="00F16C97"/>
    <w:rsid w:val="00F17303"/>
    <w:rsid w:val="00F20C8F"/>
    <w:rsid w:val="00F232EA"/>
    <w:rsid w:val="00F238C1"/>
    <w:rsid w:val="00F25490"/>
    <w:rsid w:val="00F26B07"/>
    <w:rsid w:val="00F2712B"/>
    <w:rsid w:val="00F32859"/>
    <w:rsid w:val="00F32A27"/>
    <w:rsid w:val="00F375E0"/>
    <w:rsid w:val="00F40160"/>
    <w:rsid w:val="00F407B3"/>
    <w:rsid w:val="00F41A65"/>
    <w:rsid w:val="00F51C30"/>
    <w:rsid w:val="00F52395"/>
    <w:rsid w:val="00F533F4"/>
    <w:rsid w:val="00F56140"/>
    <w:rsid w:val="00F56353"/>
    <w:rsid w:val="00F564DB"/>
    <w:rsid w:val="00F5727F"/>
    <w:rsid w:val="00F573D7"/>
    <w:rsid w:val="00F63988"/>
    <w:rsid w:val="00F647F3"/>
    <w:rsid w:val="00F65581"/>
    <w:rsid w:val="00F66C8A"/>
    <w:rsid w:val="00F70268"/>
    <w:rsid w:val="00F721D5"/>
    <w:rsid w:val="00F74D71"/>
    <w:rsid w:val="00F77E4C"/>
    <w:rsid w:val="00F80FE0"/>
    <w:rsid w:val="00F82213"/>
    <w:rsid w:val="00F84091"/>
    <w:rsid w:val="00F85E79"/>
    <w:rsid w:val="00F85F5A"/>
    <w:rsid w:val="00F86B14"/>
    <w:rsid w:val="00F90225"/>
    <w:rsid w:val="00F9135B"/>
    <w:rsid w:val="00F917C9"/>
    <w:rsid w:val="00F94E7C"/>
    <w:rsid w:val="00F9700E"/>
    <w:rsid w:val="00F978B2"/>
    <w:rsid w:val="00FA2701"/>
    <w:rsid w:val="00FA3C84"/>
    <w:rsid w:val="00FB5020"/>
    <w:rsid w:val="00FC0ADF"/>
    <w:rsid w:val="00FC1033"/>
    <w:rsid w:val="00FC19D2"/>
    <w:rsid w:val="00FC341A"/>
    <w:rsid w:val="00FC442C"/>
    <w:rsid w:val="00FC4578"/>
    <w:rsid w:val="00FC4731"/>
    <w:rsid w:val="00FC6D7D"/>
    <w:rsid w:val="00FC731D"/>
    <w:rsid w:val="00FD10A4"/>
    <w:rsid w:val="00FD3899"/>
    <w:rsid w:val="00FD394E"/>
    <w:rsid w:val="00FD489E"/>
    <w:rsid w:val="00FD6BC9"/>
    <w:rsid w:val="00FD7ECD"/>
    <w:rsid w:val="00FE1689"/>
    <w:rsid w:val="00FE33BE"/>
    <w:rsid w:val="00FE4B58"/>
    <w:rsid w:val="00FE6F45"/>
    <w:rsid w:val="00FF010A"/>
    <w:rsid w:val="00FF134B"/>
    <w:rsid w:val="00FF2C66"/>
    <w:rsid w:val="00FF31C1"/>
    <w:rsid w:val="00FF5CED"/>
    <w:rsid w:val="011D62B3"/>
    <w:rsid w:val="0125174C"/>
    <w:rsid w:val="013F376A"/>
    <w:rsid w:val="01464701"/>
    <w:rsid w:val="01474551"/>
    <w:rsid w:val="01493C25"/>
    <w:rsid w:val="014F52C5"/>
    <w:rsid w:val="01522AEF"/>
    <w:rsid w:val="01556123"/>
    <w:rsid w:val="015D5F2C"/>
    <w:rsid w:val="015F70A4"/>
    <w:rsid w:val="015F748E"/>
    <w:rsid w:val="016304A0"/>
    <w:rsid w:val="01672C6E"/>
    <w:rsid w:val="016810E9"/>
    <w:rsid w:val="016A0E94"/>
    <w:rsid w:val="01744D09"/>
    <w:rsid w:val="017C66CC"/>
    <w:rsid w:val="018F267B"/>
    <w:rsid w:val="019424E3"/>
    <w:rsid w:val="019D7C2E"/>
    <w:rsid w:val="019F10BE"/>
    <w:rsid w:val="01A074AC"/>
    <w:rsid w:val="01A1143F"/>
    <w:rsid w:val="01AD1989"/>
    <w:rsid w:val="01BB59DF"/>
    <w:rsid w:val="01C00D5A"/>
    <w:rsid w:val="01CC48B4"/>
    <w:rsid w:val="01D26C41"/>
    <w:rsid w:val="01D51505"/>
    <w:rsid w:val="01DD04EA"/>
    <w:rsid w:val="01F11148"/>
    <w:rsid w:val="01F2766F"/>
    <w:rsid w:val="01F70952"/>
    <w:rsid w:val="01FD0B58"/>
    <w:rsid w:val="020962F5"/>
    <w:rsid w:val="021C236F"/>
    <w:rsid w:val="021F4328"/>
    <w:rsid w:val="022A4A65"/>
    <w:rsid w:val="0239116D"/>
    <w:rsid w:val="023A759F"/>
    <w:rsid w:val="023C429A"/>
    <w:rsid w:val="024075CD"/>
    <w:rsid w:val="0243240D"/>
    <w:rsid w:val="024B2E56"/>
    <w:rsid w:val="0266308A"/>
    <w:rsid w:val="026B6980"/>
    <w:rsid w:val="02743479"/>
    <w:rsid w:val="02783B9A"/>
    <w:rsid w:val="0290305E"/>
    <w:rsid w:val="029466AB"/>
    <w:rsid w:val="02A1535E"/>
    <w:rsid w:val="02B37661"/>
    <w:rsid w:val="02B527A3"/>
    <w:rsid w:val="02B635A9"/>
    <w:rsid w:val="02BB7BD7"/>
    <w:rsid w:val="02BF3A64"/>
    <w:rsid w:val="02C00325"/>
    <w:rsid w:val="02D573AC"/>
    <w:rsid w:val="02DF2F4F"/>
    <w:rsid w:val="02EA55BA"/>
    <w:rsid w:val="02EB4F54"/>
    <w:rsid w:val="02ED4D29"/>
    <w:rsid w:val="02F14967"/>
    <w:rsid w:val="02F53D60"/>
    <w:rsid w:val="02F64B53"/>
    <w:rsid w:val="02F808A1"/>
    <w:rsid w:val="02F9563B"/>
    <w:rsid w:val="02FC74A6"/>
    <w:rsid w:val="03001044"/>
    <w:rsid w:val="03021C93"/>
    <w:rsid w:val="03087F86"/>
    <w:rsid w:val="03156574"/>
    <w:rsid w:val="03190612"/>
    <w:rsid w:val="032138B0"/>
    <w:rsid w:val="03234E25"/>
    <w:rsid w:val="032B16E1"/>
    <w:rsid w:val="032C55E7"/>
    <w:rsid w:val="03381D47"/>
    <w:rsid w:val="0339044A"/>
    <w:rsid w:val="033D7F2E"/>
    <w:rsid w:val="03524BA0"/>
    <w:rsid w:val="03525F75"/>
    <w:rsid w:val="035B32C2"/>
    <w:rsid w:val="035D4D71"/>
    <w:rsid w:val="03632DE9"/>
    <w:rsid w:val="03675B52"/>
    <w:rsid w:val="036F0FC5"/>
    <w:rsid w:val="039328B1"/>
    <w:rsid w:val="03955BED"/>
    <w:rsid w:val="03A53CD4"/>
    <w:rsid w:val="03CD382D"/>
    <w:rsid w:val="03CD67D4"/>
    <w:rsid w:val="03D8619A"/>
    <w:rsid w:val="03D965C7"/>
    <w:rsid w:val="03DD6186"/>
    <w:rsid w:val="03E10F65"/>
    <w:rsid w:val="03E64F69"/>
    <w:rsid w:val="03EA609F"/>
    <w:rsid w:val="03F84981"/>
    <w:rsid w:val="04036D1C"/>
    <w:rsid w:val="04053E66"/>
    <w:rsid w:val="040E2104"/>
    <w:rsid w:val="04122C5A"/>
    <w:rsid w:val="0422317E"/>
    <w:rsid w:val="04240526"/>
    <w:rsid w:val="042A2739"/>
    <w:rsid w:val="044F50C2"/>
    <w:rsid w:val="0474538F"/>
    <w:rsid w:val="047E776D"/>
    <w:rsid w:val="047F7C67"/>
    <w:rsid w:val="04824211"/>
    <w:rsid w:val="048358B6"/>
    <w:rsid w:val="049E39FA"/>
    <w:rsid w:val="04A2513C"/>
    <w:rsid w:val="04A323E0"/>
    <w:rsid w:val="04A55F60"/>
    <w:rsid w:val="04AA586A"/>
    <w:rsid w:val="04AC3266"/>
    <w:rsid w:val="04AE4F81"/>
    <w:rsid w:val="04B45DFE"/>
    <w:rsid w:val="04BE2F6A"/>
    <w:rsid w:val="04C66B88"/>
    <w:rsid w:val="04CE7FA4"/>
    <w:rsid w:val="04D23811"/>
    <w:rsid w:val="04D34C3B"/>
    <w:rsid w:val="04D77CFD"/>
    <w:rsid w:val="04DB717D"/>
    <w:rsid w:val="04E24BC8"/>
    <w:rsid w:val="04EB0B5B"/>
    <w:rsid w:val="04EB6841"/>
    <w:rsid w:val="04F156AE"/>
    <w:rsid w:val="04FD26C1"/>
    <w:rsid w:val="05054D6B"/>
    <w:rsid w:val="050B5BC5"/>
    <w:rsid w:val="051100BB"/>
    <w:rsid w:val="051F457C"/>
    <w:rsid w:val="05254F70"/>
    <w:rsid w:val="052753F5"/>
    <w:rsid w:val="052760B9"/>
    <w:rsid w:val="0527725F"/>
    <w:rsid w:val="053563A0"/>
    <w:rsid w:val="054505C5"/>
    <w:rsid w:val="05530DF3"/>
    <w:rsid w:val="056502B6"/>
    <w:rsid w:val="05697642"/>
    <w:rsid w:val="05855B18"/>
    <w:rsid w:val="058E0A50"/>
    <w:rsid w:val="05922FA0"/>
    <w:rsid w:val="05946D18"/>
    <w:rsid w:val="05A10EC0"/>
    <w:rsid w:val="05A37CE5"/>
    <w:rsid w:val="05A4532B"/>
    <w:rsid w:val="05B13804"/>
    <w:rsid w:val="05B20F4D"/>
    <w:rsid w:val="05B46608"/>
    <w:rsid w:val="05B72A07"/>
    <w:rsid w:val="05C54CF0"/>
    <w:rsid w:val="05C72C4A"/>
    <w:rsid w:val="05D435B9"/>
    <w:rsid w:val="05E0642E"/>
    <w:rsid w:val="05F50DE2"/>
    <w:rsid w:val="061117FD"/>
    <w:rsid w:val="061A7031"/>
    <w:rsid w:val="061B20EC"/>
    <w:rsid w:val="06206D2A"/>
    <w:rsid w:val="062228A0"/>
    <w:rsid w:val="06232CF4"/>
    <w:rsid w:val="0629722D"/>
    <w:rsid w:val="062C39BD"/>
    <w:rsid w:val="06334BF9"/>
    <w:rsid w:val="06366F9B"/>
    <w:rsid w:val="064416AA"/>
    <w:rsid w:val="0646745B"/>
    <w:rsid w:val="064D010A"/>
    <w:rsid w:val="064D6F0A"/>
    <w:rsid w:val="06581AF4"/>
    <w:rsid w:val="06611258"/>
    <w:rsid w:val="0662021E"/>
    <w:rsid w:val="066269ED"/>
    <w:rsid w:val="06671019"/>
    <w:rsid w:val="06671693"/>
    <w:rsid w:val="066F774E"/>
    <w:rsid w:val="0671532D"/>
    <w:rsid w:val="067F3AAC"/>
    <w:rsid w:val="068021BB"/>
    <w:rsid w:val="06831F77"/>
    <w:rsid w:val="068E2235"/>
    <w:rsid w:val="069249C6"/>
    <w:rsid w:val="06947C37"/>
    <w:rsid w:val="069D3C3A"/>
    <w:rsid w:val="06A92350"/>
    <w:rsid w:val="06AA2EA5"/>
    <w:rsid w:val="06B1707D"/>
    <w:rsid w:val="06B207D9"/>
    <w:rsid w:val="06BA5F74"/>
    <w:rsid w:val="06C07699"/>
    <w:rsid w:val="06C77CC7"/>
    <w:rsid w:val="06D56C09"/>
    <w:rsid w:val="06D6650F"/>
    <w:rsid w:val="06E23664"/>
    <w:rsid w:val="06EE4E8A"/>
    <w:rsid w:val="0701326A"/>
    <w:rsid w:val="07014A1B"/>
    <w:rsid w:val="07065763"/>
    <w:rsid w:val="070768A8"/>
    <w:rsid w:val="0708143D"/>
    <w:rsid w:val="07087CBE"/>
    <w:rsid w:val="0709444C"/>
    <w:rsid w:val="071307F2"/>
    <w:rsid w:val="071417F8"/>
    <w:rsid w:val="071778F0"/>
    <w:rsid w:val="071F3458"/>
    <w:rsid w:val="07322102"/>
    <w:rsid w:val="0738247A"/>
    <w:rsid w:val="073B283C"/>
    <w:rsid w:val="073B2961"/>
    <w:rsid w:val="07407BB1"/>
    <w:rsid w:val="076808B4"/>
    <w:rsid w:val="07760081"/>
    <w:rsid w:val="077A560F"/>
    <w:rsid w:val="07803F07"/>
    <w:rsid w:val="07871E07"/>
    <w:rsid w:val="078922A6"/>
    <w:rsid w:val="078F5036"/>
    <w:rsid w:val="079300AD"/>
    <w:rsid w:val="079B317C"/>
    <w:rsid w:val="079F276F"/>
    <w:rsid w:val="07AE0F42"/>
    <w:rsid w:val="07B34CE6"/>
    <w:rsid w:val="07C17C09"/>
    <w:rsid w:val="07D104BB"/>
    <w:rsid w:val="07EB7FF1"/>
    <w:rsid w:val="07F45356"/>
    <w:rsid w:val="08080CF4"/>
    <w:rsid w:val="080A575E"/>
    <w:rsid w:val="08134D4A"/>
    <w:rsid w:val="081A6C49"/>
    <w:rsid w:val="082A76E7"/>
    <w:rsid w:val="082D1F5E"/>
    <w:rsid w:val="082D4466"/>
    <w:rsid w:val="08367B35"/>
    <w:rsid w:val="08386E57"/>
    <w:rsid w:val="084D1BEF"/>
    <w:rsid w:val="084F775B"/>
    <w:rsid w:val="0853077A"/>
    <w:rsid w:val="08547CC5"/>
    <w:rsid w:val="08560DF8"/>
    <w:rsid w:val="0856787D"/>
    <w:rsid w:val="085B2D75"/>
    <w:rsid w:val="085D0BD5"/>
    <w:rsid w:val="086302A0"/>
    <w:rsid w:val="08661E21"/>
    <w:rsid w:val="086B05A4"/>
    <w:rsid w:val="086E2E40"/>
    <w:rsid w:val="08773E9A"/>
    <w:rsid w:val="08860254"/>
    <w:rsid w:val="08871A72"/>
    <w:rsid w:val="08876D51"/>
    <w:rsid w:val="08892AAF"/>
    <w:rsid w:val="08912272"/>
    <w:rsid w:val="08925B5A"/>
    <w:rsid w:val="08A03260"/>
    <w:rsid w:val="08A35911"/>
    <w:rsid w:val="08A72D70"/>
    <w:rsid w:val="08B82C11"/>
    <w:rsid w:val="08BC4BEC"/>
    <w:rsid w:val="08BC56E9"/>
    <w:rsid w:val="08C43471"/>
    <w:rsid w:val="08CA4C07"/>
    <w:rsid w:val="08CB2A51"/>
    <w:rsid w:val="08D30640"/>
    <w:rsid w:val="08E25FED"/>
    <w:rsid w:val="08E6180E"/>
    <w:rsid w:val="08E67985"/>
    <w:rsid w:val="08F808CD"/>
    <w:rsid w:val="08FA4516"/>
    <w:rsid w:val="08FE7E80"/>
    <w:rsid w:val="091022D8"/>
    <w:rsid w:val="091B2C9D"/>
    <w:rsid w:val="09242573"/>
    <w:rsid w:val="092D1320"/>
    <w:rsid w:val="092E099E"/>
    <w:rsid w:val="092F2B38"/>
    <w:rsid w:val="092F66A5"/>
    <w:rsid w:val="09311CAC"/>
    <w:rsid w:val="09323059"/>
    <w:rsid w:val="09357345"/>
    <w:rsid w:val="09361546"/>
    <w:rsid w:val="09364FFB"/>
    <w:rsid w:val="0937252C"/>
    <w:rsid w:val="093753C0"/>
    <w:rsid w:val="093A6D33"/>
    <w:rsid w:val="09431F53"/>
    <w:rsid w:val="0952428E"/>
    <w:rsid w:val="0954244A"/>
    <w:rsid w:val="095F5F61"/>
    <w:rsid w:val="09636D14"/>
    <w:rsid w:val="09680BBB"/>
    <w:rsid w:val="097164C4"/>
    <w:rsid w:val="09770BDC"/>
    <w:rsid w:val="097948C7"/>
    <w:rsid w:val="097C267A"/>
    <w:rsid w:val="09882067"/>
    <w:rsid w:val="09941F03"/>
    <w:rsid w:val="09A73867"/>
    <w:rsid w:val="09BB33B8"/>
    <w:rsid w:val="09D42F1E"/>
    <w:rsid w:val="09DD5631"/>
    <w:rsid w:val="09DE1E8E"/>
    <w:rsid w:val="09E61CC7"/>
    <w:rsid w:val="09E76B73"/>
    <w:rsid w:val="09EC140F"/>
    <w:rsid w:val="09F63112"/>
    <w:rsid w:val="09F8488C"/>
    <w:rsid w:val="0A162DBD"/>
    <w:rsid w:val="0A1C0333"/>
    <w:rsid w:val="0A1D49D6"/>
    <w:rsid w:val="0A295F63"/>
    <w:rsid w:val="0A3463D4"/>
    <w:rsid w:val="0A363FCA"/>
    <w:rsid w:val="0A4915EC"/>
    <w:rsid w:val="0A4A7967"/>
    <w:rsid w:val="0A5B15D2"/>
    <w:rsid w:val="0A5B6CB9"/>
    <w:rsid w:val="0A6255A5"/>
    <w:rsid w:val="0A6A2392"/>
    <w:rsid w:val="0A744A01"/>
    <w:rsid w:val="0A7768C4"/>
    <w:rsid w:val="0A942A24"/>
    <w:rsid w:val="0AB04EFB"/>
    <w:rsid w:val="0AB07059"/>
    <w:rsid w:val="0AC06952"/>
    <w:rsid w:val="0AC93AF5"/>
    <w:rsid w:val="0AD34973"/>
    <w:rsid w:val="0AFC10CE"/>
    <w:rsid w:val="0B030E4A"/>
    <w:rsid w:val="0B111302"/>
    <w:rsid w:val="0B116913"/>
    <w:rsid w:val="0B172FFA"/>
    <w:rsid w:val="0B283B60"/>
    <w:rsid w:val="0B2E0EA3"/>
    <w:rsid w:val="0B390525"/>
    <w:rsid w:val="0B3A7F85"/>
    <w:rsid w:val="0B420FD8"/>
    <w:rsid w:val="0B5349C7"/>
    <w:rsid w:val="0B547200"/>
    <w:rsid w:val="0B634A2C"/>
    <w:rsid w:val="0B8912F8"/>
    <w:rsid w:val="0B8A14BD"/>
    <w:rsid w:val="0B8A2FB9"/>
    <w:rsid w:val="0B8D666D"/>
    <w:rsid w:val="0B920AF7"/>
    <w:rsid w:val="0B9C2265"/>
    <w:rsid w:val="0B9F686A"/>
    <w:rsid w:val="0BA16DE4"/>
    <w:rsid w:val="0BAE43CA"/>
    <w:rsid w:val="0BBC513A"/>
    <w:rsid w:val="0BBC7130"/>
    <w:rsid w:val="0BCC1B54"/>
    <w:rsid w:val="0BD50A8F"/>
    <w:rsid w:val="0BD77A7E"/>
    <w:rsid w:val="0BDE1BB1"/>
    <w:rsid w:val="0BDE5D2C"/>
    <w:rsid w:val="0BE20898"/>
    <w:rsid w:val="0BE84E70"/>
    <w:rsid w:val="0BF56C5D"/>
    <w:rsid w:val="0BF7768E"/>
    <w:rsid w:val="0C0216CD"/>
    <w:rsid w:val="0C115D3E"/>
    <w:rsid w:val="0C173BA4"/>
    <w:rsid w:val="0C174155"/>
    <w:rsid w:val="0C192D23"/>
    <w:rsid w:val="0C1A23AC"/>
    <w:rsid w:val="0C284B20"/>
    <w:rsid w:val="0C536786"/>
    <w:rsid w:val="0C5967AF"/>
    <w:rsid w:val="0C6353D9"/>
    <w:rsid w:val="0C6476B4"/>
    <w:rsid w:val="0C832594"/>
    <w:rsid w:val="0C854BBD"/>
    <w:rsid w:val="0C8D17B5"/>
    <w:rsid w:val="0CA21B7C"/>
    <w:rsid w:val="0CC02E3F"/>
    <w:rsid w:val="0CD25BB2"/>
    <w:rsid w:val="0CD65E68"/>
    <w:rsid w:val="0CD821A8"/>
    <w:rsid w:val="0CE1024E"/>
    <w:rsid w:val="0CE94223"/>
    <w:rsid w:val="0CEA714C"/>
    <w:rsid w:val="0CF51312"/>
    <w:rsid w:val="0CFA6ECC"/>
    <w:rsid w:val="0CFB0E0D"/>
    <w:rsid w:val="0CFD1E34"/>
    <w:rsid w:val="0D094EDC"/>
    <w:rsid w:val="0D1A5EA5"/>
    <w:rsid w:val="0D1A6737"/>
    <w:rsid w:val="0D1D771D"/>
    <w:rsid w:val="0D367260"/>
    <w:rsid w:val="0D465BE6"/>
    <w:rsid w:val="0D5004DB"/>
    <w:rsid w:val="0D511D16"/>
    <w:rsid w:val="0D5152A8"/>
    <w:rsid w:val="0D5A546D"/>
    <w:rsid w:val="0D700D51"/>
    <w:rsid w:val="0D726FB6"/>
    <w:rsid w:val="0D8F6819"/>
    <w:rsid w:val="0DA20438"/>
    <w:rsid w:val="0DB510C1"/>
    <w:rsid w:val="0DB54CA6"/>
    <w:rsid w:val="0DC62A53"/>
    <w:rsid w:val="0DD35B2B"/>
    <w:rsid w:val="0DDE1C13"/>
    <w:rsid w:val="0DF5426E"/>
    <w:rsid w:val="0DF55EC5"/>
    <w:rsid w:val="0DF65D09"/>
    <w:rsid w:val="0DFE725B"/>
    <w:rsid w:val="0E001FD4"/>
    <w:rsid w:val="0E0E01A9"/>
    <w:rsid w:val="0E1B7A58"/>
    <w:rsid w:val="0E1D5028"/>
    <w:rsid w:val="0E2B27CD"/>
    <w:rsid w:val="0E3124EA"/>
    <w:rsid w:val="0E42572D"/>
    <w:rsid w:val="0E4378D7"/>
    <w:rsid w:val="0E453262"/>
    <w:rsid w:val="0E54660C"/>
    <w:rsid w:val="0E6104E9"/>
    <w:rsid w:val="0E613373"/>
    <w:rsid w:val="0E6332EE"/>
    <w:rsid w:val="0E6549A0"/>
    <w:rsid w:val="0E6F7775"/>
    <w:rsid w:val="0E73253B"/>
    <w:rsid w:val="0E77573A"/>
    <w:rsid w:val="0E7F2D97"/>
    <w:rsid w:val="0E895BA1"/>
    <w:rsid w:val="0E9B095E"/>
    <w:rsid w:val="0EBC76CF"/>
    <w:rsid w:val="0EC0107B"/>
    <w:rsid w:val="0EC12066"/>
    <w:rsid w:val="0ED17392"/>
    <w:rsid w:val="0ED352E7"/>
    <w:rsid w:val="0EE11345"/>
    <w:rsid w:val="0EE5252E"/>
    <w:rsid w:val="0EF00C22"/>
    <w:rsid w:val="0EF25EAB"/>
    <w:rsid w:val="0EFA3FE3"/>
    <w:rsid w:val="0EFC312D"/>
    <w:rsid w:val="0F0670B1"/>
    <w:rsid w:val="0F0F178F"/>
    <w:rsid w:val="0F0F5C21"/>
    <w:rsid w:val="0F163064"/>
    <w:rsid w:val="0F170B76"/>
    <w:rsid w:val="0F304F86"/>
    <w:rsid w:val="0F3E3A86"/>
    <w:rsid w:val="0F477374"/>
    <w:rsid w:val="0F480123"/>
    <w:rsid w:val="0F4F692B"/>
    <w:rsid w:val="0F501F02"/>
    <w:rsid w:val="0F5057B1"/>
    <w:rsid w:val="0F701290"/>
    <w:rsid w:val="0F766384"/>
    <w:rsid w:val="0F8778E4"/>
    <w:rsid w:val="0F8C47F9"/>
    <w:rsid w:val="0F9609FA"/>
    <w:rsid w:val="0FA90531"/>
    <w:rsid w:val="0FAC679B"/>
    <w:rsid w:val="0FAE57BB"/>
    <w:rsid w:val="0FB46533"/>
    <w:rsid w:val="0FB65047"/>
    <w:rsid w:val="0FB73D2F"/>
    <w:rsid w:val="0FBB0C82"/>
    <w:rsid w:val="0FCC4EEE"/>
    <w:rsid w:val="0FCF0AFA"/>
    <w:rsid w:val="0FD24CBE"/>
    <w:rsid w:val="0FD70FEE"/>
    <w:rsid w:val="0FD74147"/>
    <w:rsid w:val="0FDB6D94"/>
    <w:rsid w:val="0FDE4F4A"/>
    <w:rsid w:val="0FE63FF4"/>
    <w:rsid w:val="0FE77EA9"/>
    <w:rsid w:val="0FEA4087"/>
    <w:rsid w:val="0FED14FF"/>
    <w:rsid w:val="0FF7166E"/>
    <w:rsid w:val="0FF85F22"/>
    <w:rsid w:val="10073416"/>
    <w:rsid w:val="10096554"/>
    <w:rsid w:val="101049BC"/>
    <w:rsid w:val="101B70A9"/>
    <w:rsid w:val="101E5B5C"/>
    <w:rsid w:val="101F3111"/>
    <w:rsid w:val="102962AF"/>
    <w:rsid w:val="102C0B16"/>
    <w:rsid w:val="10356088"/>
    <w:rsid w:val="103825AC"/>
    <w:rsid w:val="103A4DC8"/>
    <w:rsid w:val="104431B5"/>
    <w:rsid w:val="104444E3"/>
    <w:rsid w:val="1047253F"/>
    <w:rsid w:val="10483C46"/>
    <w:rsid w:val="10491258"/>
    <w:rsid w:val="10517037"/>
    <w:rsid w:val="105B5459"/>
    <w:rsid w:val="105B7DE8"/>
    <w:rsid w:val="10613009"/>
    <w:rsid w:val="106B350D"/>
    <w:rsid w:val="106C348C"/>
    <w:rsid w:val="107415C8"/>
    <w:rsid w:val="107B4C4E"/>
    <w:rsid w:val="10833FB9"/>
    <w:rsid w:val="108D6835"/>
    <w:rsid w:val="1093259E"/>
    <w:rsid w:val="109C7184"/>
    <w:rsid w:val="10AB12C6"/>
    <w:rsid w:val="10AC24E0"/>
    <w:rsid w:val="10B93AD7"/>
    <w:rsid w:val="10BC3E63"/>
    <w:rsid w:val="10BD40F5"/>
    <w:rsid w:val="10CE460D"/>
    <w:rsid w:val="10D03B9E"/>
    <w:rsid w:val="10E86137"/>
    <w:rsid w:val="11140717"/>
    <w:rsid w:val="1116406F"/>
    <w:rsid w:val="111C5720"/>
    <w:rsid w:val="11215186"/>
    <w:rsid w:val="11215187"/>
    <w:rsid w:val="11216B87"/>
    <w:rsid w:val="11380EA0"/>
    <w:rsid w:val="114C4241"/>
    <w:rsid w:val="11586951"/>
    <w:rsid w:val="115F7629"/>
    <w:rsid w:val="11670B0A"/>
    <w:rsid w:val="116B57C5"/>
    <w:rsid w:val="116E524C"/>
    <w:rsid w:val="11786827"/>
    <w:rsid w:val="117E487D"/>
    <w:rsid w:val="118C3758"/>
    <w:rsid w:val="119065D1"/>
    <w:rsid w:val="11950D50"/>
    <w:rsid w:val="11963E18"/>
    <w:rsid w:val="11980BA0"/>
    <w:rsid w:val="11D5520B"/>
    <w:rsid w:val="11D9548D"/>
    <w:rsid w:val="11DB57C4"/>
    <w:rsid w:val="11E954BE"/>
    <w:rsid w:val="11EF2639"/>
    <w:rsid w:val="11FC1DE8"/>
    <w:rsid w:val="12026FF9"/>
    <w:rsid w:val="1202738C"/>
    <w:rsid w:val="12242192"/>
    <w:rsid w:val="12273D68"/>
    <w:rsid w:val="122E5DFF"/>
    <w:rsid w:val="123B43F7"/>
    <w:rsid w:val="12452D2C"/>
    <w:rsid w:val="12672E7C"/>
    <w:rsid w:val="1268070B"/>
    <w:rsid w:val="127462BD"/>
    <w:rsid w:val="12786C2A"/>
    <w:rsid w:val="128241BE"/>
    <w:rsid w:val="128A2953"/>
    <w:rsid w:val="12A81EC3"/>
    <w:rsid w:val="12B5525A"/>
    <w:rsid w:val="12C82FF3"/>
    <w:rsid w:val="12C9164D"/>
    <w:rsid w:val="12CB18A0"/>
    <w:rsid w:val="12CB59A1"/>
    <w:rsid w:val="12DB3D4C"/>
    <w:rsid w:val="12DC3213"/>
    <w:rsid w:val="12E14780"/>
    <w:rsid w:val="12FB5BEC"/>
    <w:rsid w:val="13074EF0"/>
    <w:rsid w:val="13123FAF"/>
    <w:rsid w:val="13134268"/>
    <w:rsid w:val="132511E5"/>
    <w:rsid w:val="13254D2A"/>
    <w:rsid w:val="132D3708"/>
    <w:rsid w:val="13312E74"/>
    <w:rsid w:val="134C396B"/>
    <w:rsid w:val="134C3D74"/>
    <w:rsid w:val="137166DD"/>
    <w:rsid w:val="137F042C"/>
    <w:rsid w:val="13801AC0"/>
    <w:rsid w:val="139D5CE8"/>
    <w:rsid w:val="13AA6B2E"/>
    <w:rsid w:val="13AB0EB6"/>
    <w:rsid w:val="13B900DD"/>
    <w:rsid w:val="13C37EE0"/>
    <w:rsid w:val="13C4493B"/>
    <w:rsid w:val="13D21AC9"/>
    <w:rsid w:val="13DC7B20"/>
    <w:rsid w:val="13DE4636"/>
    <w:rsid w:val="13DF220C"/>
    <w:rsid w:val="13E1454A"/>
    <w:rsid w:val="13EB0011"/>
    <w:rsid w:val="13EC1631"/>
    <w:rsid w:val="13EF59EF"/>
    <w:rsid w:val="13F25105"/>
    <w:rsid w:val="13F90F79"/>
    <w:rsid w:val="141012A3"/>
    <w:rsid w:val="141B74ED"/>
    <w:rsid w:val="142C2A5C"/>
    <w:rsid w:val="142C447D"/>
    <w:rsid w:val="142E2D04"/>
    <w:rsid w:val="142F3F49"/>
    <w:rsid w:val="143028A2"/>
    <w:rsid w:val="14510134"/>
    <w:rsid w:val="146F73E6"/>
    <w:rsid w:val="1475785A"/>
    <w:rsid w:val="147815B3"/>
    <w:rsid w:val="147B348C"/>
    <w:rsid w:val="14800240"/>
    <w:rsid w:val="14931E41"/>
    <w:rsid w:val="14976B7A"/>
    <w:rsid w:val="149B10F2"/>
    <w:rsid w:val="14A05E87"/>
    <w:rsid w:val="14A174FB"/>
    <w:rsid w:val="14A73C36"/>
    <w:rsid w:val="14A81E98"/>
    <w:rsid w:val="14AB5DAB"/>
    <w:rsid w:val="14AE3107"/>
    <w:rsid w:val="14B06FF3"/>
    <w:rsid w:val="14B922F8"/>
    <w:rsid w:val="14BB5A8C"/>
    <w:rsid w:val="14CA1512"/>
    <w:rsid w:val="14EC78D9"/>
    <w:rsid w:val="14F07463"/>
    <w:rsid w:val="14F97670"/>
    <w:rsid w:val="14FF7754"/>
    <w:rsid w:val="1504170B"/>
    <w:rsid w:val="150A4AA2"/>
    <w:rsid w:val="150B3871"/>
    <w:rsid w:val="151A2D1F"/>
    <w:rsid w:val="152B73DA"/>
    <w:rsid w:val="15406652"/>
    <w:rsid w:val="15576EFC"/>
    <w:rsid w:val="156C4EC4"/>
    <w:rsid w:val="157228F8"/>
    <w:rsid w:val="157A2868"/>
    <w:rsid w:val="157B23ED"/>
    <w:rsid w:val="157E4AD0"/>
    <w:rsid w:val="15802F9D"/>
    <w:rsid w:val="158243EC"/>
    <w:rsid w:val="158816A4"/>
    <w:rsid w:val="159266A5"/>
    <w:rsid w:val="15956489"/>
    <w:rsid w:val="159B0A72"/>
    <w:rsid w:val="15A37ACE"/>
    <w:rsid w:val="15B0069C"/>
    <w:rsid w:val="15B3393D"/>
    <w:rsid w:val="15B414CF"/>
    <w:rsid w:val="15B436F1"/>
    <w:rsid w:val="15BD6AC5"/>
    <w:rsid w:val="15C06DDD"/>
    <w:rsid w:val="15CC3E61"/>
    <w:rsid w:val="15CC4AB1"/>
    <w:rsid w:val="15D01413"/>
    <w:rsid w:val="15D96D9D"/>
    <w:rsid w:val="15E200EA"/>
    <w:rsid w:val="15E96F51"/>
    <w:rsid w:val="15EB6F13"/>
    <w:rsid w:val="15F06626"/>
    <w:rsid w:val="16001073"/>
    <w:rsid w:val="1606156C"/>
    <w:rsid w:val="160F18A7"/>
    <w:rsid w:val="161432E4"/>
    <w:rsid w:val="161C2701"/>
    <w:rsid w:val="162A42C6"/>
    <w:rsid w:val="162F4BFD"/>
    <w:rsid w:val="164750B4"/>
    <w:rsid w:val="16570CF7"/>
    <w:rsid w:val="165F273E"/>
    <w:rsid w:val="1665739C"/>
    <w:rsid w:val="166B5276"/>
    <w:rsid w:val="166F4871"/>
    <w:rsid w:val="167504A0"/>
    <w:rsid w:val="168246AB"/>
    <w:rsid w:val="168E1562"/>
    <w:rsid w:val="168F7E12"/>
    <w:rsid w:val="16A00187"/>
    <w:rsid w:val="16A420A9"/>
    <w:rsid w:val="16AB1F5A"/>
    <w:rsid w:val="16AB4B18"/>
    <w:rsid w:val="16AE2F2B"/>
    <w:rsid w:val="16B04E77"/>
    <w:rsid w:val="16B23BF3"/>
    <w:rsid w:val="16B60A61"/>
    <w:rsid w:val="16B9195D"/>
    <w:rsid w:val="16BC54BB"/>
    <w:rsid w:val="16BE7D3A"/>
    <w:rsid w:val="16C4659B"/>
    <w:rsid w:val="16CD06F1"/>
    <w:rsid w:val="16DA7B96"/>
    <w:rsid w:val="16DB2409"/>
    <w:rsid w:val="16DF25D8"/>
    <w:rsid w:val="16E11BCB"/>
    <w:rsid w:val="16E35AFB"/>
    <w:rsid w:val="16E8381E"/>
    <w:rsid w:val="16EA1882"/>
    <w:rsid w:val="16EF4869"/>
    <w:rsid w:val="16F16E37"/>
    <w:rsid w:val="16F9146A"/>
    <w:rsid w:val="16FF1F65"/>
    <w:rsid w:val="17057F58"/>
    <w:rsid w:val="17071CEF"/>
    <w:rsid w:val="171714FA"/>
    <w:rsid w:val="171E582C"/>
    <w:rsid w:val="17223997"/>
    <w:rsid w:val="17264790"/>
    <w:rsid w:val="173568C9"/>
    <w:rsid w:val="173C3267"/>
    <w:rsid w:val="174A44AA"/>
    <w:rsid w:val="17504D56"/>
    <w:rsid w:val="17657192"/>
    <w:rsid w:val="176764F9"/>
    <w:rsid w:val="177000D7"/>
    <w:rsid w:val="1771162D"/>
    <w:rsid w:val="177E1563"/>
    <w:rsid w:val="17836B45"/>
    <w:rsid w:val="178428D7"/>
    <w:rsid w:val="1788358F"/>
    <w:rsid w:val="178B17C6"/>
    <w:rsid w:val="178B5C0C"/>
    <w:rsid w:val="179B5CE4"/>
    <w:rsid w:val="17B31CD4"/>
    <w:rsid w:val="17B5332F"/>
    <w:rsid w:val="17BF04DC"/>
    <w:rsid w:val="17BF5631"/>
    <w:rsid w:val="17C45E45"/>
    <w:rsid w:val="17CF5CF0"/>
    <w:rsid w:val="17D678CB"/>
    <w:rsid w:val="17E15C14"/>
    <w:rsid w:val="17FC6333"/>
    <w:rsid w:val="18006317"/>
    <w:rsid w:val="18041B55"/>
    <w:rsid w:val="1813063F"/>
    <w:rsid w:val="181343A9"/>
    <w:rsid w:val="18136DA7"/>
    <w:rsid w:val="181B4BF4"/>
    <w:rsid w:val="18223761"/>
    <w:rsid w:val="182B5950"/>
    <w:rsid w:val="182D2F91"/>
    <w:rsid w:val="182E2959"/>
    <w:rsid w:val="18300488"/>
    <w:rsid w:val="183465C1"/>
    <w:rsid w:val="184346BA"/>
    <w:rsid w:val="184357FB"/>
    <w:rsid w:val="184E2D57"/>
    <w:rsid w:val="184E650B"/>
    <w:rsid w:val="185D6AB1"/>
    <w:rsid w:val="186900CD"/>
    <w:rsid w:val="18706242"/>
    <w:rsid w:val="18745CAA"/>
    <w:rsid w:val="187A4666"/>
    <w:rsid w:val="187B2A86"/>
    <w:rsid w:val="187D4912"/>
    <w:rsid w:val="187D5E59"/>
    <w:rsid w:val="18846F2A"/>
    <w:rsid w:val="188C3175"/>
    <w:rsid w:val="18992B31"/>
    <w:rsid w:val="189E30FE"/>
    <w:rsid w:val="18A1363F"/>
    <w:rsid w:val="18A932C3"/>
    <w:rsid w:val="18B52CE7"/>
    <w:rsid w:val="18C70E99"/>
    <w:rsid w:val="18C83A5A"/>
    <w:rsid w:val="18CD1A43"/>
    <w:rsid w:val="18CD1E1F"/>
    <w:rsid w:val="18DA0587"/>
    <w:rsid w:val="18EB2C9C"/>
    <w:rsid w:val="18F34B45"/>
    <w:rsid w:val="18F45F72"/>
    <w:rsid w:val="18F5338E"/>
    <w:rsid w:val="190022C4"/>
    <w:rsid w:val="19096CC6"/>
    <w:rsid w:val="19146542"/>
    <w:rsid w:val="19377D6D"/>
    <w:rsid w:val="193B6EBF"/>
    <w:rsid w:val="193D3A2D"/>
    <w:rsid w:val="194A4E23"/>
    <w:rsid w:val="194B30ED"/>
    <w:rsid w:val="19510117"/>
    <w:rsid w:val="195261EB"/>
    <w:rsid w:val="195A462E"/>
    <w:rsid w:val="195D3CB1"/>
    <w:rsid w:val="196000FF"/>
    <w:rsid w:val="19601EBC"/>
    <w:rsid w:val="19650A4B"/>
    <w:rsid w:val="196B0EA8"/>
    <w:rsid w:val="197A550A"/>
    <w:rsid w:val="198F7BB3"/>
    <w:rsid w:val="19A72694"/>
    <w:rsid w:val="19AC720D"/>
    <w:rsid w:val="19AE700E"/>
    <w:rsid w:val="19AF235F"/>
    <w:rsid w:val="19B06FC5"/>
    <w:rsid w:val="19B51896"/>
    <w:rsid w:val="19BE509A"/>
    <w:rsid w:val="19C400B6"/>
    <w:rsid w:val="19CA29EA"/>
    <w:rsid w:val="19CF3F2D"/>
    <w:rsid w:val="19D73455"/>
    <w:rsid w:val="19D80100"/>
    <w:rsid w:val="19E629A9"/>
    <w:rsid w:val="19F12566"/>
    <w:rsid w:val="19F354FA"/>
    <w:rsid w:val="19F8055A"/>
    <w:rsid w:val="19FA27BF"/>
    <w:rsid w:val="19FD1CB3"/>
    <w:rsid w:val="1A024422"/>
    <w:rsid w:val="1A075666"/>
    <w:rsid w:val="1A2408DD"/>
    <w:rsid w:val="1A284564"/>
    <w:rsid w:val="1A3027C5"/>
    <w:rsid w:val="1A37412E"/>
    <w:rsid w:val="1A56404F"/>
    <w:rsid w:val="1A575560"/>
    <w:rsid w:val="1A587ABE"/>
    <w:rsid w:val="1A6312CA"/>
    <w:rsid w:val="1A6669F2"/>
    <w:rsid w:val="1A730FA8"/>
    <w:rsid w:val="1A841D59"/>
    <w:rsid w:val="1A88195B"/>
    <w:rsid w:val="1A8D65BC"/>
    <w:rsid w:val="1A9B698F"/>
    <w:rsid w:val="1AAB37A8"/>
    <w:rsid w:val="1AAD5027"/>
    <w:rsid w:val="1AB415DA"/>
    <w:rsid w:val="1ABF1C95"/>
    <w:rsid w:val="1ABF2E16"/>
    <w:rsid w:val="1AC91A64"/>
    <w:rsid w:val="1ADB36FA"/>
    <w:rsid w:val="1AE419BD"/>
    <w:rsid w:val="1AE67360"/>
    <w:rsid w:val="1AEC6DD3"/>
    <w:rsid w:val="1AED0413"/>
    <w:rsid w:val="1AFD3DE7"/>
    <w:rsid w:val="1AFF053B"/>
    <w:rsid w:val="1B0373A7"/>
    <w:rsid w:val="1B092DB7"/>
    <w:rsid w:val="1B177D78"/>
    <w:rsid w:val="1B224832"/>
    <w:rsid w:val="1B27301A"/>
    <w:rsid w:val="1B284904"/>
    <w:rsid w:val="1B2E1073"/>
    <w:rsid w:val="1B2E5D86"/>
    <w:rsid w:val="1B4449B2"/>
    <w:rsid w:val="1B4B12C4"/>
    <w:rsid w:val="1B510E41"/>
    <w:rsid w:val="1B5365E4"/>
    <w:rsid w:val="1B5C62A0"/>
    <w:rsid w:val="1B656D62"/>
    <w:rsid w:val="1B733C1F"/>
    <w:rsid w:val="1B81365F"/>
    <w:rsid w:val="1B820AAD"/>
    <w:rsid w:val="1B835967"/>
    <w:rsid w:val="1B873690"/>
    <w:rsid w:val="1B87495A"/>
    <w:rsid w:val="1B9400BE"/>
    <w:rsid w:val="1B9D02A7"/>
    <w:rsid w:val="1B9E4ACA"/>
    <w:rsid w:val="1BA16E01"/>
    <w:rsid w:val="1BA64BF0"/>
    <w:rsid w:val="1BB71890"/>
    <w:rsid w:val="1BB91A14"/>
    <w:rsid w:val="1BBD4AFD"/>
    <w:rsid w:val="1BBE6C82"/>
    <w:rsid w:val="1BC737BA"/>
    <w:rsid w:val="1BE01D75"/>
    <w:rsid w:val="1BE1710D"/>
    <w:rsid w:val="1BF14125"/>
    <w:rsid w:val="1BF328BE"/>
    <w:rsid w:val="1BF41DED"/>
    <w:rsid w:val="1BF66BCB"/>
    <w:rsid w:val="1BF963D4"/>
    <w:rsid w:val="1BFE3876"/>
    <w:rsid w:val="1C060CE0"/>
    <w:rsid w:val="1C0F37A4"/>
    <w:rsid w:val="1C111ABF"/>
    <w:rsid w:val="1C1C0D86"/>
    <w:rsid w:val="1C23346A"/>
    <w:rsid w:val="1C2514CF"/>
    <w:rsid w:val="1C2C11B2"/>
    <w:rsid w:val="1C2E4849"/>
    <w:rsid w:val="1C2F4587"/>
    <w:rsid w:val="1C4B6117"/>
    <w:rsid w:val="1C4B7DA4"/>
    <w:rsid w:val="1C5055A7"/>
    <w:rsid w:val="1C5370FD"/>
    <w:rsid w:val="1C584F73"/>
    <w:rsid w:val="1C5E76B6"/>
    <w:rsid w:val="1C724144"/>
    <w:rsid w:val="1C7333B3"/>
    <w:rsid w:val="1C776921"/>
    <w:rsid w:val="1C853BE4"/>
    <w:rsid w:val="1C915D95"/>
    <w:rsid w:val="1C96650E"/>
    <w:rsid w:val="1C9B4B79"/>
    <w:rsid w:val="1CA752B3"/>
    <w:rsid w:val="1CB1328A"/>
    <w:rsid w:val="1CB65445"/>
    <w:rsid w:val="1CB82337"/>
    <w:rsid w:val="1CC00BCD"/>
    <w:rsid w:val="1CC264F9"/>
    <w:rsid w:val="1CCC78DC"/>
    <w:rsid w:val="1CCF1F0C"/>
    <w:rsid w:val="1CE2055F"/>
    <w:rsid w:val="1CEB6A46"/>
    <w:rsid w:val="1CED1BD0"/>
    <w:rsid w:val="1CF87733"/>
    <w:rsid w:val="1CFF4663"/>
    <w:rsid w:val="1D047E88"/>
    <w:rsid w:val="1D0F1048"/>
    <w:rsid w:val="1D135535"/>
    <w:rsid w:val="1D1E3346"/>
    <w:rsid w:val="1D1E53EE"/>
    <w:rsid w:val="1D235560"/>
    <w:rsid w:val="1D286DD2"/>
    <w:rsid w:val="1D386B04"/>
    <w:rsid w:val="1D494D04"/>
    <w:rsid w:val="1D4B23B1"/>
    <w:rsid w:val="1D535CD2"/>
    <w:rsid w:val="1D5970CD"/>
    <w:rsid w:val="1D691DF3"/>
    <w:rsid w:val="1D6D4EDA"/>
    <w:rsid w:val="1D700401"/>
    <w:rsid w:val="1D7210D1"/>
    <w:rsid w:val="1D755651"/>
    <w:rsid w:val="1D9A0854"/>
    <w:rsid w:val="1D9E213B"/>
    <w:rsid w:val="1DAC21A4"/>
    <w:rsid w:val="1DAD36F4"/>
    <w:rsid w:val="1DAF562B"/>
    <w:rsid w:val="1DB95116"/>
    <w:rsid w:val="1DCF054A"/>
    <w:rsid w:val="1DDB5F1C"/>
    <w:rsid w:val="1DEE45E2"/>
    <w:rsid w:val="1DF334F3"/>
    <w:rsid w:val="1DFA2F5E"/>
    <w:rsid w:val="1E0904BF"/>
    <w:rsid w:val="1E1A1812"/>
    <w:rsid w:val="1E211EF9"/>
    <w:rsid w:val="1E243B36"/>
    <w:rsid w:val="1E243CD4"/>
    <w:rsid w:val="1E4B164C"/>
    <w:rsid w:val="1E4D5A18"/>
    <w:rsid w:val="1E5212EC"/>
    <w:rsid w:val="1E5914A8"/>
    <w:rsid w:val="1E635082"/>
    <w:rsid w:val="1E637609"/>
    <w:rsid w:val="1E6D3B77"/>
    <w:rsid w:val="1E6D7CAF"/>
    <w:rsid w:val="1E86123F"/>
    <w:rsid w:val="1E8F46B7"/>
    <w:rsid w:val="1E9B2E40"/>
    <w:rsid w:val="1E9F6CED"/>
    <w:rsid w:val="1EB6419A"/>
    <w:rsid w:val="1EBF4C6C"/>
    <w:rsid w:val="1EDB5980"/>
    <w:rsid w:val="1EDE5ABE"/>
    <w:rsid w:val="1EE87176"/>
    <w:rsid w:val="1EF4301C"/>
    <w:rsid w:val="1EF6228F"/>
    <w:rsid w:val="1EFE075D"/>
    <w:rsid w:val="1F0B02FA"/>
    <w:rsid w:val="1F1132D8"/>
    <w:rsid w:val="1F12358D"/>
    <w:rsid w:val="1F175EEA"/>
    <w:rsid w:val="1F1D1EBD"/>
    <w:rsid w:val="1F204D21"/>
    <w:rsid w:val="1F233AE0"/>
    <w:rsid w:val="1F2D076C"/>
    <w:rsid w:val="1F2F36EB"/>
    <w:rsid w:val="1F3A0E0F"/>
    <w:rsid w:val="1F3E2578"/>
    <w:rsid w:val="1F457F39"/>
    <w:rsid w:val="1F4F68DC"/>
    <w:rsid w:val="1F5F1CED"/>
    <w:rsid w:val="1F6A4004"/>
    <w:rsid w:val="1F7525C8"/>
    <w:rsid w:val="1F764827"/>
    <w:rsid w:val="1F7F413E"/>
    <w:rsid w:val="1F87674F"/>
    <w:rsid w:val="1F877BD6"/>
    <w:rsid w:val="1F896349"/>
    <w:rsid w:val="1F932041"/>
    <w:rsid w:val="1F941005"/>
    <w:rsid w:val="1F9A11F8"/>
    <w:rsid w:val="1F9E471F"/>
    <w:rsid w:val="1FA8017E"/>
    <w:rsid w:val="1FA80624"/>
    <w:rsid w:val="1FAB012A"/>
    <w:rsid w:val="1FC32A1D"/>
    <w:rsid w:val="1FC553BA"/>
    <w:rsid w:val="1FD16E01"/>
    <w:rsid w:val="1FE77037"/>
    <w:rsid w:val="20011216"/>
    <w:rsid w:val="20034D99"/>
    <w:rsid w:val="200F7C92"/>
    <w:rsid w:val="201613CD"/>
    <w:rsid w:val="201633BD"/>
    <w:rsid w:val="201C7BDE"/>
    <w:rsid w:val="201E1461"/>
    <w:rsid w:val="202576A4"/>
    <w:rsid w:val="202772CB"/>
    <w:rsid w:val="20326176"/>
    <w:rsid w:val="203A4786"/>
    <w:rsid w:val="204663F1"/>
    <w:rsid w:val="204708BD"/>
    <w:rsid w:val="2047102F"/>
    <w:rsid w:val="204C349A"/>
    <w:rsid w:val="205949D2"/>
    <w:rsid w:val="205D0DE8"/>
    <w:rsid w:val="20626598"/>
    <w:rsid w:val="20706B05"/>
    <w:rsid w:val="207B7613"/>
    <w:rsid w:val="20812789"/>
    <w:rsid w:val="20854B71"/>
    <w:rsid w:val="20985196"/>
    <w:rsid w:val="20AB46CC"/>
    <w:rsid w:val="20CC2E48"/>
    <w:rsid w:val="20D10DBA"/>
    <w:rsid w:val="20DB321A"/>
    <w:rsid w:val="20DC3F4C"/>
    <w:rsid w:val="20DC6B56"/>
    <w:rsid w:val="20E029BA"/>
    <w:rsid w:val="20EB5B3E"/>
    <w:rsid w:val="20EC5A7C"/>
    <w:rsid w:val="20F7770D"/>
    <w:rsid w:val="20F97BBE"/>
    <w:rsid w:val="21070BD5"/>
    <w:rsid w:val="21093D04"/>
    <w:rsid w:val="21154EE7"/>
    <w:rsid w:val="21191E93"/>
    <w:rsid w:val="211A4F93"/>
    <w:rsid w:val="212C4939"/>
    <w:rsid w:val="212F1F39"/>
    <w:rsid w:val="213F3B84"/>
    <w:rsid w:val="21455BD1"/>
    <w:rsid w:val="215606DC"/>
    <w:rsid w:val="21562C7C"/>
    <w:rsid w:val="215774A0"/>
    <w:rsid w:val="215828DC"/>
    <w:rsid w:val="215A797A"/>
    <w:rsid w:val="218209D3"/>
    <w:rsid w:val="219A700D"/>
    <w:rsid w:val="219B305F"/>
    <w:rsid w:val="21A2328D"/>
    <w:rsid w:val="21A87C53"/>
    <w:rsid w:val="21B06831"/>
    <w:rsid w:val="21B60505"/>
    <w:rsid w:val="21B863BB"/>
    <w:rsid w:val="21BE0BD2"/>
    <w:rsid w:val="21C30312"/>
    <w:rsid w:val="21D3421B"/>
    <w:rsid w:val="21D55D6A"/>
    <w:rsid w:val="21DC6945"/>
    <w:rsid w:val="21F076AD"/>
    <w:rsid w:val="21F5579E"/>
    <w:rsid w:val="220B2D2E"/>
    <w:rsid w:val="22210EB7"/>
    <w:rsid w:val="22234EE5"/>
    <w:rsid w:val="222813E7"/>
    <w:rsid w:val="22332982"/>
    <w:rsid w:val="223A2809"/>
    <w:rsid w:val="223E6E7F"/>
    <w:rsid w:val="22513C7D"/>
    <w:rsid w:val="225A41AA"/>
    <w:rsid w:val="226E5012"/>
    <w:rsid w:val="227B1768"/>
    <w:rsid w:val="22840DC2"/>
    <w:rsid w:val="2289249B"/>
    <w:rsid w:val="228B63F2"/>
    <w:rsid w:val="228C1054"/>
    <w:rsid w:val="228D465F"/>
    <w:rsid w:val="228F08C0"/>
    <w:rsid w:val="22963414"/>
    <w:rsid w:val="22965EF0"/>
    <w:rsid w:val="229D4349"/>
    <w:rsid w:val="229F2AAA"/>
    <w:rsid w:val="22A23721"/>
    <w:rsid w:val="22A56BF8"/>
    <w:rsid w:val="22A95A41"/>
    <w:rsid w:val="22B4127A"/>
    <w:rsid w:val="22BA0343"/>
    <w:rsid w:val="22D55C4C"/>
    <w:rsid w:val="22D878F3"/>
    <w:rsid w:val="22DF1C8E"/>
    <w:rsid w:val="22E07752"/>
    <w:rsid w:val="22E744D4"/>
    <w:rsid w:val="22E7725E"/>
    <w:rsid w:val="22F831C6"/>
    <w:rsid w:val="2306260B"/>
    <w:rsid w:val="23085366"/>
    <w:rsid w:val="230A73F2"/>
    <w:rsid w:val="23134958"/>
    <w:rsid w:val="23262F9A"/>
    <w:rsid w:val="23294A05"/>
    <w:rsid w:val="232A2A27"/>
    <w:rsid w:val="232B6963"/>
    <w:rsid w:val="2335463B"/>
    <w:rsid w:val="234E1625"/>
    <w:rsid w:val="23806328"/>
    <w:rsid w:val="238166D6"/>
    <w:rsid w:val="23847F75"/>
    <w:rsid w:val="239B61FA"/>
    <w:rsid w:val="23C35910"/>
    <w:rsid w:val="23D3197C"/>
    <w:rsid w:val="23D664F2"/>
    <w:rsid w:val="23DD7F82"/>
    <w:rsid w:val="23DE712A"/>
    <w:rsid w:val="23DF2124"/>
    <w:rsid w:val="23E86819"/>
    <w:rsid w:val="23EC6000"/>
    <w:rsid w:val="23F206E7"/>
    <w:rsid w:val="23F666E4"/>
    <w:rsid w:val="24134EFB"/>
    <w:rsid w:val="241626EC"/>
    <w:rsid w:val="241C2388"/>
    <w:rsid w:val="241C2542"/>
    <w:rsid w:val="241F79A7"/>
    <w:rsid w:val="242223E3"/>
    <w:rsid w:val="2438701C"/>
    <w:rsid w:val="243A6885"/>
    <w:rsid w:val="24407E15"/>
    <w:rsid w:val="245528C0"/>
    <w:rsid w:val="24635362"/>
    <w:rsid w:val="24667E65"/>
    <w:rsid w:val="24687258"/>
    <w:rsid w:val="2472601F"/>
    <w:rsid w:val="24807DFF"/>
    <w:rsid w:val="248F123B"/>
    <w:rsid w:val="24935EDA"/>
    <w:rsid w:val="2497376A"/>
    <w:rsid w:val="249B59C2"/>
    <w:rsid w:val="249C5D7D"/>
    <w:rsid w:val="24A9543D"/>
    <w:rsid w:val="24BF3B2A"/>
    <w:rsid w:val="24BF7180"/>
    <w:rsid w:val="24C34D78"/>
    <w:rsid w:val="24C9341C"/>
    <w:rsid w:val="24CE4E18"/>
    <w:rsid w:val="24CE5E2C"/>
    <w:rsid w:val="24DA2039"/>
    <w:rsid w:val="24E47A2B"/>
    <w:rsid w:val="24E612B3"/>
    <w:rsid w:val="24EB1808"/>
    <w:rsid w:val="24ED35FD"/>
    <w:rsid w:val="24FD2FBE"/>
    <w:rsid w:val="24FF42E0"/>
    <w:rsid w:val="25010B70"/>
    <w:rsid w:val="25092A0E"/>
    <w:rsid w:val="250E18B9"/>
    <w:rsid w:val="250E374D"/>
    <w:rsid w:val="25114DDB"/>
    <w:rsid w:val="251E08DF"/>
    <w:rsid w:val="252A6C42"/>
    <w:rsid w:val="252B2C89"/>
    <w:rsid w:val="253019CE"/>
    <w:rsid w:val="25326827"/>
    <w:rsid w:val="253C755E"/>
    <w:rsid w:val="253C77A0"/>
    <w:rsid w:val="254F56DA"/>
    <w:rsid w:val="25512217"/>
    <w:rsid w:val="25773B0A"/>
    <w:rsid w:val="2579312C"/>
    <w:rsid w:val="258129BE"/>
    <w:rsid w:val="25822292"/>
    <w:rsid w:val="25831892"/>
    <w:rsid w:val="25892983"/>
    <w:rsid w:val="258C53EF"/>
    <w:rsid w:val="259225B5"/>
    <w:rsid w:val="259318B2"/>
    <w:rsid w:val="259B6D8A"/>
    <w:rsid w:val="259E6A04"/>
    <w:rsid w:val="259E6E87"/>
    <w:rsid w:val="25A14664"/>
    <w:rsid w:val="25B82157"/>
    <w:rsid w:val="25CF2A0C"/>
    <w:rsid w:val="25D36768"/>
    <w:rsid w:val="25E86413"/>
    <w:rsid w:val="25EE7187"/>
    <w:rsid w:val="25EF1A2B"/>
    <w:rsid w:val="25F52A64"/>
    <w:rsid w:val="25F60B42"/>
    <w:rsid w:val="25F80356"/>
    <w:rsid w:val="25F8283F"/>
    <w:rsid w:val="25F949B4"/>
    <w:rsid w:val="25FB0146"/>
    <w:rsid w:val="25FE697B"/>
    <w:rsid w:val="26003441"/>
    <w:rsid w:val="26080F4C"/>
    <w:rsid w:val="260C1369"/>
    <w:rsid w:val="260F141F"/>
    <w:rsid w:val="261F3F85"/>
    <w:rsid w:val="26256FE7"/>
    <w:rsid w:val="262B1F38"/>
    <w:rsid w:val="262D2381"/>
    <w:rsid w:val="26423E24"/>
    <w:rsid w:val="26613CD9"/>
    <w:rsid w:val="266211CF"/>
    <w:rsid w:val="266D7465"/>
    <w:rsid w:val="26741094"/>
    <w:rsid w:val="267C4A38"/>
    <w:rsid w:val="268668AA"/>
    <w:rsid w:val="26894521"/>
    <w:rsid w:val="269449E1"/>
    <w:rsid w:val="26A23552"/>
    <w:rsid w:val="26A36EEB"/>
    <w:rsid w:val="26A562C0"/>
    <w:rsid w:val="26AD06FD"/>
    <w:rsid w:val="26B46F13"/>
    <w:rsid w:val="26B514B3"/>
    <w:rsid w:val="26BB4ECF"/>
    <w:rsid w:val="26CB1B04"/>
    <w:rsid w:val="26D31C47"/>
    <w:rsid w:val="26D627A7"/>
    <w:rsid w:val="26DD0F38"/>
    <w:rsid w:val="26DF06F8"/>
    <w:rsid w:val="26E425CF"/>
    <w:rsid w:val="26E83994"/>
    <w:rsid w:val="26FF178F"/>
    <w:rsid w:val="270641F7"/>
    <w:rsid w:val="270E5956"/>
    <w:rsid w:val="27101939"/>
    <w:rsid w:val="27162C19"/>
    <w:rsid w:val="27166081"/>
    <w:rsid w:val="271D04C4"/>
    <w:rsid w:val="27233F8B"/>
    <w:rsid w:val="272601EB"/>
    <w:rsid w:val="27260D8E"/>
    <w:rsid w:val="27315B97"/>
    <w:rsid w:val="274338F7"/>
    <w:rsid w:val="27457A1B"/>
    <w:rsid w:val="27484F16"/>
    <w:rsid w:val="274E24B9"/>
    <w:rsid w:val="275B43C0"/>
    <w:rsid w:val="275F35CE"/>
    <w:rsid w:val="276207EC"/>
    <w:rsid w:val="276822AB"/>
    <w:rsid w:val="278366AB"/>
    <w:rsid w:val="27854914"/>
    <w:rsid w:val="278C5BB0"/>
    <w:rsid w:val="2796700C"/>
    <w:rsid w:val="279A4A6C"/>
    <w:rsid w:val="279B51E9"/>
    <w:rsid w:val="27B018C0"/>
    <w:rsid w:val="27B30E28"/>
    <w:rsid w:val="27B8084D"/>
    <w:rsid w:val="27D1179A"/>
    <w:rsid w:val="27D14CB8"/>
    <w:rsid w:val="27E624E8"/>
    <w:rsid w:val="27F94673"/>
    <w:rsid w:val="27FB4C56"/>
    <w:rsid w:val="27FB670B"/>
    <w:rsid w:val="27FE4B9E"/>
    <w:rsid w:val="28005E83"/>
    <w:rsid w:val="280E13EE"/>
    <w:rsid w:val="281237FC"/>
    <w:rsid w:val="28127A27"/>
    <w:rsid w:val="28170AA3"/>
    <w:rsid w:val="281B38AF"/>
    <w:rsid w:val="281B7500"/>
    <w:rsid w:val="28290785"/>
    <w:rsid w:val="282A21E0"/>
    <w:rsid w:val="282D63C6"/>
    <w:rsid w:val="283E316A"/>
    <w:rsid w:val="284540D7"/>
    <w:rsid w:val="285133A4"/>
    <w:rsid w:val="28625881"/>
    <w:rsid w:val="28694172"/>
    <w:rsid w:val="287E55D1"/>
    <w:rsid w:val="28826419"/>
    <w:rsid w:val="28892EF6"/>
    <w:rsid w:val="289D2D4C"/>
    <w:rsid w:val="289E2BE6"/>
    <w:rsid w:val="28AD2981"/>
    <w:rsid w:val="28B83601"/>
    <w:rsid w:val="28B91331"/>
    <w:rsid w:val="28C456CA"/>
    <w:rsid w:val="28D91A0B"/>
    <w:rsid w:val="28EB2580"/>
    <w:rsid w:val="28ED495D"/>
    <w:rsid w:val="28FA4B69"/>
    <w:rsid w:val="28FD2557"/>
    <w:rsid w:val="28FD3667"/>
    <w:rsid w:val="290200B1"/>
    <w:rsid w:val="290318E4"/>
    <w:rsid w:val="2905768F"/>
    <w:rsid w:val="29060F9C"/>
    <w:rsid w:val="2913151D"/>
    <w:rsid w:val="29141737"/>
    <w:rsid w:val="291951A8"/>
    <w:rsid w:val="2930723F"/>
    <w:rsid w:val="29437C9A"/>
    <w:rsid w:val="294E07AE"/>
    <w:rsid w:val="29580E55"/>
    <w:rsid w:val="29594848"/>
    <w:rsid w:val="295B44C9"/>
    <w:rsid w:val="296A2492"/>
    <w:rsid w:val="29860E91"/>
    <w:rsid w:val="2988258C"/>
    <w:rsid w:val="29927D44"/>
    <w:rsid w:val="299627B0"/>
    <w:rsid w:val="29A74023"/>
    <w:rsid w:val="29A74482"/>
    <w:rsid w:val="29A9603F"/>
    <w:rsid w:val="29AE6961"/>
    <w:rsid w:val="29C02156"/>
    <w:rsid w:val="29DD0FBF"/>
    <w:rsid w:val="29E02F42"/>
    <w:rsid w:val="29E9146B"/>
    <w:rsid w:val="29ED2BA7"/>
    <w:rsid w:val="2A022DA8"/>
    <w:rsid w:val="2A0B1466"/>
    <w:rsid w:val="2A0E7BBD"/>
    <w:rsid w:val="2A1473DB"/>
    <w:rsid w:val="2A1754E6"/>
    <w:rsid w:val="2A1D3F01"/>
    <w:rsid w:val="2A223E35"/>
    <w:rsid w:val="2A2531AC"/>
    <w:rsid w:val="2A450974"/>
    <w:rsid w:val="2A450C68"/>
    <w:rsid w:val="2A4B6650"/>
    <w:rsid w:val="2A5B3DA2"/>
    <w:rsid w:val="2A617AC6"/>
    <w:rsid w:val="2A69574E"/>
    <w:rsid w:val="2A6C1DFE"/>
    <w:rsid w:val="2A6D4CB7"/>
    <w:rsid w:val="2A710DCA"/>
    <w:rsid w:val="2A7E0C86"/>
    <w:rsid w:val="2A7E497C"/>
    <w:rsid w:val="2A815264"/>
    <w:rsid w:val="2A9459A0"/>
    <w:rsid w:val="2A9806D1"/>
    <w:rsid w:val="2A9A0B2D"/>
    <w:rsid w:val="2A9A7559"/>
    <w:rsid w:val="2A9D553B"/>
    <w:rsid w:val="2AB264A9"/>
    <w:rsid w:val="2AB33F5F"/>
    <w:rsid w:val="2ABC7EB6"/>
    <w:rsid w:val="2AC81B6C"/>
    <w:rsid w:val="2ACB2B7C"/>
    <w:rsid w:val="2ACC5474"/>
    <w:rsid w:val="2ACF444D"/>
    <w:rsid w:val="2AE95D00"/>
    <w:rsid w:val="2AF56BB4"/>
    <w:rsid w:val="2B1051A2"/>
    <w:rsid w:val="2B1761E5"/>
    <w:rsid w:val="2B2020C0"/>
    <w:rsid w:val="2B227110"/>
    <w:rsid w:val="2B2A1C7D"/>
    <w:rsid w:val="2B2F3843"/>
    <w:rsid w:val="2B386C90"/>
    <w:rsid w:val="2B402408"/>
    <w:rsid w:val="2B421349"/>
    <w:rsid w:val="2B470675"/>
    <w:rsid w:val="2B5369B4"/>
    <w:rsid w:val="2B544291"/>
    <w:rsid w:val="2B6257E1"/>
    <w:rsid w:val="2B6D678B"/>
    <w:rsid w:val="2B7465CB"/>
    <w:rsid w:val="2B765184"/>
    <w:rsid w:val="2B7833F7"/>
    <w:rsid w:val="2B7B1AAB"/>
    <w:rsid w:val="2B7B7C1B"/>
    <w:rsid w:val="2B995847"/>
    <w:rsid w:val="2B9C1E94"/>
    <w:rsid w:val="2B9C22FD"/>
    <w:rsid w:val="2B9D392D"/>
    <w:rsid w:val="2BA051AB"/>
    <w:rsid w:val="2BA12F50"/>
    <w:rsid w:val="2BA370A6"/>
    <w:rsid w:val="2BA7431C"/>
    <w:rsid w:val="2BBE0B98"/>
    <w:rsid w:val="2BC33308"/>
    <w:rsid w:val="2BC5058C"/>
    <w:rsid w:val="2BC94C83"/>
    <w:rsid w:val="2BCE7080"/>
    <w:rsid w:val="2BCE7C74"/>
    <w:rsid w:val="2BD97A81"/>
    <w:rsid w:val="2BEA0826"/>
    <w:rsid w:val="2BF7543C"/>
    <w:rsid w:val="2C001FD2"/>
    <w:rsid w:val="2C0C688A"/>
    <w:rsid w:val="2C121C88"/>
    <w:rsid w:val="2C134704"/>
    <w:rsid w:val="2C205E40"/>
    <w:rsid w:val="2C217559"/>
    <w:rsid w:val="2C223AD2"/>
    <w:rsid w:val="2C367BF8"/>
    <w:rsid w:val="2C3D00F6"/>
    <w:rsid w:val="2C3D163B"/>
    <w:rsid w:val="2C3E328A"/>
    <w:rsid w:val="2C445A5C"/>
    <w:rsid w:val="2C4772CD"/>
    <w:rsid w:val="2C5B167D"/>
    <w:rsid w:val="2C5E08ED"/>
    <w:rsid w:val="2C6426F1"/>
    <w:rsid w:val="2C6E531E"/>
    <w:rsid w:val="2C7649A5"/>
    <w:rsid w:val="2C7867E8"/>
    <w:rsid w:val="2C80034E"/>
    <w:rsid w:val="2C8D6A7D"/>
    <w:rsid w:val="2C9420E7"/>
    <w:rsid w:val="2CA2707B"/>
    <w:rsid w:val="2CAE67D8"/>
    <w:rsid w:val="2CB728D9"/>
    <w:rsid w:val="2CC63F33"/>
    <w:rsid w:val="2CCF72B5"/>
    <w:rsid w:val="2CEB1987"/>
    <w:rsid w:val="2CFE2066"/>
    <w:rsid w:val="2D011A29"/>
    <w:rsid w:val="2D0E200C"/>
    <w:rsid w:val="2D141917"/>
    <w:rsid w:val="2D1965C9"/>
    <w:rsid w:val="2D1C1E0F"/>
    <w:rsid w:val="2D1F1DFE"/>
    <w:rsid w:val="2D221C13"/>
    <w:rsid w:val="2D347A5A"/>
    <w:rsid w:val="2D542A16"/>
    <w:rsid w:val="2D5D276F"/>
    <w:rsid w:val="2D5E0F8B"/>
    <w:rsid w:val="2D630536"/>
    <w:rsid w:val="2D6F7EA0"/>
    <w:rsid w:val="2D7A2763"/>
    <w:rsid w:val="2D814505"/>
    <w:rsid w:val="2D8C2071"/>
    <w:rsid w:val="2D904008"/>
    <w:rsid w:val="2D9375E8"/>
    <w:rsid w:val="2D9904A1"/>
    <w:rsid w:val="2D9C79C7"/>
    <w:rsid w:val="2DA359C9"/>
    <w:rsid w:val="2DA67E7A"/>
    <w:rsid w:val="2DA7668A"/>
    <w:rsid w:val="2DB25EF3"/>
    <w:rsid w:val="2DB27CCD"/>
    <w:rsid w:val="2DC01B37"/>
    <w:rsid w:val="2DC769F0"/>
    <w:rsid w:val="2DCA6775"/>
    <w:rsid w:val="2DD5412C"/>
    <w:rsid w:val="2DD54B01"/>
    <w:rsid w:val="2DE0508C"/>
    <w:rsid w:val="2DF56007"/>
    <w:rsid w:val="2DF86E74"/>
    <w:rsid w:val="2E0029EC"/>
    <w:rsid w:val="2E021D1C"/>
    <w:rsid w:val="2E0B7A4B"/>
    <w:rsid w:val="2E0C1292"/>
    <w:rsid w:val="2E17772C"/>
    <w:rsid w:val="2E203710"/>
    <w:rsid w:val="2E274E0E"/>
    <w:rsid w:val="2E3619C1"/>
    <w:rsid w:val="2E3E3C9A"/>
    <w:rsid w:val="2E4806B5"/>
    <w:rsid w:val="2E524DBC"/>
    <w:rsid w:val="2E542FDC"/>
    <w:rsid w:val="2E550F05"/>
    <w:rsid w:val="2E643F9D"/>
    <w:rsid w:val="2E650A62"/>
    <w:rsid w:val="2E6C6FD3"/>
    <w:rsid w:val="2E733C79"/>
    <w:rsid w:val="2E8121E0"/>
    <w:rsid w:val="2E867FAA"/>
    <w:rsid w:val="2E9665CD"/>
    <w:rsid w:val="2EA4513C"/>
    <w:rsid w:val="2EA97A5F"/>
    <w:rsid w:val="2EBF28B3"/>
    <w:rsid w:val="2EC46687"/>
    <w:rsid w:val="2EC56A5D"/>
    <w:rsid w:val="2ECC0428"/>
    <w:rsid w:val="2EEB3F2A"/>
    <w:rsid w:val="2EEF4162"/>
    <w:rsid w:val="2EF06A0F"/>
    <w:rsid w:val="2F0212AF"/>
    <w:rsid w:val="2F0776E5"/>
    <w:rsid w:val="2F0B6905"/>
    <w:rsid w:val="2F0C6A6B"/>
    <w:rsid w:val="2F1D50AD"/>
    <w:rsid w:val="2F203A92"/>
    <w:rsid w:val="2F2502C1"/>
    <w:rsid w:val="2F2E3EFE"/>
    <w:rsid w:val="2F511D30"/>
    <w:rsid w:val="2F5178D2"/>
    <w:rsid w:val="2F5B71D2"/>
    <w:rsid w:val="2F5F764E"/>
    <w:rsid w:val="2F6770FB"/>
    <w:rsid w:val="2F6F2AC6"/>
    <w:rsid w:val="2F7669DF"/>
    <w:rsid w:val="2F821DFE"/>
    <w:rsid w:val="2F866897"/>
    <w:rsid w:val="2F96695B"/>
    <w:rsid w:val="2F9F077B"/>
    <w:rsid w:val="2FA101F1"/>
    <w:rsid w:val="2FAA1C36"/>
    <w:rsid w:val="2FAF51F0"/>
    <w:rsid w:val="2FB177C6"/>
    <w:rsid w:val="2FCD0E5A"/>
    <w:rsid w:val="2FCF3265"/>
    <w:rsid w:val="2FD21E42"/>
    <w:rsid w:val="2FD24A1D"/>
    <w:rsid w:val="2FD601CC"/>
    <w:rsid w:val="2FDC0D2E"/>
    <w:rsid w:val="2FE11A12"/>
    <w:rsid w:val="2FE12B76"/>
    <w:rsid w:val="2FEB484C"/>
    <w:rsid w:val="300E2410"/>
    <w:rsid w:val="301C0442"/>
    <w:rsid w:val="301F2E81"/>
    <w:rsid w:val="302C3CE3"/>
    <w:rsid w:val="302EFE0D"/>
    <w:rsid w:val="303A4F20"/>
    <w:rsid w:val="3046696A"/>
    <w:rsid w:val="304F7A51"/>
    <w:rsid w:val="30570E16"/>
    <w:rsid w:val="30571E76"/>
    <w:rsid w:val="30662250"/>
    <w:rsid w:val="30760597"/>
    <w:rsid w:val="307A08D9"/>
    <w:rsid w:val="30830F46"/>
    <w:rsid w:val="308A5666"/>
    <w:rsid w:val="30947A9D"/>
    <w:rsid w:val="309663A0"/>
    <w:rsid w:val="309D5FE8"/>
    <w:rsid w:val="309E45E1"/>
    <w:rsid w:val="30B417C3"/>
    <w:rsid w:val="30BC3591"/>
    <w:rsid w:val="30C242E0"/>
    <w:rsid w:val="30C26C59"/>
    <w:rsid w:val="30C45E54"/>
    <w:rsid w:val="30D10228"/>
    <w:rsid w:val="30DA2215"/>
    <w:rsid w:val="30E27CD6"/>
    <w:rsid w:val="30F01780"/>
    <w:rsid w:val="30F54F84"/>
    <w:rsid w:val="30F946E1"/>
    <w:rsid w:val="30FF05EF"/>
    <w:rsid w:val="310F58DA"/>
    <w:rsid w:val="31154527"/>
    <w:rsid w:val="311A3CC6"/>
    <w:rsid w:val="31233D6E"/>
    <w:rsid w:val="31255575"/>
    <w:rsid w:val="31275508"/>
    <w:rsid w:val="31327262"/>
    <w:rsid w:val="313E50CF"/>
    <w:rsid w:val="314065C8"/>
    <w:rsid w:val="314621C3"/>
    <w:rsid w:val="314B0C51"/>
    <w:rsid w:val="315802D0"/>
    <w:rsid w:val="315D26E9"/>
    <w:rsid w:val="315F0DDF"/>
    <w:rsid w:val="31643706"/>
    <w:rsid w:val="3167306F"/>
    <w:rsid w:val="316762E0"/>
    <w:rsid w:val="316C3F78"/>
    <w:rsid w:val="316F2EBE"/>
    <w:rsid w:val="317C2C08"/>
    <w:rsid w:val="317F4F43"/>
    <w:rsid w:val="31891DB9"/>
    <w:rsid w:val="31894A71"/>
    <w:rsid w:val="3193561E"/>
    <w:rsid w:val="31961CB8"/>
    <w:rsid w:val="319758A0"/>
    <w:rsid w:val="31A0591E"/>
    <w:rsid w:val="31A632CB"/>
    <w:rsid w:val="31AF2211"/>
    <w:rsid w:val="31B36131"/>
    <w:rsid w:val="31B43756"/>
    <w:rsid w:val="31CB4608"/>
    <w:rsid w:val="31D54614"/>
    <w:rsid w:val="31DA00B8"/>
    <w:rsid w:val="31DF4948"/>
    <w:rsid w:val="31E34505"/>
    <w:rsid w:val="31E567F3"/>
    <w:rsid w:val="31F95506"/>
    <w:rsid w:val="31FC58DB"/>
    <w:rsid w:val="31FE4828"/>
    <w:rsid w:val="320D154F"/>
    <w:rsid w:val="320D548A"/>
    <w:rsid w:val="321B76CF"/>
    <w:rsid w:val="32214C3B"/>
    <w:rsid w:val="322F1DD4"/>
    <w:rsid w:val="322F554F"/>
    <w:rsid w:val="323A316A"/>
    <w:rsid w:val="323B1764"/>
    <w:rsid w:val="32431D55"/>
    <w:rsid w:val="324531CC"/>
    <w:rsid w:val="32627C34"/>
    <w:rsid w:val="326E04FF"/>
    <w:rsid w:val="327419BC"/>
    <w:rsid w:val="327A1BEE"/>
    <w:rsid w:val="327A3015"/>
    <w:rsid w:val="32826B2A"/>
    <w:rsid w:val="32917320"/>
    <w:rsid w:val="329D4C01"/>
    <w:rsid w:val="32AF6D96"/>
    <w:rsid w:val="32B25567"/>
    <w:rsid w:val="32B414A8"/>
    <w:rsid w:val="32BF39FB"/>
    <w:rsid w:val="32C867F8"/>
    <w:rsid w:val="32DE6647"/>
    <w:rsid w:val="32E17BD2"/>
    <w:rsid w:val="32E62D35"/>
    <w:rsid w:val="32E76E96"/>
    <w:rsid w:val="32F31531"/>
    <w:rsid w:val="32FC2AAD"/>
    <w:rsid w:val="32FE4CB9"/>
    <w:rsid w:val="32FE510D"/>
    <w:rsid w:val="33022C64"/>
    <w:rsid w:val="330671F4"/>
    <w:rsid w:val="33073324"/>
    <w:rsid w:val="33105B82"/>
    <w:rsid w:val="33231F7D"/>
    <w:rsid w:val="332D2F9E"/>
    <w:rsid w:val="3334124E"/>
    <w:rsid w:val="33473C53"/>
    <w:rsid w:val="33482F86"/>
    <w:rsid w:val="335063CF"/>
    <w:rsid w:val="335806AD"/>
    <w:rsid w:val="3363760C"/>
    <w:rsid w:val="337441BC"/>
    <w:rsid w:val="33896B7B"/>
    <w:rsid w:val="33923A6C"/>
    <w:rsid w:val="33961D89"/>
    <w:rsid w:val="33992119"/>
    <w:rsid w:val="339F5AED"/>
    <w:rsid w:val="33A45017"/>
    <w:rsid w:val="33B448E4"/>
    <w:rsid w:val="33B65F28"/>
    <w:rsid w:val="33B735FF"/>
    <w:rsid w:val="33B90452"/>
    <w:rsid w:val="33BC2B56"/>
    <w:rsid w:val="33BC4A53"/>
    <w:rsid w:val="33BF3773"/>
    <w:rsid w:val="33C10560"/>
    <w:rsid w:val="33C617D6"/>
    <w:rsid w:val="33D35CB1"/>
    <w:rsid w:val="33D47B9D"/>
    <w:rsid w:val="33E40B27"/>
    <w:rsid w:val="33E66239"/>
    <w:rsid w:val="33F44522"/>
    <w:rsid w:val="33FA4AE4"/>
    <w:rsid w:val="33FA738F"/>
    <w:rsid w:val="34005E0E"/>
    <w:rsid w:val="34012B00"/>
    <w:rsid w:val="341117DF"/>
    <w:rsid w:val="341A578A"/>
    <w:rsid w:val="34286910"/>
    <w:rsid w:val="342E3D7D"/>
    <w:rsid w:val="34334151"/>
    <w:rsid w:val="34365F73"/>
    <w:rsid w:val="343926B5"/>
    <w:rsid w:val="343B55F5"/>
    <w:rsid w:val="344771CF"/>
    <w:rsid w:val="3464553B"/>
    <w:rsid w:val="346E151E"/>
    <w:rsid w:val="346E502D"/>
    <w:rsid w:val="34725D20"/>
    <w:rsid w:val="34741953"/>
    <w:rsid w:val="348163C3"/>
    <w:rsid w:val="34854F23"/>
    <w:rsid w:val="3487750D"/>
    <w:rsid w:val="348F3C4E"/>
    <w:rsid w:val="3493777D"/>
    <w:rsid w:val="34A63BD8"/>
    <w:rsid w:val="34AD788F"/>
    <w:rsid w:val="34B23647"/>
    <w:rsid w:val="34B82AB6"/>
    <w:rsid w:val="34BA70D5"/>
    <w:rsid w:val="34C15110"/>
    <w:rsid w:val="34C401D1"/>
    <w:rsid w:val="34C7279A"/>
    <w:rsid w:val="34E835EA"/>
    <w:rsid w:val="34EF41D4"/>
    <w:rsid w:val="34F44937"/>
    <w:rsid w:val="34FB1343"/>
    <w:rsid w:val="35060664"/>
    <w:rsid w:val="350B25A6"/>
    <w:rsid w:val="35112747"/>
    <w:rsid w:val="351F75AB"/>
    <w:rsid w:val="352302E4"/>
    <w:rsid w:val="35303AB8"/>
    <w:rsid w:val="35321216"/>
    <w:rsid w:val="35370F6F"/>
    <w:rsid w:val="35543C09"/>
    <w:rsid w:val="355D031F"/>
    <w:rsid w:val="35672403"/>
    <w:rsid w:val="35676BD8"/>
    <w:rsid w:val="356E4191"/>
    <w:rsid w:val="359258CE"/>
    <w:rsid w:val="35936037"/>
    <w:rsid w:val="35984F13"/>
    <w:rsid w:val="35991A7E"/>
    <w:rsid w:val="35A11E1B"/>
    <w:rsid w:val="35A15AB2"/>
    <w:rsid w:val="35A634FF"/>
    <w:rsid w:val="35AE30C8"/>
    <w:rsid w:val="35B0375E"/>
    <w:rsid w:val="35B61D0E"/>
    <w:rsid w:val="35C36B07"/>
    <w:rsid w:val="35C74548"/>
    <w:rsid w:val="35D63304"/>
    <w:rsid w:val="35DE1208"/>
    <w:rsid w:val="35EC3542"/>
    <w:rsid w:val="35F01D80"/>
    <w:rsid w:val="360109F0"/>
    <w:rsid w:val="360556E4"/>
    <w:rsid w:val="360A7DF4"/>
    <w:rsid w:val="3617334A"/>
    <w:rsid w:val="363166AB"/>
    <w:rsid w:val="3635378A"/>
    <w:rsid w:val="364671A9"/>
    <w:rsid w:val="364D3947"/>
    <w:rsid w:val="364D4A53"/>
    <w:rsid w:val="3652301C"/>
    <w:rsid w:val="366855EC"/>
    <w:rsid w:val="36744DE0"/>
    <w:rsid w:val="367C5CF6"/>
    <w:rsid w:val="3685557D"/>
    <w:rsid w:val="36874585"/>
    <w:rsid w:val="368816D2"/>
    <w:rsid w:val="36883E46"/>
    <w:rsid w:val="369F4703"/>
    <w:rsid w:val="36A10AFA"/>
    <w:rsid w:val="36A96BAA"/>
    <w:rsid w:val="36AD4B2E"/>
    <w:rsid w:val="36BA5D2F"/>
    <w:rsid w:val="36C03AEE"/>
    <w:rsid w:val="36D16A5A"/>
    <w:rsid w:val="36DC537C"/>
    <w:rsid w:val="36DD34A1"/>
    <w:rsid w:val="36E25E84"/>
    <w:rsid w:val="36E857AC"/>
    <w:rsid w:val="36ED6B05"/>
    <w:rsid w:val="36ED7D10"/>
    <w:rsid w:val="36F45678"/>
    <w:rsid w:val="36F63EF1"/>
    <w:rsid w:val="36FC074F"/>
    <w:rsid w:val="36FE510E"/>
    <w:rsid w:val="37084311"/>
    <w:rsid w:val="370A20E7"/>
    <w:rsid w:val="370A401C"/>
    <w:rsid w:val="3711063E"/>
    <w:rsid w:val="37120FB9"/>
    <w:rsid w:val="37150F35"/>
    <w:rsid w:val="371A66D2"/>
    <w:rsid w:val="37220696"/>
    <w:rsid w:val="37243E7A"/>
    <w:rsid w:val="372E3B8F"/>
    <w:rsid w:val="37315161"/>
    <w:rsid w:val="373A482E"/>
    <w:rsid w:val="373E4536"/>
    <w:rsid w:val="37490D26"/>
    <w:rsid w:val="374F7394"/>
    <w:rsid w:val="37542732"/>
    <w:rsid w:val="375810F5"/>
    <w:rsid w:val="3761666B"/>
    <w:rsid w:val="376A3554"/>
    <w:rsid w:val="376B7A37"/>
    <w:rsid w:val="378150FA"/>
    <w:rsid w:val="378D144D"/>
    <w:rsid w:val="378E69F2"/>
    <w:rsid w:val="37961DB5"/>
    <w:rsid w:val="379D7E3C"/>
    <w:rsid w:val="37A32095"/>
    <w:rsid w:val="37C91FA2"/>
    <w:rsid w:val="37E65FD4"/>
    <w:rsid w:val="37F83F3F"/>
    <w:rsid w:val="37FB37E4"/>
    <w:rsid w:val="3803730B"/>
    <w:rsid w:val="38234117"/>
    <w:rsid w:val="38283ECD"/>
    <w:rsid w:val="382D18A6"/>
    <w:rsid w:val="382D7D33"/>
    <w:rsid w:val="382F30D0"/>
    <w:rsid w:val="383279FF"/>
    <w:rsid w:val="38506610"/>
    <w:rsid w:val="3852169C"/>
    <w:rsid w:val="3857775F"/>
    <w:rsid w:val="3862042D"/>
    <w:rsid w:val="388371C8"/>
    <w:rsid w:val="38871CD8"/>
    <w:rsid w:val="38892684"/>
    <w:rsid w:val="388B00F1"/>
    <w:rsid w:val="38A7314C"/>
    <w:rsid w:val="38A767F3"/>
    <w:rsid w:val="38AC741F"/>
    <w:rsid w:val="38AE424D"/>
    <w:rsid w:val="38B22603"/>
    <w:rsid w:val="38C55BC1"/>
    <w:rsid w:val="38CC1D4A"/>
    <w:rsid w:val="38CE447A"/>
    <w:rsid w:val="38CF799F"/>
    <w:rsid w:val="38D138B9"/>
    <w:rsid w:val="38DB538D"/>
    <w:rsid w:val="38DD11E8"/>
    <w:rsid w:val="38DF1BEB"/>
    <w:rsid w:val="38E45B2F"/>
    <w:rsid w:val="38F30880"/>
    <w:rsid w:val="38F33985"/>
    <w:rsid w:val="38F472FA"/>
    <w:rsid w:val="38F71108"/>
    <w:rsid w:val="38F71FC2"/>
    <w:rsid w:val="38F95B96"/>
    <w:rsid w:val="38FF40CB"/>
    <w:rsid w:val="3905700A"/>
    <w:rsid w:val="390B098B"/>
    <w:rsid w:val="390E0F0A"/>
    <w:rsid w:val="391F27B6"/>
    <w:rsid w:val="39255F2D"/>
    <w:rsid w:val="39403E84"/>
    <w:rsid w:val="394075C9"/>
    <w:rsid w:val="3955118A"/>
    <w:rsid w:val="395615CB"/>
    <w:rsid w:val="3961418D"/>
    <w:rsid w:val="3963270A"/>
    <w:rsid w:val="396C4D87"/>
    <w:rsid w:val="397D40FA"/>
    <w:rsid w:val="39806042"/>
    <w:rsid w:val="39885622"/>
    <w:rsid w:val="398A4CBE"/>
    <w:rsid w:val="3996522F"/>
    <w:rsid w:val="399978EF"/>
    <w:rsid w:val="39A32DE8"/>
    <w:rsid w:val="39A361E1"/>
    <w:rsid w:val="39A47E88"/>
    <w:rsid w:val="39A56869"/>
    <w:rsid w:val="39A87D5E"/>
    <w:rsid w:val="39AB045B"/>
    <w:rsid w:val="39AC40CE"/>
    <w:rsid w:val="39AE0608"/>
    <w:rsid w:val="39AF7567"/>
    <w:rsid w:val="39C418F9"/>
    <w:rsid w:val="39D80D43"/>
    <w:rsid w:val="39DE2660"/>
    <w:rsid w:val="39DF2A73"/>
    <w:rsid w:val="39E63750"/>
    <w:rsid w:val="39F17476"/>
    <w:rsid w:val="39F47511"/>
    <w:rsid w:val="39F93A98"/>
    <w:rsid w:val="3A00590A"/>
    <w:rsid w:val="3A1E192B"/>
    <w:rsid w:val="3A28429E"/>
    <w:rsid w:val="3A301957"/>
    <w:rsid w:val="3A3325C3"/>
    <w:rsid w:val="3A384744"/>
    <w:rsid w:val="3A4B63F2"/>
    <w:rsid w:val="3A4F1078"/>
    <w:rsid w:val="3A543DA5"/>
    <w:rsid w:val="3A556B30"/>
    <w:rsid w:val="3A56103F"/>
    <w:rsid w:val="3A5851FC"/>
    <w:rsid w:val="3A5D3DEE"/>
    <w:rsid w:val="3A60531C"/>
    <w:rsid w:val="3A671852"/>
    <w:rsid w:val="3A68018E"/>
    <w:rsid w:val="3A6D3427"/>
    <w:rsid w:val="3A6F5083"/>
    <w:rsid w:val="3A7F010F"/>
    <w:rsid w:val="3A857F1E"/>
    <w:rsid w:val="3AA42A0A"/>
    <w:rsid w:val="3AA61B4E"/>
    <w:rsid w:val="3AA63373"/>
    <w:rsid w:val="3AAE083F"/>
    <w:rsid w:val="3AB00B04"/>
    <w:rsid w:val="3AC80983"/>
    <w:rsid w:val="3ACF488F"/>
    <w:rsid w:val="3B0118B9"/>
    <w:rsid w:val="3B071A9D"/>
    <w:rsid w:val="3B0B5731"/>
    <w:rsid w:val="3B0E4F34"/>
    <w:rsid w:val="3B150039"/>
    <w:rsid w:val="3B171D93"/>
    <w:rsid w:val="3B175E95"/>
    <w:rsid w:val="3B1F71B4"/>
    <w:rsid w:val="3B2D5CC4"/>
    <w:rsid w:val="3B351477"/>
    <w:rsid w:val="3B375B28"/>
    <w:rsid w:val="3B4F38B9"/>
    <w:rsid w:val="3B512854"/>
    <w:rsid w:val="3B6832F3"/>
    <w:rsid w:val="3B686F5D"/>
    <w:rsid w:val="3B8A7319"/>
    <w:rsid w:val="3BA13DD7"/>
    <w:rsid w:val="3BAE640B"/>
    <w:rsid w:val="3BB71410"/>
    <w:rsid w:val="3BBD31C2"/>
    <w:rsid w:val="3BC532F1"/>
    <w:rsid w:val="3BE27925"/>
    <w:rsid w:val="3BE35D03"/>
    <w:rsid w:val="3BE655B8"/>
    <w:rsid w:val="3C0A655F"/>
    <w:rsid w:val="3C135A6C"/>
    <w:rsid w:val="3C1934F8"/>
    <w:rsid w:val="3C1B1EB5"/>
    <w:rsid w:val="3C201136"/>
    <w:rsid w:val="3C205095"/>
    <w:rsid w:val="3C213FC6"/>
    <w:rsid w:val="3C324293"/>
    <w:rsid w:val="3C4D3D45"/>
    <w:rsid w:val="3C53162A"/>
    <w:rsid w:val="3C65250C"/>
    <w:rsid w:val="3C6563EE"/>
    <w:rsid w:val="3C6A3966"/>
    <w:rsid w:val="3C800A85"/>
    <w:rsid w:val="3C80221F"/>
    <w:rsid w:val="3C880B31"/>
    <w:rsid w:val="3C8F1034"/>
    <w:rsid w:val="3C904E47"/>
    <w:rsid w:val="3C93012F"/>
    <w:rsid w:val="3C966E7F"/>
    <w:rsid w:val="3C9F8C91"/>
    <w:rsid w:val="3CAB6991"/>
    <w:rsid w:val="3CBA081A"/>
    <w:rsid w:val="3CBA69B4"/>
    <w:rsid w:val="3CC241C4"/>
    <w:rsid w:val="3CC2593E"/>
    <w:rsid w:val="3CCF1FAD"/>
    <w:rsid w:val="3CE07892"/>
    <w:rsid w:val="3CED469F"/>
    <w:rsid w:val="3CF17FD1"/>
    <w:rsid w:val="3D043959"/>
    <w:rsid w:val="3D0B4ABE"/>
    <w:rsid w:val="3D0C477F"/>
    <w:rsid w:val="3D206EFC"/>
    <w:rsid w:val="3D29323D"/>
    <w:rsid w:val="3D342BBA"/>
    <w:rsid w:val="3D3F4CD9"/>
    <w:rsid w:val="3D4974F5"/>
    <w:rsid w:val="3D5918F7"/>
    <w:rsid w:val="3D605E5D"/>
    <w:rsid w:val="3D6C6A1C"/>
    <w:rsid w:val="3D7309E6"/>
    <w:rsid w:val="3D8404AE"/>
    <w:rsid w:val="3D8706E9"/>
    <w:rsid w:val="3D8E633F"/>
    <w:rsid w:val="3D94534A"/>
    <w:rsid w:val="3DA32CE0"/>
    <w:rsid w:val="3DC341C9"/>
    <w:rsid w:val="3DCB5DEF"/>
    <w:rsid w:val="3DDA480A"/>
    <w:rsid w:val="3DE22EA5"/>
    <w:rsid w:val="3DE25773"/>
    <w:rsid w:val="3DFB0E39"/>
    <w:rsid w:val="3E025D65"/>
    <w:rsid w:val="3E152D4A"/>
    <w:rsid w:val="3E3067F4"/>
    <w:rsid w:val="3E403E98"/>
    <w:rsid w:val="3E4323DC"/>
    <w:rsid w:val="3E537A53"/>
    <w:rsid w:val="3E5A32F5"/>
    <w:rsid w:val="3E655ADE"/>
    <w:rsid w:val="3E665661"/>
    <w:rsid w:val="3E6A3B12"/>
    <w:rsid w:val="3E6F609B"/>
    <w:rsid w:val="3E744574"/>
    <w:rsid w:val="3E774AFB"/>
    <w:rsid w:val="3E8312EF"/>
    <w:rsid w:val="3E8344F0"/>
    <w:rsid w:val="3E8D7689"/>
    <w:rsid w:val="3E95498C"/>
    <w:rsid w:val="3E964BCD"/>
    <w:rsid w:val="3E9E261C"/>
    <w:rsid w:val="3EA55F13"/>
    <w:rsid w:val="3EA90B03"/>
    <w:rsid w:val="3EAA17FE"/>
    <w:rsid w:val="3EBE0284"/>
    <w:rsid w:val="3EC304A4"/>
    <w:rsid w:val="3EC97C3D"/>
    <w:rsid w:val="3ED22253"/>
    <w:rsid w:val="3EE13100"/>
    <w:rsid w:val="3EF21DDE"/>
    <w:rsid w:val="3F043B91"/>
    <w:rsid w:val="3F120CCE"/>
    <w:rsid w:val="3F3E38D4"/>
    <w:rsid w:val="3F466111"/>
    <w:rsid w:val="3F471F84"/>
    <w:rsid w:val="3F4A3299"/>
    <w:rsid w:val="3F520066"/>
    <w:rsid w:val="3F5E7DE0"/>
    <w:rsid w:val="3F6B2591"/>
    <w:rsid w:val="3F70293A"/>
    <w:rsid w:val="3F816836"/>
    <w:rsid w:val="3F876460"/>
    <w:rsid w:val="3F961C9C"/>
    <w:rsid w:val="3F992BA2"/>
    <w:rsid w:val="3F9D1AF5"/>
    <w:rsid w:val="3F9F1E45"/>
    <w:rsid w:val="3FA85058"/>
    <w:rsid w:val="3FAC0398"/>
    <w:rsid w:val="3FAF9439"/>
    <w:rsid w:val="3FC04C2B"/>
    <w:rsid w:val="3FC05BBB"/>
    <w:rsid w:val="3FC165DA"/>
    <w:rsid w:val="3FCC0419"/>
    <w:rsid w:val="3FDD5FD3"/>
    <w:rsid w:val="3FDE5AF9"/>
    <w:rsid w:val="3FDF0C29"/>
    <w:rsid w:val="3FF20544"/>
    <w:rsid w:val="3FF95DFA"/>
    <w:rsid w:val="400026D8"/>
    <w:rsid w:val="400A2F6A"/>
    <w:rsid w:val="40196ED2"/>
    <w:rsid w:val="401D5F3B"/>
    <w:rsid w:val="40212137"/>
    <w:rsid w:val="402720B7"/>
    <w:rsid w:val="40280ACE"/>
    <w:rsid w:val="402B5685"/>
    <w:rsid w:val="40373C25"/>
    <w:rsid w:val="403C0C4D"/>
    <w:rsid w:val="403E157C"/>
    <w:rsid w:val="403F5CCE"/>
    <w:rsid w:val="404501DC"/>
    <w:rsid w:val="404623E2"/>
    <w:rsid w:val="406105AE"/>
    <w:rsid w:val="406A3B13"/>
    <w:rsid w:val="40791218"/>
    <w:rsid w:val="407A4120"/>
    <w:rsid w:val="408346E8"/>
    <w:rsid w:val="40884AA4"/>
    <w:rsid w:val="409615C6"/>
    <w:rsid w:val="40A94A84"/>
    <w:rsid w:val="40BA0B5E"/>
    <w:rsid w:val="40BB0D87"/>
    <w:rsid w:val="40BE7BF0"/>
    <w:rsid w:val="40C35FD7"/>
    <w:rsid w:val="40C4064C"/>
    <w:rsid w:val="40C85051"/>
    <w:rsid w:val="40D3102E"/>
    <w:rsid w:val="40D7128C"/>
    <w:rsid w:val="40E942B5"/>
    <w:rsid w:val="40EF2098"/>
    <w:rsid w:val="40F50349"/>
    <w:rsid w:val="40FC23C6"/>
    <w:rsid w:val="4100534E"/>
    <w:rsid w:val="41032D3E"/>
    <w:rsid w:val="410D2229"/>
    <w:rsid w:val="41123B9E"/>
    <w:rsid w:val="41215DC1"/>
    <w:rsid w:val="41274CBC"/>
    <w:rsid w:val="412C7C02"/>
    <w:rsid w:val="41341B54"/>
    <w:rsid w:val="41357360"/>
    <w:rsid w:val="41364B96"/>
    <w:rsid w:val="41380477"/>
    <w:rsid w:val="41411C5A"/>
    <w:rsid w:val="41466412"/>
    <w:rsid w:val="414833B9"/>
    <w:rsid w:val="41541F22"/>
    <w:rsid w:val="416A48BE"/>
    <w:rsid w:val="417105F6"/>
    <w:rsid w:val="417E2146"/>
    <w:rsid w:val="418E7B85"/>
    <w:rsid w:val="41904EE2"/>
    <w:rsid w:val="419E7FFC"/>
    <w:rsid w:val="41A8103D"/>
    <w:rsid w:val="41AA0837"/>
    <w:rsid w:val="41AB0258"/>
    <w:rsid w:val="41AC2D5C"/>
    <w:rsid w:val="41B609A2"/>
    <w:rsid w:val="41BD445E"/>
    <w:rsid w:val="41C049A0"/>
    <w:rsid w:val="41C17E6E"/>
    <w:rsid w:val="41C27874"/>
    <w:rsid w:val="41D83799"/>
    <w:rsid w:val="41E6178E"/>
    <w:rsid w:val="41E66793"/>
    <w:rsid w:val="41E74680"/>
    <w:rsid w:val="41E74B8B"/>
    <w:rsid w:val="41EA1401"/>
    <w:rsid w:val="41FA17F9"/>
    <w:rsid w:val="41FA361C"/>
    <w:rsid w:val="42010499"/>
    <w:rsid w:val="42030047"/>
    <w:rsid w:val="420569BB"/>
    <w:rsid w:val="42133A4B"/>
    <w:rsid w:val="42190CA0"/>
    <w:rsid w:val="421A3B26"/>
    <w:rsid w:val="421B164C"/>
    <w:rsid w:val="421B4D0B"/>
    <w:rsid w:val="422C6C97"/>
    <w:rsid w:val="423C0E08"/>
    <w:rsid w:val="4248240C"/>
    <w:rsid w:val="425145B4"/>
    <w:rsid w:val="426F3D8D"/>
    <w:rsid w:val="42722DB5"/>
    <w:rsid w:val="42730C70"/>
    <w:rsid w:val="427562A9"/>
    <w:rsid w:val="427615BC"/>
    <w:rsid w:val="427B33BA"/>
    <w:rsid w:val="428108F9"/>
    <w:rsid w:val="428B5B60"/>
    <w:rsid w:val="428D3421"/>
    <w:rsid w:val="428D5636"/>
    <w:rsid w:val="42A361C3"/>
    <w:rsid w:val="42A61A9F"/>
    <w:rsid w:val="42A641A9"/>
    <w:rsid w:val="42AB7E7B"/>
    <w:rsid w:val="42B93B2A"/>
    <w:rsid w:val="42BE5774"/>
    <w:rsid w:val="42CC56E4"/>
    <w:rsid w:val="42CD2490"/>
    <w:rsid w:val="42D17D1D"/>
    <w:rsid w:val="42D33CD5"/>
    <w:rsid w:val="42DB31AE"/>
    <w:rsid w:val="42E51811"/>
    <w:rsid w:val="42E531F6"/>
    <w:rsid w:val="42E82FB8"/>
    <w:rsid w:val="42E976A4"/>
    <w:rsid w:val="42F04887"/>
    <w:rsid w:val="42F72F80"/>
    <w:rsid w:val="43127E73"/>
    <w:rsid w:val="4316163E"/>
    <w:rsid w:val="431F6F1A"/>
    <w:rsid w:val="4330638B"/>
    <w:rsid w:val="433260BE"/>
    <w:rsid w:val="43442B4C"/>
    <w:rsid w:val="43455E8D"/>
    <w:rsid w:val="43492A1F"/>
    <w:rsid w:val="43497FAA"/>
    <w:rsid w:val="434B5F3B"/>
    <w:rsid w:val="434D38FF"/>
    <w:rsid w:val="434E3BCE"/>
    <w:rsid w:val="43532E70"/>
    <w:rsid w:val="43583264"/>
    <w:rsid w:val="43592A32"/>
    <w:rsid w:val="435A015F"/>
    <w:rsid w:val="43627FF6"/>
    <w:rsid w:val="43640065"/>
    <w:rsid w:val="43686741"/>
    <w:rsid w:val="436C59BF"/>
    <w:rsid w:val="437206F0"/>
    <w:rsid w:val="43762FDE"/>
    <w:rsid w:val="437E0E43"/>
    <w:rsid w:val="43877156"/>
    <w:rsid w:val="438A2F60"/>
    <w:rsid w:val="43941469"/>
    <w:rsid w:val="439447A2"/>
    <w:rsid w:val="43B71271"/>
    <w:rsid w:val="43C138D7"/>
    <w:rsid w:val="43E4797A"/>
    <w:rsid w:val="43E55C72"/>
    <w:rsid w:val="440327B5"/>
    <w:rsid w:val="440E593F"/>
    <w:rsid w:val="4413603A"/>
    <w:rsid w:val="4414630B"/>
    <w:rsid w:val="44424ABC"/>
    <w:rsid w:val="444C08E7"/>
    <w:rsid w:val="444E0EE1"/>
    <w:rsid w:val="44627F4A"/>
    <w:rsid w:val="447225E0"/>
    <w:rsid w:val="4476700E"/>
    <w:rsid w:val="44783EF0"/>
    <w:rsid w:val="448268B5"/>
    <w:rsid w:val="448371EF"/>
    <w:rsid w:val="448F1BEB"/>
    <w:rsid w:val="4493196E"/>
    <w:rsid w:val="4493711E"/>
    <w:rsid w:val="449458E7"/>
    <w:rsid w:val="44957494"/>
    <w:rsid w:val="44997C56"/>
    <w:rsid w:val="449D1A1A"/>
    <w:rsid w:val="44B906E4"/>
    <w:rsid w:val="44C64880"/>
    <w:rsid w:val="44DB5B4B"/>
    <w:rsid w:val="44ED4E58"/>
    <w:rsid w:val="44F248DB"/>
    <w:rsid w:val="44F3492A"/>
    <w:rsid w:val="450D3397"/>
    <w:rsid w:val="450E3872"/>
    <w:rsid w:val="450E7B87"/>
    <w:rsid w:val="45120BB5"/>
    <w:rsid w:val="451C3028"/>
    <w:rsid w:val="451F2F53"/>
    <w:rsid w:val="452372FD"/>
    <w:rsid w:val="4524111B"/>
    <w:rsid w:val="452C1AC2"/>
    <w:rsid w:val="452D2B39"/>
    <w:rsid w:val="452F5D1E"/>
    <w:rsid w:val="4531313E"/>
    <w:rsid w:val="45353424"/>
    <w:rsid w:val="45534AE2"/>
    <w:rsid w:val="45562914"/>
    <w:rsid w:val="45582920"/>
    <w:rsid w:val="45771317"/>
    <w:rsid w:val="457C276D"/>
    <w:rsid w:val="458045A3"/>
    <w:rsid w:val="45827C4D"/>
    <w:rsid w:val="45891C99"/>
    <w:rsid w:val="458A3B42"/>
    <w:rsid w:val="458D211E"/>
    <w:rsid w:val="45916523"/>
    <w:rsid w:val="459439F9"/>
    <w:rsid w:val="459B42FF"/>
    <w:rsid w:val="459F43C9"/>
    <w:rsid w:val="45B30A6E"/>
    <w:rsid w:val="45BE7CD2"/>
    <w:rsid w:val="45D332F3"/>
    <w:rsid w:val="45D36AB7"/>
    <w:rsid w:val="45E219C7"/>
    <w:rsid w:val="45E51FD1"/>
    <w:rsid w:val="45EC1083"/>
    <w:rsid w:val="45F23B60"/>
    <w:rsid w:val="45F3375A"/>
    <w:rsid w:val="45FA78B6"/>
    <w:rsid w:val="45FC0319"/>
    <w:rsid w:val="461A3AB3"/>
    <w:rsid w:val="461B68D6"/>
    <w:rsid w:val="461C670B"/>
    <w:rsid w:val="462E48C7"/>
    <w:rsid w:val="462E5DF2"/>
    <w:rsid w:val="463C5DBD"/>
    <w:rsid w:val="464534A6"/>
    <w:rsid w:val="46477DAB"/>
    <w:rsid w:val="4664508F"/>
    <w:rsid w:val="46680370"/>
    <w:rsid w:val="46742B61"/>
    <w:rsid w:val="467525CE"/>
    <w:rsid w:val="4679566D"/>
    <w:rsid w:val="469355FA"/>
    <w:rsid w:val="46954656"/>
    <w:rsid w:val="469C407C"/>
    <w:rsid w:val="469F2159"/>
    <w:rsid w:val="46A3704F"/>
    <w:rsid w:val="46B37EDD"/>
    <w:rsid w:val="46B63CEC"/>
    <w:rsid w:val="46BE279A"/>
    <w:rsid w:val="46C4415D"/>
    <w:rsid w:val="46D21986"/>
    <w:rsid w:val="46EA3426"/>
    <w:rsid w:val="46F450A3"/>
    <w:rsid w:val="46FE6F11"/>
    <w:rsid w:val="471A3A4D"/>
    <w:rsid w:val="471E6036"/>
    <w:rsid w:val="472C0160"/>
    <w:rsid w:val="47317E23"/>
    <w:rsid w:val="47347939"/>
    <w:rsid w:val="4739107E"/>
    <w:rsid w:val="474E18FF"/>
    <w:rsid w:val="47522A9E"/>
    <w:rsid w:val="4755115C"/>
    <w:rsid w:val="475F7803"/>
    <w:rsid w:val="476E4009"/>
    <w:rsid w:val="476F05F4"/>
    <w:rsid w:val="477D4AFC"/>
    <w:rsid w:val="478213A1"/>
    <w:rsid w:val="4792287F"/>
    <w:rsid w:val="479B17B5"/>
    <w:rsid w:val="47A5442B"/>
    <w:rsid w:val="47AB2654"/>
    <w:rsid w:val="47B10DFD"/>
    <w:rsid w:val="47CA3978"/>
    <w:rsid w:val="47CE3BF8"/>
    <w:rsid w:val="47EB30B6"/>
    <w:rsid w:val="47F5758B"/>
    <w:rsid w:val="47FC0F5A"/>
    <w:rsid w:val="4811049B"/>
    <w:rsid w:val="48123F31"/>
    <w:rsid w:val="48131905"/>
    <w:rsid w:val="481816EC"/>
    <w:rsid w:val="481C196E"/>
    <w:rsid w:val="481C52C8"/>
    <w:rsid w:val="481E50E7"/>
    <w:rsid w:val="48217744"/>
    <w:rsid w:val="482528CB"/>
    <w:rsid w:val="48356C42"/>
    <w:rsid w:val="483E13F3"/>
    <w:rsid w:val="48446C9A"/>
    <w:rsid w:val="4861664A"/>
    <w:rsid w:val="48734322"/>
    <w:rsid w:val="48754555"/>
    <w:rsid w:val="48860D99"/>
    <w:rsid w:val="488B3F3A"/>
    <w:rsid w:val="489851FA"/>
    <w:rsid w:val="48994820"/>
    <w:rsid w:val="48994C6C"/>
    <w:rsid w:val="489B2B6F"/>
    <w:rsid w:val="489B432C"/>
    <w:rsid w:val="48A76780"/>
    <w:rsid w:val="48B069F5"/>
    <w:rsid w:val="48BB5BD2"/>
    <w:rsid w:val="48C46E77"/>
    <w:rsid w:val="48CE29AF"/>
    <w:rsid w:val="48D4599C"/>
    <w:rsid w:val="48DE0E55"/>
    <w:rsid w:val="48DF702F"/>
    <w:rsid w:val="490823D4"/>
    <w:rsid w:val="490E106C"/>
    <w:rsid w:val="490E5FE9"/>
    <w:rsid w:val="490F50FC"/>
    <w:rsid w:val="49133283"/>
    <w:rsid w:val="491D33CE"/>
    <w:rsid w:val="492479C7"/>
    <w:rsid w:val="493A3874"/>
    <w:rsid w:val="494D3CC1"/>
    <w:rsid w:val="495C30A5"/>
    <w:rsid w:val="497556A7"/>
    <w:rsid w:val="49763212"/>
    <w:rsid w:val="49885F39"/>
    <w:rsid w:val="498F3F41"/>
    <w:rsid w:val="499513A1"/>
    <w:rsid w:val="49A16331"/>
    <w:rsid w:val="49B55559"/>
    <w:rsid w:val="49BC5462"/>
    <w:rsid w:val="49BF6288"/>
    <w:rsid w:val="49D43FD5"/>
    <w:rsid w:val="49DF3077"/>
    <w:rsid w:val="49E55B6C"/>
    <w:rsid w:val="49E878FB"/>
    <w:rsid w:val="49F31589"/>
    <w:rsid w:val="49F33DFD"/>
    <w:rsid w:val="49F710E3"/>
    <w:rsid w:val="4A0867D7"/>
    <w:rsid w:val="4A0A4B34"/>
    <w:rsid w:val="4A1444F0"/>
    <w:rsid w:val="4A1526CC"/>
    <w:rsid w:val="4A2251BF"/>
    <w:rsid w:val="4A4A2E8C"/>
    <w:rsid w:val="4A4E7CE7"/>
    <w:rsid w:val="4A4F749B"/>
    <w:rsid w:val="4A50165F"/>
    <w:rsid w:val="4A563827"/>
    <w:rsid w:val="4A5804BC"/>
    <w:rsid w:val="4A630994"/>
    <w:rsid w:val="4A6528CA"/>
    <w:rsid w:val="4A6E6150"/>
    <w:rsid w:val="4A6F57B1"/>
    <w:rsid w:val="4A71438E"/>
    <w:rsid w:val="4A7A16DE"/>
    <w:rsid w:val="4A845570"/>
    <w:rsid w:val="4A9575A0"/>
    <w:rsid w:val="4A9C483B"/>
    <w:rsid w:val="4A9D70A2"/>
    <w:rsid w:val="4AA27989"/>
    <w:rsid w:val="4AAC0C92"/>
    <w:rsid w:val="4AAD1E20"/>
    <w:rsid w:val="4ABA1455"/>
    <w:rsid w:val="4ABB1A65"/>
    <w:rsid w:val="4AC07BD1"/>
    <w:rsid w:val="4ACC1204"/>
    <w:rsid w:val="4AE060A2"/>
    <w:rsid w:val="4AE45A8E"/>
    <w:rsid w:val="4AF46A13"/>
    <w:rsid w:val="4AF77F34"/>
    <w:rsid w:val="4B065DB8"/>
    <w:rsid w:val="4B07594D"/>
    <w:rsid w:val="4B0C2B80"/>
    <w:rsid w:val="4B196719"/>
    <w:rsid w:val="4B1D257E"/>
    <w:rsid w:val="4B240260"/>
    <w:rsid w:val="4B2A60B4"/>
    <w:rsid w:val="4B3D0F53"/>
    <w:rsid w:val="4B423301"/>
    <w:rsid w:val="4B455412"/>
    <w:rsid w:val="4B474CB2"/>
    <w:rsid w:val="4B4F6E89"/>
    <w:rsid w:val="4B5B7705"/>
    <w:rsid w:val="4B616976"/>
    <w:rsid w:val="4B714974"/>
    <w:rsid w:val="4B7A55DE"/>
    <w:rsid w:val="4B7C4D96"/>
    <w:rsid w:val="4BA157A7"/>
    <w:rsid w:val="4BA21B32"/>
    <w:rsid w:val="4BA56959"/>
    <w:rsid w:val="4BA71BC2"/>
    <w:rsid w:val="4BAE2F27"/>
    <w:rsid w:val="4BB71AB0"/>
    <w:rsid w:val="4BBA1622"/>
    <w:rsid w:val="4BBA7CB2"/>
    <w:rsid w:val="4BBB7C66"/>
    <w:rsid w:val="4BBD305A"/>
    <w:rsid w:val="4BBD56EA"/>
    <w:rsid w:val="4BC02057"/>
    <w:rsid w:val="4BC12570"/>
    <w:rsid w:val="4BC17140"/>
    <w:rsid w:val="4BC57AE9"/>
    <w:rsid w:val="4BC915C7"/>
    <w:rsid w:val="4BCE10AE"/>
    <w:rsid w:val="4C05172D"/>
    <w:rsid w:val="4C0F05AF"/>
    <w:rsid w:val="4C174BB8"/>
    <w:rsid w:val="4C216FAB"/>
    <w:rsid w:val="4C2B25B5"/>
    <w:rsid w:val="4C2E6B4D"/>
    <w:rsid w:val="4C375253"/>
    <w:rsid w:val="4C385884"/>
    <w:rsid w:val="4C3A7EFB"/>
    <w:rsid w:val="4C3D1859"/>
    <w:rsid w:val="4C443323"/>
    <w:rsid w:val="4C510D9A"/>
    <w:rsid w:val="4C5D34D8"/>
    <w:rsid w:val="4C6265FC"/>
    <w:rsid w:val="4C653672"/>
    <w:rsid w:val="4C6C6E12"/>
    <w:rsid w:val="4C6C742C"/>
    <w:rsid w:val="4C6E5A19"/>
    <w:rsid w:val="4C7153B9"/>
    <w:rsid w:val="4C78505B"/>
    <w:rsid w:val="4C865837"/>
    <w:rsid w:val="4C876947"/>
    <w:rsid w:val="4C8A5097"/>
    <w:rsid w:val="4C8B2830"/>
    <w:rsid w:val="4C8C325A"/>
    <w:rsid w:val="4C91352A"/>
    <w:rsid w:val="4C9E0F72"/>
    <w:rsid w:val="4CA42D04"/>
    <w:rsid w:val="4CA61A8E"/>
    <w:rsid w:val="4CAD42BF"/>
    <w:rsid w:val="4CB6484C"/>
    <w:rsid w:val="4CB80BAD"/>
    <w:rsid w:val="4CBB15E3"/>
    <w:rsid w:val="4CC316D1"/>
    <w:rsid w:val="4CC97B87"/>
    <w:rsid w:val="4CCA4F7B"/>
    <w:rsid w:val="4CCB7D9D"/>
    <w:rsid w:val="4CD16190"/>
    <w:rsid w:val="4CD45188"/>
    <w:rsid w:val="4CE147E9"/>
    <w:rsid w:val="4CED166B"/>
    <w:rsid w:val="4CEF3F5D"/>
    <w:rsid w:val="4CFE756A"/>
    <w:rsid w:val="4D012F4C"/>
    <w:rsid w:val="4D066EF1"/>
    <w:rsid w:val="4D2231FE"/>
    <w:rsid w:val="4D2A454D"/>
    <w:rsid w:val="4D2A5896"/>
    <w:rsid w:val="4D404761"/>
    <w:rsid w:val="4D465A4B"/>
    <w:rsid w:val="4D4E3A84"/>
    <w:rsid w:val="4D4E3CEA"/>
    <w:rsid w:val="4D557316"/>
    <w:rsid w:val="4D5C0300"/>
    <w:rsid w:val="4D5E0D72"/>
    <w:rsid w:val="4D6E2F78"/>
    <w:rsid w:val="4D7279A9"/>
    <w:rsid w:val="4D8458FA"/>
    <w:rsid w:val="4D8549CA"/>
    <w:rsid w:val="4D8F1033"/>
    <w:rsid w:val="4D96264A"/>
    <w:rsid w:val="4D9F456F"/>
    <w:rsid w:val="4DA02B2D"/>
    <w:rsid w:val="4DAA3D45"/>
    <w:rsid w:val="4DBF0B6E"/>
    <w:rsid w:val="4DC207A1"/>
    <w:rsid w:val="4DC949F8"/>
    <w:rsid w:val="4DD336EF"/>
    <w:rsid w:val="4DD35658"/>
    <w:rsid w:val="4DE1114B"/>
    <w:rsid w:val="4DE4535E"/>
    <w:rsid w:val="4DF846F3"/>
    <w:rsid w:val="4E003908"/>
    <w:rsid w:val="4E0F1AB3"/>
    <w:rsid w:val="4E14510E"/>
    <w:rsid w:val="4E173705"/>
    <w:rsid w:val="4E1B30C1"/>
    <w:rsid w:val="4E242245"/>
    <w:rsid w:val="4E2554BE"/>
    <w:rsid w:val="4E2F10B5"/>
    <w:rsid w:val="4E327225"/>
    <w:rsid w:val="4E3B09EA"/>
    <w:rsid w:val="4E3F3214"/>
    <w:rsid w:val="4E406949"/>
    <w:rsid w:val="4E41068C"/>
    <w:rsid w:val="4E452BE4"/>
    <w:rsid w:val="4E4849FF"/>
    <w:rsid w:val="4E510CAF"/>
    <w:rsid w:val="4E697193"/>
    <w:rsid w:val="4E7317D8"/>
    <w:rsid w:val="4E761D0C"/>
    <w:rsid w:val="4E79763C"/>
    <w:rsid w:val="4E8240DE"/>
    <w:rsid w:val="4E824EBE"/>
    <w:rsid w:val="4E8F4817"/>
    <w:rsid w:val="4EBC39E8"/>
    <w:rsid w:val="4EBE1A1D"/>
    <w:rsid w:val="4EBE651E"/>
    <w:rsid w:val="4ECA2430"/>
    <w:rsid w:val="4ECB517D"/>
    <w:rsid w:val="4ECC6969"/>
    <w:rsid w:val="4ED7746F"/>
    <w:rsid w:val="4EDA0C49"/>
    <w:rsid w:val="4EEE1FF6"/>
    <w:rsid w:val="4EF7487C"/>
    <w:rsid w:val="4EFA0419"/>
    <w:rsid w:val="4F0E4874"/>
    <w:rsid w:val="4F1116FF"/>
    <w:rsid w:val="4F14574C"/>
    <w:rsid w:val="4F256BA9"/>
    <w:rsid w:val="4F272B91"/>
    <w:rsid w:val="4F3328A8"/>
    <w:rsid w:val="4F341E14"/>
    <w:rsid w:val="4F385553"/>
    <w:rsid w:val="4F4E5C5B"/>
    <w:rsid w:val="4F7A5A5E"/>
    <w:rsid w:val="4F7D3946"/>
    <w:rsid w:val="4F830B91"/>
    <w:rsid w:val="4F862AB6"/>
    <w:rsid w:val="4F8800EE"/>
    <w:rsid w:val="4F8D6CD2"/>
    <w:rsid w:val="4F9771A0"/>
    <w:rsid w:val="4F994B1F"/>
    <w:rsid w:val="4F9E6005"/>
    <w:rsid w:val="4F9F3ABC"/>
    <w:rsid w:val="4FA128DC"/>
    <w:rsid w:val="4FA81FFF"/>
    <w:rsid w:val="4FA96515"/>
    <w:rsid w:val="4FAB5364"/>
    <w:rsid w:val="4FAC06E0"/>
    <w:rsid w:val="4FAD4C83"/>
    <w:rsid w:val="4FB039BB"/>
    <w:rsid w:val="4FB345F4"/>
    <w:rsid w:val="4FB7518D"/>
    <w:rsid w:val="4FB9624D"/>
    <w:rsid w:val="4FBE2D42"/>
    <w:rsid w:val="4FC05F64"/>
    <w:rsid w:val="4FC90B86"/>
    <w:rsid w:val="4FCD50CB"/>
    <w:rsid w:val="4FD509AD"/>
    <w:rsid w:val="4FDC4C1B"/>
    <w:rsid w:val="4FE01D52"/>
    <w:rsid w:val="4FE17339"/>
    <w:rsid w:val="4FE44EAC"/>
    <w:rsid w:val="4FE45963"/>
    <w:rsid w:val="4FE62DE8"/>
    <w:rsid w:val="4FEF1566"/>
    <w:rsid w:val="4FF70108"/>
    <w:rsid w:val="500D4E51"/>
    <w:rsid w:val="50283DF2"/>
    <w:rsid w:val="503C55AF"/>
    <w:rsid w:val="50431415"/>
    <w:rsid w:val="50493E3F"/>
    <w:rsid w:val="505A3237"/>
    <w:rsid w:val="505F7D15"/>
    <w:rsid w:val="50647B38"/>
    <w:rsid w:val="506528A0"/>
    <w:rsid w:val="50657B47"/>
    <w:rsid w:val="5066262C"/>
    <w:rsid w:val="50691A0B"/>
    <w:rsid w:val="50763579"/>
    <w:rsid w:val="50804B06"/>
    <w:rsid w:val="50821DA7"/>
    <w:rsid w:val="508671B1"/>
    <w:rsid w:val="50966A6E"/>
    <w:rsid w:val="50981C0C"/>
    <w:rsid w:val="509E0475"/>
    <w:rsid w:val="50A255D0"/>
    <w:rsid w:val="50B3520B"/>
    <w:rsid w:val="50B84F6D"/>
    <w:rsid w:val="50BB7682"/>
    <w:rsid w:val="50BE03C8"/>
    <w:rsid w:val="50CF057D"/>
    <w:rsid w:val="50DD453A"/>
    <w:rsid w:val="50E56DE2"/>
    <w:rsid w:val="50EA696A"/>
    <w:rsid w:val="50ED256A"/>
    <w:rsid w:val="50ED433B"/>
    <w:rsid w:val="50F31EC0"/>
    <w:rsid w:val="51193B5E"/>
    <w:rsid w:val="511A4858"/>
    <w:rsid w:val="512E66BA"/>
    <w:rsid w:val="51391F36"/>
    <w:rsid w:val="513B2122"/>
    <w:rsid w:val="513E094E"/>
    <w:rsid w:val="513F7E8C"/>
    <w:rsid w:val="514A383A"/>
    <w:rsid w:val="51515239"/>
    <w:rsid w:val="51536C65"/>
    <w:rsid w:val="5157171F"/>
    <w:rsid w:val="517D3696"/>
    <w:rsid w:val="517F13C8"/>
    <w:rsid w:val="51820929"/>
    <w:rsid w:val="51944491"/>
    <w:rsid w:val="519C7C86"/>
    <w:rsid w:val="519D0D49"/>
    <w:rsid w:val="519D378A"/>
    <w:rsid w:val="519F2B3B"/>
    <w:rsid w:val="51AD0463"/>
    <w:rsid w:val="51B1526F"/>
    <w:rsid w:val="51BC4BF0"/>
    <w:rsid w:val="51CB5B00"/>
    <w:rsid w:val="51E23193"/>
    <w:rsid w:val="51E441B4"/>
    <w:rsid w:val="51E82516"/>
    <w:rsid w:val="51E85EEE"/>
    <w:rsid w:val="51EB2B64"/>
    <w:rsid w:val="51F06651"/>
    <w:rsid w:val="51FE04CA"/>
    <w:rsid w:val="52052440"/>
    <w:rsid w:val="5209204E"/>
    <w:rsid w:val="520E19EE"/>
    <w:rsid w:val="5217349F"/>
    <w:rsid w:val="5222317D"/>
    <w:rsid w:val="522A0683"/>
    <w:rsid w:val="523254C1"/>
    <w:rsid w:val="523A3E99"/>
    <w:rsid w:val="52446FD2"/>
    <w:rsid w:val="52453F03"/>
    <w:rsid w:val="524C7228"/>
    <w:rsid w:val="525053C1"/>
    <w:rsid w:val="525B5F74"/>
    <w:rsid w:val="52620261"/>
    <w:rsid w:val="52650386"/>
    <w:rsid w:val="526D5945"/>
    <w:rsid w:val="528368D0"/>
    <w:rsid w:val="52840789"/>
    <w:rsid w:val="528C1719"/>
    <w:rsid w:val="528C1FE8"/>
    <w:rsid w:val="528D7F34"/>
    <w:rsid w:val="529869B2"/>
    <w:rsid w:val="529A313A"/>
    <w:rsid w:val="529D2A9E"/>
    <w:rsid w:val="52B437C3"/>
    <w:rsid w:val="52B74595"/>
    <w:rsid w:val="52B87278"/>
    <w:rsid w:val="52DE64AA"/>
    <w:rsid w:val="52FD2FFA"/>
    <w:rsid w:val="52FF5F4B"/>
    <w:rsid w:val="530620E8"/>
    <w:rsid w:val="53127DF9"/>
    <w:rsid w:val="53136849"/>
    <w:rsid w:val="53190BA7"/>
    <w:rsid w:val="53244068"/>
    <w:rsid w:val="53265978"/>
    <w:rsid w:val="532E0443"/>
    <w:rsid w:val="53380E7E"/>
    <w:rsid w:val="533959B4"/>
    <w:rsid w:val="533B607C"/>
    <w:rsid w:val="533D31A6"/>
    <w:rsid w:val="533F2618"/>
    <w:rsid w:val="533F3D7D"/>
    <w:rsid w:val="534A136A"/>
    <w:rsid w:val="534D3D22"/>
    <w:rsid w:val="535637AD"/>
    <w:rsid w:val="535D62E0"/>
    <w:rsid w:val="53627663"/>
    <w:rsid w:val="53635A0E"/>
    <w:rsid w:val="53697F51"/>
    <w:rsid w:val="537B17F5"/>
    <w:rsid w:val="538211DC"/>
    <w:rsid w:val="53876119"/>
    <w:rsid w:val="53963242"/>
    <w:rsid w:val="539B4737"/>
    <w:rsid w:val="53A35C28"/>
    <w:rsid w:val="53A41C97"/>
    <w:rsid w:val="53B55596"/>
    <w:rsid w:val="53B648B6"/>
    <w:rsid w:val="53BE56ED"/>
    <w:rsid w:val="53C026E5"/>
    <w:rsid w:val="53CA3EDD"/>
    <w:rsid w:val="53CD325D"/>
    <w:rsid w:val="53D07433"/>
    <w:rsid w:val="53DC7B35"/>
    <w:rsid w:val="53E8201F"/>
    <w:rsid w:val="53EF3315"/>
    <w:rsid w:val="53F0493D"/>
    <w:rsid w:val="53F415D8"/>
    <w:rsid w:val="54022BE0"/>
    <w:rsid w:val="540241E4"/>
    <w:rsid w:val="543071FE"/>
    <w:rsid w:val="54316511"/>
    <w:rsid w:val="54354766"/>
    <w:rsid w:val="543A080D"/>
    <w:rsid w:val="54402B6E"/>
    <w:rsid w:val="544C11A7"/>
    <w:rsid w:val="544F1550"/>
    <w:rsid w:val="54564135"/>
    <w:rsid w:val="545C090A"/>
    <w:rsid w:val="545C532D"/>
    <w:rsid w:val="545D78A2"/>
    <w:rsid w:val="5468695F"/>
    <w:rsid w:val="546E3D96"/>
    <w:rsid w:val="546F723F"/>
    <w:rsid w:val="54780130"/>
    <w:rsid w:val="54783453"/>
    <w:rsid w:val="54790A35"/>
    <w:rsid w:val="54790D79"/>
    <w:rsid w:val="547978BD"/>
    <w:rsid w:val="54874639"/>
    <w:rsid w:val="549F7B5A"/>
    <w:rsid w:val="54AA700A"/>
    <w:rsid w:val="54BF7CCA"/>
    <w:rsid w:val="54C14183"/>
    <w:rsid w:val="54C550FB"/>
    <w:rsid w:val="54C8742A"/>
    <w:rsid w:val="54CF763A"/>
    <w:rsid w:val="54D00DFA"/>
    <w:rsid w:val="54DB1C87"/>
    <w:rsid w:val="54DC5F38"/>
    <w:rsid w:val="54DD0B2B"/>
    <w:rsid w:val="54ED6E78"/>
    <w:rsid w:val="54F07B0E"/>
    <w:rsid w:val="54F119DA"/>
    <w:rsid w:val="54F329F6"/>
    <w:rsid w:val="54F46CDD"/>
    <w:rsid w:val="54FC355F"/>
    <w:rsid w:val="550E6D78"/>
    <w:rsid w:val="551316D4"/>
    <w:rsid w:val="55142A11"/>
    <w:rsid w:val="551A447D"/>
    <w:rsid w:val="551E3531"/>
    <w:rsid w:val="552161BB"/>
    <w:rsid w:val="552F6225"/>
    <w:rsid w:val="55307A9D"/>
    <w:rsid w:val="5541041E"/>
    <w:rsid w:val="5555359F"/>
    <w:rsid w:val="5555739E"/>
    <w:rsid w:val="555D0E65"/>
    <w:rsid w:val="556A76C4"/>
    <w:rsid w:val="557D4130"/>
    <w:rsid w:val="558F7E2B"/>
    <w:rsid w:val="55984AF1"/>
    <w:rsid w:val="55993DB3"/>
    <w:rsid w:val="559C6FB2"/>
    <w:rsid w:val="55A72F4C"/>
    <w:rsid w:val="55AF412E"/>
    <w:rsid w:val="55B5411A"/>
    <w:rsid w:val="55BF0815"/>
    <w:rsid w:val="55CB533B"/>
    <w:rsid w:val="55CB551C"/>
    <w:rsid w:val="55CC6AC4"/>
    <w:rsid w:val="55CF12C3"/>
    <w:rsid w:val="55D60973"/>
    <w:rsid w:val="55DF1ECF"/>
    <w:rsid w:val="55E304F3"/>
    <w:rsid w:val="55F82589"/>
    <w:rsid w:val="55F90240"/>
    <w:rsid w:val="55FD2533"/>
    <w:rsid w:val="56042CD0"/>
    <w:rsid w:val="56095AAC"/>
    <w:rsid w:val="561B20A4"/>
    <w:rsid w:val="56223E1C"/>
    <w:rsid w:val="562462C5"/>
    <w:rsid w:val="562B4214"/>
    <w:rsid w:val="562D4F7A"/>
    <w:rsid w:val="56371323"/>
    <w:rsid w:val="563E275A"/>
    <w:rsid w:val="56420DCC"/>
    <w:rsid w:val="5648020B"/>
    <w:rsid w:val="564C536F"/>
    <w:rsid w:val="564E4B88"/>
    <w:rsid w:val="566D04AD"/>
    <w:rsid w:val="566D57E8"/>
    <w:rsid w:val="5670089E"/>
    <w:rsid w:val="56707071"/>
    <w:rsid w:val="567639D5"/>
    <w:rsid w:val="567779C9"/>
    <w:rsid w:val="56A16A9C"/>
    <w:rsid w:val="56A86EA9"/>
    <w:rsid w:val="56B73D7A"/>
    <w:rsid w:val="56BC3C8D"/>
    <w:rsid w:val="56C016C2"/>
    <w:rsid w:val="56C34335"/>
    <w:rsid w:val="56D760C7"/>
    <w:rsid w:val="56D8736A"/>
    <w:rsid w:val="56DB7CDD"/>
    <w:rsid w:val="56E50667"/>
    <w:rsid w:val="56F34A4D"/>
    <w:rsid w:val="56F813B1"/>
    <w:rsid w:val="56F92F22"/>
    <w:rsid w:val="56FC1655"/>
    <w:rsid w:val="57050F8E"/>
    <w:rsid w:val="571157B1"/>
    <w:rsid w:val="571D3B4D"/>
    <w:rsid w:val="573E0A96"/>
    <w:rsid w:val="574476E3"/>
    <w:rsid w:val="57516FB3"/>
    <w:rsid w:val="5763344E"/>
    <w:rsid w:val="57637A17"/>
    <w:rsid w:val="5768265D"/>
    <w:rsid w:val="576A06A2"/>
    <w:rsid w:val="576D0472"/>
    <w:rsid w:val="576D0F7B"/>
    <w:rsid w:val="576D4D5E"/>
    <w:rsid w:val="576D7511"/>
    <w:rsid w:val="57701D1A"/>
    <w:rsid w:val="57705DFA"/>
    <w:rsid w:val="57765510"/>
    <w:rsid w:val="5781726E"/>
    <w:rsid w:val="578D3A90"/>
    <w:rsid w:val="5790425E"/>
    <w:rsid w:val="57A75260"/>
    <w:rsid w:val="57A84594"/>
    <w:rsid w:val="57AD63A3"/>
    <w:rsid w:val="57AE1BCB"/>
    <w:rsid w:val="57C72AE2"/>
    <w:rsid w:val="57D62DE3"/>
    <w:rsid w:val="57DC0DC9"/>
    <w:rsid w:val="57DD7A9C"/>
    <w:rsid w:val="57E00352"/>
    <w:rsid w:val="57E62E9D"/>
    <w:rsid w:val="57EF5441"/>
    <w:rsid w:val="57F735EC"/>
    <w:rsid w:val="57F92A10"/>
    <w:rsid w:val="57FA0899"/>
    <w:rsid w:val="580700E7"/>
    <w:rsid w:val="58166F69"/>
    <w:rsid w:val="581A3B69"/>
    <w:rsid w:val="58207835"/>
    <w:rsid w:val="582E7C74"/>
    <w:rsid w:val="583059FA"/>
    <w:rsid w:val="58375B6B"/>
    <w:rsid w:val="583B3CD9"/>
    <w:rsid w:val="583D2865"/>
    <w:rsid w:val="584772DB"/>
    <w:rsid w:val="58570CB8"/>
    <w:rsid w:val="58570FBE"/>
    <w:rsid w:val="585B3985"/>
    <w:rsid w:val="585D4EF7"/>
    <w:rsid w:val="58644BBE"/>
    <w:rsid w:val="58654E3D"/>
    <w:rsid w:val="58743D8F"/>
    <w:rsid w:val="58752932"/>
    <w:rsid w:val="58876BC1"/>
    <w:rsid w:val="588E2B13"/>
    <w:rsid w:val="58951E4F"/>
    <w:rsid w:val="58B40F1F"/>
    <w:rsid w:val="58B910A3"/>
    <w:rsid w:val="58D04FF6"/>
    <w:rsid w:val="58D1223F"/>
    <w:rsid w:val="58E61462"/>
    <w:rsid w:val="58E8060A"/>
    <w:rsid w:val="58F27ECA"/>
    <w:rsid w:val="58F44C79"/>
    <w:rsid w:val="58F94926"/>
    <w:rsid w:val="58FD0619"/>
    <w:rsid w:val="59000756"/>
    <w:rsid w:val="5902510E"/>
    <w:rsid w:val="590B64FE"/>
    <w:rsid w:val="591075D9"/>
    <w:rsid w:val="59121689"/>
    <w:rsid w:val="59213EBF"/>
    <w:rsid w:val="592716C5"/>
    <w:rsid w:val="59282839"/>
    <w:rsid w:val="592B47E8"/>
    <w:rsid w:val="592C50B0"/>
    <w:rsid w:val="59353FAF"/>
    <w:rsid w:val="594C5D1D"/>
    <w:rsid w:val="595A4DC1"/>
    <w:rsid w:val="59643529"/>
    <w:rsid w:val="59681415"/>
    <w:rsid w:val="596C0031"/>
    <w:rsid w:val="596E0542"/>
    <w:rsid w:val="59706D0D"/>
    <w:rsid w:val="59816EE4"/>
    <w:rsid w:val="59886C96"/>
    <w:rsid w:val="598D5A1B"/>
    <w:rsid w:val="598E48D3"/>
    <w:rsid w:val="59995AF4"/>
    <w:rsid w:val="599B540E"/>
    <w:rsid w:val="59B52FCC"/>
    <w:rsid w:val="59BF3B43"/>
    <w:rsid w:val="59C717D4"/>
    <w:rsid w:val="59C97A1E"/>
    <w:rsid w:val="59CF1242"/>
    <w:rsid w:val="59D022A6"/>
    <w:rsid w:val="59D76C95"/>
    <w:rsid w:val="59D83220"/>
    <w:rsid w:val="59D92A8D"/>
    <w:rsid w:val="59DD74BB"/>
    <w:rsid w:val="59E648FA"/>
    <w:rsid w:val="59EF71EF"/>
    <w:rsid w:val="59F1214C"/>
    <w:rsid w:val="5A03175D"/>
    <w:rsid w:val="5A091255"/>
    <w:rsid w:val="5A0A47CC"/>
    <w:rsid w:val="5A0D41D7"/>
    <w:rsid w:val="5A1D0C32"/>
    <w:rsid w:val="5A1E7130"/>
    <w:rsid w:val="5A273FAF"/>
    <w:rsid w:val="5A327436"/>
    <w:rsid w:val="5A343E34"/>
    <w:rsid w:val="5A3A01DE"/>
    <w:rsid w:val="5A437419"/>
    <w:rsid w:val="5A492DA3"/>
    <w:rsid w:val="5A4B3C35"/>
    <w:rsid w:val="5A5303CC"/>
    <w:rsid w:val="5A530AA1"/>
    <w:rsid w:val="5A5D3217"/>
    <w:rsid w:val="5A610CB6"/>
    <w:rsid w:val="5A717841"/>
    <w:rsid w:val="5A781664"/>
    <w:rsid w:val="5A8E0B56"/>
    <w:rsid w:val="5A9557A5"/>
    <w:rsid w:val="5AA173D7"/>
    <w:rsid w:val="5ABC1D99"/>
    <w:rsid w:val="5AC006A9"/>
    <w:rsid w:val="5AC56612"/>
    <w:rsid w:val="5ACE751A"/>
    <w:rsid w:val="5AD46FC9"/>
    <w:rsid w:val="5AD60C8E"/>
    <w:rsid w:val="5ADB6CCA"/>
    <w:rsid w:val="5AE250C4"/>
    <w:rsid w:val="5AE797CA"/>
    <w:rsid w:val="5AF563DB"/>
    <w:rsid w:val="5B0770AC"/>
    <w:rsid w:val="5B0D742F"/>
    <w:rsid w:val="5B151F4D"/>
    <w:rsid w:val="5B2615A4"/>
    <w:rsid w:val="5B2D46CC"/>
    <w:rsid w:val="5B300BD9"/>
    <w:rsid w:val="5B31054C"/>
    <w:rsid w:val="5B4243CF"/>
    <w:rsid w:val="5B593EB3"/>
    <w:rsid w:val="5B653E8C"/>
    <w:rsid w:val="5B691D6F"/>
    <w:rsid w:val="5B693BDA"/>
    <w:rsid w:val="5B713A99"/>
    <w:rsid w:val="5B732973"/>
    <w:rsid w:val="5B751AEC"/>
    <w:rsid w:val="5B7D64BA"/>
    <w:rsid w:val="5B7E71CF"/>
    <w:rsid w:val="5B7F0C7D"/>
    <w:rsid w:val="5B7F7FF6"/>
    <w:rsid w:val="5B813EAB"/>
    <w:rsid w:val="5B833B84"/>
    <w:rsid w:val="5B8A4D07"/>
    <w:rsid w:val="5B937ED4"/>
    <w:rsid w:val="5B983E5F"/>
    <w:rsid w:val="5BA15448"/>
    <w:rsid w:val="5BA2698F"/>
    <w:rsid w:val="5BA47C1E"/>
    <w:rsid w:val="5BB8062D"/>
    <w:rsid w:val="5BC16F92"/>
    <w:rsid w:val="5BCA5AFE"/>
    <w:rsid w:val="5BCB1E08"/>
    <w:rsid w:val="5BCD3937"/>
    <w:rsid w:val="5BCF70D2"/>
    <w:rsid w:val="5BD26FCE"/>
    <w:rsid w:val="5BD772E8"/>
    <w:rsid w:val="5BD91FEE"/>
    <w:rsid w:val="5BDC38AF"/>
    <w:rsid w:val="5BDD6813"/>
    <w:rsid w:val="5BDDA268"/>
    <w:rsid w:val="5BE409D5"/>
    <w:rsid w:val="5BE92E08"/>
    <w:rsid w:val="5BED0842"/>
    <w:rsid w:val="5BED6CE5"/>
    <w:rsid w:val="5BF01788"/>
    <w:rsid w:val="5BFA23AF"/>
    <w:rsid w:val="5C034C61"/>
    <w:rsid w:val="5C1A20CB"/>
    <w:rsid w:val="5C215766"/>
    <w:rsid w:val="5C256BC6"/>
    <w:rsid w:val="5C300C2E"/>
    <w:rsid w:val="5C3A66F5"/>
    <w:rsid w:val="5C450409"/>
    <w:rsid w:val="5C515A9E"/>
    <w:rsid w:val="5C58290E"/>
    <w:rsid w:val="5C5F7F66"/>
    <w:rsid w:val="5C650F9A"/>
    <w:rsid w:val="5C6E1BD9"/>
    <w:rsid w:val="5C6F4C36"/>
    <w:rsid w:val="5C894DBD"/>
    <w:rsid w:val="5C994797"/>
    <w:rsid w:val="5CA532E3"/>
    <w:rsid w:val="5CAD420A"/>
    <w:rsid w:val="5CB54154"/>
    <w:rsid w:val="5CBC7C4D"/>
    <w:rsid w:val="5CC25350"/>
    <w:rsid w:val="5CC46765"/>
    <w:rsid w:val="5CC5570F"/>
    <w:rsid w:val="5CCB0AA1"/>
    <w:rsid w:val="5CCE4CAE"/>
    <w:rsid w:val="5CD80D37"/>
    <w:rsid w:val="5CDD142E"/>
    <w:rsid w:val="5CEA70DF"/>
    <w:rsid w:val="5CF3135C"/>
    <w:rsid w:val="5D03681E"/>
    <w:rsid w:val="5D090896"/>
    <w:rsid w:val="5D105783"/>
    <w:rsid w:val="5D1E5047"/>
    <w:rsid w:val="5D205288"/>
    <w:rsid w:val="5D241AFB"/>
    <w:rsid w:val="5D2B4991"/>
    <w:rsid w:val="5D2F79E9"/>
    <w:rsid w:val="5D376D78"/>
    <w:rsid w:val="5D39629B"/>
    <w:rsid w:val="5D4101D5"/>
    <w:rsid w:val="5D471793"/>
    <w:rsid w:val="5D4810F0"/>
    <w:rsid w:val="5D4A73AE"/>
    <w:rsid w:val="5D4D2C88"/>
    <w:rsid w:val="5D511416"/>
    <w:rsid w:val="5D52150B"/>
    <w:rsid w:val="5D6355BF"/>
    <w:rsid w:val="5D635CB7"/>
    <w:rsid w:val="5D874138"/>
    <w:rsid w:val="5D893F50"/>
    <w:rsid w:val="5D8B6273"/>
    <w:rsid w:val="5D9E40F5"/>
    <w:rsid w:val="5DA4336B"/>
    <w:rsid w:val="5DAE376B"/>
    <w:rsid w:val="5DCF1EBA"/>
    <w:rsid w:val="5DD40BD5"/>
    <w:rsid w:val="5DF4346E"/>
    <w:rsid w:val="5E060A63"/>
    <w:rsid w:val="5E0B7F5E"/>
    <w:rsid w:val="5E0D68A5"/>
    <w:rsid w:val="5E0E5F64"/>
    <w:rsid w:val="5E160ABD"/>
    <w:rsid w:val="5E164AF7"/>
    <w:rsid w:val="5E194285"/>
    <w:rsid w:val="5E195CDE"/>
    <w:rsid w:val="5E1C2DE4"/>
    <w:rsid w:val="5E204A85"/>
    <w:rsid w:val="5E3109E5"/>
    <w:rsid w:val="5E360964"/>
    <w:rsid w:val="5E424679"/>
    <w:rsid w:val="5E456485"/>
    <w:rsid w:val="5E72594B"/>
    <w:rsid w:val="5E7B72A3"/>
    <w:rsid w:val="5E7C2940"/>
    <w:rsid w:val="5E7C659A"/>
    <w:rsid w:val="5E894CDA"/>
    <w:rsid w:val="5E901EF6"/>
    <w:rsid w:val="5E913E2B"/>
    <w:rsid w:val="5E9777C7"/>
    <w:rsid w:val="5E9860A7"/>
    <w:rsid w:val="5EA23833"/>
    <w:rsid w:val="5EAB0D7C"/>
    <w:rsid w:val="5EAE5C4B"/>
    <w:rsid w:val="5ED43C54"/>
    <w:rsid w:val="5EF95251"/>
    <w:rsid w:val="5F012DD4"/>
    <w:rsid w:val="5F061031"/>
    <w:rsid w:val="5F067998"/>
    <w:rsid w:val="5F137824"/>
    <w:rsid w:val="5F2D0858"/>
    <w:rsid w:val="5F2D2F18"/>
    <w:rsid w:val="5F2E4499"/>
    <w:rsid w:val="5F2F5B44"/>
    <w:rsid w:val="5F394779"/>
    <w:rsid w:val="5F3C5EA2"/>
    <w:rsid w:val="5F4D1A61"/>
    <w:rsid w:val="5F527413"/>
    <w:rsid w:val="5F5A1FCD"/>
    <w:rsid w:val="5F5C6F40"/>
    <w:rsid w:val="5F7452FA"/>
    <w:rsid w:val="5F7942E4"/>
    <w:rsid w:val="5F7A10C5"/>
    <w:rsid w:val="5F9852BA"/>
    <w:rsid w:val="5FA37174"/>
    <w:rsid w:val="5FA96768"/>
    <w:rsid w:val="5FAC14C9"/>
    <w:rsid w:val="5FB213EA"/>
    <w:rsid w:val="5FB8058A"/>
    <w:rsid w:val="5FBF1109"/>
    <w:rsid w:val="5FC132D3"/>
    <w:rsid w:val="5FDD743D"/>
    <w:rsid w:val="5FE12737"/>
    <w:rsid w:val="5FE8531E"/>
    <w:rsid w:val="5FEB1323"/>
    <w:rsid w:val="5FF14EA7"/>
    <w:rsid w:val="600244B9"/>
    <w:rsid w:val="600B1FA0"/>
    <w:rsid w:val="600F12A5"/>
    <w:rsid w:val="60206140"/>
    <w:rsid w:val="60297577"/>
    <w:rsid w:val="60317536"/>
    <w:rsid w:val="6035159A"/>
    <w:rsid w:val="60426E84"/>
    <w:rsid w:val="604A4423"/>
    <w:rsid w:val="605273CE"/>
    <w:rsid w:val="605830C9"/>
    <w:rsid w:val="605E2B5F"/>
    <w:rsid w:val="6063703D"/>
    <w:rsid w:val="60662554"/>
    <w:rsid w:val="607A3667"/>
    <w:rsid w:val="608B723E"/>
    <w:rsid w:val="608F5BDD"/>
    <w:rsid w:val="609029A1"/>
    <w:rsid w:val="609133E1"/>
    <w:rsid w:val="609A6083"/>
    <w:rsid w:val="609B41D2"/>
    <w:rsid w:val="60A37A46"/>
    <w:rsid w:val="60AD462F"/>
    <w:rsid w:val="60BE596C"/>
    <w:rsid w:val="60C03F54"/>
    <w:rsid w:val="60D90FA7"/>
    <w:rsid w:val="60DC548A"/>
    <w:rsid w:val="60F7620E"/>
    <w:rsid w:val="61025EAF"/>
    <w:rsid w:val="610A17DD"/>
    <w:rsid w:val="611270CC"/>
    <w:rsid w:val="611B06BF"/>
    <w:rsid w:val="611F2AAF"/>
    <w:rsid w:val="61222D23"/>
    <w:rsid w:val="61282584"/>
    <w:rsid w:val="612D4C11"/>
    <w:rsid w:val="61343D71"/>
    <w:rsid w:val="613611E6"/>
    <w:rsid w:val="61381393"/>
    <w:rsid w:val="61382595"/>
    <w:rsid w:val="6139259F"/>
    <w:rsid w:val="613A3811"/>
    <w:rsid w:val="61432F87"/>
    <w:rsid w:val="614E7798"/>
    <w:rsid w:val="614F211B"/>
    <w:rsid w:val="61576691"/>
    <w:rsid w:val="616C4F7C"/>
    <w:rsid w:val="61702F51"/>
    <w:rsid w:val="617F3743"/>
    <w:rsid w:val="61865AC6"/>
    <w:rsid w:val="61882403"/>
    <w:rsid w:val="619210BA"/>
    <w:rsid w:val="61954463"/>
    <w:rsid w:val="61967294"/>
    <w:rsid w:val="61AB570D"/>
    <w:rsid w:val="61AD0288"/>
    <w:rsid w:val="61B65936"/>
    <w:rsid w:val="61BE7C52"/>
    <w:rsid w:val="61BF7218"/>
    <w:rsid w:val="61E23249"/>
    <w:rsid w:val="61F70917"/>
    <w:rsid w:val="61F96FFD"/>
    <w:rsid w:val="620D6783"/>
    <w:rsid w:val="6214155A"/>
    <w:rsid w:val="621534CE"/>
    <w:rsid w:val="62166177"/>
    <w:rsid w:val="621B3313"/>
    <w:rsid w:val="62252357"/>
    <w:rsid w:val="622568C5"/>
    <w:rsid w:val="622A368B"/>
    <w:rsid w:val="622D6B06"/>
    <w:rsid w:val="623E192C"/>
    <w:rsid w:val="6245664B"/>
    <w:rsid w:val="62510F70"/>
    <w:rsid w:val="62562BA1"/>
    <w:rsid w:val="62564687"/>
    <w:rsid w:val="626550B7"/>
    <w:rsid w:val="626562A0"/>
    <w:rsid w:val="626C294E"/>
    <w:rsid w:val="627075BC"/>
    <w:rsid w:val="627905BD"/>
    <w:rsid w:val="62A43BBA"/>
    <w:rsid w:val="62C05BCC"/>
    <w:rsid w:val="62C60CF1"/>
    <w:rsid w:val="62CE72D3"/>
    <w:rsid w:val="62CF61E7"/>
    <w:rsid w:val="62D17DCF"/>
    <w:rsid w:val="62D7291B"/>
    <w:rsid w:val="62DF22C5"/>
    <w:rsid w:val="62E55633"/>
    <w:rsid w:val="62F35EA7"/>
    <w:rsid w:val="62F855D8"/>
    <w:rsid w:val="63026ED5"/>
    <w:rsid w:val="63123BD7"/>
    <w:rsid w:val="63240AE0"/>
    <w:rsid w:val="63314D4E"/>
    <w:rsid w:val="63372B23"/>
    <w:rsid w:val="633C3C5F"/>
    <w:rsid w:val="633F4341"/>
    <w:rsid w:val="63432333"/>
    <w:rsid w:val="63497D63"/>
    <w:rsid w:val="635707F2"/>
    <w:rsid w:val="63583796"/>
    <w:rsid w:val="635D7C0F"/>
    <w:rsid w:val="638021E6"/>
    <w:rsid w:val="638B4879"/>
    <w:rsid w:val="638C1913"/>
    <w:rsid w:val="63930654"/>
    <w:rsid w:val="639F41D4"/>
    <w:rsid w:val="63A21E2F"/>
    <w:rsid w:val="63A532B1"/>
    <w:rsid w:val="63AF7870"/>
    <w:rsid w:val="63B0737F"/>
    <w:rsid w:val="63B2708D"/>
    <w:rsid w:val="63B71305"/>
    <w:rsid w:val="63BF7196"/>
    <w:rsid w:val="63C02CFE"/>
    <w:rsid w:val="63C87310"/>
    <w:rsid w:val="63CD087A"/>
    <w:rsid w:val="63DB728A"/>
    <w:rsid w:val="63F3189F"/>
    <w:rsid w:val="63FD0D00"/>
    <w:rsid w:val="64026865"/>
    <w:rsid w:val="640370EF"/>
    <w:rsid w:val="64090851"/>
    <w:rsid w:val="640E24C6"/>
    <w:rsid w:val="641114D8"/>
    <w:rsid w:val="6430789F"/>
    <w:rsid w:val="64360AD0"/>
    <w:rsid w:val="644741AF"/>
    <w:rsid w:val="645475FF"/>
    <w:rsid w:val="645D119C"/>
    <w:rsid w:val="64642DDA"/>
    <w:rsid w:val="647B5DE4"/>
    <w:rsid w:val="64814D60"/>
    <w:rsid w:val="648708D6"/>
    <w:rsid w:val="64A85684"/>
    <w:rsid w:val="64AB361C"/>
    <w:rsid w:val="64B32E60"/>
    <w:rsid w:val="64B75965"/>
    <w:rsid w:val="64B831AA"/>
    <w:rsid w:val="64C94F30"/>
    <w:rsid w:val="64D258D6"/>
    <w:rsid w:val="64D84AEA"/>
    <w:rsid w:val="64DC326C"/>
    <w:rsid w:val="64E96354"/>
    <w:rsid w:val="64EF417E"/>
    <w:rsid w:val="64F85EDF"/>
    <w:rsid w:val="650A5442"/>
    <w:rsid w:val="65160A56"/>
    <w:rsid w:val="652B3AE6"/>
    <w:rsid w:val="652E70F4"/>
    <w:rsid w:val="655728E5"/>
    <w:rsid w:val="656E1922"/>
    <w:rsid w:val="65712CCB"/>
    <w:rsid w:val="657A23C3"/>
    <w:rsid w:val="658C6495"/>
    <w:rsid w:val="65917E17"/>
    <w:rsid w:val="65A81990"/>
    <w:rsid w:val="65BF5546"/>
    <w:rsid w:val="65C47AF9"/>
    <w:rsid w:val="65CD4BAE"/>
    <w:rsid w:val="65CE101D"/>
    <w:rsid w:val="65CE1DE7"/>
    <w:rsid w:val="65D025CA"/>
    <w:rsid w:val="65DA49CF"/>
    <w:rsid w:val="65E45DB7"/>
    <w:rsid w:val="65E53FDB"/>
    <w:rsid w:val="65EC7F8A"/>
    <w:rsid w:val="65EE1798"/>
    <w:rsid w:val="65F24E94"/>
    <w:rsid w:val="65FB0901"/>
    <w:rsid w:val="660238F4"/>
    <w:rsid w:val="660537B5"/>
    <w:rsid w:val="66064906"/>
    <w:rsid w:val="660C6FFB"/>
    <w:rsid w:val="66131908"/>
    <w:rsid w:val="661F315C"/>
    <w:rsid w:val="66291FCB"/>
    <w:rsid w:val="66296CE3"/>
    <w:rsid w:val="662B18CA"/>
    <w:rsid w:val="662D17CA"/>
    <w:rsid w:val="662E778A"/>
    <w:rsid w:val="66316C52"/>
    <w:rsid w:val="66367E1F"/>
    <w:rsid w:val="66394777"/>
    <w:rsid w:val="663F71E1"/>
    <w:rsid w:val="6643539B"/>
    <w:rsid w:val="664B2488"/>
    <w:rsid w:val="66547ED3"/>
    <w:rsid w:val="665A5A94"/>
    <w:rsid w:val="665E7101"/>
    <w:rsid w:val="666A7B99"/>
    <w:rsid w:val="666E50F1"/>
    <w:rsid w:val="666E5281"/>
    <w:rsid w:val="66756BA2"/>
    <w:rsid w:val="6676559D"/>
    <w:rsid w:val="66792AD0"/>
    <w:rsid w:val="66870422"/>
    <w:rsid w:val="66884C53"/>
    <w:rsid w:val="66926230"/>
    <w:rsid w:val="669466A7"/>
    <w:rsid w:val="669C24AC"/>
    <w:rsid w:val="669C3CA0"/>
    <w:rsid w:val="669C73F9"/>
    <w:rsid w:val="66A21421"/>
    <w:rsid w:val="66AC78DE"/>
    <w:rsid w:val="66AD774A"/>
    <w:rsid w:val="66B048EA"/>
    <w:rsid w:val="66B8278B"/>
    <w:rsid w:val="66C22B7B"/>
    <w:rsid w:val="66E1512E"/>
    <w:rsid w:val="66E358DD"/>
    <w:rsid w:val="66E64C17"/>
    <w:rsid w:val="66E66C8D"/>
    <w:rsid w:val="66F024BB"/>
    <w:rsid w:val="66F9066E"/>
    <w:rsid w:val="66FF206E"/>
    <w:rsid w:val="670361C9"/>
    <w:rsid w:val="67056C4C"/>
    <w:rsid w:val="671132DA"/>
    <w:rsid w:val="671274FC"/>
    <w:rsid w:val="671309C0"/>
    <w:rsid w:val="6715077A"/>
    <w:rsid w:val="671E55FE"/>
    <w:rsid w:val="673504D0"/>
    <w:rsid w:val="6735786B"/>
    <w:rsid w:val="673B1FF9"/>
    <w:rsid w:val="674353DF"/>
    <w:rsid w:val="674E3E54"/>
    <w:rsid w:val="67591F49"/>
    <w:rsid w:val="675F3C06"/>
    <w:rsid w:val="676A03FA"/>
    <w:rsid w:val="67707E37"/>
    <w:rsid w:val="6772100D"/>
    <w:rsid w:val="6778120E"/>
    <w:rsid w:val="67863831"/>
    <w:rsid w:val="67A155E7"/>
    <w:rsid w:val="67A36C13"/>
    <w:rsid w:val="67A557BE"/>
    <w:rsid w:val="67AA2112"/>
    <w:rsid w:val="67AE0B8C"/>
    <w:rsid w:val="67BB2B97"/>
    <w:rsid w:val="67BF66E9"/>
    <w:rsid w:val="67C73559"/>
    <w:rsid w:val="67D41747"/>
    <w:rsid w:val="67D91541"/>
    <w:rsid w:val="67DB1A20"/>
    <w:rsid w:val="67EC50A4"/>
    <w:rsid w:val="67FE3A48"/>
    <w:rsid w:val="67FF6492"/>
    <w:rsid w:val="6803799C"/>
    <w:rsid w:val="680B0F21"/>
    <w:rsid w:val="6814479C"/>
    <w:rsid w:val="68157E3D"/>
    <w:rsid w:val="681A48B0"/>
    <w:rsid w:val="68202075"/>
    <w:rsid w:val="6826214C"/>
    <w:rsid w:val="68292CC2"/>
    <w:rsid w:val="68295D63"/>
    <w:rsid w:val="682E6C90"/>
    <w:rsid w:val="683464FF"/>
    <w:rsid w:val="68372AD5"/>
    <w:rsid w:val="683A3248"/>
    <w:rsid w:val="68405663"/>
    <w:rsid w:val="684A60E8"/>
    <w:rsid w:val="684F0D69"/>
    <w:rsid w:val="68523C4D"/>
    <w:rsid w:val="685A43CD"/>
    <w:rsid w:val="685E6E0C"/>
    <w:rsid w:val="68683737"/>
    <w:rsid w:val="686D751B"/>
    <w:rsid w:val="6875257B"/>
    <w:rsid w:val="68767B80"/>
    <w:rsid w:val="6877026E"/>
    <w:rsid w:val="68882C22"/>
    <w:rsid w:val="6892625A"/>
    <w:rsid w:val="689C71A3"/>
    <w:rsid w:val="68A07672"/>
    <w:rsid w:val="68B0684F"/>
    <w:rsid w:val="68B74E2C"/>
    <w:rsid w:val="68C5197A"/>
    <w:rsid w:val="68C71406"/>
    <w:rsid w:val="68C94D03"/>
    <w:rsid w:val="68D478B5"/>
    <w:rsid w:val="68D62342"/>
    <w:rsid w:val="68DF0244"/>
    <w:rsid w:val="68E13FD7"/>
    <w:rsid w:val="68E7460F"/>
    <w:rsid w:val="68EB459E"/>
    <w:rsid w:val="68ED6FEF"/>
    <w:rsid w:val="68EF7F9F"/>
    <w:rsid w:val="6901160B"/>
    <w:rsid w:val="69031699"/>
    <w:rsid w:val="690A5DF3"/>
    <w:rsid w:val="691340F0"/>
    <w:rsid w:val="692F766D"/>
    <w:rsid w:val="69325DBA"/>
    <w:rsid w:val="693522F2"/>
    <w:rsid w:val="69374A4C"/>
    <w:rsid w:val="6943386A"/>
    <w:rsid w:val="69500975"/>
    <w:rsid w:val="69503DED"/>
    <w:rsid w:val="6953304B"/>
    <w:rsid w:val="6955440F"/>
    <w:rsid w:val="696A4166"/>
    <w:rsid w:val="697F063D"/>
    <w:rsid w:val="697F7BE5"/>
    <w:rsid w:val="69831E69"/>
    <w:rsid w:val="6985242A"/>
    <w:rsid w:val="698962F1"/>
    <w:rsid w:val="699A126E"/>
    <w:rsid w:val="69A072B3"/>
    <w:rsid w:val="69A3729A"/>
    <w:rsid w:val="69AA3132"/>
    <w:rsid w:val="69AE45BD"/>
    <w:rsid w:val="69C4571A"/>
    <w:rsid w:val="69C721AB"/>
    <w:rsid w:val="69C80E39"/>
    <w:rsid w:val="69C946D5"/>
    <w:rsid w:val="69CE210E"/>
    <w:rsid w:val="69D92A9A"/>
    <w:rsid w:val="69D9539F"/>
    <w:rsid w:val="69DC4C10"/>
    <w:rsid w:val="69E74A35"/>
    <w:rsid w:val="69E76134"/>
    <w:rsid w:val="69EC3250"/>
    <w:rsid w:val="69EF546E"/>
    <w:rsid w:val="69F61722"/>
    <w:rsid w:val="69FD1A8A"/>
    <w:rsid w:val="6A0034BF"/>
    <w:rsid w:val="6A077EF9"/>
    <w:rsid w:val="6A08774E"/>
    <w:rsid w:val="6A3D2A69"/>
    <w:rsid w:val="6A447DA8"/>
    <w:rsid w:val="6A4A5327"/>
    <w:rsid w:val="6A5A681F"/>
    <w:rsid w:val="6A5B55C5"/>
    <w:rsid w:val="6A6B3FAB"/>
    <w:rsid w:val="6A75729C"/>
    <w:rsid w:val="6A7D7FBB"/>
    <w:rsid w:val="6A8A27E5"/>
    <w:rsid w:val="6A9242B3"/>
    <w:rsid w:val="6AA3383A"/>
    <w:rsid w:val="6AA62309"/>
    <w:rsid w:val="6AA70258"/>
    <w:rsid w:val="6AAE536D"/>
    <w:rsid w:val="6AB61FA3"/>
    <w:rsid w:val="6ABF27CF"/>
    <w:rsid w:val="6ACE1A29"/>
    <w:rsid w:val="6AE617B3"/>
    <w:rsid w:val="6AE8274D"/>
    <w:rsid w:val="6AE831F0"/>
    <w:rsid w:val="6AF6662F"/>
    <w:rsid w:val="6AF85218"/>
    <w:rsid w:val="6AFC6557"/>
    <w:rsid w:val="6B036420"/>
    <w:rsid w:val="6B096EE2"/>
    <w:rsid w:val="6B100899"/>
    <w:rsid w:val="6B285D5B"/>
    <w:rsid w:val="6B297557"/>
    <w:rsid w:val="6B2B0C6F"/>
    <w:rsid w:val="6B2C1908"/>
    <w:rsid w:val="6B410E91"/>
    <w:rsid w:val="6B440B20"/>
    <w:rsid w:val="6B4C2C13"/>
    <w:rsid w:val="6B5936EF"/>
    <w:rsid w:val="6B5D592F"/>
    <w:rsid w:val="6B5D7317"/>
    <w:rsid w:val="6B5F49B8"/>
    <w:rsid w:val="6B7632DB"/>
    <w:rsid w:val="6B7E056C"/>
    <w:rsid w:val="6B945695"/>
    <w:rsid w:val="6B9659A1"/>
    <w:rsid w:val="6B9E435A"/>
    <w:rsid w:val="6BA73025"/>
    <w:rsid w:val="6BAA6A44"/>
    <w:rsid w:val="6BAA7606"/>
    <w:rsid w:val="6BAE13D0"/>
    <w:rsid w:val="6BCB0BEE"/>
    <w:rsid w:val="6BDB6073"/>
    <w:rsid w:val="6BDD4033"/>
    <w:rsid w:val="6BE460A1"/>
    <w:rsid w:val="6BEA7679"/>
    <w:rsid w:val="6BEB7F17"/>
    <w:rsid w:val="6BF65EA5"/>
    <w:rsid w:val="6C022CBF"/>
    <w:rsid w:val="6C092684"/>
    <w:rsid w:val="6C094FE1"/>
    <w:rsid w:val="6C1256EA"/>
    <w:rsid w:val="6C2F3018"/>
    <w:rsid w:val="6C32154E"/>
    <w:rsid w:val="6C3515DA"/>
    <w:rsid w:val="6C362A59"/>
    <w:rsid w:val="6C386A43"/>
    <w:rsid w:val="6C3B4C38"/>
    <w:rsid w:val="6C401576"/>
    <w:rsid w:val="6C4522AC"/>
    <w:rsid w:val="6C4569A5"/>
    <w:rsid w:val="6C49452C"/>
    <w:rsid w:val="6C4A6F9B"/>
    <w:rsid w:val="6C522188"/>
    <w:rsid w:val="6C575974"/>
    <w:rsid w:val="6C6172D4"/>
    <w:rsid w:val="6C6D2E41"/>
    <w:rsid w:val="6C725704"/>
    <w:rsid w:val="6C7318E6"/>
    <w:rsid w:val="6C741D34"/>
    <w:rsid w:val="6C773497"/>
    <w:rsid w:val="6C796502"/>
    <w:rsid w:val="6C7E1F07"/>
    <w:rsid w:val="6C825C75"/>
    <w:rsid w:val="6C850B50"/>
    <w:rsid w:val="6CAB7041"/>
    <w:rsid w:val="6CB137F6"/>
    <w:rsid w:val="6CB14DBB"/>
    <w:rsid w:val="6CB5418D"/>
    <w:rsid w:val="6CBD30EB"/>
    <w:rsid w:val="6CC30370"/>
    <w:rsid w:val="6CC47A12"/>
    <w:rsid w:val="6CC73832"/>
    <w:rsid w:val="6CC77489"/>
    <w:rsid w:val="6CC92C6A"/>
    <w:rsid w:val="6CD71676"/>
    <w:rsid w:val="6CDD6D7B"/>
    <w:rsid w:val="6CE1173F"/>
    <w:rsid w:val="6CE54CDC"/>
    <w:rsid w:val="6CE6591B"/>
    <w:rsid w:val="6CF42DA7"/>
    <w:rsid w:val="6CFD5F34"/>
    <w:rsid w:val="6D024FBC"/>
    <w:rsid w:val="6D0B477C"/>
    <w:rsid w:val="6D177C5C"/>
    <w:rsid w:val="6D28310C"/>
    <w:rsid w:val="6D2A59A8"/>
    <w:rsid w:val="6D2A7319"/>
    <w:rsid w:val="6D2D260A"/>
    <w:rsid w:val="6D3B6BF6"/>
    <w:rsid w:val="6D4C3D1D"/>
    <w:rsid w:val="6D5533B5"/>
    <w:rsid w:val="6D580739"/>
    <w:rsid w:val="6D5F618E"/>
    <w:rsid w:val="6D7A4B6C"/>
    <w:rsid w:val="6D8D4511"/>
    <w:rsid w:val="6D963599"/>
    <w:rsid w:val="6DA249F3"/>
    <w:rsid w:val="6DA67706"/>
    <w:rsid w:val="6DAD52FB"/>
    <w:rsid w:val="6DAD54BB"/>
    <w:rsid w:val="6DBA3244"/>
    <w:rsid w:val="6DC811EE"/>
    <w:rsid w:val="6DD1790E"/>
    <w:rsid w:val="6DD348C6"/>
    <w:rsid w:val="6DDC7B37"/>
    <w:rsid w:val="6DE71CC9"/>
    <w:rsid w:val="6DE752D3"/>
    <w:rsid w:val="6DF54D86"/>
    <w:rsid w:val="6DFA36ED"/>
    <w:rsid w:val="6E0021CF"/>
    <w:rsid w:val="6E094073"/>
    <w:rsid w:val="6E155981"/>
    <w:rsid w:val="6E19129D"/>
    <w:rsid w:val="6E1958FC"/>
    <w:rsid w:val="6E290D63"/>
    <w:rsid w:val="6E2A43F2"/>
    <w:rsid w:val="6E400F7F"/>
    <w:rsid w:val="6E4502AC"/>
    <w:rsid w:val="6E4536DD"/>
    <w:rsid w:val="6E4D441E"/>
    <w:rsid w:val="6E4E6A18"/>
    <w:rsid w:val="6E5519B7"/>
    <w:rsid w:val="6E5A692C"/>
    <w:rsid w:val="6E621716"/>
    <w:rsid w:val="6E680B34"/>
    <w:rsid w:val="6E6F1C17"/>
    <w:rsid w:val="6E6F7D06"/>
    <w:rsid w:val="6E87267D"/>
    <w:rsid w:val="6E915F0F"/>
    <w:rsid w:val="6E921CF3"/>
    <w:rsid w:val="6E966413"/>
    <w:rsid w:val="6E9A7C9E"/>
    <w:rsid w:val="6EA469D9"/>
    <w:rsid w:val="6EA55A57"/>
    <w:rsid w:val="6EAA3C4C"/>
    <w:rsid w:val="6ED30D4B"/>
    <w:rsid w:val="6EDB0512"/>
    <w:rsid w:val="6EE113A4"/>
    <w:rsid w:val="6F012FA0"/>
    <w:rsid w:val="6F047741"/>
    <w:rsid w:val="6F095FD6"/>
    <w:rsid w:val="6F0B01CF"/>
    <w:rsid w:val="6F112133"/>
    <w:rsid w:val="6F2137FB"/>
    <w:rsid w:val="6F285455"/>
    <w:rsid w:val="6F2C7D54"/>
    <w:rsid w:val="6F325727"/>
    <w:rsid w:val="6F4B77B3"/>
    <w:rsid w:val="6F4F27C7"/>
    <w:rsid w:val="6F5A7FC2"/>
    <w:rsid w:val="6F5E582C"/>
    <w:rsid w:val="6F6277D0"/>
    <w:rsid w:val="6F6D41EC"/>
    <w:rsid w:val="6F7D3591"/>
    <w:rsid w:val="6F804704"/>
    <w:rsid w:val="6F983A5F"/>
    <w:rsid w:val="6FA675BF"/>
    <w:rsid w:val="6FBB0029"/>
    <w:rsid w:val="6FC00266"/>
    <w:rsid w:val="6FC50413"/>
    <w:rsid w:val="6FCC5AA9"/>
    <w:rsid w:val="6FCF6FE6"/>
    <w:rsid w:val="6FD76274"/>
    <w:rsid w:val="6FE922ED"/>
    <w:rsid w:val="6FEB03F1"/>
    <w:rsid w:val="6FF70753"/>
    <w:rsid w:val="700C7503"/>
    <w:rsid w:val="70102C1C"/>
    <w:rsid w:val="70142FE0"/>
    <w:rsid w:val="702A3AF6"/>
    <w:rsid w:val="70354FD8"/>
    <w:rsid w:val="703E2D94"/>
    <w:rsid w:val="7040671C"/>
    <w:rsid w:val="70457F3C"/>
    <w:rsid w:val="70490307"/>
    <w:rsid w:val="704C560B"/>
    <w:rsid w:val="706E6C67"/>
    <w:rsid w:val="707202F3"/>
    <w:rsid w:val="707513DC"/>
    <w:rsid w:val="70A51D30"/>
    <w:rsid w:val="70C23B1E"/>
    <w:rsid w:val="70CA5F18"/>
    <w:rsid w:val="70CD6AF4"/>
    <w:rsid w:val="70D6196D"/>
    <w:rsid w:val="70E02208"/>
    <w:rsid w:val="70E37A24"/>
    <w:rsid w:val="70E96D7C"/>
    <w:rsid w:val="70EA3753"/>
    <w:rsid w:val="70ED5B3A"/>
    <w:rsid w:val="70F3568A"/>
    <w:rsid w:val="70F86D4E"/>
    <w:rsid w:val="71017DEE"/>
    <w:rsid w:val="710718F9"/>
    <w:rsid w:val="710864C2"/>
    <w:rsid w:val="710B4DE6"/>
    <w:rsid w:val="71113FF7"/>
    <w:rsid w:val="71370313"/>
    <w:rsid w:val="7141280A"/>
    <w:rsid w:val="714747D3"/>
    <w:rsid w:val="71553D58"/>
    <w:rsid w:val="71554911"/>
    <w:rsid w:val="717735CA"/>
    <w:rsid w:val="71820A15"/>
    <w:rsid w:val="71840EB8"/>
    <w:rsid w:val="71892C48"/>
    <w:rsid w:val="719342FF"/>
    <w:rsid w:val="719B4D4D"/>
    <w:rsid w:val="71AA1E19"/>
    <w:rsid w:val="71AA3571"/>
    <w:rsid w:val="71AA5093"/>
    <w:rsid w:val="71B368EC"/>
    <w:rsid w:val="71B37E4E"/>
    <w:rsid w:val="71CC00E9"/>
    <w:rsid w:val="71D07B63"/>
    <w:rsid w:val="71DA2742"/>
    <w:rsid w:val="71E03C50"/>
    <w:rsid w:val="71E51FBF"/>
    <w:rsid w:val="71E539A2"/>
    <w:rsid w:val="71ED0060"/>
    <w:rsid w:val="71FF1AF8"/>
    <w:rsid w:val="720E03D7"/>
    <w:rsid w:val="722A0686"/>
    <w:rsid w:val="722C2B98"/>
    <w:rsid w:val="723052E1"/>
    <w:rsid w:val="72310DB8"/>
    <w:rsid w:val="72402885"/>
    <w:rsid w:val="724D5D92"/>
    <w:rsid w:val="72513763"/>
    <w:rsid w:val="725C572F"/>
    <w:rsid w:val="726735F8"/>
    <w:rsid w:val="726A2C75"/>
    <w:rsid w:val="72701197"/>
    <w:rsid w:val="727E74AF"/>
    <w:rsid w:val="7284057A"/>
    <w:rsid w:val="72881526"/>
    <w:rsid w:val="72941108"/>
    <w:rsid w:val="7295429E"/>
    <w:rsid w:val="72A56181"/>
    <w:rsid w:val="72A81EA0"/>
    <w:rsid w:val="72AC2355"/>
    <w:rsid w:val="72BF4666"/>
    <w:rsid w:val="72C33944"/>
    <w:rsid w:val="72E22305"/>
    <w:rsid w:val="72E55336"/>
    <w:rsid w:val="72ED3C3E"/>
    <w:rsid w:val="72EF36AE"/>
    <w:rsid w:val="7304519D"/>
    <w:rsid w:val="73050D63"/>
    <w:rsid w:val="7309607F"/>
    <w:rsid w:val="731267F8"/>
    <w:rsid w:val="731F46BC"/>
    <w:rsid w:val="734773CE"/>
    <w:rsid w:val="734A0CA0"/>
    <w:rsid w:val="73582B63"/>
    <w:rsid w:val="735B2647"/>
    <w:rsid w:val="735D4399"/>
    <w:rsid w:val="73630078"/>
    <w:rsid w:val="737772E2"/>
    <w:rsid w:val="737A6D13"/>
    <w:rsid w:val="737E7AEA"/>
    <w:rsid w:val="73B93EAD"/>
    <w:rsid w:val="73BA5A7E"/>
    <w:rsid w:val="73BE27A5"/>
    <w:rsid w:val="73C43E87"/>
    <w:rsid w:val="73D93A08"/>
    <w:rsid w:val="73E64BBA"/>
    <w:rsid w:val="73F75C34"/>
    <w:rsid w:val="73FC7D36"/>
    <w:rsid w:val="73FD3FE7"/>
    <w:rsid w:val="73FD51D3"/>
    <w:rsid w:val="74071572"/>
    <w:rsid w:val="7408729E"/>
    <w:rsid w:val="74193D9C"/>
    <w:rsid w:val="74253AE1"/>
    <w:rsid w:val="742F2B51"/>
    <w:rsid w:val="74376CA2"/>
    <w:rsid w:val="744C205E"/>
    <w:rsid w:val="745262CD"/>
    <w:rsid w:val="74545A81"/>
    <w:rsid w:val="74585B3A"/>
    <w:rsid w:val="74602E08"/>
    <w:rsid w:val="74607D1B"/>
    <w:rsid w:val="74705A50"/>
    <w:rsid w:val="74720570"/>
    <w:rsid w:val="74734EC2"/>
    <w:rsid w:val="747377A2"/>
    <w:rsid w:val="7474112B"/>
    <w:rsid w:val="747419D3"/>
    <w:rsid w:val="747422C4"/>
    <w:rsid w:val="747E7FDB"/>
    <w:rsid w:val="74935DB8"/>
    <w:rsid w:val="749B703C"/>
    <w:rsid w:val="749E1EA5"/>
    <w:rsid w:val="74A0760B"/>
    <w:rsid w:val="74A6784D"/>
    <w:rsid w:val="74A75C21"/>
    <w:rsid w:val="74BA4DBE"/>
    <w:rsid w:val="74BE7690"/>
    <w:rsid w:val="74C3233F"/>
    <w:rsid w:val="74D20121"/>
    <w:rsid w:val="74D83A81"/>
    <w:rsid w:val="74DB32AE"/>
    <w:rsid w:val="74E76682"/>
    <w:rsid w:val="74EC751D"/>
    <w:rsid w:val="74ED25D6"/>
    <w:rsid w:val="74EE1722"/>
    <w:rsid w:val="74FC53C0"/>
    <w:rsid w:val="74FE162A"/>
    <w:rsid w:val="750B1FB8"/>
    <w:rsid w:val="750F06C2"/>
    <w:rsid w:val="750F539F"/>
    <w:rsid w:val="751D2777"/>
    <w:rsid w:val="751D6C7A"/>
    <w:rsid w:val="75254B0B"/>
    <w:rsid w:val="7534212B"/>
    <w:rsid w:val="75574066"/>
    <w:rsid w:val="755F2402"/>
    <w:rsid w:val="75622496"/>
    <w:rsid w:val="75644ADD"/>
    <w:rsid w:val="756D479F"/>
    <w:rsid w:val="75816308"/>
    <w:rsid w:val="759B0C86"/>
    <w:rsid w:val="759C03D1"/>
    <w:rsid w:val="75A06EA7"/>
    <w:rsid w:val="75A102C0"/>
    <w:rsid w:val="75A4740C"/>
    <w:rsid w:val="75A769A0"/>
    <w:rsid w:val="75AB5D03"/>
    <w:rsid w:val="75B06537"/>
    <w:rsid w:val="75B70845"/>
    <w:rsid w:val="75B86DA1"/>
    <w:rsid w:val="75BA4DD2"/>
    <w:rsid w:val="75C37A55"/>
    <w:rsid w:val="75CE6078"/>
    <w:rsid w:val="75D34FE6"/>
    <w:rsid w:val="75D40834"/>
    <w:rsid w:val="75E20B4C"/>
    <w:rsid w:val="75F24742"/>
    <w:rsid w:val="75F76782"/>
    <w:rsid w:val="75FE283B"/>
    <w:rsid w:val="76013C4B"/>
    <w:rsid w:val="760836BA"/>
    <w:rsid w:val="7611023A"/>
    <w:rsid w:val="76145BAA"/>
    <w:rsid w:val="761C1786"/>
    <w:rsid w:val="761C1963"/>
    <w:rsid w:val="761C1DFA"/>
    <w:rsid w:val="761C50AE"/>
    <w:rsid w:val="7620243C"/>
    <w:rsid w:val="76216A2D"/>
    <w:rsid w:val="762E5CD1"/>
    <w:rsid w:val="762E63D0"/>
    <w:rsid w:val="762F6E99"/>
    <w:rsid w:val="76427F4A"/>
    <w:rsid w:val="764B6FFB"/>
    <w:rsid w:val="76580F82"/>
    <w:rsid w:val="765E6539"/>
    <w:rsid w:val="76615412"/>
    <w:rsid w:val="76717C18"/>
    <w:rsid w:val="76743C99"/>
    <w:rsid w:val="76757D21"/>
    <w:rsid w:val="76884E42"/>
    <w:rsid w:val="768B3F4C"/>
    <w:rsid w:val="768B4BDE"/>
    <w:rsid w:val="769B5236"/>
    <w:rsid w:val="769E32A9"/>
    <w:rsid w:val="76A83CC6"/>
    <w:rsid w:val="76AD23D4"/>
    <w:rsid w:val="76BD207F"/>
    <w:rsid w:val="76CA1D9F"/>
    <w:rsid w:val="76CA6BF3"/>
    <w:rsid w:val="76CC37F0"/>
    <w:rsid w:val="76DDF364"/>
    <w:rsid w:val="76EB2635"/>
    <w:rsid w:val="76EF2D08"/>
    <w:rsid w:val="76F14A48"/>
    <w:rsid w:val="76FD7977"/>
    <w:rsid w:val="770D0A6A"/>
    <w:rsid w:val="7713553C"/>
    <w:rsid w:val="771774DB"/>
    <w:rsid w:val="771C79A5"/>
    <w:rsid w:val="771F324E"/>
    <w:rsid w:val="77230EC2"/>
    <w:rsid w:val="77234CE6"/>
    <w:rsid w:val="772B2B4E"/>
    <w:rsid w:val="773008F5"/>
    <w:rsid w:val="77315AF5"/>
    <w:rsid w:val="773B22DA"/>
    <w:rsid w:val="774B3D4F"/>
    <w:rsid w:val="775060E7"/>
    <w:rsid w:val="775228D9"/>
    <w:rsid w:val="776B235B"/>
    <w:rsid w:val="77705169"/>
    <w:rsid w:val="777F1695"/>
    <w:rsid w:val="778E3BF5"/>
    <w:rsid w:val="7790578B"/>
    <w:rsid w:val="77905A4E"/>
    <w:rsid w:val="77991648"/>
    <w:rsid w:val="77A17922"/>
    <w:rsid w:val="77A54231"/>
    <w:rsid w:val="77B276B7"/>
    <w:rsid w:val="77B56198"/>
    <w:rsid w:val="77BD2F68"/>
    <w:rsid w:val="77C17B5C"/>
    <w:rsid w:val="77C782E6"/>
    <w:rsid w:val="77D01606"/>
    <w:rsid w:val="77D4139E"/>
    <w:rsid w:val="77DF41CA"/>
    <w:rsid w:val="77E63BBE"/>
    <w:rsid w:val="77ED7559"/>
    <w:rsid w:val="77EFB50E"/>
    <w:rsid w:val="77F21019"/>
    <w:rsid w:val="77F32F96"/>
    <w:rsid w:val="77F7C94D"/>
    <w:rsid w:val="77F8049B"/>
    <w:rsid w:val="77FA7659"/>
    <w:rsid w:val="77FE50A8"/>
    <w:rsid w:val="780E1E9D"/>
    <w:rsid w:val="781669B7"/>
    <w:rsid w:val="781E045D"/>
    <w:rsid w:val="78210BBB"/>
    <w:rsid w:val="7824324D"/>
    <w:rsid w:val="7826353E"/>
    <w:rsid w:val="782E2FDC"/>
    <w:rsid w:val="78320EC2"/>
    <w:rsid w:val="7835618E"/>
    <w:rsid w:val="78366066"/>
    <w:rsid w:val="783D77DD"/>
    <w:rsid w:val="78481ABB"/>
    <w:rsid w:val="784E2099"/>
    <w:rsid w:val="7856478C"/>
    <w:rsid w:val="785C1B40"/>
    <w:rsid w:val="78626437"/>
    <w:rsid w:val="78647560"/>
    <w:rsid w:val="7865680A"/>
    <w:rsid w:val="786F291A"/>
    <w:rsid w:val="78882395"/>
    <w:rsid w:val="788E2B80"/>
    <w:rsid w:val="788E592B"/>
    <w:rsid w:val="788F3E22"/>
    <w:rsid w:val="78940B42"/>
    <w:rsid w:val="7894395E"/>
    <w:rsid w:val="789A34FD"/>
    <w:rsid w:val="789A47AB"/>
    <w:rsid w:val="789A6D7D"/>
    <w:rsid w:val="789D0E72"/>
    <w:rsid w:val="789F46FF"/>
    <w:rsid w:val="78A5310F"/>
    <w:rsid w:val="78B269C7"/>
    <w:rsid w:val="78B77BD5"/>
    <w:rsid w:val="78C66AA8"/>
    <w:rsid w:val="78D9535B"/>
    <w:rsid w:val="78DD4A46"/>
    <w:rsid w:val="78DF2473"/>
    <w:rsid w:val="78E24730"/>
    <w:rsid w:val="78EA158F"/>
    <w:rsid w:val="78F10CD1"/>
    <w:rsid w:val="78F565B1"/>
    <w:rsid w:val="7900655B"/>
    <w:rsid w:val="7903645D"/>
    <w:rsid w:val="791759E6"/>
    <w:rsid w:val="791A6885"/>
    <w:rsid w:val="791D52BE"/>
    <w:rsid w:val="791F03BD"/>
    <w:rsid w:val="791F060B"/>
    <w:rsid w:val="79273F67"/>
    <w:rsid w:val="792C1BB1"/>
    <w:rsid w:val="792E23E7"/>
    <w:rsid w:val="793C6B28"/>
    <w:rsid w:val="79423ED2"/>
    <w:rsid w:val="794C54F4"/>
    <w:rsid w:val="79587097"/>
    <w:rsid w:val="795E294D"/>
    <w:rsid w:val="795E35FF"/>
    <w:rsid w:val="79661DF1"/>
    <w:rsid w:val="79742F42"/>
    <w:rsid w:val="79793D42"/>
    <w:rsid w:val="797C187E"/>
    <w:rsid w:val="79831D60"/>
    <w:rsid w:val="79972004"/>
    <w:rsid w:val="799F4B99"/>
    <w:rsid w:val="79A16C7A"/>
    <w:rsid w:val="79A67DDE"/>
    <w:rsid w:val="79AF2450"/>
    <w:rsid w:val="79B57A50"/>
    <w:rsid w:val="79B91BAC"/>
    <w:rsid w:val="79BD3799"/>
    <w:rsid w:val="79C772AE"/>
    <w:rsid w:val="79CB4B56"/>
    <w:rsid w:val="79E53A77"/>
    <w:rsid w:val="79E80E40"/>
    <w:rsid w:val="79EA2B63"/>
    <w:rsid w:val="79F124F9"/>
    <w:rsid w:val="79F5265F"/>
    <w:rsid w:val="7A033A63"/>
    <w:rsid w:val="7A0C14F9"/>
    <w:rsid w:val="7A0E1746"/>
    <w:rsid w:val="7A1A24C4"/>
    <w:rsid w:val="7A1A5709"/>
    <w:rsid w:val="7A1B145F"/>
    <w:rsid w:val="7A1D492C"/>
    <w:rsid w:val="7A286661"/>
    <w:rsid w:val="7A290118"/>
    <w:rsid w:val="7A364018"/>
    <w:rsid w:val="7A3649E1"/>
    <w:rsid w:val="7A3D5F68"/>
    <w:rsid w:val="7A631B4A"/>
    <w:rsid w:val="7A7114C0"/>
    <w:rsid w:val="7A7C4245"/>
    <w:rsid w:val="7A7C503D"/>
    <w:rsid w:val="7A887BD6"/>
    <w:rsid w:val="7A90646F"/>
    <w:rsid w:val="7A940A22"/>
    <w:rsid w:val="7AA55B54"/>
    <w:rsid w:val="7AA6229A"/>
    <w:rsid w:val="7AA802D9"/>
    <w:rsid w:val="7AB47809"/>
    <w:rsid w:val="7ACC53D7"/>
    <w:rsid w:val="7AD519E3"/>
    <w:rsid w:val="7AE14F1C"/>
    <w:rsid w:val="7AE466DC"/>
    <w:rsid w:val="7AEC7106"/>
    <w:rsid w:val="7AFD1036"/>
    <w:rsid w:val="7AFE3E1E"/>
    <w:rsid w:val="7AFF04EF"/>
    <w:rsid w:val="7B0D627E"/>
    <w:rsid w:val="7B181B83"/>
    <w:rsid w:val="7B1F5E04"/>
    <w:rsid w:val="7B276391"/>
    <w:rsid w:val="7B490B52"/>
    <w:rsid w:val="7B55150A"/>
    <w:rsid w:val="7B573462"/>
    <w:rsid w:val="7B601B50"/>
    <w:rsid w:val="7B6A7B8A"/>
    <w:rsid w:val="7B6F1024"/>
    <w:rsid w:val="7B7E2DF1"/>
    <w:rsid w:val="7B825CBD"/>
    <w:rsid w:val="7B8F41AF"/>
    <w:rsid w:val="7B9469DC"/>
    <w:rsid w:val="7B9B788C"/>
    <w:rsid w:val="7BA02CD8"/>
    <w:rsid w:val="7BA11E3B"/>
    <w:rsid w:val="7BAC7466"/>
    <w:rsid w:val="7BB363CE"/>
    <w:rsid w:val="7BC42804"/>
    <w:rsid w:val="7BC61402"/>
    <w:rsid w:val="7BCA6962"/>
    <w:rsid w:val="7BD410DD"/>
    <w:rsid w:val="7BDE1EC8"/>
    <w:rsid w:val="7BE42455"/>
    <w:rsid w:val="7BE94E45"/>
    <w:rsid w:val="7BF17B5A"/>
    <w:rsid w:val="7BF65524"/>
    <w:rsid w:val="7BFF730D"/>
    <w:rsid w:val="7C0E7550"/>
    <w:rsid w:val="7C1F0BFC"/>
    <w:rsid w:val="7C1F4E6C"/>
    <w:rsid w:val="7C2B6E5C"/>
    <w:rsid w:val="7C36100F"/>
    <w:rsid w:val="7C39296B"/>
    <w:rsid w:val="7C3B6911"/>
    <w:rsid w:val="7C3B7450"/>
    <w:rsid w:val="7C3C02AF"/>
    <w:rsid w:val="7C4461CC"/>
    <w:rsid w:val="7C4B2481"/>
    <w:rsid w:val="7C4D6918"/>
    <w:rsid w:val="7C786431"/>
    <w:rsid w:val="7C790E6E"/>
    <w:rsid w:val="7C831CEC"/>
    <w:rsid w:val="7C84720E"/>
    <w:rsid w:val="7C8600C7"/>
    <w:rsid w:val="7C943E6A"/>
    <w:rsid w:val="7C9A637D"/>
    <w:rsid w:val="7C9C2396"/>
    <w:rsid w:val="7C9D6940"/>
    <w:rsid w:val="7CB830FB"/>
    <w:rsid w:val="7CBC51FE"/>
    <w:rsid w:val="7CC34811"/>
    <w:rsid w:val="7CC968BB"/>
    <w:rsid w:val="7CCA2B3E"/>
    <w:rsid w:val="7CD56991"/>
    <w:rsid w:val="7CDF532A"/>
    <w:rsid w:val="7CEC1640"/>
    <w:rsid w:val="7CF11486"/>
    <w:rsid w:val="7CF42998"/>
    <w:rsid w:val="7CF55800"/>
    <w:rsid w:val="7CF95D3A"/>
    <w:rsid w:val="7CFB008A"/>
    <w:rsid w:val="7D096A91"/>
    <w:rsid w:val="7D0E7796"/>
    <w:rsid w:val="7D104BCE"/>
    <w:rsid w:val="7D157136"/>
    <w:rsid w:val="7D171835"/>
    <w:rsid w:val="7D18013E"/>
    <w:rsid w:val="7D1B1120"/>
    <w:rsid w:val="7D213D5C"/>
    <w:rsid w:val="7D2302BB"/>
    <w:rsid w:val="7D3958F7"/>
    <w:rsid w:val="7D583957"/>
    <w:rsid w:val="7D6653F0"/>
    <w:rsid w:val="7D7155DA"/>
    <w:rsid w:val="7D73269A"/>
    <w:rsid w:val="7D9706D2"/>
    <w:rsid w:val="7DA60FD8"/>
    <w:rsid w:val="7DBD6214"/>
    <w:rsid w:val="7DD7199D"/>
    <w:rsid w:val="7DDB10A1"/>
    <w:rsid w:val="7DE86078"/>
    <w:rsid w:val="7DF53BD5"/>
    <w:rsid w:val="7DFC68D7"/>
    <w:rsid w:val="7E0E2FC5"/>
    <w:rsid w:val="7E1D3D61"/>
    <w:rsid w:val="7E2329F7"/>
    <w:rsid w:val="7E2442F9"/>
    <w:rsid w:val="7E2C1217"/>
    <w:rsid w:val="7E2D52C9"/>
    <w:rsid w:val="7E2F5D8C"/>
    <w:rsid w:val="7E3275AE"/>
    <w:rsid w:val="7E38112A"/>
    <w:rsid w:val="7E3834DF"/>
    <w:rsid w:val="7E4D0FC8"/>
    <w:rsid w:val="7E4D3355"/>
    <w:rsid w:val="7E6F3B35"/>
    <w:rsid w:val="7E714EBE"/>
    <w:rsid w:val="7E7A3299"/>
    <w:rsid w:val="7E7B5CEB"/>
    <w:rsid w:val="7E80790B"/>
    <w:rsid w:val="7E885AC3"/>
    <w:rsid w:val="7E986A44"/>
    <w:rsid w:val="7EA06783"/>
    <w:rsid w:val="7EA6455F"/>
    <w:rsid w:val="7EAD5F96"/>
    <w:rsid w:val="7EAD6BE4"/>
    <w:rsid w:val="7EB050F2"/>
    <w:rsid w:val="7EB256B2"/>
    <w:rsid w:val="7EB75D23"/>
    <w:rsid w:val="7EBA4A6C"/>
    <w:rsid w:val="7EC007EC"/>
    <w:rsid w:val="7EC4727B"/>
    <w:rsid w:val="7EC93EF8"/>
    <w:rsid w:val="7ED604D9"/>
    <w:rsid w:val="7ED97B87"/>
    <w:rsid w:val="7EDE5BDA"/>
    <w:rsid w:val="7EDF642E"/>
    <w:rsid w:val="7EEA6586"/>
    <w:rsid w:val="7EF54E3E"/>
    <w:rsid w:val="7EFB59DB"/>
    <w:rsid w:val="7F01339C"/>
    <w:rsid w:val="7F0A3907"/>
    <w:rsid w:val="7F2E7101"/>
    <w:rsid w:val="7F400DE5"/>
    <w:rsid w:val="7F4F0117"/>
    <w:rsid w:val="7F567244"/>
    <w:rsid w:val="7F5942C1"/>
    <w:rsid w:val="7F5F4F96"/>
    <w:rsid w:val="7F633A0C"/>
    <w:rsid w:val="7F63509E"/>
    <w:rsid w:val="7F6C3D9D"/>
    <w:rsid w:val="7F782DC7"/>
    <w:rsid w:val="7F810026"/>
    <w:rsid w:val="7F951973"/>
    <w:rsid w:val="7F9E6E46"/>
    <w:rsid w:val="7FA95916"/>
    <w:rsid w:val="7FB74A75"/>
    <w:rsid w:val="7FB8146E"/>
    <w:rsid w:val="7FBD43A5"/>
    <w:rsid w:val="7FC77E24"/>
    <w:rsid w:val="7FCB151B"/>
    <w:rsid w:val="7FD164BE"/>
    <w:rsid w:val="7FDD52C7"/>
    <w:rsid w:val="7FE723B9"/>
    <w:rsid w:val="7FEC22FE"/>
    <w:rsid w:val="7FEF4FEE"/>
    <w:rsid w:val="7FF21CC6"/>
    <w:rsid w:val="7FF42090"/>
    <w:rsid w:val="7FF65D2F"/>
    <w:rsid w:val="7FF915CA"/>
    <w:rsid w:val="8FE323DD"/>
    <w:rsid w:val="BEFE86BC"/>
    <w:rsid w:val="BFEF3255"/>
    <w:rsid w:val="C7BF18D3"/>
    <w:rsid w:val="CE1D9D98"/>
    <w:rsid w:val="D9EE703D"/>
    <w:rsid w:val="DA7747B9"/>
    <w:rsid w:val="E1D45C54"/>
    <w:rsid w:val="E71B15FA"/>
    <w:rsid w:val="E7DFB4D0"/>
    <w:rsid w:val="ECDB0054"/>
    <w:rsid w:val="ECF3F412"/>
    <w:rsid w:val="EFF707BC"/>
    <w:rsid w:val="F3BF8683"/>
    <w:rsid w:val="F7FD54E1"/>
    <w:rsid w:val="FACB05C7"/>
    <w:rsid w:val="FB5B44D8"/>
    <w:rsid w:val="FBB75635"/>
    <w:rsid w:val="FDDB70F7"/>
    <w:rsid w:val="FEFF410D"/>
    <w:rsid w:val="FFB7D50B"/>
    <w:rsid w:val="FFDEEF32"/>
    <w:rsid w:val="FFFE7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99"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4"/>
    <w:qFormat/>
    <w:uiPriority w:val="0"/>
    <w:pPr>
      <w:keepNext/>
      <w:keepLines/>
      <w:numPr>
        <w:ilvl w:val="0"/>
        <w:numId w:val="1"/>
      </w:numPr>
      <w:spacing w:before="340" w:after="330" w:line="360" w:lineRule="auto"/>
      <w:ind w:firstLine="0"/>
      <w:jc w:val="left"/>
      <w:outlineLvl w:val="0"/>
    </w:pPr>
    <w:rPr>
      <w:rFonts w:ascii="Tahoma" w:hAnsi="Tahoma" w:eastAsia="仿宋_GB2312"/>
      <w:b/>
      <w:kern w:val="44"/>
      <w:sz w:val="32"/>
      <w:szCs w:val="22"/>
    </w:rPr>
  </w:style>
  <w:style w:type="paragraph" w:styleId="4">
    <w:name w:val="heading 2"/>
    <w:basedOn w:val="3"/>
    <w:next w:val="5"/>
    <w:qFormat/>
    <w:uiPriority w:val="0"/>
    <w:pPr>
      <w:numPr>
        <w:ilvl w:val="1"/>
      </w:numPr>
      <w:spacing w:before="260" w:after="260" w:line="413" w:lineRule="auto"/>
      <w:ind w:firstLine="0"/>
      <w:outlineLvl w:val="1"/>
    </w:pPr>
    <w:rPr>
      <w:rFonts w:ascii="Arial" w:hAnsi="Arial"/>
    </w:rPr>
  </w:style>
  <w:style w:type="paragraph" w:styleId="5">
    <w:name w:val="heading 3"/>
    <w:basedOn w:val="4"/>
    <w:next w:val="1"/>
    <w:qFormat/>
    <w:uiPriority w:val="0"/>
    <w:pPr>
      <w:spacing w:before="100" w:beforeAutospacing="1" w:after="100" w:afterAutospacing="1"/>
      <w:outlineLvl w:val="2"/>
    </w:pPr>
    <w:rPr>
      <w:rFonts w:hint="eastAsia" w:ascii="宋体" w:hAnsi="宋体"/>
      <w:kern w:val="0"/>
      <w:sz w:val="27"/>
      <w:szCs w:val="27"/>
    </w:rPr>
  </w:style>
  <w:style w:type="paragraph" w:styleId="6">
    <w:name w:val="heading 4"/>
    <w:basedOn w:val="1"/>
    <w:next w:val="1"/>
    <w:unhideWhenUsed/>
    <w:qFormat/>
    <w:uiPriority w:val="9"/>
    <w:pPr>
      <w:keepNext/>
      <w:keepLines/>
      <w:spacing w:before="280" w:after="290" w:line="376" w:lineRule="auto"/>
      <w:outlineLvl w:val="3"/>
    </w:pPr>
    <w:rPr>
      <w:rFonts w:ascii="Cambria" w:hAnsi="Cambria"/>
      <w:b/>
      <w:bCs/>
      <w:sz w:val="28"/>
      <w:szCs w:val="28"/>
    </w:rPr>
  </w:style>
  <w:style w:type="paragraph" w:styleId="7">
    <w:name w:val="heading 5"/>
    <w:basedOn w:val="1"/>
    <w:next w:val="1"/>
    <w:unhideWhenUsed/>
    <w:qFormat/>
    <w:uiPriority w:val="9"/>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spacing w:before="240" w:after="64" w:line="317" w:lineRule="auto"/>
      <w:outlineLvl w:val="5"/>
    </w:pPr>
    <w:rPr>
      <w:rFonts w:ascii="Arial" w:hAnsi="Arial" w:eastAsia="黑体"/>
      <w:b/>
      <w:sz w:val="24"/>
      <w:szCs w:val="20"/>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黑体" w:hAnsi="Courier New" w:eastAsia="黑体"/>
      <w:sz w:val="30"/>
      <w:shd w:val="pct10" w:color="auto" w:fill="FFFFFF"/>
    </w:rPr>
  </w:style>
  <w:style w:type="paragraph" w:styleId="9">
    <w:name w:val="Normal Indent"/>
    <w:basedOn w:val="1"/>
    <w:next w:val="10"/>
    <w:link w:val="44"/>
    <w:qFormat/>
    <w:uiPriority w:val="0"/>
    <w:pPr>
      <w:ind w:firstLine="420" w:firstLineChars="200"/>
    </w:pPr>
    <w:rPr>
      <w:rFonts w:ascii="Calibri" w:hAnsi="Calibri"/>
      <w:kern w:val="0"/>
      <w:sz w:val="24"/>
      <w:szCs w:val="20"/>
    </w:rPr>
  </w:style>
  <w:style w:type="paragraph" w:styleId="10">
    <w:name w:val="Normal (Web)"/>
    <w:basedOn w:val="1"/>
    <w:next w:val="11"/>
    <w:qFormat/>
    <w:uiPriority w:val="0"/>
    <w:pPr>
      <w:spacing w:before="100" w:beforeAutospacing="1" w:after="100" w:afterAutospacing="1"/>
      <w:jc w:val="left"/>
    </w:pPr>
    <w:rPr>
      <w:kern w:val="0"/>
      <w:sz w:val="24"/>
    </w:rPr>
  </w:style>
  <w:style w:type="paragraph" w:customStyle="1" w:styleId="11">
    <w:name w:val="样式 标题 3 + (中文) 黑体 小四 非加粗 段前: 7.8 磅 段后: 0 磅 行距: 固定值 20 磅"/>
    <w:basedOn w:val="5"/>
    <w:qFormat/>
    <w:uiPriority w:val="99"/>
    <w:pPr>
      <w:spacing w:before="0" w:after="0" w:line="400" w:lineRule="exact"/>
    </w:pPr>
    <w:rPr>
      <w:rFonts w:ascii="Times New Roman" w:hAnsi="Times New Roman" w:eastAsia="黑体" w:cs="宋体"/>
      <w:kern w:val="2"/>
      <w:sz w:val="24"/>
      <w:szCs w:val="20"/>
    </w:rPr>
  </w:style>
  <w:style w:type="paragraph" w:styleId="12">
    <w:name w:val="toa heading"/>
    <w:basedOn w:val="1"/>
    <w:next w:val="1"/>
    <w:unhideWhenUsed/>
    <w:qFormat/>
    <w:uiPriority w:val="99"/>
    <w:pPr>
      <w:spacing w:before="120"/>
    </w:pPr>
    <w:rPr>
      <w:rFonts w:ascii="等线 Light" w:hAnsi="等线 Light" w:eastAsia="等线 Light"/>
      <w:sz w:val="24"/>
    </w:rPr>
  </w:style>
  <w:style w:type="paragraph" w:styleId="13">
    <w:name w:val="annotation text"/>
    <w:basedOn w:val="1"/>
    <w:link w:val="45"/>
    <w:qFormat/>
    <w:uiPriority w:val="0"/>
    <w:pPr>
      <w:jc w:val="left"/>
    </w:pPr>
    <w:rPr>
      <w:rFonts w:ascii="Calibri" w:hAnsi="Calibri"/>
    </w:rPr>
  </w:style>
  <w:style w:type="paragraph" w:styleId="14">
    <w:name w:val="Body Text Indent"/>
    <w:basedOn w:val="1"/>
    <w:next w:val="15"/>
    <w:semiHidden/>
    <w:unhideWhenUsed/>
    <w:qFormat/>
    <w:uiPriority w:val="99"/>
    <w:pPr>
      <w:spacing w:after="120"/>
      <w:ind w:left="420" w:leftChars="200"/>
    </w:pPr>
  </w:style>
  <w:style w:type="paragraph" w:styleId="15">
    <w:name w:val="envelope return"/>
    <w:basedOn w:val="1"/>
    <w:qFormat/>
    <w:uiPriority w:val="0"/>
    <w:pPr>
      <w:snapToGrid w:val="0"/>
    </w:pPr>
    <w:rPr>
      <w:rFonts w:ascii="Arial" w:hAnsi="Arial"/>
    </w:rPr>
  </w:style>
  <w:style w:type="paragraph" w:styleId="16">
    <w:name w:val="Plain Text"/>
    <w:basedOn w:val="1"/>
    <w:link w:val="46"/>
    <w:qFormat/>
    <w:uiPriority w:val="0"/>
    <w:rPr>
      <w:rFonts w:ascii="宋体" w:hAnsi="Courier New"/>
      <w:szCs w:val="20"/>
    </w:rPr>
  </w:style>
  <w:style w:type="paragraph" w:styleId="17">
    <w:name w:val="Date"/>
    <w:basedOn w:val="1"/>
    <w:next w:val="1"/>
    <w:qFormat/>
    <w:uiPriority w:val="0"/>
    <w:pPr>
      <w:ind w:left="100" w:leftChars="2500"/>
    </w:pPr>
  </w:style>
  <w:style w:type="paragraph" w:styleId="18">
    <w:name w:val="Body Text Indent 2"/>
    <w:basedOn w:val="1"/>
    <w:qFormat/>
    <w:uiPriority w:val="0"/>
    <w:pPr>
      <w:spacing w:after="120" w:line="480" w:lineRule="auto"/>
      <w:ind w:left="420" w:leftChars="200"/>
    </w:pPr>
  </w:style>
  <w:style w:type="paragraph" w:styleId="19">
    <w:name w:val="Balloon Text"/>
    <w:basedOn w:val="1"/>
    <w:link w:val="47"/>
    <w:semiHidden/>
    <w:qFormat/>
    <w:uiPriority w:val="0"/>
    <w:rPr>
      <w:rFonts w:ascii="Calibri" w:hAnsi="Calibri"/>
      <w:sz w:val="18"/>
      <w:szCs w:val="18"/>
    </w:rPr>
  </w:style>
  <w:style w:type="paragraph" w:styleId="20">
    <w:name w:val="footer"/>
    <w:basedOn w:val="1"/>
    <w:link w:val="48"/>
    <w:qFormat/>
    <w:uiPriority w:val="0"/>
    <w:pPr>
      <w:tabs>
        <w:tab w:val="center" w:pos="4153"/>
        <w:tab w:val="right" w:pos="8306"/>
      </w:tabs>
      <w:snapToGrid w:val="0"/>
      <w:jc w:val="left"/>
    </w:pPr>
    <w:rPr>
      <w:rFonts w:ascii="Calibri" w:hAnsi="Calibri"/>
      <w:sz w:val="18"/>
    </w:rPr>
  </w:style>
  <w:style w:type="paragraph" w:styleId="21">
    <w:name w:val="header"/>
    <w:basedOn w:val="1"/>
    <w:link w:val="4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Calibri" w:hAnsi="Calibri"/>
      <w:sz w:val="18"/>
    </w:rPr>
  </w:style>
  <w:style w:type="paragraph" w:styleId="22">
    <w:name w:val="toc 1"/>
    <w:basedOn w:val="1"/>
    <w:next w:val="1"/>
    <w:qFormat/>
    <w:uiPriority w:val="0"/>
  </w:style>
  <w:style w:type="paragraph" w:styleId="23">
    <w:name w:val="toc 6"/>
    <w:basedOn w:val="1"/>
    <w:next w:val="1"/>
    <w:semiHidden/>
    <w:qFormat/>
    <w:uiPriority w:val="0"/>
    <w:pPr>
      <w:ind w:left="1050"/>
      <w:jc w:val="left"/>
    </w:pPr>
    <w:rPr>
      <w:sz w:val="18"/>
      <w:szCs w:val="18"/>
    </w:rPr>
  </w:style>
  <w:style w:type="paragraph" w:styleId="24">
    <w:name w:val="toc 2"/>
    <w:basedOn w:val="1"/>
    <w:next w:val="1"/>
    <w:qFormat/>
    <w:uiPriority w:val="0"/>
    <w:pPr>
      <w:ind w:left="420" w:leftChars="200"/>
    </w:pPr>
  </w:style>
  <w:style w:type="paragraph" w:styleId="25">
    <w:name w:val="Body Text 2"/>
    <w:basedOn w:val="1"/>
    <w:qFormat/>
    <w:uiPriority w:val="0"/>
    <w:pPr>
      <w:spacing w:after="120" w:line="480" w:lineRule="auto"/>
    </w:pPr>
  </w:style>
  <w:style w:type="paragraph" w:styleId="26">
    <w:name w:val="Title"/>
    <w:basedOn w:val="1"/>
    <w:next w:val="1"/>
    <w:qFormat/>
    <w:uiPriority w:val="99"/>
    <w:pPr>
      <w:jc w:val="center"/>
      <w:outlineLvl w:val="0"/>
    </w:pPr>
    <w:rPr>
      <w:rFonts w:ascii="Arial" w:hAnsi="Arial" w:cs="Arial"/>
      <w:b/>
      <w:bCs/>
      <w:sz w:val="32"/>
      <w:szCs w:val="32"/>
    </w:rPr>
  </w:style>
  <w:style w:type="paragraph" w:styleId="27">
    <w:name w:val="annotation subject"/>
    <w:basedOn w:val="13"/>
    <w:next w:val="13"/>
    <w:link w:val="50"/>
    <w:semiHidden/>
    <w:qFormat/>
    <w:uiPriority w:val="0"/>
    <w:rPr>
      <w:b/>
      <w:bCs/>
    </w:rPr>
  </w:style>
  <w:style w:type="paragraph" w:styleId="28">
    <w:name w:val="Body Text First Indent"/>
    <w:basedOn w:val="2"/>
    <w:next w:val="23"/>
    <w:qFormat/>
    <w:uiPriority w:val="0"/>
    <w:pPr>
      <w:tabs>
        <w:tab w:val="left" w:pos="208"/>
      </w:tabs>
      <w:spacing w:after="120"/>
      <w:ind w:firstLine="420" w:firstLineChars="100"/>
    </w:pPr>
    <w:rPr>
      <w:rFonts w:ascii="Times New Roman" w:eastAsia="宋体"/>
      <w:sz w:val="21"/>
    </w:rPr>
  </w:style>
  <w:style w:type="paragraph" w:styleId="29">
    <w:name w:val="Body Text First Indent 2"/>
    <w:basedOn w:val="14"/>
    <w:next w:val="30"/>
    <w:semiHidden/>
    <w:unhideWhenUsed/>
    <w:qFormat/>
    <w:uiPriority w:val="99"/>
    <w:pPr>
      <w:ind w:firstLine="420" w:firstLineChars="200"/>
    </w:pPr>
  </w:style>
  <w:style w:type="paragraph" w:customStyle="1" w:styleId="30">
    <w:name w:val="*正文"/>
    <w:basedOn w:val="1"/>
    <w:qFormat/>
    <w:uiPriority w:val="0"/>
    <w:pPr>
      <w:tabs>
        <w:tab w:val="left" w:pos="146"/>
      </w:tabs>
      <w:spacing w:line="360" w:lineRule="auto"/>
      <w:ind w:firstLine="482"/>
    </w:pPr>
    <w:rPr>
      <w:sz w:val="28"/>
      <w:szCs w:val="28"/>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uiPriority w:val="0"/>
    <w:rPr>
      <w:b/>
    </w:rPr>
  </w:style>
  <w:style w:type="character" w:styleId="35">
    <w:name w:val="page number"/>
    <w:basedOn w:val="33"/>
    <w:qFormat/>
    <w:uiPriority w:val="0"/>
  </w:style>
  <w:style w:type="character" w:styleId="36">
    <w:name w:val="FollowedHyperlink"/>
    <w:qFormat/>
    <w:uiPriority w:val="0"/>
    <w:rPr>
      <w:color w:val="0000FF"/>
      <w:u w:val="single"/>
    </w:rPr>
  </w:style>
  <w:style w:type="character" w:styleId="37">
    <w:name w:val="Emphasis"/>
    <w:basedOn w:val="33"/>
    <w:qFormat/>
    <w:uiPriority w:val="99"/>
    <w:rPr>
      <w:rFonts w:cs="Times New Roman"/>
      <w:i/>
    </w:rPr>
  </w:style>
  <w:style w:type="character" w:styleId="38">
    <w:name w:val="Hyperlink"/>
    <w:qFormat/>
    <w:uiPriority w:val="0"/>
    <w:rPr>
      <w:color w:val="0000FF"/>
      <w:u w:val="single"/>
    </w:rPr>
  </w:style>
  <w:style w:type="character" w:styleId="39">
    <w:name w:val="annotation reference"/>
    <w:semiHidden/>
    <w:qFormat/>
    <w:uiPriority w:val="0"/>
    <w:rPr>
      <w:sz w:val="21"/>
      <w:szCs w:val="21"/>
    </w:rPr>
  </w:style>
  <w:style w:type="paragraph" w:customStyle="1" w:styleId="40">
    <w:name w:val="KY1正文"/>
    <w:basedOn w:val="41"/>
    <w:qFormat/>
    <w:uiPriority w:val="0"/>
    <w:pPr>
      <w:snapToGrid w:val="0"/>
      <w:spacing w:before="120" w:beforeLines="50" w:after="120" w:afterLines="50" w:line="360" w:lineRule="auto"/>
      <w:ind w:firstLine="480" w:firstLineChars="200"/>
      <w:contextualSpacing/>
    </w:pPr>
    <w:rPr>
      <w:rFonts w:cs="宋体"/>
      <w:color w:val="000000"/>
      <w:sz w:val="24"/>
    </w:rPr>
  </w:style>
  <w:style w:type="paragraph" w:customStyle="1" w:styleId="41">
    <w:name w:val="!基准"/>
    <w:qFormat/>
    <w:locked/>
    <w:uiPriority w:val="5"/>
    <w:rPr>
      <w:rFonts w:ascii="Times New Roman" w:hAnsi="Times New Roman" w:eastAsia="宋体" w:cs="Times New Roman"/>
      <w:kern w:val="2"/>
      <w:sz w:val="21"/>
      <w:szCs w:val="21"/>
      <w:lang w:val="en-US" w:eastAsia="zh-CN" w:bidi="ar-SA"/>
    </w:rPr>
  </w:style>
  <w:style w:type="paragraph" w:customStyle="1" w:styleId="4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43">
    <w:name w:val="Fließtext"/>
    <w:basedOn w:val="1"/>
    <w:qFormat/>
    <w:uiPriority w:val="0"/>
    <w:pPr>
      <w:overflowPunct w:val="0"/>
      <w:autoSpaceDE w:val="0"/>
      <w:autoSpaceDN w:val="0"/>
      <w:adjustRightInd w:val="0"/>
      <w:textAlignment w:val="baseline"/>
    </w:pPr>
    <w:rPr>
      <w:kern w:val="28"/>
      <w:szCs w:val="20"/>
    </w:rPr>
  </w:style>
  <w:style w:type="character" w:customStyle="1" w:styleId="44">
    <w:name w:val="正文缩进 字符"/>
    <w:link w:val="9"/>
    <w:qFormat/>
    <w:uiPriority w:val="0"/>
    <w:rPr>
      <w:rFonts w:ascii="Calibri" w:hAnsi="Calibri" w:eastAsia="宋体"/>
      <w:sz w:val="24"/>
      <w:lang w:val="en-US" w:eastAsia="zh-CN" w:bidi="ar-SA"/>
    </w:rPr>
  </w:style>
  <w:style w:type="character" w:customStyle="1" w:styleId="45">
    <w:name w:val="批注文字 字符"/>
    <w:link w:val="13"/>
    <w:semiHidden/>
    <w:qFormat/>
    <w:locked/>
    <w:uiPriority w:val="0"/>
    <w:rPr>
      <w:rFonts w:ascii="Calibri" w:hAnsi="Calibri" w:eastAsia="宋体"/>
      <w:kern w:val="2"/>
      <w:sz w:val="21"/>
      <w:szCs w:val="24"/>
      <w:lang w:val="en-US" w:eastAsia="zh-CN" w:bidi="ar-SA"/>
    </w:rPr>
  </w:style>
  <w:style w:type="character" w:customStyle="1" w:styleId="46">
    <w:name w:val="纯文本 字符"/>
    <w:link w:val="16"/>
    <w:qFormat/>
    <w:uiPriority w:val="0"/>
    <w:rPr>
      <w:rFonts w:ascii="宋体" w:hAnsi="Courier New" w:eastAsia="宋体"/>
      <w:kern w:val="2"/>
      <w:sz w:val="21"/>
      <w:lang w:val="en-US" w:eastAsia="zh-CN" w:bidi="ar-SA"/>
    </w:rPr>
  </w:style>
  <w:style w:type="character" w:customStyle="1" w:styleId="47">
    <w:name w:val="批注框文本 字符"/>
    <w:link w:val="19"/>
    <w:semiHidden/>
    <w:qFormat/>
    <w:locked/>
    <w:uiPriority w:val="0"/>
    <w:rPr>
      <w:rFonts w:ascii="Calibri" w:hAnsi="Calibri" w:eastAsia="宋体"/>
      <w:kern w:val="2"/>
      <w:sz w:val="18"/>
      <w:szCs w:val="18"/>
      <w:lang w:val="en-US" w:eastAsia="zh-CN" w:bidi="ar-SA"/>
    </w:rPr>
  </w:style>
  <w:style w:type="character" w:customStyle="1" w:styleId="48">
    <w:name w:val="页脚 字符"/>
    <w:link w:val="20"/>
    <w:semiHidden/>
    <w:qFormat/>
    <w:locked/>
    <w:uiPriority w:val="0"/>
    <w:rPr>
      <w:rFonts w:ascii="Calibri" w:hAnsi="Calibri" w:eastAsia="宋体"/>
      <w:kern w:val="2"/>
      <w:sz w:val="18"/>
      <w:szCs w:val="24"/>
      <w:lang w:val="en-US" w:eastAsia="zh-CN" w:bidi="ar-SA"/>
    </w:rPr>
  </w:style>
  <w:style w:type="character" w:customStyle="1" w:styleId="49">
    <w:name w:val="页眉 字符"/>
    <w:link w:val="21"/>
    <w:semiHidden/>
    <w:qFormat/>
    <w:locked/>
    <w:uiPriority w:val="0"/>
    <w:rPr>
      <w:rFonts w:ascii="Calibri" w:hAnsi="Calibri" w:eastAsia="宋体"/>
      <w:kern w:val="2"/>
      <w:sz w:val="18"/>
      <w:szCs w:val="24"/>
      <w:lang w:val="en-US" w:eastAsia="zh-CN" w:bidi="ar-SA"/>
    </w:rPr>
  </w:style>
  <w:style w:type="character" w:customStyle="1" w:styleId="50">
    <w:name w:val="批注主题 字符"/>
    <w:link w:val="27"/>
    <w:semiHidden/>
    <w:qFormat/>
    <w:locked/>
    <w:uiPriority w:val="0"/>
    <w:rPr>
      <w:rFonts w:ascii="Calibri" w:hAnsi="Calibri" w:eastAsia="宋体"/>
      <w:b/>
      <w:bCs/>
      <w:kern w:val="2"/>
      <w:sz w:val="21"/>
      <w:szCs w:val="24"/>
      <w:lang w:val="en-US" w:eastAsia="zh-CN" w:bidi="ar-SA"/>
    </w:rPr>
  </w:style>
  <w:style w:type="character" w:customStyle="1" w:styleId="51">
    <w:name w:val="bigger-120"/>
    <w:basedOn w:val="33"/>
    <w:qFormat/>
    <w:uiPriority w:val="0"/>
  </w:style>
  <w:style w:type="character" w:customStyle="1" w:styleId="52">
    <w:name w:val="customize_cgrdh"/>
    <w:basedOn w:val="33"/>
    <w:qFormat/>
    <w:uiPriority w:val="0"/>
  </w:style>
  <w:style w:type="character" w:customStyle="1" w:styleId="53">
    <w:name w:val="green"/>
    <w:basedOn w:val="33"/>
    <w:qFormat/>
    <w:uiPriority w:val="0"/>
  </w:style>
  <w:style w:type="character" w:customStyle="1" w:styleId="54">
    <w:name w:val="fontstyle01"/>
    <w:qFormat/>
    <w:uiPriority w:val="0"/>
    <w:rPr>
      <w:rFonts w:hint="eastAsia" w:ascii="黑体" w:eastAsia="黑体"/>
      <w:color w:val="000000"/>
      <w:sz w:val="24"/>
      <w:szCs w:val="24"/>
    </w:rPr>
  </w:style>
  <w:style w:type="character" w:customStyle="1" w:styleId="55">
    <w:name w:val="blue bolder"/>
    <w:basedOn w:val="33"/>
    <w:qFormat/>
    <w:uiPriority w:val="0"/>
  </w:style>
  <w:style w:type="character" w:customStyle="1" w:styleId="56">
    <w:name w:val="editinput"/>
    <w:basedOn w:val="33"/>
    <w:qFormat/>
    <w:uiPriority w:val="0"/>
  </w:style>
  <w:style w:type="character" w:customStyle="1" w:styleId="57">
    <w:name w:val="customize_agenttel"/>
    <w:basedOn w:val="33"/>
    <w:qFormat/>
    <w:uiPriority w:val="0"/>
  </w:style>
  <w:style w:type="character" w:customStyle="1" w:styleId="58">
    <w:name w:val="gritter-title"/>
    <w:basedOn w:val="33"/>
    <w:qFormat/>
    <w:uiPriority w:val="0"/>
  </w:style>
  <w:style w:type="character" w:customStyle="1" w:styleId="59">
    <w:name w:val="font31"/>
    <w:qFormat/>
    <w:uiPriority w:val="0"/>
    <w:rPr>
      <w:rFonts w:hint="eastAsia" w:ascii="宋体" w:hAnsi="宋体" w:eastAsia="宋体" w:cs="宋体"/>
      <w:color w:val="000000"/>
      <w:sz w:val="24"/>
      <w:szCs w:val="24"/>
      <w:u w:val="none"/>
    </w:rPr>
  </w:style>
  <w:style w:type="character" w:customStyle="1" w:styleId="60">
    <w:name w:val="customize_cgrdz"/>
    <w:basedOn w:val="33"/>
    <w:qFormat/>
    <w:uiPriority w:val="0"/>
  </w:style>
  <w:style w:type="character" w:customStyle="1" w:styleId="61">
    <w:name w:val="menu-text"/>
    <w:basedOn w:val="33"/>
    <w:qFormat/>
    <w:uiPriority w:val="0"/>
  </w:style>
  <w:style w:type="character" w:customStyle="1" w:styleId="62">
    <w:name w:val="edittexttarea"/>
    <w:basedOn w:val="33"/>
    <w:qFormat/>
    <w:uiPriority w:val="0"/>
  </w:style>
  <w:style w:type="paragraph" w:customStyle="1" w:styleId="63">
    <w:name w:val="列出段落1"/>
    <w:basedOn w:val="1"/>
    <w:qFormat/>
    <w:uiPriority w:val="0"/>
    <w:pPr>
      <w:ind w:firstLine="420" w:firstLineChars="200"/>
    </w:pPr>
    <w:rPr>
      <w:szCs w:val="22"/>
    </w:rPr>
  </w:style>
  <w:style w:type="paragraph" w:customStyle="1" w:styleId="64">
    <w:name w:val="符号列表"/>
    <w:basedOn w:val="1"/>
    <w:next w:val="65"/>
    <w:qFormat/>
    <w:uiPriority w:val="0"/>
    <w:pPr>
      <w:ind w:firstLine="420" w:firstLineChars="200"/>
    </w:pPr>
    <w:rPr>
      <w:szCs w:val="20"/>
      <w:lang w:val="zh-CN"/>
    </w:rPr>
  </w:style>
  <w:style w:type="paragraph" w:customStyle="1" w:styleId="65">
    <w:name w:val="列出段落"/>
    <w:basedOn w:val="1"/>
    <w:qFormat/>
    <w:uiPriority w:val="34"/>
    <w:pPr>
      <w:ind w:firstLine="420" w:firstLineChars="200"/>
    </w:pPr>
  </w:style>
  <w:style w:type="paragraph" w:customStyle="1" w:styleId="66">
    <w:name w:val="列表段落1"/>
    <w:basedOn w:val="1"/>
    <w:qFormat/>
    <w:uiPriority w:val="0"/>
    <w:pPr>
      <w:widowControl/>
      <w:ind w:firstLine="420" w:firstLineChars="200"/>
      <w:jc w:val="left"/>
    </w:pPr>
    <w:rPr>
      <w:rFonts w:ascii="宋体" w:hAnsi="宋体" w:cs="宋体"/>
      <w:kern w:val="0"/>
      <w:sz w:val="24"/>
    </w:rPr>
  </w:style>
  <w:style w:type="paragraph" w:customStyle="1" w:styleId="67">
    <w:name w:val="列出段落2"/>
    <w:basedOn w:val="1"/>
    <w:qFormat/>
    <w:uiPriority w:val="34"/>
    <w:pPr>
      <w:ind w:firstLine="420" w:firstLineChars="200"/>
    </w:pPr>
  </w:style>
  <w:style w:type="paragraph" w:customStyle="1" w:styleId="68">
    <w:name w:val="UserStyle_0"/>
    <w:basedOn w:val="1"/>
    <w:next w:val="1"/>
    <w:qFormat/>
    <w:uiPriority w:val="0"/>
    <w:pPr>
      <w:spacing w:after="120" w:line="480" w:lineRule="auto"/>
    </w:pPr>
  </w:style>
  <w:style w:type="paragraph" w:customStyle="1" w:styleId="69">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70">
    <w:name w:val="null3"/>
    <w:qFormat/>
    <w:uiPriority w:val="0"/>
    <w:rPr>
      <w:rFonts w:ascii="Calibri" w:hAnsi="Calibri" w:eastAsia="宋体" w:cs="Times New Roman"/>
      <w:lang w:val="en-US" w:eastAsia="zh-CN" w:bidi="ar-SA"/>
    </w:rPr>
  </w:style>
  <w:style w:type="paragraph" w:customStyle="1" w:styleId="71">
    <w:name w:val="_Style 59"/>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72">
    <w:name w:val="_Style 60"/>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73">
    <w:name w:val="Char"/>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74">
    <w:name w:val="msolistparagraph"/>
    <w:basedOn w:val="1"/>
    <w:qFormat/>
    <w:uiPriority w:val="0"/>
    <w:pPr>
      <w:ind w:firstLine="420" w:firstLineChars="200"/>
    </w:pPr>
    <w:rPr>
      <w:sz w:val="24"/>
    </w:rPr>
  </w:style>
  <w:style w:type="paragraph" w:customStyle="1" w:styleId="75">
    <w:name w:val="列表段落11"/>
    <w:basedOn w:val="1"/>
    <w:qFormat/>
    <w:uiPriority w:val="34"/>
    <w:pPr>
      <w:ind w:firstLine="420" w:firstLineChars="200"/>
    </w:pPr>
  </w:style>
  <w:style w:type="paragraph" w:customStyle="1" w:styleId="76">
    <w:name w:val="Body Text 21"/>
    <w:next w:val="1"/>
    <w:qFormat/>
    <w:uiPriority w:val="0"/>
    <w:pPr>
      <w:spacing w:after="120" w:line="480" w:lineRule="auto"/>
      <w:jc w:val="both"/>
      <w:textAlignment w:val="baseline"/>
    </w:pPr>
    <w:rPr>
      <w:rFonts w:ascii="Times New Roman" w:hAnsi="Times New Roman" w:eastAsia="宋体" w:cs="Times New Roman"/>
      <w:kern w:val="2"/>
      <w:sz w:val="21"/>
      <w:lang w:val="en-US" w:eastAsia="zh-CN" w:bidi="ar-SA"/>
    </w:rPr>
  </w:style>
  <w:style w:type="paragraph" w:customStyle="1" w:styleId="77">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78">
    <w:name w:val="font41"/>
    <w:basedOn w:val="33"/>
    <w:qFormat/>
    <w:uiPriority w:val="0"/>
    <w:rPr>
      <w:rFonts w:hint="eastAsia" w:ascii="等线" w:hAnsi="等线" w:eastAsia="等线" w:cs="等线"/>
      <w:color w:val="FF0000"/>
      <w:sz w:val="24"/>
      <w:szCs w:val="24"/>
      <w:u w:val="none"/>
    </w:rPr>
  </w:style>
  <w:style w:type="character" w:customStyle="1" w:styleId="79">
    <w:name w:val="font11"/>
    <w:basedOn w:val="33"/>
    <w:qFormat/>
    <w:uiPriority w:val="0"/>
    <w:rPr>
      <w:rFonts w:hint="eastAsia" w:ascii="等线" w:hAnsi="等线" w:eastAsia="等线" w:cs="等线"/>
      <w:color w:val="000000"/>
      <w:sz w:val="24"/>
      <w:szCs w:val="24"/>
      <w:u w:val="none"/>
    </w:rPr>
  </w:style>
  <w:style w:type="character" w:customStyle="1" w:styleId="80">
    <w:name w:val="font21"/>
    <w:basedOn w:val="33"/>
    <w:qFormat/>
    <w:uiPriority w:val="0"/>
    <w:rPr>
      <w:rFonts w:hint="eastAsia" w:ascii="宋体" w:hAnsi="宋体" w:eastAsia="宋体" w:cs="宋体"/>
      <w:color w:val="000000"/>
      <w:sz w:val="24"/>
      <w:szCs w:val="24"/>
      <w:u w:val="none"/>
    </w:rPr>
  </w:style>
  <w:style w:type="character" w:customStyle="1" w:styleId="81">
    <w:name w:val="font51"/>
    <w:basedOn w:val="33"/>
    <w:qFormat/>
    <w:uiPriority w:val="0"/>
    <w:rPr>
      <w:rFonts w:hint="eastAsia" w:ascii="宋体" w:hAnsi="宋体" w:eastAsia="宋体" w:cs="宋体"/>
      <w:color w:val="FF0000"/>
      <w:sz w:val="24"/>
      <w:szCs w:val="24"/>
      <w:u w:val="none"/>
    </w:rPr>
  </w:style>
  <w:style w:type="character" w:customStyle="1" w:styleId="82">
    <w:name w:val="font01"/>
    <w:basedOn w:val="33"/>
    <w:qFormat/>
    <w:uiPriority w:val="0"/>
    <w:rPr>
      <w:rFonts w:hint="eastAsia" w:ascii="等线" w:hAnsi="等线" w:eastAsia="等线" w:cs="等线"/>
      <w:color w:val="000000"/>
      <w:sz w:val="22"/>
      <w:szCs w:val="22"/>
      <w:u w:val="none"/>
    </w:rPr>
  </w:style>
  <w:style w:type="paragraph" w:customStyle="1" w:styleId="83">
    <w:name w:val="WPSOffice手动目录 1"/>
    <w:qFormat/>
    <w:uiPriority w:val="0"/>
    <w:rPr>
      <w:rFonts w:ascii="Times New Roman" w:hAnsi="Times New Roman" w:eastAsia="宋体" w:cs="Times New Roman"/>
      <w:lang w:val="en-US" w:eastAsia="zh-CN" w:bidi="ar-SA"/>
    </w:rPr>
  </w:style>
  <w:style w:type="paragraph" w:customStyle="1" w:styleId="8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85">
    <w:name w:val="Table Paragraph"/>
    <w:basedOn w:val="1"/>
    <w:qFormat/>
    <w:uiPriority w:val="1"/>
    <w:pPr>
      <w:autoSpaceDE w:val="0"/>
      <w:autoSpaceDN w:val="0"/>
      <w:jc w:val="left"/>
    </w:pPr>
    <w:rPr>
      <w:rFonts w:ascii="Noto Sans CJK JP Regular" w:hAnsi="Noto Sans CJK JP Regular" w:eastAsia="Noto Sans CJK JP Regular" w:cs="Noto Sans CJK JP Regular"/>
      <w:sz w:val="22"/>
      <w:szCs w:val="22"/>
      <w:lang w:eastAsia="en-US"/>
    </w:rPr>
  </w:style>
  <w:style w:type="paragraph" w:customStyle="1" w:styleId="86">
    <w:name w:val="表格文字"/>
    <w:basedOn w:val="1"/>
    <w:qFormat/>
    <w:uiPriority w:val="4"/>
    <w:pPr>
      <w:jc w:val="center"/>
    </w:pPr>
  </w:style>
  <w:style w:type="paragraph" w:customStyle="1" w:styleId="87">
    <w:name w:val="修订1"/>
    <w:hidden/>
    <w:unhideWhenUsed/>
    <w:qFormat/>
    <w:uiPriority w:val="99"/>
    <w:rPr>
      <w:rFonts w:ascii="Times New Roman" w:hAnsi="Times New Roman" w:eastAsia="宋体" w:cs="Times New Roman"/>
      <w:kern w:val="2"/>
      <w:sz w:val="21"/>
      <w:szCs w:val="24"/>
      <w:lang w:val="en-US" w:eastAsia="zh-CN" w:bidi="ar-SA"/>
    </w:rPr>
  </w:style>
  <w:style w:type="paragraph" w:styleId="88">
    <w:name w:val="List Paragraph"/>
    <w:basedOn w:val="1"/>
    <w:unhideWhenUsed/>
    <w:qFormat/>
    <w:uiPriority w:val="99"/>
    <w:pPr>
      <w:ind w:firstLine="420" w:firstLineChars="200"/>
    </w:pPr>
  </w:style>
  <w:style w:type="paragraph" w:customStyle="1" w:styleId="89">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cb82fb0f-3f32-4b8d-864b-d727199b73c1</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5604F2A9</paraID>
      <start>27</start>
      <end>31</end>
      <status>ignored</status>
      <modifiedWord/>
      <trackRevisions>false</trackRevisions>
    </reviewItem>
    <reviewItem>
      <errorID>0ed64722-29d6-4e86-b9d0-92c9fbaec184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CB32C3C</paraID>
      <start>532</start>
      <end>533</end>
      <status>ignored</status>
      <modifiedWord/>
      <trackRevisions>false</trackRevisions>
    </reviewItem>
    <reviewItem>
      <errorID>1d7dd59b-12d3-43ba-8644-ae14d2bb2897</errorID>
      <errorWord>配备</errorWord>
      <group>L1_Grammar</group>
      <groupName>语法问题</groupName>
      <ability>L2_Grammar</ability>
      <abilityName>语法错误</abilityName>
      <candidateList>
        <item>搭载</item>
      </candidateList>
      <explain>“配备～项目”搭配不当，建议修改为“搭载～项目”。</explain>
      <paraID>3B27BFA1</paraID>
      <start>8</start>
      <end>10</end>
      <status>ignored</status>
      <modifiedWord/>
      <trackRevisions>false</trackRevisions>
    </reviewItem>
    <reviewItem>
      <errorID>d85ee79b-8546-4cb6-abac-4c69daccb007</errorID>
      <errorWord>数</errorWord>
      <group>L1_Word</group>
      <groupName>字词问题</groupName>
      <ability>L2_Typo</ability>
      <abilityName>字词错误</abilityName>
      <candidateList>
        <item>数量</item>
      </candidateList>
      <explain/>
      <paraID>6B4199A9</paraID>
      <start>49</start>
      <end>50</end>
      <status>ignored</status>
      <modifiedWord/>
      <trackRevisions>false</trackRevisions>
    </reviewItem>
    <reviewItem>
      <errorID>f72ac81e-0fd9-459d-9d93-3b5c0383ec44</errorID>
      <errorWord>*</errorWord>
      <group>L1_Punc</group>
      <groupName>标点问题</groupName>
      <ability>L2_Punc_CN</ability>
      <abilityName>标点符号问题</abilityName>
      <candidateList/>
      <explain/>
      <paraID>1E5C1DE6</paraID>
      <start>0</start>
      <end>1</end>
      <status>ignored</status>
      <modifiedWord/>
      <trackRevisions>false</trackRevisions>
    </reviewItem>
    <reviewItem>
      <errorID>859f8596-c1bc-414e-98ce-623491cc4c1e</errorID>
      <errorWord>*</errorWord>
      <group>L1_Punc</group>
      <groupName>标点问题</groupName>
      <ability>L2_Punc_CN</ability>
      <abilityName>标点符号问题</abilityName>
      <candidateList/>
      <explain/>
      <paraID>50D24B3C</paraID>
      <start>0</start>
      <end>1</end>
      <status>ignored</status>
      <modifiedWord/>
      <trackRevisions>false</trackRevisions>
    </reviewItem>
    <reviewItem>
      <errorID>d5c47bbd-c9af-4ee8-8d08-0e13fe7e9bab</errorID>
      <errorWord>*</errorWord>
      <group>L1_Punc</group>
      <groupName>标点问题</groupName>
      <ability>L2_Punc_CN</ability>
      <abilityName>标点符号问题</abilityName>
      <candidateList/>
      <explain/>
      <paraID>6F1A894E</paraID>
      <start>0</start>
      <end>1</end>
      <status>ignored</status>
      <modifiedWord/>
      <trackRevisions>false</trackRevisions>
    </reviewItem>
    <reviewItem>
      <errorID>b3990524-e837-4def-878c-2e05244ac1d8</errorID>
      <errorWord>*</errorWord>
      <group>L1_Punc</group>
      <groupName>标点问题</groupName>
      <ability>L2_Punc_CN</ability>
      <abilityName>标点符号问题</abilityName>
      <candidateList/>
      <explain/>
      <paraID>402415B5</paraID>
      <start>0</start>
      <end>1</end>
      <status>ignored</status>
      <modifiedWord/>
      <trackRevisions>false</trackRevisions>
    </reviewItem>
    <reviewItem>
      <errorID>551f172a-be4a-4548-86b1-50cf5aa4ac1e</errorID>
      <errorWord>*</errorWord>
      <group>L1_Punc</group>
      <groupName>标点问题</groupName>
      <ability>L2_Punc_CN</ability>
      <abilityName>标点符号问题</abilityName>
      <candidateList/>
      <explain/>
      <paraID>4A0BEA4C</paraID>
      <start>0</start>
      <end>1</end>
      <status>ignored</status>
      <modifiedWord/>
      <trackRevisions>false</trackRevisions>
    </reviewItem>
    <reviewItem>
      <errorID>89acb16d-3537-4a53-8208-f471bec6be4e</errorID>
      <errorWord>*</errorWord>
      <group>L1_Punc</group>
      <groupName>标点问题</groupName>
      <ability>L2_Punc_CN</ability>
      <abilityName>标点符号问题</abilityName>
      <candidateList/>
      <explain/>
      <paraID> DAD9B41</paraID>
      <start>0</start>
      <end>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2436a9-2d7c-4579-977e-54aa350cfd5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109</Pages>
  <Words>76258</Words>
  <Characters>79848</Characters>
  <Lines>4386</Lines>
  <Paragraphs>4673</Paragraphs>
  <TotalTime>95</TotalTime>
  <ScaleCrop>false</ScaleCrop>
  <LinksUpToDate>false</LinksUpToDate>
  <CharactersWithSpaces>82366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2024-07-22T16:14:00Z</dcterms:created>
  <dc:creator>Administrator.SC-201905071516</dc:creator>
  <cp:lastModifiedBy>鼓楼文旅投公司</cp:lastModifiedBy>
  <cp:lastPrinted>2025-06-13T01:21:00Z</cp:lastPrinted>
  <dcterms:modified xsi:type="dcterms:W3CDTF">2026-08-05T07:30:02Z</dcterms:modified>
  <dc:title>福建省政府采购</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DBC8D7BF6BFE4C74B7DB5FE10E26920B_13</vt:lpwstr>
  </property>
  <property fmtid="{D5CDD505-2E9C-101B-9397-08002B2CF9AE}" pid="4" name="KSOTemplateDocerSaveRecord">
    <vt:lpwstr>eyJoZGlkIjoiYmJjNzVhZDFlNzhlMTcxNDYwNjJmOGFjOTY5NTg5NWEiLCJ1c2VySWQiOiIxNTc0OTUyOTAxIn0=</vt:lpwstr>
  </property>
</Properties>
</file>