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BE6A5B"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leftChars="0" w:right="0" w:rightChars="0" w:firstLine="0" w:firstLineChars="0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i w:val="0"/>
          <w:strike w:val="0"/>
          <w:color w:val="auto"/>
          <w:sz w:val="32"/>
          <w:szCs w:val="32"/>
          <w:u w:val="none"/>
          <w:lang w:eastAsia="zh-CN"/>
        </w:rPr>
      </w:pPr>
      <w:bookmarkStart w:id="0" w:name="OLE_LINK3"/>
      <w:r>
        <w:rPr>
          <w:rFonts w:hint="eastAsia" w:ascii="仿宋_GB2312" w:hAnsi="仿宋_GB2312" w:eastAsia="仿宋_GB2312" w:cs="仿宋_GB2312"/>
          <w:b w:val="0"/>
          <w:bCs/>
          <w:i w:val="0"/>
          <w:strike w:val="0"/>
          <w:color w:val="auto"/>
          <w:sz w:val="32"/>
          <w:szCs w:val="32"/>
          <w:u w:val="none"/>
          <w:lang w:eastAsia="zh-CN"/>
        </w:rPr>
        <w:t>附件</w:t>
      </w:r>
    </w:p>
    <w:p w14:paraId="511C1583">
      <w:pPr>
        <w:rPr>
          <w:rFonts w:hint="eastAsia"/>
          <w:lang w:eastAsia="zh-CN"/>
        </w:rPr>
      </w:pPr>
    </w:p>
    <w:p w14:paraId="7A5B939B"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leftChars="0" w:right="0" w:righ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i w:val="0"/>
          <w:strike w:val="0"/>
          <w:color w:val="auto"/>
          <w:sz w:val="44"/>
          <w:szCs w:val="44"/>
          <w:u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strike w:val="0"/>
          <w:color w:val="auto"/>
          <w:sz w:val="44"/>
          <w:szCs w:val="44"/>
          <w:u w:val="none"/>
          <w:lang w:eastAsia="zh-CN"/>
        </w:rPr>
        <w:t>关于支持</w:t>
      </w: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strike w:val="0"/>
          <w:color w:val="auto"/>
          <w:sz w:val="44"/>
          <w:szCs w:val="44"/>
          <w:u w:val="none"/>
        </w:rPr>
        <w:t>长者食堂</w:t>
      </w: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strike w:val="0"/>
          <w:color w:val="auto"/>
          <w:sz w:val="44"/>
          <w:szCs w:val="44"/>
          <w:u w:val="none"/>
          <w:lang w:eastAsia="zh-CN"/>
        </w:rPr>
        <w:t>可持续发展的若干措施</w:t>
      </w:r>
      <w:bookmarkEnd w:id="0"/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strike w:val="0"/>
          <w:color w:val="auto"/>
          <w:sz w:val="44"/>
          <w:szCs w:val="44"/>
          <w:u w:val="none"/>
          <w:lang w:val="en-US" w:eastAsia="zh-CN"/>
        </w:rPr>
        <w:t>(征求意见稿）</w:t>
      </w:r>
    </w:p>
    <w:p w14:paraId="498EE003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leftChars="0" w:right="0" w:rightChars="0"/>
        <w:jc w:val="left"/>
        <w:textAlignment w:val="auto"/>
        <w:rPr>
          <w:rFonts w:hint="eastAsia" w:ascii="仿宋_GB2312" w:hAnsi="仿宋_GB2312" w:eastAsia="仿宋_GB2312" w:cs="仿宋_GB2312"/>
          <w:i w:val="0"/>
          <w:strike w:val="0"/>
          <w:color w:val="auto"/>
          <w:sz w:val="32"/>
          <w:szCs w:val="32"/>
          <w:u w:val="none"/>
          <w:lang w:eastAsia="zh-CN"/>
        </w:rPr>
      </w:pPr>
    </w:p>
    <w:p w14:paraId="3976DAA8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leftChars="0" w:right="0" w:righ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i w:val="0"/>
          <w:strike w:val="0"/>
          <w:color w:val="auto"/>
          <w:sz w:val="32"/>
          <w:szCs w:val="32"/>
          <w:u w:val="none"/>
        </w:rPr>
        <w:t>为</w:t>
      </w:r>
      <w:r>
        <w:rPr>
          <w:rFonts w:hint="eastAsia" w:ascii="仿宋_GB2312" w:hAnsi="仿宋_GB2312" w:eastAsia="仿宋_GB2312" w:cs="仿宋_GB2312"/>
          <w:i w:val="0"/>
          <w:strike w:val="0"/>
          <w:color w:val="auto"/>
          <w:sz w:val="32"/>
          <w:szCs w:val="32"/>
          <w:u w:val="none"/>
          <w:lang w:eastAsia="zh-CN"/>
        </w:rPr>
        <w:t>深入贯彻落实</w:t>
      </w:r>
      <w:r>
        <w:rPr>
          <w:rFonts w:hint="eastAsia" w:ascii="仿宋_GB2312" w:hAnsi="仿宋_GB2312" w:eastAsia="仿宋_GB2312" w:cs="仿宋_GB2312"/>
          <w:i w:val="0"/>
          <w:strike w:val="0"/>
          <w:color w:val="auto"/>
          <w:sz w:val="32"/>
          <w:szCs w:val="32"/>
          <w:u w:val="none"/>
        </w:rPr>
        <w:t>积极应对人口老龄化国家战略，持续优化我区居家社区养老服务体系，推动长者食堂规范化、可持续、高质量发展，</w:t>
      </w:r>
      <w:r>
        <w:rPr>
          <w:rFonts w:hint="eastAsia" w:ascii="仿宋_GB2312" w:hAnsi="仿宋_GB2312" w:eastAsia="仿宋_GB2312" w:cs="仿宋_GB2312"/>
          <w:i w:val="0"/>
          <w:strike w:val="0"/>
          <w:color w:val="auto"/>
          <w:sz w:val="32"/>
          <w:szCs w:val="32"/>
          <w:u w:val="none"/>
          <w:lang w:eastAsia="zh-CN"/>
        </w:rPr>
        <w:t>现制定如下措施：</w:t>
      </w:r>
    </w:p>
    <w:p w14:paraId="2DDA575A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leftChars="0" w:right="0" w:righ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strike w:val="0"/>
          <w:color w:val="auto"/>
          <w:sz w:val="32"/>
          <w:szCs w:val="32"/>
          <w:u w:val="none"/>
        </w:rPr>
      </w:pPr>
      <w:r>
        <w:rPr>
          <w:rFonts w:hint="eastAsia" w:ascii="黑体" w:hAnsi="黑体" w:eastAsia="黑体" w:cs="黑体"/>
          <w:i w:val="0"/>
          <w:strike w:val="0"/>
          <w:color w:val="auto"/>
          <w:sz w:val="32"/>
          <w:szCs w:val="32"/>
          <w:u w:val="none"/>
          <w:lang w:eastAsia="zh-CN"/>
        </w:rPr>
        <w:t>一、</w:t>
      </w:r>
      <w:r>
        <w:rPr>
          <w:rFonts w:hint="eastAsia" w:ascii="黑体" w:hAnsi="黑体" w:eastAsia="黑体" w:cs="黑体"/>
          <w:i w:val="0"/>
          <w:strike w:val="0"/>
          <w:color w:val="auto"/>
          <w:sz w:val="32"/>
          <w:szCs w:val="32"/>
          <w:u w:val="none"/>
        </w:rPr>
        <w:t>搭建食材集中采购联盟</w:t>
      </w:r>
      <w:r>
        <w:rPr>
          <w:rFonts w:hint="eastAsia" w:ascii="黑体" w:hAnsi="黑体" w:eastAsia="黑体" w:cs="黑体"/>
          <w:i w:val="0"/>
          <w:strike w:val="0"/>
          <w:color w:val="auto"/>
          <w:sz w:val="32"/>
          <w:szCs w:val="32"/>
          <w:u w:val="none"/>
          <w:lang w:eastAsia="zh-CN"/>
        </w:rPr>
        <w:t>。</w:t>
      </w:r>
      <w:r>
        <w:rPr>
          <w:rFonts w:hint="eastAsia" w:ascii="仿宋_GB2312" w:hAnsi="仿宋_GB2312" w:eastAsia="仿宋_GB2312" w:cs="仿宋_GB2312"/>
          <w:i w:val="0"/>
          <w:strike w:val="0"/>
          <w:color w:val="auto"/>
          <w:sz w:val="32"/>
          <w:szCs w:val="32"/>
          <w:u w:val="none"/>
        </w:rPr>
        <w:t>整合优质食材供应商资源，组建长者食堂食材供应联盟，建立长期稳定、诚信合规的供需合作机制。推行批量集中议价、直采直供、统一配送的标准化采购模式，打通食材供应链中间环节。通过规模化采购优势稳定食材价格、严控食材品质、简化采购流程，有效降低长者食堂日常运营成本，从源头保障助餐服务质优价廉。（责任单位：区民政局、区商务局</w:t>
      </w:r>
      <w:r>
        <w:rPr>
          <w:rFonts w:hint="eastAsia" w:ascii="仿宋_GB2312" w:hAnsi="仿宋_GB2312" w:eastAsia="仿宋_GB2312" w:cs="仿宋_GB2312"/>
          <w:i w:val="0"/>
          <w:strike w:val="0"/>
          <w:color w:val="auto"/>
          <w:sz w:val="32"/>
          <w:szCs w:val="32"/>
          <w:u w:val="none"/>
          <w:lang w:eastAsia="zh-CN"/>
        </w:rPr>
        <w:t>、</w:t>
      </w:r>
      <w:r>
        <w:rPr>
          <w:rFonts w:hint="eastAsia" w:ascii="仿宋_GB2312" w:hAnsi="仿宋_GB2312" w:eastAsia="仿宋_GB2312" w:cs="仿宋_GB2312"/>
          <w:i w:val="0"/>
          <w:strike w:val="0"/>
          <w:color w:val="auto"/>
          <w:sz w:val="32"/>
          <w:szCs w:val="32"/>
          <w:u w:val="none"/>
        </w:rPr>
        <w:t>区市场监管局）</w:t>
      </w:r>
    </w:p>
    <w:p w14:paraId="5BB233FA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leftChars="0" w:right="0" w:righ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strike w:val="0"/>
          <w:color w:val="auto"/>
          <w:sz w:val="32"/>
          <w:szCs w:val="32"/>
          <w:u w:val="none"/>
        </w:rPr>
      </w:pPr>
      <w:r>
        <w:rPr>
          <w:rFonts w:hint="eastAsia" w:ascii="黑体" w:hAnsi="黑体" w:eastAsia="黑体" w:cs="黑体"/>
          <w:i w:val="0"/>
          <w:strike w:val="0"/>
          <w:color w:val="auto"/>
          <w:sz w:val="32"/>
          <w:szCs w:val="32"/>
          <w:u w:val="none"/>
          <w:lang w:eastAsia="zh-CN"/>
        </w:rPr>
        <w:t>二、</w:t>
      </w:r>
      <w:r>
        <w:rPr>
          <w:rFonts w:hint="eastAsia" w:ascii="黑体" w:hAnsi="黑体" w:eastAsia="黑体" w:cs="黑体"/>
          <w:i w:val="0"/>
          <w:strike w:val="0"/>
          <w:color w:val="auto"/>
          <w:sz w:val="32"/>
          <w:szCs w:val="32"/>
          <w:u w:val="none"/>
        </w:rPr>
        <w:t>健全全程溯源管控体系</w:t>
      </w:r>
      <w:r>
        <w:rPr>
          <w:rFonts w:hint="eastAsia" w:ascii="黑体" w:hAnsi="黑体" w:eastAsia="黑体" w:cs="黑体"/>
          <w:i w:val="0"/>
          <w:strike w:val="0"/>
          <w:color w:val="auto"/>
          <w:sz w:val="32"/>
          <w:szCs w:val="32"/>
          <w:u w:val="none"/>
          <w:lang w:eastAsia="zh-CN"/>
        </w:rPr>
        <w:t>。</w:t>
      </w:r>
      <w:r>
        <w:rPr>
          <w:rFonts w:hint="eastAsia" w:ascii="仿宋_GB2312" w:hAnsi="仿宋_GB2312" w:eastAsia="仿宋_GB2312" w:cs="仿宋_GB2312"/>
          <w:i w:val="0"/>
          <w:strike w:val="0"/>
          <w:color w:val="auto"/>
          <w:sz w:val="32"/>
          <w:szCs w:val="32"/>
          <w:u w:val="none"/>
          <w:lang w:eastAsia="zh-CN"/>
        </w:rPr>
        <w:t>严格落实食品安全</w:t>
      </w:r>
      <w:r>
        <w:rPr>
          <w:rFonts w:hint="eastAsia" w:ascii="仿宋_GB2312" w:hAnsi="仿宋_GB2312" w:eastAsia="仿宋_GB2312" w:cs="仿宋_GB2312"/>
          <w:i w:val="0"/>
          <w:strike w:val="0"/>
          <w:color w:val="auto"/>
          <w:sz w:val="32"/>
          <w:szCs w:val="32"/>
          <w:u w:val="none"/>
        </w:rPr>
        <w:t>全流程溯源管理制度，建立从食材采购、入库验收、储存保管、加工制作、成品留样到餐具消毒、环境卫生的全链条闭环管控机制。紧盯食材准入、后厨操作、餐食出品、清洁消杀等关键环节，常态化开展隐患排查整治，规范日常运营标准，全方位保障长者食堂餐食安全、卫生、可靠，坚决守住食品安全底线。（责任单位：区民政局、区市场监管局）</w:t>
      </w:r>
    </w:p>
    <w:p w14:paraId="4D77584A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leftChars="0" w:right="0" w:righ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strike w:val="0"/>
          <w:color w:val="auto"/>
          <w:sz w:val="32"/>
          <w:szCs w:val="32"/>
          <w:u w:val="none"/>
        </w:rPr>
      </w:pPr>
      <w:r>
        <w:rPr>
          <w:rFonts w:hint="eastAsia" w:ascii="黑体" w:hAnsi="黑体" w:eastAsia="黑体" w:cs="黑体"/>
          <w:i w:val="0"/>
          <w:strike w:val="0"/>
          <w:color w:val="auto"/>
          <w:sz w:val="32"/>
          <w:szCs w:val="32"/>
          <w:u w:val="none"/>
          <w:lang w:eastAsia="zh-CN"/>
        </w:rPr>
        <w:t>三、拓展便民服务覆盖范围。</w:t>
      </w:r>
      <w:r>
        <w:rPr>
          <w:rFonts w:hint="eastAsia" w:ascii="仿宋_GB2312" w:hAnsi="仿宋_GB2312" w:eastAsia="仿宋_GB2312" w:cs="仿宋_GB2312"/>
          <w:i w:val="0"/>
          <w:strike w:val="0"/>
          <w:color w:val="auto"/>
          <w:sz w:val="32"/>
          <w:szCs w:val="32"/>
          <w:u w:val="none"/>
        </w:rPr>
        <w:t>在保障老年人优先就餐、优惠就餐的基础上，进一步盘活长者食堂服务资源、释放便民服务效能。面向外卖骑手、快递员、网约车司机等新就业群体及环卫工人、一线户外作业人员</w:t>
      </w:r>
      <w:r>
        <w:rPr>
          <w:rFonts w:hint="eastAsia" w:ascii="仿宋_GB2312" w:hAnsi="仿宋_GB2312" w:eastAsia="仿宋_GB2312" w:cs="仿宋_GB2312"/>
          <w:i w:val="0"/>
          <w:strike w:val="0"/>
          <w:color w:val="auto"/>
          <w:sz w:val="32"/>
          <w:szCs w:val="32"/>
          <w:u w:val="none"/>
          <w:lang w:eastAsia="zh-CN"/>
        </w:rPr>
        <w:t>等</w:t>
      </w:r>
      <w:r>
        <w:rPr>
          <w:rFonts w:hint="eastAsia" w:ascii="仿宋_GB2312" w:hAnsi="仿宋_GB2312" w:eastAsia="仿宋_GB2312" w:cs="仿宋_GB2312"/>
          <w:i w:val="0"/>
          <w:strike w:val="0"/>
          <w:color w:val="auto"/>
          <w:sz w:val="32"/>
          <w:szCs w:val="32"/>
          <w:u w:val="none"/>
        </w:rPr>
        <w:t>，推出普惠性就餐优惠政策，提供平价、便捷、暖心的就餐服务，打造有温度的社区便民服务阵地。（责任单位：区民政局、区总工会）</w:t>
      </w:r>
    </w:p>
    <w:p w14:paraId="5CCA4AC8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leftChars="0" w:right="0" w:righ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strike w:val="0"/>
          <w:color w:val="auto"/>
          <w:sz w:val="32"/>
          <w:szCs w:val="32"/>
          <w:u w:val="none"/>
        </w:rPr>
      </w:pPr>
      <w:r>
        <w:rPr>
          <w:rFonts w:hint="eastAsia" w:ascii="黑体" w:hAnsi="黑体" w:eastAsia="黑体" w:cs="黑体"/>
          <w:i w:val="0"/>
          <w:strike w:val="0"/>
          <w:color w:val="auto"/>
          <w:sz w:val="32"/>
          <w:szCs w:val="32"/>
          <w:u w:val="none"/>
          <w:lang w:val="en-US" w:eastAsia="zh-CN"/>
        </w:rPr>
        <w:t>四、优化配餐服务供给体系。</w:t>
      </w:r>
      <w:r>
        <w:rPr>
          <w:rFonts w:hint="eastAsia" w:ascii="仿宋_GB2312" w:hAnsi="仿宋_GB2312" w:eastAsia="仿宋_GB2312" w:cs="仿宋_GB2312"/>
          <w:i w:val="0"/>
          <w:strike w:val="0"/>
          <w:color w:val="auto"/>
          <w:sz w:val="32"/>
          <w:szCs w:val="32"/>
          <w:u w:val="none"/>
        </w:rPr>
        <w:t>持续扩容长者食堂合作服务矩阵，在现有运营服务商、合作餐饮商铺基础上，</w:t>
      </w:r>
      <w:r>
        <w:rPr>
          <w:rFonts w:hint="eastAsia" w:ascii="仿宋_GB2312" w:hAnsi="仿宋_GB2312" w:eastAsia="仿宋_GB2312" w:cs="仿宋_GB2312"/>
          <w:b w:val="0"/>
          <w:i w:val="0"/>
          <w:strike w:val="0"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  <w:t>推行“中央厨房集中配餐+街镇明厨亮灶联动补位”模式，并</w:t>
      </w:r>
      <w:r>
        <w:rPr>
          <w:rFonts w:hint="eastAsia" w:ascii="仿宋_GB2312" w:hAnsi="仿宋_GB2312" w:eastAsia="仿宋_GB2312" w:cs="仿宋_GB2312"/>
          <w:i w:val="0"/>
          <w:strike w:val="0"/>
          <w:color w:val="auto"/>
          <w:sz w:val="32"/>
          <w:szCs w:val="32"/>
          <w:u w:val="none"/>
        </w:rPr>
        <w:t>择优吸纳资质齐全、口碑良好、配送规范的餐饮主体加入服务队伍。</w:t>
      </w:r>
      <w:r>
        <w:rPr>
          <w:rFonts w:hint="eastAsia" w:ascii="仿宋_GB2312" w:hAnsi="仿宋_GB2312" w:eastAsia="仿宋_GB2312" w:cs="仿宋_GB2312"/>
          <w:i w:val="0"/>
          <w:strike w:val="0"/>
          <w:color w:val="auto"/>
          <w:sz w:val="32"/>
          <w:szCs w:val="32"/>
          <w:u w:val="none"/>
          <w:lang w:eastAsia="zh-CN"/>
        </w:rPr>
        <w:t>同时，探索引入外卖平台资源，以定点供餐，骑手驿站等形式，盘活</w:t>
      </w:r>
      <w:r>
        <w:rPr>
          <w:rFonts w:hint="eastAsia" w:ascii="仿宋_GB2312" w:hAnsi="仿宋_GB2312" w:eastAsia="仿宋_GB2312" w:cs="仿宋_GB2312"/>
          <w:i w:val="0"/>
          <w:strike w:val="0"/>
          <w:color w:val="auto"/>
          <w:sz w:val="32"/>
          <w:szCs w:val="32"/>
          <w:u w:val="none"/>
          <w:lang w:val="en-US" w:eastAsia="zh-CN"/>
        </w:rPr>
        <w:t>场地资源</w:t>
      </w:r>
      <w:r>
        <w:rPr>
          <w:rFonts w:hint="eastAsia" w:ascii="仿宋_GB2312" w:hAnsi="仿宋_GB2312" w:eastAsia="仿宋_GB2312" w:cs="仿宋_GB2312"/>
          <w:i w:val="0"/>
          <w:strike w:val="0"/>
          <w:color w:val="auto"/>
          <w:sz w:val="32"/>
          <w:szCs w:val="32"/>
          <w:u w:val="none"/>
        </w:rPr>
        <w:t>。（责任单位：区民政局、区市场监管局）</w:t>
      </w:r>
    </w:p>
    <w:p w14:paraId="411AF395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leftChars="0" w:right="0" w:righ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strike w:val="0"/>
          <w:color w:val="auto"/>
          <w:sz w:val="32"/>
          <w:szCs w:val="32"/>
          <w:u w:val="none"/>
        </w:rPr>
      </w:pPr>
      <w:r>
        <w:rPr>
          <w:rFonts w:hint="eastAsia" w:ascii="黑体" w:hAnsi="黑体" w:eastAsia="黑体" w:cs="黑体"/>
          <w:i w:val="0"/>
          <w:strike w:val="0"/>
          <w:color w:val="auto"/>
          <w:sz w:val="32"/>
          <w:szCs w:val="32"/>
          <w:u w:val="none"/>
          <w:lang w:val="en-US" w:eastAsia="zh-CN"/>
        </w:rPr>
        <w:t>五、推动多元融合经营模式。</w:t>
      </w:r>
      <w:r>
        <w:rPr>
          <w:rFonts w:hint="eastAsia" w:ascii="仿宋_GB2312" w:hAnsi="仿宋_GB2312" w:eastAsia="仿宋_GB2312" w:cs="仿宋_GB2312"/>
          <w:i w:val="0"/>
          <w:strike w:val="0"/>
          <w:color w:val="auto"/>
          <w:sz w:val="32"/>
          <w:szCs w:val="32"/>
          <w:u w:val="none"/>
        </w:rPr>
        <w:t>鼓励</w:t>
      </w:r>
      <w:r>
        <w:rPr>
          <w:rFonts w:hint="eastAsia" w:ascii="仿宋_GB2312" w:hAnsi="仿宋_GB2312" w:eastAsia="仿宋_GB2312" w:cs="仿宋_GB2312"/>
          <w:i w:val="0"/>
          <w:strike w:val="0"/>
          <w:color w:val="auto"/>
          <w:sz w:val="32"/>
          <w:szCs w:val="32"/>
          <w:u w:val="none"/>
          <w:lang w:eastAsia="zh-CN"/>
        </w:rPr>
        <w:t>运营方以</w:t>
      </w:r>
      <w:r>
        <w:rPr>
          <w:rFonts w:hint="eastAsia" w:ascii="仿宋_GB2312" w:hAnsi="仿宋_GB2312" w:eastAsia="仿宋_GB2312" w:cs="仿宋_GB2312"/>
          <w:i w:val="0"/>
          <w:strike w:val="0"/>
          <w:color w:val="auto"/>
          <w:sz w:val="32"/>
          <w:szCs w:val="32"/>
          <w:u w:val="none"/>
        </w:rPr>
        <w:t>长者食堂</w:t>
      </w:r>
      <w:r>
        <w:rPr>
          <w:rFonts w:hint="eastAsia" w:ascii="仿宋_GB2312" w:hAnsi="仿宋_GB2312" w:eastAsia="仿宋_GB2312" w:cs="仿宋_GB2312"/>
          <w:i w:val="0"/>
          <w:strike w:val="0"/>
          <w:color w:val="auto"/>
          <w:sz w:val="32"/>
          <w:szCs w:val="32"/>
          <w:u w:val="none"/>
          <w:lang w:eastAsia="zh-CN"/>
        </w:rPr>
        <w:t>名义</w:t>
      </w:r>
      <w:r>
        <w:rPr>
          <w:rFonts w:hint="eastAsia" w:ascii="仿宋_GB2312" w:hAnsi="仿宋_GB2312" w:eastAsia="仿宋_GB2312" w:cs="仿宋_GB2312"/>
          <w:i w:val="0"/>
          <w:strike w:val="0"/>
          <w:color w:val="auto"/>
          <w:sz w:val="32"/>
          <w:szCs w:val="32"/>
          <w:u w:val="none"/>
        </w:rPr>
        <w:t>依托淘宝闪购、美团、京东外卖等主流线上生活服务平台，拓展线上外卖、预约订餐、配送上门等增值服务</w:t>
      </w:r>
      <w:r>
        <w:rPr>
          <w:rFonts w:hint="eastAsia" w:ascii="仿宋_GB2312" w:hAnsi="仿宋_GB2312" w:eastAsia="仿宋_GB2312" w:cs="仿宋_GB2312"/>
          <w:i w:val="0"/>
          <w:strike w:val="0"/>
          <w:color w:val="auto"/>
          <w:sz w:val="32"/>
          <w:szCs w:val="32"/>
          <w:u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i w:val="0"/>
          <w:strike w:val="0"/>
          <w:color w:val="auto"/>
          <w:sz w:val="32"/>
          <w:szCs w:val="32"/>
          <w:u w:val="none"/>
        </w:rPr>
        <w:t>借助平台流量扶持、专区展示、线上口碑推广等渠道，打破线下服务局限，扩大服务辐射</w:t>
      </w:r>
      <w:r>
        <w:rPr>
          <w:rFonts w:hint="eastAsia" w:ascii="仿宋_GB2312" w:hAnsi="仿宋_GB2312" w:eastAsia="仿宋_GB2312" w:cs="仿宋_GB2312"/>
          <w:i w:val="0"/>
          <w:strike w:val="0"/>
          <w:color w:val="auto"/>
          <w:sz w:val="32"/>
          <w:szCs w:val="32"/>
          <w:u w:val="none"/>
          <w:lang w:eastAsia="zh-CN"/>
        </w:rPr>
        <w:t>范围</w:t>
      </w:r>
      <w:r>
        <w:rPr>
          <w:rFonts w:hint="eastAsia" w:ascii="仿宋_GB2312" w:hAnsi="仿宋_GB2312" w:eastAsia="仿宋_GB2312" w:cs="仿宋_GB2312"/>
          <w:i w:val="0"/>
          <w:strike w:val="0"/>
          <w:color w:val="auto"/>
          <w:sz w:val="32"/>
          <w:szCs w:val="32"/>
          <w:u w:val="none"/>
        </w:rPr>
        <w:t>。</w:t>
      </w:r>
      <w:r>
        <w:rPr>
          <w:rFonts w:hint="eastAsia" w:ascii="仿宋_GB2312" w:hAnsi="仿宋_GB2312" w:eastAsia="仿宋_GB2312" w:cs="仿宋_GB2312"/>
          <w:i w:val="0"/>
          <w:strike w:val="0"/>
          <w:color w:val="auto"/>
          <w:sz w:val="32"/>
          <w:szCs w:val="32"/>
          <w:u w:val="none"/>
          <w:lang w:eastAsia="zh-CN"/>
        </w:rPr>
        <w:t>结合市场需求，适时推出控糖专区、儿童专区等窗口，</w:t>
      </w:r>
      <w:r>
        <w:rPr>
          <w:rFonts w:hint="eastAsia" w:ascii="仿宋_GB2312" w:hAnsi="仿宋_GB2312" w:eastAsia="仿宋_GB2312" w:cs="仿宋_GB2312"/>
          <w:i w:val="0"/>
          <w:strike w:val="0"/>
          <w:color w:val="auto"/>
          <w:sz w:val="32"/>
          <w:szCs w:val="32"/>
          <w:u w:val="none"/>
        </w:rPr>
        <w:t>精准适配全年龄段群众就餐需求，以多元经营提升长者食堂自我造血能力，助力长效可持续运营。（责任单位：区商务局、区市场监管局）</w:t>
      </w:r>
    </w:p>
    <w:p w14:paraId="4AFF2F3A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leftChars="0" w:right="0" w:righ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strike w:val="0"/>
          <w:color w:val="auto"/>
          <w:sz w:val="32"/>
          <w:szCs w:val="32"/>
          <w:u w:val="none"/>
        </w:rPr>
      </w:pPr>
      <w:r>
        <w:rPr>
          <w:rFonts w:hint="eastAsia" w:ascii="黑体" w:hAnsi="黑体" w:eastAsia="黑体" w:cs="黑体"/>
          <w:i w:val="0"/>
          <w:strike w:val="0"/>
          <w:color w:val="auto"/>
          <w:sz w:val="32"/>
          <w:szCs w:val="32"/>
          <w:u w:val="none"/>
          <w:lang w:val="en-US" w:eastAsia="zh-CN"/>
        </w:rPr>
        <w:t>六、夯实业务指导培训支撑。</w:t>
      </w:r>
      <w:r>
        <w:rPr>
          <w:rFonts w:hint="eastAsia" w:ascii="仿宋_GB2312" w:hAnsi="仿宋_GB2312" w:eastAsia="仿宋_GB2312" w:cs="仿宋_GB2312"/>
          <w:i w:val="0"/>
          <w:strike w:val="0"/>
          <w:color w:val="auto"/>
          <w:sz w:val="32"/>
          <w:szCs w:val="32"/>
          <w:u w:val="none"/>
        </w:rPr>
        <w:t>建立常态化</w:t>
      </w:r>
      <w:r>
        <w:rPr>
          <w:rFonts w:hint="eastAsia" w:ascii="仿宋_GB2312" w:hAnsi="仿宋_GB2312" w:eastAsia="仿宋_GB2312" w:cs="仿宋_GB2312"/>
          <w:i w:val="0"/>
          <w:strike w:val="0"/>
          <w:color w:val="auto"/>
          <w:sz w:val="32"/>
          <w:szCs w:val="32"/>
          <w:u w:val="none"/>
          <w:lang w:eastAsia="zh-CN"/>
        </w:rPr>
        <w:t>下沉式</w:t>
      </w:r>
      <w:r>
        <w:rPr>
          <w:rFonts w:hint="eastAsia" w:ascii="仿宋_GB2312" w:hAnsi="仿宋_GB2312" w:eastAsia="仿宋_GB2312" w:cs="仿宋_GB2312"/>
          <w:i w:val="0"/>
          <w:strike w:val="0"/>
          <w:color w:val="auto"/>
          <w:sz w:val="32"/>
          <w:szCs w:val="32"/>
          <w:u w:val="none"/>
        </w:rPr>
        <w:t>业务指导与培训机制，每年针对辖区</w:t>
      </w:r>
      <w:r>
        <w:rPr>
          <w:rFonts w:hint="eastAsia" w:ascii="仿宋_GB2312" w:hAnsi="仿宋_GB2312" w:eastAsia="仿宋_GB2312" w:cs="仿宋_GB2312"/>
          <w:i w:val="0"/>
          <w:strike w:val="0"/>
          <w:color w:val="auto"/>
          <w:sz w:val="32"/>
          <w:szCs w:val="32"/>
          <w:u w:val="none"/>
          <w:lang w:eastAsia="zh-CN"/>
        </w:rPr>
        <w:t>内</w:t>
      </w:r>
      <w:r>
        <w:rPr>
          <w:rFonts w:hint="eastAsia" w:ascii="仿宋_GB2312" w:hAnsi="仿宋_GB2312" w:eastAsia="仿宋_GB2312" w:cs="仿宋_GB2312"/>
          <w:i w:val="0"/>
          <w:strike w:val="0"/>
          <w:color w:val="auto"/>
          <w:sz w:val="32"/>
          <w:szCs w:val="32"/>
          <w:u w:val="none"/>
        </w:rPr>
        <w:t>长者食堂开展食品安全、消防安全专项培训及现场</w:t>
      </w:r>
      <w:r>
        <w:rPr>
          <w:rFonts w:hint="eastAsia" w:ascii="仿宋_GB2312" w:hAnsi="仿宋_GB2312" w:eastAsia="仿宋_GB2312" w:cs="仿宋_GB2312"/>
          <w:i w:val="0"/>
          <w:strike w:val="0"/>
          <w:color w:val="auto"/>
          <w:sz w:val="32"/>
          <w:szCs w:val="32"/>
          <w:u w:val="none"/>
          <w:lang w:eastAsia="zh-CN"/>
        </w:rPr>
        <w:t>指导</w:t>
      </w:r>
      <w:r>
        <w:rPr>
          <w:rFonts w:hint="eastAsia" w:ascii="仿宋_GB2312" w:hAnsi="仿宋_GB2312" w:eastAsia="仿宋_GB2312" w:cs="仿宋_GB2312"/>
          <w:i w:val="0"/>
          <w:strike w:val="0"/>
          <w:color w:val="auto"/>
          <w:sz w:val="32"/>
          <w:szCs w:val="32"/>
          <w:u w:val="none"/>
        </w:rPr>
        <w:t>。</w:t>
      </w:r>
      <w:r>
        <w:rPr>
          <w:rFonts w:hint="eastAsia" w:ascii="仿宋_GB2312" w:hAnsi="仿宋_GB2312" w:eastAsia="仿宋_GB2312" w:cs="仿宋_GB2312"/>
          <w:i w:val="0"/>
          <w:strike w:val="0"/>
          <w:color w:val="auto"/>
          <w:sz w:val="32"/>
          <w:szCs w:val="32"/>
          <w:u w:val="none"/>
          <w:lang w:eastAsia="zh-CN"/>
        </w:rPr>
        <w:t>重点</w:t>
      </w:r>
      <w:r>
        <w:rPr>
          <w:rFonts w:hint="eastAsia" w:ascii="仿宋_GB2312" w:hAnsi="仿宋_GB2312" w:eastAsia="仿宋_GB2312" w:cs="仿宋_GB2312"/>
          <w:i w:val="0"/>
          <w:strike w:val="0"/>
          <w:color w:val="auto"/>
          <w:sz w:val="32"/>
          <w:szCs w:val="32"/>
          <w:u w:val="none"/>
        </w:rPr>
        <w:t>围绕后厨卫生管理、食品加工规范、餐具消毒流程、消防设施维护、应急处置演练等关键环节</w:t>
      </w:r>
      <w:r>
        <w:rPr>
          <w:rFonts w:hint="eastAsia" w:ascii="仿宋_GB2312" w:hAnsi="仿宋_GB2312" w:eastAsia="仿宋_GB2312" w:cs="仿宋_GB2312"/>
          <w:i w:val="0"/>
          <w:strike w:val="0"/>
          <w:color w:val="auto"/>
          <w:sz w:val="32"/>
          <w:szCs w:val="32"/>
          <w:u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i w:val="0"/>
          <w:strike w:val="0"/>
          <w:color w:val="auto"/>
          <w:sz w:val="32"/>
          <w:szCs w:val="32"/>
          <w:u w:val="none"/>
        </w:rPr>
        <w:t>指导运营方规范操作流程，提升从业人员安全管理意识与应急处置能力，推动食品安全、消防安全管理标准化、规范化落地。（责任单位：区民政局、区市场监管局、区消防救援大队）</w:t>
      </w:r>
    </w:p>
    <w:p w14:paraId="2FE7C604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leftChars="0" w:right="0" w:righ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strike w:val="0"/>
          <w:color w:val="auto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i w:val="0"/>
          <w:strike w:val="0"/>
          <w:color w:val="auto"/>
          <w:sz w:val="32"/>
          <w:szCs w:val="32"/>
          <w:u w:val="none"/>
          <w:lang w:val="en-US" w:eastAsia="zh-CN"/>
        </w:rPr>
        <w:t>本措施适用于辖区所有长者食堂点位，自发布之日起有效期三年。</w:t>
      </w:r>
    </w:p>
    <w:p w14:paraId="1DB02ECE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leftChars="0" w:right="0" w:righ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strike w:val="0"/>
          <w:color w:val="auto"/>
          <w:sz w:val="32"/>
          <w:szCs w:val="32"/>
          <w:u w:val="none"/>
        </w:rPr>
      </w:pPr>
      <w:bookmarkStart w:id="1" w:name="_GoBack"/>
      <w:bookmarkEnd w:id="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国标宋体-超大字符集扩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微软雅黑">
    <w:altName w:val="黑体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2534744"/>
    <w:rsid w:val="22534744"/>
    <w:rsid w:val="2EFBFF7B"/>
    <w:rsid w:val="2FFB5330"/>
    <w:rsid w:val="3FFABE21"/>
    <w:rsid w:val="5F8E5DF8"/>
    <w:rsid w:val="6F2E45DA"/>
    <w:rsid w:val="7DF70564"/>
    <w:rsid w:val="7DFBAC63"/>
    <w:rsid w:val="7FB35E27"/>
    <w:rsid w:val="AE4F675F"/>
    <w:rsid w:val="EEFFED50"/>
    <w:rsid w:val="FDEFEA2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before="60" w:after="60"/>
      <w:jc w:val="both"/>
    </w:pPr>
    <w:rPr>
      <w:rFonts w:ascii="Arial" w:hAnsi="Arial" w:eastAsia="微软雅黑" w:cs="Arial"/>
      <w:color w:val="333333"/>
      <w:kern w:val="2"/>
      <w:sz w:val="22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outlineLvl w:val="0"/>
    </w:pPr>
    <w:rPr>
      <w:b/>
      <w:kern w:val="44"/>
      <w:sz w:val="36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242</TotalTime>
  <ScaleCrop>false</ScaleCrop>
  <LinksUpToDate>false</LinksUpToDate>
  <CharactersWithSpaces>0</CharactersWithSpaces>
  <Application>WPS Office_12.1.2.24722_F1E327BC-269C-435d-A152-05C5408002CA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2026-07-02T18:17:00Z</dcterms:created>
  <dc:creator>Administrator</dc:creator>
  <cp:lastModifiedBy>greatwall</cp:lastModifiedBy>
  <cp:lastPrinted>2026-07-09T03:57:00Z</cp:lastPrinted>
  <dcterms:modified xsi:type="dcterms:W3CDTF">2026-07-29T11:31:51Z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2052-12.1.2.24722</vt:lpwstr>
  </property>
  <property fmtid="{D5CDD505-2E9C-101B-9397-08002B2CF9AE}" pid="3" name="ICV">
    <vt:lpwstr>C6C2B528754354182774696A78190ACB_43</vt:lpwstr>
  </property>
</Properties>
</file>