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="2879" w:wrap="around" w:vAnchor="margin" w:hAnchor="text" w:x="4633" w:y="2034"/>
        <w:widowControl w:val="0"/>
        <w:autoSpaceDE w:val="0"/>
        <w:autoSpaceDN w:val="0"/>
        <w:spacing w:line="523" w:lineRule="exact"/>
        <w:ind w:firstLine="440" w:firstLineChars="100"/>
        <w:rPr>
          <w:rFonts w:hAnsiTheme="minorHAnsi" w:eastAsiaTheme="minorEastAsia" w:cstheme="minorBidi"/>
          <w:color w:val="000000"/>
          <w:sz w:val="44"/>
          <w:szCs w:val="22"/>
          <w:lang w:val="en-US" w:eastAsia="en-US" w:bidi="ar-SA"/>
        </w:rPr>
      </w:pPr>
      <w:r>
        <w:rPr>
          <w:rFonts w:ascii="方正小标宋简体" w:hAnsi="方正小标宋简体" w:cs="方正小标宋简体" w:eastAsiaTheme="minorEastAsia"/>
          <w:color w:val="000000"/>
          <w:sz w:val="44"/>
          <w:szCs w:val="22"/>
          <w:lang w:val="en-US" w:eastAsia="en-US" w:bidi="ar-SA"/>
        </w:rPr>
        <w:t>评审要点</w:t>
      </w:r>
    </w:p>
    <w:p>
      <w:pPr>
        <w:framePr w:w="1363" w:wrap="around" w:vAnchor="margin" w:hAnchor="text" w:x="1695" w:y="2676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一级指标</w:t>
      </w:r>
    </w:p>
    <w:p>
      <w:pPr>
        <w:framePr w:w="1363" w:wrap="around" w:vAnchor="margin" w:hAnchor="text" w:x="3563" w:y="2676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二级指标</w:t>
      </w:r>
    </w:p>
    <w:p>
      <w:pPr>
        <w:framePr w:w="3610" w:wrap="around" w:vAnchor="margin" w:hAnchor="text" w:x="6141" w:y="2676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z w:val="28"/>
          <w:szCs w:val="22"/>
          <w:lang w:val="en-US" w:eastAsia="en-US" w:bidi="ar-SA"/>
        </w:rPr>
        <w:t>考察要点（包括但不限于）</w:t>
      </w:r>
    </w:p>
    <w:p>
      <w:pPr>
        <w:framePr w:w="5435" w:wrap="around" w:vAnchor="margin" w:hAnchor="text" w:x="5171" w:y="3125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专利申请前评估（</w:t>
      </w: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FTO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）、服务机构遴选、</w:t>
      </w:r>
    </w:p>
    <w:p>
      <w:pPr>
        <w:framePr w:w="5435" w:wrap="around" w:vAnchor="margin" w:hAnchor="text" w:x="5171" w:y="3125"/>
        <w:widowControl w:val="0"/>
        <w:autoSpaceDE w:val="0"/>
        <w:autoSpaceDN w:val="0"/>
        <w:spacing w:before="98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专利质量内部控制等机制建设与实施情况</w:t>
      </w:r>
    </w:p>
    <w:p>
      <w:pPr>
        <w:framePr w:w="5435" w:wrap="around" w:vAnchor="margin" w:hAnchor="text" w:x="5171" w:y="3125"/>
        <w:widowControl w:val="0"/>
        <w:autoSpaceDE w:val="0"/>
        <w:autoSpaceDN w:val="0"/>
        <w:spacing w:before="110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专利导航决策机制建设与专利导航项目实</w:t>
      </w:r>
    </w:p>
    <w:p>
      <w:pPr>
        <w:framePr w:w="5435" w:wrap="around" w:vAnchor="margin" w:hAnchor="text" w:x="5171" w:y="3125"/>
        <w:widowControl w:val="0"/>
        <w:autoSpaceDE w:val="0"/>
        <w:autoSpaceDN w:val="0"/>
        <w:spacing w:before="98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8"/>
          <w:szCs w:val="22"/>
          <w:lang w:val="en-US" w:eastAsia="en-US" w:bidi="ar-SA"/>
        </w:rPr>
        <w:t>施等情况</w:t>
      </w:r>
    </w:p>
    <w:p>
      <w:pPr>
        <w:framePr w:w="1644" w:wrap="around" w:vAnchor="margin" w:hAnchor="text" w:x="3423" w:y="3314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1.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质量控制</w:t>
      </w:r>
    </w:p>
    <w:p>
      <w:pPr>
        <w:framePr w:w="1925" w:wrap="around" w:vAnchor="margin" w:hAnchor="text" w:x="1436" w:y="3895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-6"/>
          <w:sz w:val="28"/>
          <w:szCs w:val="22"/>
          <w:lang w:val="en-US" w:eastAsia="en-US" w:bidi="ar-SA"/>
        </w:rPr>
        <w:t>一、创造能力</w:t>
      </w:r>
    </w:p>
    <w:p>
      <w:pPr>
        <w:framePr w:w="1644" w:wrap="around" w:vAnchor="margin" w:hAnchor="text" w:x="3423" w:y="4085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2.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专利导航</w:t>
      </w:r>
    </w:p>
    <w:p>
      <w:pPr>
        <w:framePr w:w="1644" w:wrap="around" w:vAnchor="margin" w:hAnchor="text" w:x="3423" w:y="4085"/>
        <w:widowControl w:val="0"/>
        <w:autoSpaceDE w:val="0"/>
        <w:autoSpaceDN w:val="0"/>
        <w:spacing w:before="490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3.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培育布局</w:t>
      </w:r>
    </w:p>
    <w:p>
      <w:pPr>
        <w:framePr w:w="1644" w:wrap="around" w:vAnchor="margin" w:hAnchor="text" w:x="3423" w:y="4085"/>
        <w:widowControl w:val="0"/>
        <w:autoSpaceDE w:val="0"/>
        <w:autoSpaceDN w:val="0"/>
        <w:spacing w:before="490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4.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自主实施</w:t>
      </w:r>
    </w:p>
    <w:p>
      <w:pPr>
        <w:framePr w:w="1644" w:wrap="around" w:vAnchor="margin" w:hAnchor="text" w:x="3423" w:y="4085"/>
        <w:widowControl w:val="0"/>
        <w:autoSpaceDE w:val="0"/>
        <w:autoSpaceDN w:val="0"/>
        <w:spacing w:before="487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5.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转化增效</w:t>
      </w:r>
    </w:p>
    <w:p>
      <w:pPr>
        <w:framePr w:w="1644" w:wrap="around" w:vAnchor="margin" w:hAnchor="text" w:x="3423" w:y="4085"/>
        <w:widowControl w:val="0"/>
        <w:autoSpaceDE w:val="0"/>
        <w:autoSpaceDN w:val="0"/>
        <w:spacing w:before="490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6.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运营活动</w:t>
      </w:r>
    </w:p>
    <w:p>
      <w:pPr>
        <w:framePr w:w="1433" w:wrap="around" w:vAnchor="margin" w:hAnchor="text" w:x="1661" w:y="4274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（</w:t>
      </w:r>
      <w:r>
        <w:rPr>
          <w:rFonts w:ascii="黑体" w:hAnsiTheme="minorHAns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>15</w:t>
      </w: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分）</w:t>
      </w:r>
    </w:p>
    <w:p>
      <w:pPr>
        <w:framePr w:w="5575" w:wrap="around" w:vAnchor="margin" w:hAnchor="text" w:x="5171" w:y="4665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专利（组合）、商标品牌等挖掘、培育、布</w:t>
      </w:r>
    </w:p>
    <w:p>
      <w:pPr>
        <w:framePr w:w="5575" w:wrap="around" w:vAnchor="margin" w:hAnchor="text" w:x="5171" w:y="4665"/>
        <w:widowControl w:val="0"/>
        <w:autoSpaceDE w:val="0"/>
        <w:autoSpaceDN w:val="0"/>
        <w:spacing w:before="98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局工作开展情况及成效</w:t>
      </w:r>
    </w:p>
    <w:p>
      <w:pPr>
        <w:framePr w:w="5856" w:wrap="around" w:vAnchor="margin" w:hAnchor="text" w:x="5171" w:y="5434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5"/>
          <w:sz w:val="28"/>
          <w:szCs w:val="22"/>
          <w:lang w:val="en-US" w:eastAsia="en-US" w:bidi="ar-SA"/>
        </w:rPr>
        <w:t>企业主营业务产品（服务）所包含的专利（商</w:t>
      </w:r>
    </w:p>
    <w:p>
      <w:pPr>
        <w:framePr w:w="5856" w:wrap="around" w:vAnchor="margin" w:hAnchor="text" w:x="5171" w:y="5434"/>
        <w:widowControl w:val="0"/>
        <w:autoSpaceDE w:val="0"/>
        <w:autoSpaceDN w:val="0"/>
        <w:spacing w:before="101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标、著作权）及其贡献度情况</w:t>
      </w:r>
    </w:p>
    <w:p>
      <w:pPr>
        <w:framePr w:w="1925" w:wrap="around" w:vAnchor="margin" w:hAnchor="text" w:x="1436" w:y="6204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-6"/>
          <w:sz w:val="28"/>
          <w:szCs w:val="22"/>
          <w:lang w:val="en-US" w:eastAsia="en-US" w:bidi="ar-SA"/>
        </w:rPr>
        <w:t>二、运用绩效</w:t>
      </w:r>
    </w:p>
    <w:p>
      <w:pPr>
        <w:framePr w:w="5575" w:wrap="around" w:vAnchor="margin" w:hAnchor="text" w:x="5171" w:y="6204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知识产权许可、转让、质押融资、作价入股</w:t>
      </w:r>
      <w:r>
        <w:rPr>
          <w:rFonts w:hint="eastAsia"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zh-CN" w:bidi="ar-SA"/>
        </w:rPr>
        <w:t>、企业专利密集型产品登记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等情况及取得效益</w:t>
      </w:r>
    </w:p>
    <w:p>
      <w:pPr>
        <w:framePr w:w="1433" w:wrap="around" w:vAnchor="margin" w:hAnchor="text" w:x="1661" w:y="6586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（</w:t>
      </w:r>
      <w:r>
        <w:rPr>
          <w:rFonts w:ascii="黑体" w:hAnsiTheme="minorHAns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>25</w:t>
      </w: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分）</w:t>
      </w:r>
    </w:p>
    <w:p>
      <w:pPr>
        <w:framePr w:w="5575" w:wrap="around" w:vAnchor="margin" w:hAnchor="text" w:x="5171" w:y="6975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参与建设专利运营中心、专利池、运营基金</w:t>
      </w:r>
    </w:p>
    <w:p>
      <w:pPr>
        <w:framePr w:w="5575" w:wrap="around" w:vAnchor="margin" w:hAnchor="text" w:x="5171" w:y="6975"/>
        <w:widowControl w:val="0"/>
        <w:autoSpaceDE w:val="0"/>
        <w:autoSpaceDN w:val="0"/>
        <w:spacing w:before="98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8"/>
          <w:szCs w:val="22"/>
          <w:lang w:val="en-US" w:eastAsia="en-US" w:bidi="ar-SA"/>
        </w:rPr>
        <w:t>等情况</w:t>
      </w:r>
    </w:p>
    <w:p>
      <w:pPr>
        <w:framePr w:w="5575" w:wrap="around" w:vAnchor="margin" w:hAnchor="text" w:x="5171" w:y="7745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知识产权流失和侵权防范、知识产权尽职调</w:t>
      </w:r>
    </w:p>
    <w:p>
      <w:pPr>
        <w:framePr w:w="7290" w:wrap="around" w:vAnchor="margin" w:hAnchor="text" w:x="3423" w:y="8124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7.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机制建设</w:t>
      </w:r>
      <w:r>
        <w:rPr>
          <w:rFonts w:hint="eastAsia" w:ascii="FangSong_GB2312" w:hAnsi="FangSong_GB2312" w:cs="FangSong_GB2312" w:eastAsiaTheme="minorEastAsia"/>
          <w:color w:val="000000"/>
          <w:sz w:val="28"/>
          <w:szCs w:val="22"/>
          <w:lang w:val="en-US" w:eastAsia="zh-CN" w:bidi="ar-SA"/>
        </w:rPr>
        <w:t xml:space="preserve">  </w:t>
      </w: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查、技术秘密保护、知识产权风险防控、纠</w:t>
      </w:r>
    </w:p>
    <w:p>
      <w:pPr>
        <w:framePr w:w="7290" w:wrap="around" w:vAnchor="margin" w:hAnchor="text" w:x="3423" w:y="8124"/>
        <w:widowControl w:val="0"/>
        <w:autoSpaceDE w:val="0"/>
        <w:autoSpaceDN w:val="0"/>
        <w:spacing w:before="101" w:line="281" w:lineRule="exact"/>
        <w:ind w:left="1747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纷应</w:t>
      </w:r>
      <w:bookmarkStart w:id="0" w:name="_GoBack"/>
      <w:bookmarkEnd w:id="0"/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对等相关制度建设及实践情况</w:t>
      </w:r>
    </w:p>
    <w:p>
      <w:pPr>
        <w:framePr w:w="1925" w:wrap="around" w:vAnchor="margin" w:hAnchor="text" w:x="1436" w:y="8511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-6"/>
          <w:sz w:val="28"/>
          <w:szCs w:val="22"/>
          <w:lang w:val="en-US" w:eastAsia="en-US" w:bidi="ar-SA"/>
        </w:rPr>
        <w:t>三、保护效能</w:t>
      </w:r>
    </w:p>
    <w:p>
      <w:pPr>
        <w:framePr w:w="1433" w:wrap="around" w:vAnchor="margin" w:hAnchor="text" w:x="1661" w:y="8890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（</w:t>
      </w:r>
      <w:r>
        <w:rPr>
          <w:rFonts w:ascii="黑体" w:hAnsiTheme="minorHAns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>15</w:t>
      </w: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分）</w:t>
      </w:r>
    </w:p>
    <w:p>
      <w:pPr>
        <w:framePr w:w="7288" w:wrap="around" w:vAnchor="margin" w:hAnchor="text" w:x="3423" w:y="8895"/>
        <w:widowControl w:val="0"/>
        <w:autoSpaceDE w:val="0"/>
        <w:autoSpaceDN w:val="0"/>
        <w:spacing w:line="281" w:lineRule="exact"/>
        <w:ind w:left="1747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通过知识产权诉讼、无效、行政裁决、调解</w:t>
      </w:r>
    </w:p>
    <w:p>
      <w:pPr>
        <w:framePr w:w="7288" w:wrap="around" w:vAnchor="margin" w:hAnchor="text" w:x="3423" w:y="8895"/>
        <w:widowControl w:val="0"/>
        <w:autoSpaceDE w:val="0"/>
        <w:autoSpaceDN w:val="0"/>
        <w:spacing w:before="98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8.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维权行动</w:t>
      </w:r>
      <w:r>
        <w:rPr>
          <w:rFonts w:hint="eastAsia" w:ascii="FangSong_GB2312" w:hAnsi="FangSong_GB2312" w:cs="FangSong_GB2312" w:eastAsiaTheme="minorEastAsia"/>
          <w:color w:val="000000"/>
          <w:sz w:val="28"/>
          <w:szCs w:val="22"/>
          <w:lang w:val="en-US" w:eastAsia="zh-CN" w:bidi="ar-SA"/>
        </w:rPr>
        <w:t xml:space="preserve">  </w:t>
      </w: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等方式维护企业权益的情况；其他主动维权</w:t>
      </w:r>
    </w:p>
    <w:p>
      <w:pPr>
        <w:framePr w:w="7288" w:wrap="around" w:vAnchor="margin" w:hAnchor="text" w:x="3423" w:y="8895"/>
        <w:widowControl w:val="0"/>
        <w:autoSpaceDE w:val="0"/>
        <w:autoSpaceDN w:val="0"/>
        <w:spacing w:before="101" w:line="281" w:lineRule="exact"/>
        <w:ind w:left="1747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或侵权防御等情况</w:t>
      </w:r>
    </w:p>
    <w:p>
      <w:pPr>
        <w:framePr w:w="7288" w:wrap="around" w:vAnchor="margin" w:hAnchor="text" w:x="3423" w:y="10045"/>
        <w:widowControl w:val="0"/>
        <w:autoSpaceDE w:val="0"/>
        <w:autoSpaceDN w:val="0"/>
        <w:spacing w:line="281" w:lineRule="exact"/>
        <w:ind w:left="1747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企业知识产权战略规划编制情况；知识产权</w:t>
      </w:r>
    </w:p>
    <w:p>
      <w:pPr>
        <w:framePr w:w="7288" w:wrap="around" w:vAnchor="margin" w:hAnchor="text" w:x="3423" w:y="10045"/>
        <w:widowControl w:val="0"/>
        <w:autoSpaceDE w:val="0"/>
        <w:autoSpaceDN w:val="0"/>
        <w:spacing w:before="101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9.</w:t>
      </w: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组织领导</w:t>
      </w:r>
      <w:r>
        <w:rPr>
          <w:rFonts w:hint="eastAsia" w:ascii="FangSong_GB2312" w:hAnsi="FangSong_GB2312" w:cs="FangSong_GB2312" w:eastAsiaTheme="minorEastAsia"/>
          <w:color w:val="000000"/>
          <w:sz w:val="28"/>
          <w:szCs w:val="22"/>
          <w:lang w:val="en-US" w:eastAsia="zh-CN" w:bidi="ar-SA"/>
        </w:rPr>
        <w:t xml:space="preserve">  </w:t>
      </w: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相关机构人员设置、决策体系建设、部门协</w:t>
      </w:r>
    </w:p>
    <w:p>
      <w:pPr>
        <w:framePr w:w="7288" w:wrap="around" w:vAnchor="margin" w:hAnchor="text" w:x="3423" w:y="10045"/>
        <w:widowControl w:val="0"/>
        <w:autoSpaceDE w:val="0"/>
        <w:autoSpaceDN w:val="0"/>
        <w:spacing w:before="98" w:line="281" w:lineRule="exact"/>
        <w:ind w:left="1747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作、人才培养等相关情况</w:t>
      </w:r>
    </w:p>
    <w:p>
      <w:pPr>
        <w:framePr w:w="1925" w:wrap="around" w:vAnchor="margin" w:hAnchor="text" w:x="1436" w:y="10810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-6"/>
          <w:sz w:val="28"/>
          <w:szCs w:val="22"/>
          <w:lang w:val="en-US" w:eastAsia="en-US" w:bidi="ar-SA"/>
        </w:rPr>
        <w:t>四、管理水平</w:t>
      </w:r>
    </w:p>
    <w:p>
      <w:pPr>
        <w:framePr w:w="1433" w:wrap="around" w:vAnchor="margin" w:hAnchor="text" w:x="1661" w:y="11190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（</w:t>
      </w:r>
      <w:r>
        <w:rPr>
          <w:rFonts w:ascii="黑体" w:hAnsiTheme="minorHAns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>20</w:t>
      </w: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分）</w:t>
      </w:r>
    </w:p>
    <w:p>
      <w:pPr>
        <w:framePr w:w="7360" w:wrap="around" w:vAnchor="margin" w:hAnchor="text" w:x="3351" w:y="11194"/>
        <w:widowControl w:val="0"/>
        <w:autoSpaceDE w:val="0"/>
        <w:autoSpaceDN w:val="0"/>
        <w:spacing w:line="281" w:lineRule="exact"/>
        <w:ind w:left="1819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知识产权管理标准化、数字化建设水平；知</w:t>
      </w:r>
    </w:p>
    <w:p>
      <w:pPr>
        <w:framePr w:w="7360" w:wrap="around" w:vAnchor="margin" w:hAnchor="text" w:x="3351" w:y="11194"/>
        <w:widowControl w:val="0"/>
        <w:autoSpaceDE w:val="0"/>
        <w:autoSpaceDN w:val="0"/>
        <w:spacing w:before="101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10.</w:t>
      </w:r>
      <w:r>
        <w:rPr>
          <w:rFonts w:ascii="FangSong_GB2312" w:hAnsi="FangSong_GB2312" w:cs="FangSong_GB2312" w:eastAsiaTheme="minorEastAsia"/>
          <w:color w:val="000000"/>
          <w:spacing w:val="1"/>
          <w:sz w:val="28"/>
          <w:szCs w:val="22"/>
          <w:lang w:val="en-US" w:eastAsia="en-US" w:bidi="ar-SA"/>
        </w:rPr>
        <w:t>管理运行</w:t>
      </w:r>
      <w:r>
        <w:rPr>
          <w:rFonts w:hint="eastAsia" w:ascii="FangSong_GB2312" w:hAnsi="FangSong_GB2312" w:cs="FangSong_GB2312" w:eastAsiaTheme="minorEastAsia"/>
          <w:color w:val="000000"/>
          <w:spacing w:val="1"/>
          <w:sz w:val="28"/>
          <w:szCs w:val="22"/>
          <w:lang w:val="en-US" w:eastAsia="zh-CN" w:bidi="ar-SA"/>
        </w:rPr>
        <w:t xml:space="preserve">  </w:t>
      </w: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识产权分级分类管理、合规管理、知识产权</w:t>
      </w:r>
    </w:p>
    <w:p>
      <w:pPr>
        <w:framePr w:w="7360" w:wrap="around" w:vAnchor="margin" w:hAnchor="text" w:x="3351" w:y="11194"/>
        <w:widowControl w:val="0"/>
        <w:autoSpaceDE w:val="0"/>
        <w:autoSpaceDN w:val="0"/>
        <w:spacing w:before="98" w:line="281" w:lineRule="exact"/>
        <w:ind w:left="1819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激励与约束等制度机制建设与实施情况</w:t>
      </w:r>
    </w:p>
    <w:p>
      <w:pPr>
        <w:framePr w:w="5575" w:wrap="around" w:vAnchor="margin" w:hAnchor="text" w:x="5171" w:y="12347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8"/>
          <w:szCs w:val="22"/>
          <w:lang w:val="en-US" w:eastAsia="en-US" w:bidi="ar-SA"/>
        </w:rPr>
        <w:t>企业根据自身发展需求及落实地方知识产</w:t>
      </w:r>
    </w:p>
    <w:p>
      <w:pPr>
        <w:framePr w:w="5575" w:wrap="around" w:vAnchor="margin" w:hAnchor="text" w:x="5171" w:y="12347"/>
        <w:widowControl w:val="0"/>
        <w:autoSpaceDE w:val="0"/>
        <w:autoSpaceDN w:val="0"/>
        <w:spacing w:before="98"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工作部署开展的特色亮点工作、成效、案例</w:t>
      </w:r>
    </w:p>
    <w:p>
      <w:pPr>
        <w:framePr w:w="1925" w:wrap="around" w:vAnchor="margin" w:hAnchor="text" w:x="1436" w:y="12726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-6"/>
          <w:sz w:val="28"/>
          <w:szCs w:val="22"/>
          <w:lang w:val="en-US" w:eastAsia="en-US" w:bidi="ar-SA"/>
        </w:rPr>
        <w:t>五、地方工作</w:t>
      </w:r>
    </w:p>
    <w:p>
      <w:pPr>
        <w:framePr w:w="1784" w:wrap="around" w:vAnchor="margin" w:hAnchor="text" w:x="3351" w:y="12916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FangSong_GB2312" w:hAnsiTheme="minorHAnsi" w:eastAsiaTheme="minorEastAsia" w:cstheme="minorBidi"/>
          <w:color w:val="000000"/>
          <w:sz w:val="28"/>
          <w:szCs w:val="22"/>
          <w:lang w:val="en-US" w:eastAsia="en-US" w:bidi="ar-SA"/>
        </w:rPr>
        <w:t>11.</w:t>
      </w:r>
      <w:r>
        <w:rPr>
          <w:rFonts w:ascii="FangSong_GB2312" w:hAnsi="FangSong_GB2312" w:cs="FangSong_GB2312" w:eastAsiaTheme="minorEastAsia"/>
          <w:color w:val="000000"/>
          <w:spacing w:val="1"/>
          <w:sz w:val="28"/>
          <w:szCs w:val="22"/>
          <w:lang w:val="en-US" w:eastAsia="en-US" w:bidi="ar-SA"/>
        </w:rPr>
        <w:t>特色亮点</w:t>
      </w:r>
    </w:p>
    <w:p>
      <w:pPr>
        <w:framePr w:w="1433" w:wrap="around" w:vAnchor="margin" w:hAnchor="text" w:x="1661" w:y="13105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（</w:t>
      </w:r>
      <w:r>
        <w:rPr>
          <w:rFonts w:ascii="黑体" w:hAnsiTheme="minorHAns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>25</w:t>
      </w:r>
      <w:r>
        <w:rPr>
          <w:rFonts w:ascii="黑体" w:hAnsi="黑体" w:cs="黑体" w:eastAsiaTheme="minorEastAsia"/>
          <w:color w:val="000000"/>
          <w:spacing w:val="1"/>
          <w:sz w:val="28"/>
          <w:szCs w:val="22"/>
          <w:lang w:val="en-US" w:eastAsia="en-US" w:bidi="ar-SA"/>
        </w:rPr>
        <w:t>分）</w:t>
      </w:r>
    </w:p>
    <w:p>
      <w:pPr>
        <w:framePr w:w="5575" w:wrap="around" w:vAnchor="margin" w:hAnchor="text" w:x="5171" w:y="13105"/>
        <w:widowControl w:val="0"/>
        <w:autoSpaceDE w:val="0"/>
        <w:autoSpaceDN w:val="0"/>
        <w:spacing w:before="101" w:line="281" w:lineRule="exact"/>
        <w:rPr>
          <w:rFonts w:hint="eastAsia"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zh-CN" w:bidi="ar-SA"/>
        </w:rPr>
      </w:pPr>
      <w:r>
        <w:rPr>
          <w:rFonts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en-US" w:bidi="ar-SA"/>
        </w:rPr>
        <w:t>等</w:t>
      </w:r>
      <w:r>
        <w:rPr>
          <w:rFonts w:hint="eastAsia"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zh-CN" w:bidi="ar-SA"/>
        </w:rPr>
        <w:t>情况。</w:t>
      </w:r>
      <w:r>
        <w:rPr>
          <w:rFonts w:hint="eastAsia" w:ascii="FangSong_GB2312" w:hAnsi="FangSong_GB2312" w:cs="FangSong_GB2312" w:eastAsiaTheme="minorEastAsia"/>
          <w:color w:val="FF0000"/>
          <w:spacing w:val="-1"/>
          <w:sz w:val="28"/>
          <w:szCs w:val="22"/>
          <w:lang w:val="en-US" w:eastAsia="zh-CN" w:bidi="ar-SA"/>
        </w:rPr>
        <w:t>市市场监督管理局提示：福州目前开展的知识产权特色工作,含专利保险、专利与标准融合、知识产权贯标认证、专利导航、专利转移转化（含购买高校和科研单位专利、转让企业专利）、知识产权质押融资、专利密集型产品备案登记、商标品牌建设、地理标志运用保护等，企业可自行发挥，内容包含上述但不限于上述工作。</w:t>
      </w:r>
    </w:p>
    <w:p>
      <w:pPr>
        <w:framePr w:w="5575" w:wrap="around" w:vAnchor="margin" w:hAnchor="text" w:x="5171" w:y="13105"/>
        <w:widowControl w:val="0"/>
        <w:autoSpaceDE w:val="0"/>
        <w:autoSpaceDN w:val="0"/>
        <w:spacing w:before="101" w:line="281" w:lineRule="exact"/>
        <w:rPr>
          <w:rFonts w:hint="eastAsia"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zh-CN" w:bidi="ar-SA"/>
        </w:rPr>
      </w:pPr>
    </w:p>
    <w:p>
      <w:pPr>
        <w:framePr w:w="5575" w:wrap="around" w:vAnchor="margin" w:hAnchor="text" w:x="5171" w:y="13105"/>
        <w:widowControl w:val="0"/>
        <w:autoSpaceDE w:val="0"/>
        <w:autoSpaceDN w:val="0"/>
        <w:spacing w:before="101" w:line="281" w:lineRule="exact"/>
        <w:rPr>
          <w:rFonts w:hint="eastAsia" w:ascii="FangSong_GB2312" w:hAnsi="FangSong_GB2312" w:cs="FangSong_GB2312" w:eastAsiaTheme="minorEastAsia"/>
          <w:color w:val="000000"/>
          <w:spacing w:val="-1"/>
          <w:sz w:val="28"/>
          <w:szCs w:val="22"/>
          <w:lang w:val="en-US" w:eastAsia="zh-CN" w:bidi="ar-SA"/>
        </w:rPr>
      </w:pP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827405</wp:posOffset>
            </wp:positionH>
            <wp:positionV relativeFrom="page">
              <wp:posOffset>1602105</wp:posOffset>
            </wp:positionV>
            <wp:extent cx="5906135" cy="7181850"/>
            <wp:effectExtent l="0" t="0" r="18415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D1845"/>
    <w:rsid w:val="01994E4A"/>
    <w:rsid w:val="0A601DE6"/>
    <w:rsid w:val="0AC415F2"/>
    <w:rsid w:val="0B0C16C7"/>
    <w:rsid w:val="0B513926"/>
    <w:rsid w:val="0E8869EF"/>
    <w:rsid w:val="17FF3DCA"/>
    <w:rsid w:val="18B53A17"/>
    <w:rsid w:val="20B77175"/>
    <w:rsid w:val="25FE584F"/>
    <w:rsid w:val="29467950"/>
    <w:rsid w:val="2C8D6497"/>
    <w:rsid w:val="2EEF5519"/>
    <w:rsid w:val="2F271AF7"/>
    <w:rsid w:val="33CC284F"/>
    <w:rsid w:val="390B253A"/>
    <w:rsid w:val="3A171070"/>
    <w:rsid w:val="3AB81344"/>
    <w:rsid w:val="400A42E6"/>
    <w:rsid w:val="41796ED6"/>
    <w:rsid w:val="41A866CE"/>
    <w:rsid w:val="490F0FC5"/>
    <w:rsid w:val="4D4F4AE7"/>
    <w:rsid w:val="504F2228"/>
    <w:rsid w:val="52C577EB"/>
    <w:rsid w:val="56CB4AB1"/>
    <w:rsid w:val="58B94F00"/>
    <w:rsid w:val="590802BE"/>
    <w:rsid w:val="5A67554A"/>
    <w:rsid w:val="5E06635C"/>
    <w:rsid w:val="5E263A28"/>
    <w:rsid w:val="61640554"/>
    <w:rsid w:val="61C1707A"/>
    <w:rsid w:val="61CE56E5"/>
    <w:rsid w:val="63335571"/>
    <w:rsid w:val="66B674A5"/>
    <w:rsid w:val="6B9B3750"/>
    <w:rsid w:val="6C3D1845"/>
    <w:rsid w:val="71127297"/>
    <w:rsid w:val="71297E54"/>
    <w:rsid w:val="744E19CC"/>
    <w:rsid w:val="74E637F0"/>
    <w:rsid w:val="7B3D7750"/>
    <w:rsid w:val="7D0A54F1"/>
    <w:rsid w:val="7D244C17"/>
    <w:rsid w:val="7FDB7C5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2022-07-27T07:25:00Z</dcterms:created>
  <dc:creator>詹俊华</dc:creator>
  <cp:lastModifiedBy>林丽媛</cp:lastModifiedBy>
  <dcterms:modified xsi:type="dcterms:W3CDTF">2022-07-28T09:28:19Z</dcterms:modified>
  <dc:title>评审要点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