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B5" w:rsidRDefault="007F7625">
      <w:pPr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1</w:t>
      </w:r>
    </w:p>
    <w:p w:rsidR="008943B5" w:rsidRDefault="007F76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福州市网红餐饮店示范提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A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指引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（试行）</w:t>
      </w:r>
    </w:p>
    <w:p w:rsidR="008943B5" w:rsidRDefault="007F762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一、基础设施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建设指引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（一）厨房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墙裙铺设至墙顶，并安装吊顶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地面耐磨平整不积水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排气设施功率应与业态相匹配。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操作台面（含灶台）使用不锈钢。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使用透明隔断，操作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</w:t>
      </w:r>
      <w:r>
        <w:rPr>
          <w:rFonts w:ascii="仿宋_GB2312" w:eastAsia="仿宋_GB2312" w:hAnsi="仿宋_GB2312" w:cs="仿宋_GB2312" w:hint="eastAsia"/>
          <w:sz w:val="32"/>
          <w:szCs w:val="32"/>
        </w:rPr>
        <w:t>可视。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（二）打包间（备餐间）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打包间透明隔断、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不锈钢台面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需设置一次性</w:t>
      </w:r>
      <w:r>
        <w:rPr>
          <w:rFonts w:ascii="仿宋_GB2312" w:eastAsia="仿宋_GB2312" w:hAnsi="仿宋_GB2312" w:cs="仿宋_GB2312" w:hint="eastAsia"/>
          <w:sz w:val="32"/>
          <w:szCs w:val="32"/>
        </w:rPr>
        <w:t>餐具存储柜</w:t>
      </w:r>
      <w:r>
        <w:rPr>
          <w:rFonts w:ascii="仿宋_GB2312" w:eastAsia="仿宋_GB2312" w:hAnsi="仿宋_GB2312" w:cs="仿宋_GB2312" w:hint="eastAsia"/>
          <w:sz w:val="32"/>
          <w:szCs w:val="32"/>
        </w:rPr>
        <w:t>，餐具不可放置地面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</w:t>
      </w:r>
      <w:r>
        <w:rPr>
          <w:rFonts w:ascii="仿宋_GB2312" w:eastAsia="仿宋_GB2312" w:hAnsi="仿宋_GB2312" w:cs="仿宋_GB2312" w:hint="eastAsia"/>
          <w:sz w:val="32"/>
          <w:szCs w:val="32"/>
        </w:rPr>
        <w:t>餐具</w:t>
      </w:r>
      <w:r>
        <w:rPr>
          <w:rFonts w:ascii="仿宋_GB2312" w:eastAsia="仿宋_GB2312" w:hAnsi="仿宋_GB2312" w:cs="仿宋_GB2312" w:hint="eastAsia"/>
          <w:sz w:val="32"/>
          <w:szCs w:val="32"/>
        </w:rPr>
        <w:t>应从正规厂家购买，留存供货者的资质凭证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打包区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根据经营业态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设置相应的冷藏或者保温设施</w:t>
      </w:r>
    </w:p>
    <w:p w:rsidR="008943B5" w:rsidRDefault="007F7625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（三）面积与生产量（参考推荐）</w:t>
      </w:r>
    </w:p>
    <w:tbl>
      <w:tblPr>
        <w:tblStyle w:val="a3"/>
        <w:tblpPr w:leftFromText="180" w:rightFromText="180" w:vertAnchor="text" w:horzAnchor="page" w:tblpX="585" w:tblpY="588"/>
        <w:tblOverlap w:val="never"/>
        <w:tblW w:w="10917" w:type="dxa"/>
        <w:tblLayout w:type="fixed"/>
        <w:tblLook w:val="04A0" w:firstRow="1" w:lastRow="0" w:firstColumn="1" w:lastColumn="0" w:noHBand="0" w:noVBand="1"/>
      </w:tblPr>
      <w:tblGrid>
        <w:gridCol w:w="952"/>
        <w:gridCol w:w="952"/>
        <w:gridCol w:w="1271"/>
        <w:gridCol w:w="1363"/>
        <w:gridCol w:w="1268"/>
        <w:gridCol w:w="1065"/>
        <w:gridCol w:w="2289"/>
        <w:gridCol w:w="1757"/>
      </w:tblGrid>
      <w:tr w:rsidR="008943B5">
        <w:trPr>
          <w:trHeight w:val="1551"/>
        </w:trPr>
        <w:tc>
          <w:tcPr>
            <w:tcW w:w="952" w:type="dxa"/>
            <w:vAlign w:val="center"/>
          </w:tcPr>
          <w:p w:rsidR="008943B5" w:rsidRDefault="008943B5">
            <w:pPr>
              <w:jc w:val="center"/>
            </w:pP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加工经营场所面积（</w:t>
            </w:r>
            <w:r>
              <w:rPr>
                <w:rFonts w:hint="eastAsia"/>
              </w:rPr>
              <w:t>m</w:t>
            </w:r>
            <w:r>
              <w:rPr>
                <w:rFonts w:ascii="Calibri" w:hAnsi="Calibri" w:cs="Calibri"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食品处理区与就餐场所面积之比（推荐）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切配烹饪场所面积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专间（或专区）面积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打包专区面积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面积与单班最大生产份数之比</w:t>
            </w:r>
          </w:p>
        </w:tc>
        <w:tc>
          <w:tcPr>
            <w:tcW w:w="1757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943B5">
        <w:trPr>
          <w:trHeight w:val="638"/>
        </w:trPr>
        <w:tc>
          <w:tcPr>
            <w:tcW w:w="952" w:type="dxa"/>
            <w:vMerge w:val="restart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无堂食网络餐饮店</w:t>
            </w: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&lt;</w:t>
            </w:r>
            <w:r>
              <w:rPr>
                <w:rFonts w:hint="eastAsia"/>
              </w:rPr>
              <w:t>S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hint="eastAsia"/>
              </w:rPr>
              <w:t>50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50%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20%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1:2.0</w:t>
            </w:r>
          </w:p>
          <w:p w:rsidR="008943B5" w:rsidRDefault="007F7625">
            <w:pPr>
              <w:jc w:val="center"/>
            </w:pPr>
            <w:r>
              <w:rPr>
                <w:rFonts w:hint="eastAsia"/>
              </w:rPr>
              <w:t>（单班</w:t>
            </w:r>
            <w:r>
              <w:rPr>
                <w:rFonts w:hint="eastAsia"/>
              </w:rPr>
              <w:t>60~100</w:t>
            </w:r>
            <w:r>
              <w:rPr>
                <w:rFonts w:hint="eastAsia"/>
              </w:rPr>
              <w:t>份）（每月</w:t>
            </w:r>
            <w:r>
              <w:rPr>
                <w:rFonts w:hint="eastAsia"/>
              </w:rPr>
              <w:t>3600~6000</w:t>
            </w:r>
            <w:r>
              <w:rPr>
                <w:rFonts w:hint="eastAsia"/>
              </w:rPr>
              <w:t>份）</w:t>
            </w:r>
          </w:p>
        </w:tc>
        <w:tc>
          <w:tcPr>
            <w:tcW w:w="1757" w:type="dxa"/>
            <w:vAlign w:val="center"/>
          </w:tcPr>
          <w:p w:rsidR="008943B5" w:rsidRDefault="008943B5">
            <w:pPr>
              <w:jc w:val="center"/>
            </w:pPr>
          </w:p>
        </w:tc>
      </w:tr>
      <w:tr w:rsidR="008943B5">
        <w:trPr>
          <w:trHeight w:val="326"/>
        </w:trPr>
        <w:tc>
          <w:tcPr>
            <w:tcW w:w="952" w:type="dxa"/>
            <w:vMerge/>
            <w:vAlign w:val="center"/>
          </w:tcPr>
          <w:p w:rsidR="008943B5" w:rsidRDefault="008943B5">
            <w:pPr>
              <w:jc w:val="center"/>
            </w:pP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&lt;</w:t>
            </w:r>
            <w:r>
              <w:rPr>
                <w:rFonts w:hint="eastAsia"/>
              </w:rPr>
              <w:t>S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hint="eastAsia"/>
              </w:rPr>
              <w:t>150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50%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20%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1:2.2</w:t>
            </w:r>
          </w:p>
          <w:p w:rsidR="008943B5" w:rsidRDefault="007F7625">
            <w:pPr>
              <w:jc w:val="center"/>
            </w:pPr>
            <w:r>
              <w:rPr>
                <w:rFonts w:hint="eastAsia"/>
              </w:rPr>
              <w:t>（单班</w:t>
            </w:r>
            <w:r>
              <w:rPr>
                <w:rFonts w:hint="eastAsia"/>
              </w:rPr>
              <w:t>110~330</w:t>
            </w:r>
            <w:r>
              <w:rPr>
                <w:rFonts w:hint="eastAsia"/>
              </w:rPr>
              <w:t>份）</w:t>
            </w:r>
          </w:p>
          <w:p w:rsidR="008943B5" w:rsidRDefault="007F7625">
            <w:pPr>
              <w:jc w:val="center"/>
            </w:pPr>
            <w:r>
              <w:rPr>
                <w:rFonts w:hint="eastAsia"/>
              </w:rPr>
              <w:t>（每月</w:t>
            </w:r>
            <w:r>
              <w:rPr>
                <w:rFonts w:hint="eastAsia"/>
              </w:rPr>
              <w:t>6600~19800</w:t>
            </w:r>
            <w:r>
              <w:rPr>
                <w:rFonts w:hint="eastAsia"/>
              </w:rPr>
              <w:t>份）</w:t>
            </w:r>
          </w:p>
        </w:tc>
        <w:tc>
          <w:tcPr>
            <w:tcW w:w="1757" w:type="dxa"/>
            <w:vAlign w:val="center"/>
          </w:tcPr>
          <w:p w:rsidR="008943B5" w:rsidRDefault="008943B5">
            <w:pPr>
              <w:jc w:val="center"/>
            </w:pPr>
          </w:p>
        </w:tc>
      </w:tr>
      <w:tr w:rsidR="008943B5">
        <w:trPr>
          <w:trHeight w:val="326"/>
        </w:trPr>
        <w:tc>
          <w:tcPr>
            <w:tcW w:w="952" w:type="dxa"/>
            <w:vMerge/>
            <w:vAlign w:val="center"/>
          </w:tcPr>
          <w:p w:rsidR="008943B5" w:rsidRDefault="008943B5">
            <w:pPr>
              <w:jc w:val="center"/>
            </w:pP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150</w:t>
            </w:r>
            <w:r>
              <w:rPr>
                <w:rFonts w:ascii="宋体" w:eastAsia="宋体" w:hAnsi="宋体" w:cs="宋体" w:hint="eastAsia"/>
              </w:rPr>
              <w:t>&lt;</w:t>
            </w:r>
            <w:r>
              <w:rPr>
                <w:rFonts w:hint="eastAsia"/>
              </w:rPr>
              <w:t>S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hint="eastAsia"/>
              </w:rPr>
              <w:t>200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50%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20%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1:2.3</w:t>
            </w:r>
          </w:p>
          <w:p w:rsidR="008943B5" w:rsidRDefault="007F7625">
            <w:pPr>
              <w:jc w:val="center"/>
            </w:pPr>
            <w:r>
              <w:rPr>
                <w:rFonts w:hint="eastAsia"/>
              </w:rPr>
              <w:t>（单班</w:t>
            </w:r>
            <w:r>
              <w:rPr>
                <w:rFonts w:hint="eastAsia"/>
              </w:rPr>
              <w:t>345~460</w:t>
            </w:r>
            <w:r>
              <w:rPr>
                <w:rFonts w:hint="eastAsia"/>
              </w:rPr>
              <w:t>份）（每月</w:t>
            </w:r>
            <w:r>
              <w:rPr>
                <w:rFonts w:hint="eastAsia"/>
              </w:rPr>
              <w:t>20700~27600</w:t>
            </w:r>
            <w:r>
              <w:rPr>
                <w:rFonts w:hint="eastAsia"/>
              </w:rPr>
              <w:t>份）</w:t>
            </w:r>
          </w:p>
        </w:tc>
        <w:tc>
          <w:tcPr>
            <w:tcW w:w="1757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超过</w:t>
            </w:r>
            <w:r>
              <w:rPr>
                <w:rFonts w:hint="eastAsia"/>
              </w:rPr>
              <w:t>200m</w:t>
            </w:r>
            <w:r>
              <w:rPr>
                <w:rFonts w:ascii="Calibri" w:hAnsi="Calibri" w:cs="Calibri" w:hint="eastAsia"/>
                <w:vertAlign w:val="superscript"/>
              </w:rPr>
              <w:t>2</w:t>
            </w:r>
            <w:r>
              <w:rPr>
                <w:rFonts w:ascii="Calibri" w:hAnsi="Calibri" w:cs="Calibri" w:hint="eastAsia"/>
              </w:rPr>
              <w:t>，</w:t>
            </w:r>
            <w:r>
              <w:rPr>
                <w:rFonts w:ascii="Calibri" w:hAnsi="Calibri" w:cs="Calibri" w:hint="eastAsia"/>
              </w:rPr>
              <w:t>应申请集体用餐配送资质。</w:t>
            </w:r>
          </w:p>
        </w:tc>
      </w:tr>
      <w:tr w:rsidR="008943B5">
        <w:trPr>
          <w:trHeight w:val="352"/>
        </w:trPr>
        <w:tc>
          <w:tcPr>
            <w:tcW w:w="952" w:type="dxa"/>
            <w:vMerge w:val="restart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有就餐场所网络餐饮店</w:t>
            </w: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hint="eastAsia"/>
              </w:rPr>
              <w:t>50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1:1.5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50%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hint="eastAsia"/>
              </w:rPr>
              <w:t>m</w:t>
            </w:r>
            <w:r>
              <w:rPr>
                <w:rFonts w:ascii="Calibri" w:hAnsi="Calibri" w:cs="Calibri" w:hint="eastAsia"/>
                <w:vertAlign w:val="superscript"/>
              </w:rPr>
              <w:t>2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hint="eastAsia"/>
              </w:rPr>
              <w:t>m</w:t>
            </w:r>
            <w:r>
              <w:rPr>
                <w:rFonts w:ascii="Calibri" w:hAnsi="Calibri" w:cs="Calibri" w:hint="eastAsia"/>
                <w:vertAlign w:val="superscript"/>
              </w:rPr>
              <w:t>2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1:0.5</w:t>
            </w:r>
          </w:p>
          <w:p w:rsidR="008943B5" w:rsidRDefault="007F7625">
            <w:pPr>
              <w:jc w:val="center"/>
            </w:pPr>
            <w:r>
              <w:rPr>
                <w:rFonts w:hint="eastAsia"/>
              </w:rPr>
              <w:t>（单班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Theme="minorEastAsia" w:hAnsiTheme="minorEastAsia" w:cstheme="minorEastAsia" w:hint="eastAsia"/>
              </w:rPr>
              <w:t>25</w:t>
            </w:r>
            <w:r>
              <w:rPr>
                <w:rFonts w:asciiTheme="minorEastAsia" w:hAnsiTheme="minorEastAsia" w:cstheme="minorEastAsia" w:hint="eastAsia"/>
              </w:rPr>
              <w:t>份</w:t>
            </w:r>
            <w:r>
              <w:rPr>
                <w:rFonts w:hint="eastAsia"/>
              </w:rPr>
              <w:t>）（每月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份）</w:t>
            </w:r>
          </w:p>
        </w:tc>
        <w:tc>
          <w:tcPr>
            <w:tcW w:w="1757" w:type="dxa"/>
            <w:vAlign w:val="center"/>
          </w:tcPr>
          <w:p w:rsidR="008943B5" w:rsidRDefault="008943B5">
            <w:pPr>
              <w:jc w:val="center"/>
            </w:pPr>
          </w:p>
        </w:tc>
      </w:tr>
      <w:tr w:rsidR="008943B5">
        <w:trPr>
          <w:trHeight w:val="352"/>
        </w:trPr>
        <w:tc>
          <w:tcPr>
            <w:tcW w:w="952" w:type="dxa"/>
            <w:vMerge/>
            <w:vAlign w:val="center"/>
          </w:tcPr>
          <w:p w:rsidR="008943B5" w:rsidRDefault="008943B5">
            <w:pPr>
              <w:jc w:val="center"/>
            </w:pP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&lt;</w:t>
            </w:r>
            <w:r>
              <w:rPr>
                <w:rFonts w:hint="eastAsia"/>
              </w:rPr>
              <w:t>S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hint="eastAsia"/>
              </w:rPr>
              <w:t>150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1:2.0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50%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  <w:r>
              <w:rPr>
                <w:rFonts w:ascii="宋体" w:eastAsia="宋体" w:hAnsi="宋体" w:cs="宋体" w:hint="eastAsia"/>
              </w:rPr>
              <w:t>，且</w:t>
            </w: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hint="eastAsia"/>
              </w:rPr>
              <w:t>m</w:t>
            </w:r>
            <w:r>
              <w:rPr>
                <w:rFonts w:ascii="Calibri" w:hAnsi="Calibri" w:cs="Calibri" w:hint="eastAsia"/>
                <w:vertAlign w:val="superscript"/>
              </w:rPr>
              <w:t>2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hint="eastAsia"/>
              </w:rPr>
              <w:t>m</w:t>
            </w:r>
            <w:r>
              <w:rPr>
                <w:rFonts w:ascii="Calibri" w:hAnsi="Calibri" w:cs="Calibri" w:hint="eastAsia"/>
                <w:vertAlign w:val="superscript"/>
              </w:rPr>
              <w:t>2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1:0.6</w:t>
            </w:r>
          </w:p>
          <w:p w:rsidR="008943B5" w:rsidRDefault="007F7625">
            <w:pPr>
              <w:jc w:val="center"/>
            </w:pPr>
            <w:r>
              <w:rPr>
                <w:rFonts w:hint="eastAsia"/>
              </w:rPr>
              <w:t>（单班</w:t>
            </w:r>
            <w:r>
              <w:rPr>
                <w:rFonts w:hint="eastAsia"/>
              </w:rPr>
              <w:t>30~90</w:t>
            </w:r>
            <w:r>
              <w:rPr>
                <w:rFonts w:hint="eastAsia"/>
              </w:rPr>
              <w:t>份）（每月</w:t>
            </w:r>
            <w:r>
              <w:rPr>
                <w:rFonts w:hint="eastAsia"/>
              </w:rPr>
              <w:t>1800~5400</w:t>
            </w:r>
            <w:r>
              <w:rPr>
                <w:rFonts w:hint="eastAsia"/>
              </w:rPr>
              <w:t>份）</w:t>
            </w:r>
          </w:p>
        </w:tc>
        <w:tc>
          <w:tcPr>
            <w:tcW w:w="1757" w:type="dxa"/>
            <w:vAlign w:val="center"/>
          </w:tcPr>
          <w:p w:rsidR="008943B5" w:rsidRDefault="008943B5">
            <w:pPr>
              <w:jc w:val="center"/>
            </w:pPr>
          </w:p>
        </w:tc>
      </w:tr>
      <w:tr w:rsidR="008943B5">
        <w:trPr>
          <w:trHeight w:val="352"/>
        </w:trPr>
        <w:tc>
          <w:tcPr>
            <w:tcW w:w="952" w:type="dxa"/>
            <w:vMerge/>
            <w:vAlign w:val="center"/>
          </w:tcPr>
          <w:p w:rsidR="008943B5" w:rsidRDefault="008943B5">
            <w:pPr>
              <w:jc w:val="center"/>
            </w:pP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150</w:t>
            </w:r>
            <w:r>
              <w:rPr>
                <w:rFonts w:ascii="宋体" w:eastAsia="宋体" w:hAnsi="宋体" w:cs="宋体" w:hint="eastAsia"/>
              </w:rPr>
              <w:t>&lt;</w:t>
            </w:r>
            <w:r>
              <w:rPr>
                <w:rFonts w:hint="eastAsia"/>
              </w:rPr>
              <w:t>S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hint="eastAsia"/>
              </w:rPr>
              <w:t>500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1:2.2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50%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1:1.0</w:t>
            </w:r>
            <w:r>
              <w:rPr>
                <w:rFonts w:hint="eastAsia"/>
              </w:rPr>
              <w:t>，</w:t>
            </w:r>
          </w:p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单班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eastAsia="宋体" w:hAnsi="宋体" w:cs="宋体" w:hint="eastAsia"/>
              </w:rPr>
              <w:t>250</w:t>
            </w:r>
            <w:r>
              <w:rPr>
                <w:rFonts w:ascii="宋体" w:eastAsia="宋体" w:hAnsi="宋体" w:cs="宋体" w:hint="eastAsia"/>
              </w:rPr>
              <w:t>份</w:t>
            </w:r>
          </w:p>
        </w:tc>
        <w:tc>
          <w:tcPr>
            <w:tcW w:w="1757" w:type="dxa"/>
            <w:vAlign w:val="center"/>
          </w:tcPr>
          <w:p w:rsidR="008943B5" w:rsidRDefault="008943B5">
            <w:pPr>
              <w:jc w:val="center"/>
            </w:pPr>
          </w:p>
        </w:tc>
      </w:tr>
      <w:tr w:rsidR="008943B5">
        <w:trPr>
          <w:trHeight w:val="352"/>
        </w:trPr>
        <w:tc>
          <w:tcPr>
            <w:tcW w:w="952" w:type="dxa"/>
            <w:vMerge/>
            <w:vAlign w:val="center"/>
          </w:tcPr>
          <w:p w:rsidR="008943B5" w:rsidRDefault="008943B5">
            <w:pPr>
              <w:jc w:val="center"/>
            </w:pPr>
          </w:p>
        </w:tc>
        <w:tc>
          <w:tcPr>
            <w:tcW w:w="952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&gt;</w:t>
            </w:r>
            <w:r>
              <w:rPr>
                <w:rFonts w:ascii="宋体" w:eastAsia="宋体" w:hAnsi="宋体" w:cs="宋体" w:hint="eastAsia"/>
              </w:rPr>
              <w:t>500</w:t>
            </w:r>
          </w:p>
        </w:tc>
        <w:tc>
          <w:tcPr>
            <w:tcW w:w="1271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1:2.5</w:t>
            </w:r>
          </w:p>
        </w:tc>
        <w:tc>
          <w:tcPr>
            <w:tcW w:w="1363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50%</w:t>
            </w:r>
          </w:p>
        </w:tc>
        <w:tc>
          <w:tcPr>
            <w:tcW w:w="1268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10%</w:t>
            </w:r>
          </w:p>
        </w:tc>
        <w:tc>
          <w:tcPr>
            <w:tcW w:w="1065" w:type="dxa"/>
            <w:vAlign w:val="center"/>
          </w:tcPr>
          <w:p w:rsidR="008943B5" w:rsidRDefault="007F7625">
            <w:pPr>
              <w:jc w:val="center"/>
              <w:rPr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≥食品处理区面积</w:t>
            </w:r>
            <w:r>
              <w:rPr>
                <w:rFonts w:ascii="宋体" w:eastAsia="宋体" w:hAnsi="宋体" w:cs="宋体" w:hint="eastAsia"/>
              </w:rPr>
              <w:t>5%</w:t>
            </w:r>
          </w:p>
        </w:tc>
        <w:tc>
          <w:tcPr>
            <w:tcW w:w="2289" w:type="dxa"/>
            <w:vAlign w:val="center"/>
          </w:tcPr>
          <w:p w:rsidR="008943B5" w:rsidRDefault="007F7625">
            <w:pPr>
              <w:jc w:val="center"/>
            </w:pPr>
            <w:r>
              <w:rPr>
                <w:rFonts w:hint="eastAsia"/>
              </w:rPr>
              <w:t>单班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eastAsia="宋体" w:hAnsi="宋体" w:cs="宋体" w:hint="eastAsia"/>
              </w:rPr>
              <w:t>250</w:t>
            </w:r>
            <w:r>
              <w:rPr>
                <w:rFonts w:ascii="宋体" w:eastAsia="宋体" w:hAnsi="宋体" w:cs="宋体" w:hint="eastAsia"/>
              </w:rPr>
              <w:t>份</w:t>
            </w:r>
          </w:p>
        </w:tc>
        <w:tc>
          <w:tcPr>
            <w:tcW w:w="1757" w:type="dxa"/>
            <w:vAlign w:val="center"/>
          </w:tcPr>
          <w:p w:rsidR="008943B5" w:rsidRDefault="008943B5">
            <w:pPr>
              <w:jc w:val="center"/>
            </w:pPr>
          </w:p>
        </w:tc>
      </w:tr>
    </w:tbl>
    <w:p w:rsidR="008943B5" w:rsidRDefault="008943B5">
      <w:pPr>
        <w:rPr>
          <w:sz w:val="28"/>
          <w:szCs w:val="28"/>
        </w:rPr>
      </w:pPr>
    </w:p>
    <w:p w:rsidR="008943B5" w:rsidRDefault="007F762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卫生</w:t>
      </w:r>
      <w:r>
        <w:rPr>
          <w:rFonts w:ascii="黑体" w:eastAsia="黑体" w:hAnsi="黑体" w:cs="黑体" w:hint="eastAsia"/>
          <w:sz w:val="32"/>
          <w:szCs w:val="32"/>
        </w:rPr>
        <w:t>管理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管理指引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8943B5" w:rsidRDefault="007F76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卫生做到每天一小整、一周一大整，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应定期查杀蟑螂、老鼠、苍蝇等危害食品卫生安全的虫害。</w:t>
      </w:r>
      <w:r>
        <w:rPr>
          <w:rFonts w:ascii="仿宋_GB2312" w:eastAsia="仿宋_GB2312" w:hAnsi="仿宋_GB2312" w:cs="仿宋_GB2312" w:hint="eastAsia"/>
          <w:sz w:val="32"/>
          <w:szCs w:val="32"/>
        </w:rPr>
        <w:t>灭蝇灯（建议紫外线诱捕式）灯网内无杂物和死蝇，使用正常。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炉灶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灶台保持不锈钢本色，无</w:t>
      </w:r>
      <w:r>
        <w:rPr>
          <w:rFonts w:ascii="仿宋_GB2312" w:eastAsia="仿宋_GB2312" w:hAnsi="仿宋_GB2312" w:cs="仿宋_GB2312" w:hint="eastAsia"/>
          <w:sz w:val="32"/>
          <w:szCs w:val="32"/>
        </w:rPr>
        <w:t>积垢，无</w:t>
      </w:r>
      <w:r>
        <w:rPr>
          <w:rFonts w:ascii="仿宋_GB2312" w:eastAsia="仿宋_GB2312" w:hAnsi="仿宋_GB2312" w:cs="仿宋_GB2312" w:hint="eastAsia"/>
          <w:sz w:val="32"/>
          <w:szCs w:val="32"/>
        </w:rPr>
        <w:t>油垢，无杂物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调味品容器</w:t>
      </w:r>
      <w:r>
        <w:rPr>
          <w:rFonts w:ascii="仿宋_GB2312" w:eastAsia="仿宋_GB2312" w:hAnsi="仿宋_GB2312" w:cs="仿宋_GB2312" w:hint="eastAsia"/>
          <w:sz w:val="32"/>
          <w:szCs w:val="32"/>
        </w:rPr>
        <w:t>下班</w:t>
      </w:r>
      <w:r>
        <w:rPr>
          <w:rFonts w:ascii="仿宋_GB2312" w:eastAsia="仿宋_GB2312" w:hAnsi="仿宋_GB2312" w:cs="仿宋_GB2312" w:hint="eastAsia"/>
          <w:sz w:val="32"/>
          <w:szCs w:val="32"/>
        </w:rPr>
        <w:t>后应封闭存储，防止异物混入。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定期清洗更换调味品容器。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切配区域卫生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砧板、刀具应生熟分类使用，每天清洗并归类，定期消毒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刀具须清洗干净、无油垢、无锈透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冰箱卫生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冰箱定期化霜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保持冰箱内外清洁，无积水、无异味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冰箱内食品，熟食必须密闭保存</w:t>
      </w:r>
      <w:r>
        <w:rPr>
          <w:rFonts w:ascii="仿宋_GB2312" w:eastAsia="仿宋_GB2312" w:hAnsi="仿宋_GB2312" w:cs="仿宋_GB2312" w:hint="eastAsia"/>
          <w:sz w:val="32"/>
          <w:szCs w:val="32"/>
        </w:rPr>
        <w:t>，无私人物品。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地板、水池区域卫生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保持地面无油渍、无水迹、无杂物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，不滑，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无卫生死角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垃圾桶必须及时清理，保持干净，加盖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水池须保持干净、无油垢、无杂物、无破损</w:t>
      </w:r>
      <w:r>
        <w:rPr>
          <w:rFonts w:ascii="仿宋_GB2312" w:eastAsia="仿宋_GB2312" w:hAnsi="仿宋_GB2312" w:cs="仿宋_GB2312" w:hint="eastAsia"/>
          <w:sz w:val="32"/>
          <w:szCs w:val="32"/>
        </w:rPr>
        <w:t>，水流畅通。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地沟保持畅通无杂物、无异味、无污垢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打包间卫生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保温柜表面、内部四壁、内部层架、门封条无积垢、无油渍、无异物。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打包台面无灰尘、无油渍、无异物。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仓库卫生</w:t>
      </w:r>
    </w:p>
    <w:p w:rsidR="008943B5" w:rsidRDefault="007F76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仓库物品摆放整齐、干净，货架无灰尘，不得存放私人物品，地面无杂物。</w:t>
      </w:r>
    </w:p>
    <w:p w:rsidR="008943B5" w:rsidRDefault="007F7625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干货存储柜无变质原料，干净、清洁。</w:t>
      </w:r>
    </w:p>
    <w:p w:rsidR="008943B5" w:rsidRDefault="008943B5">
      <w:pPr>
        <w:rPr>
          <w:sz w:val="28"/>
          <w:szCs w:val="28"/>
        </w:rPr>
      </w:pPr>
    </w:p>
    <w:sectPr w:rsidR="0089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B1"/>
    <w:rsid w:val="003D4E28"/>
    <w:rsid w:val="004C4ACD"/>
    <w:rsid w:val="005D62DD"/>
    <w:rsid w:val="006E3305"/>
    <w:rsid w:val="007F7625"/>
    <w:rsid w:val="00881D67"/>
    <w:rsid w:val="008943B5"/>
    <w:rsid w:val="00BB63B1"/>
    <w:rsid w:val="00CD33F1"/>
    <w:rsid w:val="00D04F8E"/>
    <w:rsid w:val="00FA1CB7"/>
    <w:rsid w:val="0169614F"/>
    <w:rsid w:val="0293573F"/>
    <w:rsid w:val="05903FC6"/>
    <w:rsid w:val="10BD4F87"/>
    <w:rsid w:val="11063E0D"/>
    <w:rsid w:val="15D62F9F"/>
    <w:rsid w:val="203850BC"/>
    <w:rsid w:val="209C2955"/>
    <w:rsid w:val="2227343D"/>
    <w:rsid w:val="29A66AF1"/>
    <w:rsid w:val="2EE106C3"/>
    <w:rsid w:val="335852F4"/>
    <w:rsid w:val="3BC37208"/>
    <w:rsid w:val="43FE6C70"/>
    <w:rsid w:val="468460DB"/>
    <w:rsid w:val="499F2B42"/>
    <w:rsid w:val="4BF109BE"/>
    <w:rsid w:val="57A5751D"/>
    <w:rsid w:val="71AD1356"/>
    <w:rsid w:val="735B23CE"/>
    <w:rsid w:val="799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jfwl</dc:creator>
  <cp:lastModifiedBy>DELL</cp:lastModifiedBy>
  <cp:revision>2</cp:revision>
  <cp:lastPrinted>2021-11-01T02:59:00Z</cp:lastPrinted>
  <dcterms:created xsi:type="dcterms:W3CDTF">2022-05-27T07:11:00Z</dcterms:created>
  <dcterms:modified xsi:type="dcterms:W3CDTF">2022-05-27T07:11:00Z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E369218C59CA45249A656EA6018FDE60</vt:lpwstr>
  </property>
</Properties>
</file>