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1066" w:type="dxa"/>
        <w:tblLayout w:type="fixed"/>
        <w:tblCellMar>
          <w:top w:w="0" w:type="dxa"/>
          <w:left w:w="0" w:type="dxa"/>
          <w:bottom w:w="0" w:type="dxa"/>
          <w:right w:w="0" w:type="dxa"/>
        </w:tblCellMar>
      </w:tblPr>
      <w:tblGrid>
        <w:gridCol w:w="549"/>
        <w:gridCol w:w="1001"/>
        <w:gridCol w:w="5367"/>
        <w:gridCol w:w="2002"/>
        <w:gridCol w:w="2200"/>
        <w:gridCol w:w="1050"/>
        <w:gridCol w:w="1083"/>
        <w:gridCol w:w="1067"/>
        <w:gridCol w:w="1666"/>
      </w:tblGrid>
      <w:tr>
        <w:tblPrEx>
          <w:tblCellMar>
            <w:top w:w="0" w:type="dxa"/>
            <w:left w:w="0" w:type="dxa"/>
            <w:bottom w:w="0" w:type="dxa"/>
            <w:right w:w="0" w:type="dxa"/>
          </w:tblCellMar>
        </w:tblPrEx>
        <w:trPr>
          <w:trHeight w:val="375" w:hRule="atLeast"/>
        </w:trPr>
        <w:tc>
          <w:tcPr>
            <w:tcW w:w="1550" w:type="dxa"/>
            <w:gridSpan w:val="2"/>
            <w:tcBorders>
              <w:top w:val="nil"/>
              <w:left w:val="nil"/>
              <w:bottom w:val="nil"/>
              <w:right w:val="nil"/>
            </w:tcBorders>
            <w:tcMar>
              <w:top w:w="15" w:type="dxa"/>
              <w:left w:w="15" w:type="dxa"/>
              <w:right w:w="15" w:type="dxa"/>
            </w:tcMar>
            <w:vAlign w:val="center"/>
          </w:tcPr>
          <w:p>
            <w:pPr>
              <w:widowControl/>
              <w:spacing w:line="300" w:lineRule="exact"/>
              <w:jc w:val="left"/>
              <w:textAlignment w:val="center"/>
              <w:rPr>
                <w:rFonts w:ascii="黑体" w:hAnsi="宋体" w:eastAsia="黑体" w:cs="黑体"/>
                <w:color w:val="000000"/>
                <w:sz w:val="28"/>
                <w:szCs w:val="28"/>
              </w:rPr>
            </w:pPr>
            <w:bookmarkStart w:id="0" w:name="_GoBack"/>
            <w:bookmarkEnd w:id="0"/>
            <w:r>
              <w:rPr>
                <w:rFonts w:hint="eastAsia" w:ascii="黑体" w:hAnsi="宋体" w:eastAsia="黑体" w:cs="黑体"/>
                <w:color w:val="000000"/>
                <w:kern w:val="0"/>
                <w:sz w:val="28"/>
                <w:szCs w:val="28"/>
              </w:rPr>
              <w:t xml:space="preserve">  附件1</w:t>
            </w:r>
          </w:p>
        </w:tc>
        <w:tc>
          <w:tcPr>
            <w:tcW w:w="5367" w:type="dxa"/>
            <w:tcBorders>
              <w:top w:val="nil"/>
              <w:left w:val="nil"/>
              <w:bottom w:val="nil"/>
              <w:right w:val="nil"/>
            </w:tcBorders>
            <w:tcMar>
              <w:top w:w="15" w:type="dxa"/>
              <w:left w:w="15" w:type="dxa"/>
              <w:right w:w="15" w:type="dxa"/>
            </w:tcMar>
            <w:vAlign w:val="center"/>
          </w:tcPr>
          <w:p>
            <w:pPr>
              <w:spacing w:line="300" w:lineRule="exact"/>
              <w:rPr>
                <w:rFonts w:hint="eastAsia" w:ascii="宋体" w:hAnsi="宋体" w:eastAsia="宋体" w:cs="宋体"/>
                <w:color w:val="000000"/>
                <w:sz w:val="24"/>
                <w:szCs w:val="24"/>
              </w:rPr>
            </w:pPr>
          </w:p>
        </w:tc>
        <w:tc>
          <w:tcPr>
            <w:tcW w:w="2002" w:type="dxa"/>
            <w:tcBorders>
              <w:top w:val="nil"/>
              <w:left w:val="nil"/>
              <w:bottom w:val="nil"/>
              <w:right w:val="nil"/>
            </w:tcBorders>
            <w:tcMar>
              <w:top w:w="15" w:type="dxa"/>
              <w:left w:w="15" w:type="dxa"/>
              <w:right w:w="15" w:type="dxa"/>
            </w:tcMar>
            <w:vAlign w:val="center"/>
          </w:tcPr>
          <w:p>
            <w:pPr>
              <w:spacing w:line="300" w:lineRule="exact"/>
              <w:jc w:val="center"/>
              <w:rPr>
                <w:rFonts w:hint="eastAsia" w:ascii="宋体" w:hAnsi="宋体" w:eastAsia="宋体" w:cs="宋体"/>
                <w:color w:val="000000"/>
                <w:sz w:val="24"/>
                <w:szCs w:val="24"/>
              </w:rPr>
            </w:pPr>
          </w:p>
        </w:tc>
        <w:tc>
          <w:tcPr>
            <w:tcW w:w="2200" w:type="dxa"/>
            <w:tcBorders>
              <w:top w:val="nil"/>
              <w:left w:val="nil"/>
              <w:bottom w:val="nil"/>
              <w:right w:val="nil"/>
            </w:tcBorders>
            <w:tcMar>
              <w:top w:w="15" w:type="dxa"/>
              <w:left w:w="15" w:type="dxa"/>
              <w:right w:w="15" w:type="dxa"/>
            </w:tcMar>
            <w:vAlign w:val="center"/>
          </w:tcPr>
          <w:p>
            <w:pPr>
              <w:spacing w:line="300" w:lineRule="exact"/>
              <w:jc w:val="center"/>
              <w:rPr>
                <w:rFonts w:hint="eastAsia" w:ascii="宋体" w:hAnsi="宋体" w:eastAsia="宋体" w:cs="宋体"/>
                <w:color w:val="000000"/>
                <w:sz w:val="24"/>
                <w:szCs w:val="24"/>
              </w:rPr>
            </w:pPr>
          </w:p>
        </w:tc>
        <w:tc>
          <w:tcPr>
            <w:tcW w:w="1050" w:type="dxa"/>
            <w:tcBorders>
              <w:top w:val="nil"/>
              <w:left w:val="nil"/>
              <w:bottom w:val="nil"/>
              <w:right w:val="nil"/>
            </w:tcBorders>
            <w:tcMar>
              <w:top w:w="15" w:type="dxa"/>
              <w:left w:w="15" w:type="dxa"/>
              <w:right w:w="15" w:type="dxa"/>
            </w:tcMar>
            <w:vAlign w:val="center"/>
          </w:tcPr>
          <w:p>
            <w:pPr>
              <w:spacing w:line="300" w:lineRule="exact"/>
              <w:jc w:val="center"/>
              <w:rPr>
                <w:rFonts w:hint="eastAsia" w:ascii="宋体" w:hAnsi="宋体" w:eastAsia="宋体" w:cs="宋体"/>
                <w:color w:val="000000"/>
                <w:sz w:val="24"/>
                <w:szCs w:val="24"/>
              </w:rPr>
            </w:pPr>
          </w:p>
        </w:tc>
        <w:tc>
          <w:tcPr>
            <w:tcW w:w="1083" w:type="dxa"/>
            <w:tcBorders>
              <w:top w:val="nil"/>
              <w:left w:val="nil"/>
              <w:bottom w:val="nil"/>
              <w:right w:val="nil"/>
            </w:tcBorders>
            <w:tcMar>
              <w:top w:w="15" w:type="dxa"/>
              <w:left w:w="15" w:type="dxa"/>
              <w:right w:w="15" w:type="dxa"/>
            </w:tcMar>
            <w:vAlign w:val="center"/>
          </w:tcPr>
          <w:p>
            <w:pPr>
              <w:spacing w:line="300" w:lineRule="exact"/>
              <w:jc w:val="center"/>
              <w:rPr>
                <w:rFonts w:hint="eastAsia" w:ascii="宋体" w:hAnsi="宋体" w:eastAsia="宋体" w:cs="宋体"/>
                <w:color w:val="000000"/>
                <w:sz w:val="24"/>
                <w:szCs w:val="24"/>
              </w:rPr>
            </w:pPr>
          </w:p>
        </w:tc>
        <w:tc>
          <w:tcPr>
            <w:tcW w:w="1067" w:type="dxa"/>
            <w:tcBorders>
              <w:top w:val="nil"/>
              <w:left w:val="nil"/>
              <w:bottom w:val="nil"/>
              <w:right w:val="nil"/>
            </w:tcBorders>
            <w:tcMar>
              <w:top w:w="15" w:type="dxa"/>
              <w:left w:w="15" w:type="dxa"/>
              <w:right w:w="15" w:type="dxa"/>
            </w:tcMar>
            <w:vAlign w:val="center"/>
          </w:tcPr>
          <w:p>
            <w:pPr>
              <w:spacing w:line="300" w:lineRule="exact"/>
              <w:jc w:val="center"/>
              <w:rPr>
                <w:rFonts w:hint="eastAsia" w:ascii="宋体" w:hAnsi="宋体" w:eastAsia="宋体" w:cs="宋体"/>
                <w:color w:val="000000"/>
                <w:sz w:val="24"/>
                <w:szCs w:val="24"/>
              </w:rPr>
            </w:pPr>
          </w:p>
        </w:tc>
        <w:tc>
          <w:tcPr>
            <w:tcW w:w="1666" w:type="dxa"/>
            <w:tcBorders>
              <w:top w:val="nil"/>
              <w:left w:val="nil"/>
              <w:bottom w:val="nil"/>
              <w:right w:val="nil"/>
            </w:tcBorders>
            <w:tcMar>
              <w:top w:w="15" w:type="dxa"/>
              <w:left w:w="15" w:type="dxa"/>
              <w:right w:w="15" w:type="dxa"/>
            </w:tcMar>
            <w:vAlign w:val="center"/>
          </w:tcPr>
          <w:p>
            <w:pPr>
              <w:spacing w:line="300" w:lineRule="exac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847" w:hRule="atLeast"/>
        </w:trPr>
        <w:tc>
          <w:tcPr>
            <w:tcW w:w="15985" w:type="dxa"/>
            <w:gridSpan w:val="9"/>
            <w:tcBorders>
              <w:top w:val="nil"/>
              <w:left w:val="nil"/>
              <w:bottom w:val="nil"/>
              <w:right w:val="nil"/>
            </w:tcBorders>
            <w:tcMar>
              <w:top w:w="15" w:type="dxa"/>
              <w:left w:w="15" w:type="dxa"/>
              <w:right w:w="15" w:type="dxa"/>
            </w:tcMar>
            <w:vAlign w:val="center"/>
          </w:tcPr>
          <w:p>
            <w:pPr>
              <w:widowControl/>
              <w:spacing w:line="500" w:lineRule="exact"/>
              <w:jc w:val="center"/>
              <w:textAlignment w:val="center"/>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2020年鼓楼区优化营商环境工作任务分工表</w:t>
            </w:r>
          </w:p>
          <w:p>
            <w:pPr>
              <w:pStyle w:val="2"/>
            </w:pPr>
          </w:p>
        </w:tc>
      </w:tr>
      <w:tr>
        <w:tblPrEx>
          <w:tblCellMar>
            <w:top w:w="0" w:type="dxa"/>
            <w:left w:w="0" w:type="dxa"/>
            <w:bottom w:w="0" w:type="dxa"/>
            <w:right w:w="0" w:type="dxa"/>
          </w:tblCellMar>
        </w:tblPrEx>
        <w:trPr>
          <w:trHeight w:val="56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b/>
                <w:color w:val="000000"/>
                <w:sz w:val="24"/>
                <w:szCs w:val="24"/>
              </w:rPr>
            </w:pPr>
            <w:r>
              <w:rPr>
                <w:rFonts w:hint="eastAsia" w:hAnsi="宋体" w:cs="仿宋_GB2312"/>
                <w:b/>
                <w:color w:val="000000"/>
                <w:kern w:val="0"/>
                <w:sz w:val="24"/>
                <w:szCs w:val="24"/>
              </w:rPr>
              <w:t>序号</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4"/>
                <w:szCs w:val="24"/>
              </w:rPr>
            </w:pPr>
            <w:r>
              <w:rPr>
                <w:rFonts w:hint="eastAsia" w:hAnsi="宋体" w:cs="仿宋_GB2312"/>
                <w:b/>
                <w:color w:val="000000"/>
                <w:kern w:val="0"/>
                <w:sz w:val="24"/>
                <w:szCs w:val="24"/>
              </w:rPr>
              <w:t>工作目标</w:t>
            </w:r>
          </w:p>
        </w:tc>
        <w:tc>
          <w:tcPr>
            <w:tcW w:w="5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4"/>
                <w:szCs w:val="24"/>
              </w:rPr>
            </w:pPr>
            <w:r>
              <w:rPr>
                <w:rFonts w:hint="eastAsia" w:hAnsi="宋体" w:cs="仿宋_GB2312"/>
                <w:b/>
                <w:color w:val="000000"/>
                <w:kern w:val="0"/>
                <w:sz w:val="24"/>
                <w:szCs w:val="24"/>
              </w:rPr>
              <w:t>具体措施</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4"/>
                <w:szCs w:val="24"/>
              </w:rPr>
            </w:pPr>
            <w:r>
              <w:rPr>
                <w:rFonts w:hint="eastAsia" w:hAnsi="宋体" w:cs="仿宋_GB2312"/>
                <w:b/>
                <w:color w:val="000000"/>
                <w:kern w:val="0"/>
                <w:sz w:val="24"/>
                <w:szCs w:val="24"/>
              </w:rPr>
              <w:t>牵头部门</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4"/>
                <w:szCs w:val="24"/>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4"/>
                <w:szCs w:val="24"/>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4"/>
                <w:szCs w:val="24"/>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4"/>
                <w:szCs w:val="24"/>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4"/>
                <w:szCs w:val="24"/>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95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w:t>
            </w:r>
          </w:p>
        </w:tc>
        <w:tc>
          <w:tcPr>
            <w:tcW w:w="10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（一）</w:t>
            </w:r>
            <w:r>
              <w:rPr>
                <w:rFonts w:hint="eastAsia" w:hAnsi="宋体" w:cs="仿宋_GB2312"/>
                <w:b/>
                <w:color w:val="000000"/>
                <w:kern w:val="0"/>
                <w:sz w:val="20"/>
              </w:rPr>
              <w:br w:type="textWrapping"/>
            </w:r>
            <w:r>
              <w:rPr>
                <w:rFonts w:hint="eastAsia" w:hAnsi="宋体" w:cs="仿宋_GB2312"/>
                <w:b/>
                <w:color w:val="000000"/>
                <w:kern w:val="0"/>
                <w:sz w:val="20"/>
              </w:rPr>
              <w:t>开办企业</w:t>
            </w:r>
          </w:p>
        </w:tc>
        <w:tc>
          <w:tcPr>
            <w:tcW w:w="5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优化开办企业流程。</w:t>
            </w:r>
            <w:r>
              <w:rPr>
                <w:rStyle w:val="16"/>
                <w:rFonts w:hint="default" w:hAnsi="宋体"/>
              </w:rPr>
              <w:t>实现营业执照及印章刻制同步领取。</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区市场监管局</w:t>
            </w:r>
          </w:p>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区行政服务中心</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管委会</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鼓楼公安分局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吴小雄</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何春强</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Ansi="宋体" w:cs="仿宋_GB2312"/>
                <w:color w:val="000000"/>
                <w:kern w:val="0"/>
                <w:sz w:val="20"/>
              </w:rPr>
              <w:t xml:space="preserve">晁 </w:t>
            </w:r>
            <w:r>
              <w:rPr>
                <w:rFonts w:hint="eastAsia" w:hAnsi="宋体" w:cs="仿宋_GB2312"/>
                <w:color w:val="000000"/>
                <w:kern w:val="0"/>
                <w:sz w:val="20"/>
              </w:rPr>
              <w:t xml:space="preserve"> </w:t>
            </w:r>
            <w:r>
              <w:rPr>
                <w:rFonts w:hAnsi="宋体" w:cs="仿宋_GB2312"/>
                <w:color w:val="000000"/>
                <w:kern w:val="0"/>
                <w:sz w:val="20"/>
              </w:rPr>
              <w:t>旭</w:t>
            </w:r>
          </w:p>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杨  辉</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6月底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945"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2</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深化商事登记制度改革。</w:t>
            </w:r>
            <w:r>
              <w:rPr>
                <w:rStyle w:val="16"/>
                <w:rFonts w:hint="default" w:hAnsi="宋体"/>
              </w:rPr>
              <w:t>配合上级部门推进企业登记便利化改革，实现“微信申请+直接登记+自动审核+自助打照”登记模式全覆盖。</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区税务局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Ansi="宋体" w:cs="仿宋_GB2312"/>
                <w:color w:val="000000"/>
                <w:kern w:val="0"/>
                <w:sz w:val="20"/>
              </w:rPr>
              <w:t xml:space="preserve">晁 </w:t>
            </w:r>
            <w:r>
              <w:rPr>
                <w:rFonts w:hint="eastAsia" w:hAnsi="宋体" w:cs="仿宋_GB2312"/>
                <w:color w:val="000000"/>
                <w:kern w:val="0"/>
                <w:sz w:val="20"/>
              </w:rPr>
              <w:t xml:space="preserve"> </w:t>
            </w:r>
            <w:r>
              <w:rPr>
                <w:rFonts w:hAnsi="宋体" w:cs="仿宋_GB2312"/>
                <w:color w:val="000000"/>
                <w:kern w:val="0"/>
                <w:sz w:val="20"/>
              </w:rPr>
              <w:t>旭</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220"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3</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压缩开办企业时间。</w:t>
            </w:r>
            <w:r>
              <w:rPr>
                <w:rStyle w:val="16"/>
                <w:rFonts w:hint="default" w:hAnsi="宋体"/>
              </w:rPr>
              <w:t>全区范围内企业开办时间压缩至6个工作时，全面推行“零延时”刻章服务。其中企业设立登记及公章刻制压缩至3个工作时以内，新办企业首次申请发票压缩1个工作时以内。</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鼓楼公安分局、区行政服务中心管委会</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Ansi="宋体" w:cs="仿宋_GB2312"/>
                <w:color w:val="000000"/>
                <w:kern w:val="0"/>
                <w:sz w:val="20"/>
              </w:rPr>
              <w:t xml:space="preserve">晁 </w:t>
            </w:r>
            <w:r>
              <w:rPr>
                <w:rFonts w:hint="eastAsia" w:hAnsi="宋体" w:cs="仿宋_GB2312"/>
                <w:color w:val="000000"/>
                <w:kern w:val="0"/>
                <w:sz w:val="20"/>
              </w:rPr>
              <w:t xml:space="preserve"> </w:t>
            </w:r>
            <w:r>
              <w:rPr>
                <w:rFonts w:hAnsi="宋体" w:cs="仿宋_GB2312"/>
                <w:color w:val="000000"/>
                <w:kern w:val="0"/>
                <w:sz w:val="20"/>
              </w:rPr>
              <w:t>旭</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196"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4</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登记信息共享改革。</w:t>
            </w:r>
            <w:r>
              <w:rPr>
                <w:rStyle w:val="16"/>
                <w:rFonts w:hint="default" w:hAnsi="宋体"/>
              </w:rPr>
              <w:t>配合上级部门及其他相关部门建设统一的企业开办业务平台。实现申请材料“一次提交、全程通用、多方共享。</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鼓楼公安分局、区税务局、区行政服务中心管委会</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Ansi="宋体" w:cs="仿宋_GB2312"/>
                <w:color w:val="000000"/>
                <w:kern w:val="0"/>
                <w:sz w:val="20"/>
              </w:rPr>
              <w:t xml:space="preserve">晁 </w:t>
            </w:r>
            <w:r>
              <w:rPr>
                <w:rFonts w:hint="eastAsia" w:hAnsi="宋体" w:cs="仿宋_GB2312"/>
                <w:color w:val="000000"/>
                <w:kern w:val="0"/>
                <w:sz w:val="20"/>
              </w:rPr>
              <w:t xml:space="preserve"> </w:t>
            </w:r>
            <w:r>
              <w:rPr>
                <w:rFonts w:hAnsi="宋体" w:cs="仿宋_GB2312"/>
                <w:color w:val="000000"/>
                <w:kern w:val="0"/>
                <w:sz w:val="20"/>
              </w:rPr>
              <w:t>旭</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109"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5</w:t>
            </w:r>
          </w:p>
        </w:tc>
        <w:tc>
          <w:tcPr>
            <w:tcW w:w="10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（二）</w:t>
            </w:r>
            <w:r>
              <w:rPr>
                <w:rFonts w:hint="eastAsia" w:hAnsi="宋体" w:cs="仿宋_GB2312"/>
                <w:b/>
                <w:color w:val="000000"/>
                <w:kern w:val="0"/>
                <w:sz w:val="20"/>
              </w:rPr>
              <w:br w:type="textWrapping"/>
            </w:r>
            <w:r>
              <w:rPr>
                <w:rFonts w:hint="eastAsia" w:hAnsi="宋体" w:cs="仿宋_GB2312"/>
                <w:b/>
                <w:color w:val="000000"/>
                <w:kern w:val="0"/>
                <w:sz w:val="20"/>
              </w:rPr>
              <w:t>注销企业</w:t>
            </w:r>
          </w:p>
        </w:tc>
        <w:tc>
          <w:tcPr>
            <w:tcW w:w="5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减少注销材料。</w:t>
            </w:r>
            <w:r>
              <w:rPr>
                <w:rStyle w:val="16"/>
                <w:rFonts w:hint="default" w:hAnsi="宋体"/>
              </w:rPr>
              <w:t>按照上级部署实行简易注销，注销时无需提供纸质清税证明。公章和营业执照同时遗失的企业申请注销时，免于补刻公章，以全体股东签署的证明文件代替。</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区税务局、鼓楼公安</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分局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Ansi="宋体" w:cs="仿宋_GB2312"/>
                <w:color w:val="000000"/>
                <w:kern w:val="0"/>
                <w:sz w:val="20"/>
              </w:rPr>
              <w:t xml:space="preserve">晁 </w:t>
            </w:r>
            <w:r>
              <w:rPr>
                <w:rFonts w:hint="eastAsia" w:hAnsi="宋体" w:cs="仿宋_GB2312"/>
                <w:color w:val="000000"/>
                <w:kern w:val="0"/>
                <w:sz w:val="20"/>
              </w:rPr>
              <w:t xml:space="preserve"> </w:t>
            </w:r>
            <w:r>
              <w:rPr>
                <w:rFonts w:hAnsi="宋体" w:cs="仿宋_GB2312"/>
                <w:color w:val="000000"/>
                <w:kern w:val="0"/>
                <w:sz w:val="20"/>
              </w:rPr>
              <w:t>旭</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9月底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873"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6</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推广企业注销“一站式”改革举措。</w:t>
            </w:r>
            <w:r>
              <w:rPr>
                <w:rStyle w:val="16"/>
                <w:rFonts w:hint="default" w:hAnsi="宋体"/>
              </w:rPr>
              <w:t>按照上级部署全面开展未开业企业、无债权债务企业简易注销登记。</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区税务局、区金融办</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Ansi="宋体" w:cs="仿宋_GB2312"/>
                <w:color w:val="000000"/>
                <w:kern w:val="0"/>
                <w:sz w:val="20"/>
              </w:rPr>
              <w:t xml:space="preserve">晁 </w:t>
            </w:r>
            <w:r>
              <w:rPr>
                <w:rFonts w:hint="eastAsia" w:hAnsi="宋体" w:cs="仿宋_GB2312"/>
                <w:color w:val="000000"/>
                <w:kern w:val="0"/>
                <w:sz w:val="20"/>
              </w:rPr>
              <w:t xml:space="preserve"> </w:t>
            </w:r>
            <w:r>
              <w:rPr>
                <w:rFonts w:hAnsi="宋体" w:cs="仿宋_GB2312"/>
                <w:color w:val="000000"/>
                <w:kern w:val="0"/>
                <w:sz w:val="20"/>
              </w:rPr>
              <w:t>旭</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bl>
    <w:p>
      <w:pPr>
        <w:spacing w:line="300" w:lineRule="exact"/>
        <w:rPr>
          <w:color w:val="000000"/>
        </w:rPr>
        <w:sectPr>
          <w:headerReference r:id="rId5" w:type="default"/>
          <w:pgSz w:w="16838" w:h="11906" w:orient="landscape"/>
          <w:pgMar w:top="1417" w:right="1531" w:bottom="1417" w:left="1531" w:header="851" w:footer="992" w:gutter="0"/>
          <w:pgNumType w:fmt="numberInDash"/>
          <w:cols w:space="720" w:num="1"/>
          <w:docGrid w:type="lines" w:linePitch="312" w:charSpace="0"/>
        </w:sectPr>
      </w:pPr>
    </w:p>
    <w:tbl>
      <w:tblPr>
        <w:tblStyle w:val="9"/>
        <w:tblW w:w="15985" w:type="dxa"/>
        <w:tblInd w:w="-1066" w:type="dxa"/>
        <w:tblLayout w:type="fixed"/>
        <w:tblCellMar>
          <w:top w:w="0" w:type="dxa"/>
          <w:left w:w="0" w:type="dxa"/>
          <w:bottom w:w="0" w:type="dxa"/>
          <w:right w:w="0" w:type="dxa"/>
        </w:tblCellMar>
      </w:tblPr>
      <w:tblGrid>
        <w:gridCol w:w="549"/>
        <w:gridCol w:w="1001"/>
        <w:gridCol w:w="5485"/>
        <w:gridCol w:w="1813"/>
        <w:gridCol w:w="71"/>
        <w:gridCol w:w="99"/>
        <w:gridCol w:w="2101"/>
        <w:gridCol w:w="1050"/>
        <w:gridCol w:w="1083"/>
        <w:gridCol w:w="1067"/>
        <w:gridCol w:w="1666"/>
      </w:tblGrid>
      <w:tr>
        <w:tblPrEx>
          <w:tblCellMar>
            <w:top w:w="0" w:type="dxa"/>
            <w:left w:w="0" w:type="dxa"/>
            <w:bottom w:w="0" w:type="dxa"/>
            <w:right w:w="0" w:type="dxa"/>
          </w:tblCellMar>
        </w:tblPrEx>
        <w:trPr>
          <w:trHeight w:val="56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工作目标</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701"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7</w:t>
            </w:r>
          </w:p>
        </w:tc>
        <w:tc>
          <w:tcPr>
            <w:tcW w:w="10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（三）</w:t>
            </w:r>
            <w:r>
              <w:rPr>
                <w:rFonts w:hint="eastAsia" w:hAnsi="宋体" w:cs="仿宋_GB2312"/>
                <w:b/>
                <w:color w:val="000000"/>
                <w:kern w:val="0"/>
                <w:sz w:val="20"/>
              </w:rPr>
              <w:br w:type="textWrapping"/>
            </w:r>
            <w:r>
              <w:rPr>
                <w:rFonts w:hint="eastAsia" w:hAnsi="宋体" w:cs="仿宋_GB2312"/>
                <w:b/>
                <w:color w:val="000000"/>
                <w:kern w:val="0"/>
                <w:sz w:val="20"/>
              </w:rPr>
              <w:t>办理建设许可</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区域评估再深化。</w:t>
            </w:r>
            <w:r>
              <w:rPr>
                <w:rStyle w:val="16"/>
                <w:rFonts w:hint="default" w:hAnsi="宋体"/>
              </w:rPr>
              <w:t>在选定的试点区域内，委托具有资质的中介机构开展各类区域评估工作，实现成果共享、结果互认。</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区发改局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旭</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446"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8</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规范中介技术服务。</w:t>
            </w:r>
            <w:r>
              <w:rPr>
                <w:rStyle w:val="16"/>
                <w:rFonts w:hint="default" w:hAnsi="宋体"/>
              </w:rPr>
              <w:t>实现中介服务事项全入驻“福州市涉及行政审批技术服务网上超市”。落实中介服务清单动态管理，提升“福州市涉及行政审批技术服务网上超市”平台功能、规范中介服务市场管理、严格执行中介服务收费规定、强化中介服务事中事后监管。</w:t>
            </w:r>
          </w:p>
        </w:tc>
        <w:tc>
          <w:tcPr>
            <w:tcW w:w="188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区发改局</w:t>
            </w:r>
            <w:r>
              <w:rPr>
                <w:rFonts w:hint="eastAsia" w:hAnsi="宋体" w:cs="仿宋_GB2312"/>
                <w:color w:val="000000"/>
                <w:kern w:val="0"/>
                <w:sz w:val="20"/>
              </w:rPr>
              <w:br w:type="textWrapping"/>
            </w:r>
            <w:r>
              <w:rPr>
                <w:rFonts w:hint="eastAsia" w:hAnsi="宋体" w:cs="仿宋_GB2312"/>
                <w:color w:val="000000"/>
                <w:kern w:val="0"/>
                <w:sz w:val="20"/>
              </w:rPr>
              <w:t>区行政服务中心</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管委会</w:t>
            </w:r>
            <w:r>
              <w:rPr>
                <w:rFonts w:hint="eastAsia" w:hAnsi="宋体" w:cs="仿宋_GB2312"/>
                <w:color w:val="000000"/>
                <w:kern w:val="0"/>
                <w:sz w:val="20"/>
              </w:rPr>
              <w:br w:type="textWrapping"/>
            </w:r>
            <w:r>
              <w:rPr>
                <w:rFonts w:hint="eastAsia" w:hAnsi="宋体" w:cs="仿宋_GB2312"/>
                <w:color w:val="000000"/>
                <w:kern w:val="0"/>
                <w:sz w:val="20"/>
              </w:rPr>
              <w:t>区市场监管局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旭</w:t>
            </w:r>
            <w:r>
              <w:rPr>
                <w:rFonts w:hint="eastAsia" w:hAnsi="宋体" w:cs="仿宋_GB2312"/>
                <w:color w:val="000000"/>
                <w:kern w:val="0"/>
                <w:sz w:val="20"/>
              </w:rPr>
              <w:br w:type="textWrapping"/>
            </w:r>
            <w:r>
              <w:rPr>
                <w:rFonts w:hint="eastAsia" w:hAnsi="宋体" w:cs="仿宋_GB2312"/>
                <w:color w:val="000000"/>
                <w:kern w:val="0"/>
                <w:sz w:val="20"/>
              </w:rPr>
              <w:t>何春强</w:t>
            </w:r>
            <w:r>
              <w:rPr>
                <w:rFonts w:hint="eastAsia" w:hAnsi="宋体" w:cs="仿宋_GB2312"/>
                <w:color w:val="000000"/>
                <w:kern w:val="0"/>
                <w:sz w:val="20"/>
              </w:rPr>
              <w:br w:type="textWrapping"/>
            </w: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r>
              <w:rPr>
                <w:rFonts w:hint="eastAsia" w:hAnsi="宋体" w:cs="仿宋_GB2312"/>
                <w:color w:val="000000"/>
                <w:kern w:val="0"/>
                <w:sz w:val="20"/>
              </w:rPr>
              <w:br w:type="textWrapping"/>
            </w: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794"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9</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探索建立工程质量保险制。</w:t>
            </w:r>
            <w:r>
              <w:rPr>
                <w:rStyle w:val="16"/>
                <w:rFonts w:hint="default" w:hAnsi="宋体"/>
              </w:rPr>
              <w:t>学习借鉴上海、深圳工程质量保险制先进经验，结合我区实际，探索鼓楼特色扶持政策。</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区建设局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区财政局、区发改局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雯</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陈晓彬</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1246"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10</w:t>
            </w:r>
          </w:p>
        </w:tc>
        <w:tc>
          <w:tcPr>
            <w:tcW w:w="10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（四）</w:t>
            </w:r>
            <w:r>
              <w:rPr>
                <w:rFonts w:hint="eastAsia" w:hAnsi="宋体" w:cs="仿宋_GB2312"/>
                <w:b/>
                <w:color w:val="000000"/>
                <w:kern w:val="0"/>
                <w:sz w:val="20"/>
              </w:rPr>
              <w:br w:type="textWrapping"/>
            </w:r>
            <w:r>
              <w:rPr>
                <w:rFonts w:hint="eastAsia" w:hAnsi="宋体" w:cs="仿宋_GB2312"/>
                <w:b/>
                <w:color w:val="000000"/>
                <w:kern w:val="0"/>
                <w:sz w:val="20"/>
              </w:rPr>
              <w:t>获得电力</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压减办电环节</w:t>
            </w:r>
            <w:r>
              <w:rPr>
                <w:rStyle w:val="16"/>
                <w:rFonts w:hint="default" w:hAnsi="宋体"/>
              </w:rPr>
              <w:t>。推行低压供电方案现场直接答复，探索业务办理快递上门取件。低压申请办电交互环节减为“申请受理、装表接电”2个环节。实现小微企业平均接电时间分别不超过6天。</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鼓楼供电服务中心</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鼓楼公安分局、区自然资源和规划局、区城管局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陈宗伟</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hint="eastAsia" w:cs="仿宋_GB2312"/>
                <w:color w:val="000000"/>
                <w:kern w:val="0"/>
                <w:sz w:val="22"/>
                <w:szCs w:val="22"/>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3月底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962"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11</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压缩办电成本。</w:t>
            </w:r>
            <w:r>
              <w:rPr>
                <w:rStyle w:val="16"/>
                <w:rFonts w:hint="default" w:hAnsi="宋体"/>
              </w:rPr>
              <w:t>全区小微企业低压接入容量标准提升至</w:t>
            </w:r>
            <w:r>
              <w:rPr>
                <w:rStyle w:val="16"/>
                <w:rFonts w:hAnsi="宋体"/>
              </w:rPr>
              <w:t>160</w:t>
            </w:r>
            <w:r>
              <w:rPr>
                <w:rStyle w:val="16"/>
                <w:rFonts w:hint="default" w:hAnsi="宋体"/>
              </w:rPr>
              <w:t>千瓦，小微企业办电实行“三零”（零上门、零审批、零投资）服务模式。</w:t>
            </w:r>
          </w:p>
        </w:tc>
        <w:tc>
          <w:tcPr>
            <w:tcW w:w="4084"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鼓楼供电服务中心</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陈宗伟</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宋体" w:hAnsi="宋体" w:eastAsia="宋体" w:cs="宋体"/>
                <w:color w:val="000000"/>
                <w:sz w:val="20"/>
              </w:rPr>
            </w:pPr>
            <w:r>
              <w:rPr>
                <w:rFonts w:hint="eastAsia"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3月底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995"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提升用电透明度。</w:t>
            </w:r>
            <w:r>
              <w:rPr>
                <w:rStyle w:val="16"/>
                <w:rFonts w:hint="default" w:hAnsi="宋体"/>
              </w:rPr>
              <w:t>线上线下多渠道公开政策、电量、电价和电费信息；结合泛在电力物联网建设，强化对内流程催办和对外短信告知，提高办电全流程透明度。</w:t>
            </w:r>
          </w:p>
        </w:tc>
        <w:tc>
          <w:tcPr>
            <w:tcW w:w="4084"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鼓楼供电服务中心</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陈宗伟</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宋体" w:hAnsi="宋体" w:eastAsia="宋体" w:cs="宋体"/>
                <w:color w:val="000000"/>
                <w:sz w:val="20"/>
              </w:rPr>
            </w:pPr>
            <w:r>
              <w:rPr>
                <w:rFonts w:hint="eastAsia"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6月底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670"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13</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优化破路审批模式。</w:t>
            </w:r>
            <w:r>
              <w:rPr>
                <w:rStyle w:val="16"/>
                <w:rFonts w:hint="default" w:hAnsi="宋体"/>
              </w:rPr>
              <w:t>简化涉电占道破路行政审批时限至不超过3个工作日。</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区城管局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吴端正</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郑炳锋</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6月底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902"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14</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提升供电可靠性。</w:t>
            </w:r>
            <w:r>
              <w:rPr>
                <w:rStyle w:val="16"/>
                <w:rFonts w:hint="default" w:hAnsi="宋体"/>
              </w:rPr>
              <w:t>全面提升不停电作业能力，持续减少年均停电时间和停电次数，配合市达成供电可靠率99.95%，鼓楼区供电可靠率达成99.986%。</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鼓楼供电服务中心</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陈宗伟</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hint="eastAsia"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56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工作目标</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695"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15</w:t>
            </w:r>
          </w:p>
        </w:tc>
        <w:tc>
          <w:tcPr>
            <w:tcW w:w="10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（五）</w:t>
            </w:r>
            <w:r>
              <w:rPr>
                <w:rFonts w:hint="eastAsia" w:hAnsi="宋体" w:cs="仿宋_GB2312"/>
                <w:b/>
                <w:color w:val="000000"/>
                <w:kern w:val="0"/>
                <w:sz w:val="20"/>
              </w:rPr>
              <w:br w:type="textWrapping"/>
            </w:r>
            <w:r>
              <w:rPr>
                <w:rFonts w:hint="eastAsia" w:hAnsi="宋体" w:cs="仿宋_GB2312"/>
                <w:b/>
                <w:color w:val="000000"/>
                <w:kern w:val="0"/>
                <w:sz w:val="20"/>
              </w:rPr>
              <w:t>获得信贷</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推进信用数据共享应用。</w:t>
            </w:r>
            <w:r>
              <w:rPr>
                <w:rStyle w:val="16"/>
                <w:rFonts w:hint="default" w:hAnsi="宋体"/>
              </w:rPr>
              <w:t>鼓励银行机构运用企业信用信息，提高信用状况良好企业的贷款可获得性。</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区金融办</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区数字办、区发改局、</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 xml:space="preserve">区税务局等部门  </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cs="仿宋_GB2312"/>
                <w:color w:val="000000"/>
                <w:kern w:val="0"/>
                <w:sz w:val="20"/>
              </w:rPr>
              <w:t>俞</w:t>
            </w:r>
            <w:r>
              <w:rPr>
                <w:rFonts w:hint="eastAsia" w:hAnsi="宋体" w:cs="仿宋_GB2312"/>
                <w:color w:val="000000"/>
                <w:kern w:val="0"/>
                <w:sz w:val="20"/>
              </w:rPr>
              <w:t xml:space="preserve">  婕</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90"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16</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加强知识产权金融服务。</w:t>
            </w:r>
            <w:r>
              <w:rPr>
                <w:rStyle w:val="16"/>
                <w:rFonts w:hint="default" w:hAnsi="宋体"/>
              </w:rPr>
              <w:t>配合市级开展企业专利权质押贷款贴息工作；鼓励和支持金融机构开展知识产权质押融资业务，加强中介机构人才队伍建设，组织企业专利权质押贷款普及培训2场次以上。</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区金融办、区财政局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715"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17</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促进多层次资本市场发展。</w:t>
            </w:r>
            <w:r>
              <w:rPr>
                <w:rFonts w:hint="eastAsia" w:hAnsi="宋体" w:cs="仿宋_GB2312"/>
                <w:bCs/>
                <w:color w:val="000000"/>
                <w:kern w:val="0"/>
                <w:sz w:val="20"/>
              </w:rPr>
              <w:t>力争推动1家以上企业报证监会上市审核。</w:t>
            </w:r>
            <w:r>
              <w:rPr>
                <w:rStyle w:val="16"/>
                <w:rFonts w:hint="default" w:hAnsi="宋体"/>
                <w:bCs/>
              </w:rPr>
              <w:t>推动40家企业到海峡股权交易中心挂牌展示。</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区金融办</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各街镇及园区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俞  婕</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991"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18</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防范金融风险。</w:t>
            </w:r>
            <w:r>
              <w:rPr>
                <w:rStyle w:val="16"/>
                <w:rFonts w:hint="default" w:hAnsi="宋体"/>
              </w:rPr>
              <w:t>高度重视金融风险防范工作,加强对各种类金融机构的排查，充分利用好省防范非法集资宣传教育示范点，深化常态宣传教育，增强防范意识。</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区金融办</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各街镇及园区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俞  婕</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991"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kern w:val="0"/>
                <w:sz w:val="20"/>
              </w:rPr>
            </w:pPr>
            <w:r>
              <w:rPr>
                <w:rFonts w:hint="eastAsia" w:hAnsi="宋体" w:cs="仿宋_GB2312"/>
                <w:color w:val="000000"/>
                <w:kern w:val="0"/>
                <w:sz w:val="20"/>
              </w:rPr>
              <w:t>19</w:t>
            </w:r>
          </w:p>
        </w:tc>
        <w:tc>
          <w:tcPr>
            <w:tcW w:w="10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204"/>
              </w:tabs>
              <w:spacing w:line="300" w:lineRule="exact"/>
              <w:textAlignment w:val="center"/>
              <w:rPr>
                <w:rFonts w:hint="eastAsia" w:hAnsi="宋体" w:cs="仿宋_GB2312"/>
                <w:b/>
                <w:color w:val="000000"/>
                <w:kern w:val="0"/>
                <w:sz w:val="20"/>
              </w:rPr>
            </w:pPr>
            <w:r>
              <w:rPr>
                <w:rStyle w:val="16"/>
                <w:rFonts w:hAnsi="宋体"/>
                <w:b/>
                <w:bCs/>
              </w:rPr>
              <w:t>加大对小微企业和重点企业金融扶持力度。</w:t>
            </w:r>
            <w:r>
              <w:rPr>
                <w:rStyle w:val="16"/>
                <w:rFonts w:hAnsi="宋体"/>
              </w:rPr>
              <w:t>定期举办“1+N”政银企对接会，联合各金融机构为辖区企业提供更加精准、高效的金融服务，缓解企业复工复产亟需的资金问题，降低企业运营成本。</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区金融办</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各街镇及园区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俞  婕</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762"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20</w:t>
            </w:r>
          </w:p>
        </w:tc>
        <w:tc>
          <w:tcPr>
            <w:tcW w:w="10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（六）</w:t>
            </w:r>
            <w:r>
              <w:rPr>
                <w:rFonts w:hint="eastAsia" w:hAnsi="宋体" w:cs="仿宋_GB2312"/>
                <w:b/>
                <w:color w:val="000000"/>
                <w:kern w:val="0"/>
                <w:sz w:val="20"/>
              </w:rPr>
              <w:br w:type="textWrapping"/>
            </w:r>
            <w:r>
              <w:rPr>
                <w:rFonts w:hint="eastAsia" w:hAnsi="宋体" w:cs="仿宋_GB2312"/>
                <w:b/>
                <w:color w:val="000000"/>
                <w:kern w:val="0"/>
                <w:sz w:val="20"/>
              </w:rPr>
              <w:t>纳税</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推进出口退税网上办。</w:t>
            </w:r>
            <w:r>
              <w:rPr>
                <w:rStyle w:val="16"/>
                <w:rFonts w:hint="default" w:hAnsi="宋体"/>
              </w:rPr>
              <w:t>实现退税全流程网办无纸化，纳税人“一次不用跑”。</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区税务局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吴圣杰</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3月底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773"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21</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推进电子税务局建设。</w:t>
            </w:r>
            <w:r>
              <w:rPr>
                <w:rStyle w:val="16"/>
                <w:rFonts w:hint="default" w:hAnsi="宋体"/>
              </w:rPr>
              <w:t>落实“全程网上办”“自助办税”两张清单，打造全流程、多渠道智慧办税体系，网上办税率提高至85%。</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区税务局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吴圣杰</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6月底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576"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22</w:t>
            </w:r>
          </w:p>
        </w:tc>
        <w:tc>
          <w:tcPr>
            <w:tcW w:w="10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简化纳税人办税流程。</w:t>
            </w:r>
            <w:r>
              <w:rPr>
                <w:rStyle w:val="16"/>
                <w:rFonts w:hint="default" w:hAnsi="宋体"/>
              </w:rPr>
              <w:t>扩容“最多跑一次”清单范围，拓“广”办税渠道，不断推动“网上办税为主，自助办税为辅，办税服务厅兜底”的办税模式，年底前将纳税时间压减至135小时。</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区税务局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吴圣杰</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489"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4"/>
                <w:szCs w:val="24"/>
              </w:rPr>
              <w:t>工作目标</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9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664"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23</w:t>
            </w:r>
          </w:p>
        </w:tc>
        <w:tc>
          <w:tcPr>
            <w:tcW w:w="10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r>
              <w:rPr>
                <w:rFonts w:hint="eastAsia" w:hAnsi="宋体" w:cs="仿宋_GB2312"/>
                <w:b/>
                <w:color w:val="000000"/>
                <w:kern w:val="0"/>
                <w:sz w:val="20"/>
              </w:rPr>
              <w:t>（六）</w:t>
            </w:r>
            <w:r>
              <w:rPr>
                <w:rFonts w:hint="eastAsia" w:hAnsi="宋体" w:cs="仿宋_GB2312"/>
                <w:b/>
                <w:color w:val="000000"/>
                <w:kern w:val="0"/>
                <w:sz w:val="20"/>
              </w:rPr>
              <w:br w:type="textWrapping"/>
            </w:r>
            <w:r>
              <w:rPr>
                <w:rFonts w:hint="eastAsia" w:hAnsi="宋体" w:cs="仿宋_GB2312"/>
                <w:b/>
                <w:color w:val="000000"/>
                <w:kern w:val="0"/>
                <w:sz w:val="20"/>
              </w:rPr>
              <w:t>纳税</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提升纳税服务水平。</w:t>
            </w:r>
            <w:r>
              <w:rPr>
                <w:rStyle w:val="16"/>
                <w:rFonts w:hint="default" w:hAnsi="宋体"/>
              </w:rPr>
              <w:t>推进增值税专用发票电子化和主要涉税事项网上办理。</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区税务局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吴圣杰</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90"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24</w:t>
            </w:r>
          </w:p>
        </w:tc>
        <w:tc>
          <w:tcPr>
            <w:tcW w:w="10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降费。</w:t>
            </w:r>
            <w:r>
              <w:rPr>
                <w:rStyle w:val="16"/>
                <w:rFonts w:hint="default" w:hAnsi="宋体"/>
              </w:rPr>
              <w:t>清理政府部门下属单位、商业银行、行业协会商会、中介机构等涉企收费。整治物流领域不合理收费。</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区发改局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旭</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030"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25</w:t>
            </w:r>
          </w:p>
        </w:tc>
        <w:tc>
          <w:tcPr>
            <w:tcW w:w="10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（七）</w:t>
            </w:r>
            <w:r>
              <w:rPr>
                <w:rFonts w:hint="eastAsia" w:hAnsi="宋体" w:cs="仿宋_GB2312"/>
                <w:b/>
                <w:color w:val="000000"/>
                <w:kern w:val="0"/>
                <w:sz w:val="20"/>
              </w:rPr>
              <w:br w:type="textWrapping"/>
            </w:r>
            <w:r>
              <w:rPr>
                <w:rFonts w:hint="eastAsia" w:hAnsi="宋体" w:cs="仿宋_GB2312"/>
                <w:b/>
                <w:color w:val="000000"/>
                <w:kern w:val="0"/>
                <w:sz w:val="20"/>
              </w:rPr>
              <w:t>保护中小投资者</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探索设立专门民事财产保全机构。</w:t>
            </w:r>
            <w:r>
              <w:rPr>
                <w:rStyle w:val="16"/>
                <w:rFonts w:hint="default" w:hAnsi="宋体"/>
              </w:rPr>
              <w:t>优化民事财产保全资源配置；探索出台财产保全工作流程规范，规范保全的标准，提升保全的效率。</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980"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26</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依法保护中小股东各项权利。</w:t>
            </w:r>
            <w:r>
              <w:rPr>
                <w:rStyle w:val="16"/>
                <w:rFonts w:hint="default" w:hAnsi="宋体"/>
              </w:rPr>
              <w:t>加大普法释法工作，做好个案答疑，提高中小股东、民营企业家的风险意识、诚信意识和法律意识。</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313"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27</w:t>
            </w:r>
          </w:p>
        </w:tc>
        <w:tc>
          <w:tcPr>
            <w:tcW w:w="10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（八）</w:t>
            </w:r>
            <w:r>
              <w:rPr>
                <w:rFonts w:hint="eastAsia" w:hAnsi="宋体" w:cs="仿宋_GB2312"/>
                <w:b/>
                <w:color w:val="000000"/>
                <w:kern w:val="0"/>
                <w:sz w:val="20"/>
              </w:rPr>
              <w:br w:type="textWrapping"/>
            </w:r>
            <w:r>
              <w:rPr>
                <w:rFonts w:hint="eastAsia" w:hAnsi="宋体" w:cs="仿宋_GB2312"/>
                <w:b/>
                <w:color w:val="000000"/>
                <w:kern w:val="0"/>
                <w:sz w:val="20"/>
              </w:rPr>
              <w:t>办理破产</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发挥破产管理人协会作用。</w:t>
            </w:r>
            <w:r>
              <w:rPr>
                <w:rStyle w:val="16"/>
                <w:rFonts w:hint="default" w:hAnsi="宋体"/>
              </w:rPr>
              <w:t>按照上级法院部署统一推进，引导、监督管理人根据破产企业具体情况及时制定工作方案，稳妥推进破产程序；监督和指导管理人严格执行定期工作报告制度及重大突发事项及时报告制度。</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945"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28</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发挥破产审判功能。</w:t>
            </w:r>
            <w:r>
              <w:rPr>
                <w:rStyle w:val="16"/>
                <w:rFonts w:hint="default" w:hAnsi="宋体"/>
              </w:rPr>
              <w:t>在案件集中地区成立专门的破产审判庭和合议庭。推动破产案件简化审、破产案件绩效考核等配套制度落地见效。办理破产实现原则上不超过一年。</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22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区委编办</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875"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29</w:t>
            </w:r>
          </w:p>
        </w:tc>
        <w:tc>
          <w:tcPr>
            <w:tcW w:w="10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（九）</w:t>
            </w:r>
            <w:r>
              <w:rPr>
                <w:rFonts w:hint="eastAsia" w:hAnsi="宋体" w:cs="仿宋_GB2312"/>
                <w:b/>
                <w:color w:val="000000"/>
                <w:kern w:val="0"/>
                <w:sz w:val="20"/>
              </w:rPr>
              <w:br w:type="textWrapping"/>
            </w:r>
            <w:r>
              <w:rPr>
                <w:rFonts w:hint="eastAsia" w:hAnsi="宋体" w:cs="仿宋_GB2312"/>
                <w:b/>
                <w:color w:val="000000"/>
                <w:kern w:val="0"/>
                <w:sz w:val="20"/>
              </w:rPr>
              <w:t>执行合同</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推进院校实习法官助理。</w:t>
            </w:r>
            <w:r>
              <w:rPr>
                <w:rStyle w:val="16"/>
                <w:rFonts w:hint="default" w:hAnsi="宋体"/>
              </w:rPr>
              <w:t>加强与高校的合作，在省内外部分知名高校引进大约15名在校研究生，缓解案多人少矛盾。</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49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30</w:t>
            </w:r>
          </w:p>
        </w:tc>
        <w:tc>
          <w:tcPr>
            <w:tcW w:w="10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强化司法鉴定时间管理。</w:t>
            </w:r>
            <w:r>
              <w:rPr>
                <w:rStyle w:val="16"/>
                <w:rFonts w:hint="default" w:hAnsi="宋体"/>
              </w:rPr>
              <w:t>每月向福州市中院上报超60日未完结案件情况，各业务庭在日常鉴定案件中，发现鉴定机构有违规行为的，可向司法鉴定部门反映，对违反规定、无正当理由影响鉴定时间的鉴定机构列入黑名单、移出名册。</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56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4"/>
                <w:szCs w:val="24"/>
              </w:rPr>
              <w:t>工作目标</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4"/>
                <w:szCs w:val="24"/>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2070"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31</w:t>
            </w:r>
          </w:p>
        </w:tc>
        <w:tc>
          <w:tcPr>
            <w:tcW w:w="10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r>
              <w:rPr>
                <w:rFonts w:hint="eastAsia" w:hAnsi="宋体" w:cs="仿宋_GB2312"/>
                <w:b/>
                <w:color w:val="000000"/>
                <w:kern w:val="0"/>
                <w:sz w:val="20"/>
              </w:rPr>
              <w:t>（九）</w:t>
            </w:r>
            <w:r>
              <w:rPr>
                <w:rFonts w:hint="eastAsia" w:hAnsi="宋体" w:cs="仿宋_GB2312"/>
                <w:b/>
                <w:color w:val="000000"/>
                <w:kern w:val="0"/>
                <w:sz w:val="20"/>
              </w:rPr>
              <w:br w:type="textWrapping"/>
            </w:r>
            <w:r>
              <w:rPr>
                <w:rFonts w:hint="eastAsia" w:hAnsi="宋体" w:cs="仿宋_GB2312"/>
                <w:b/>
                <w:color w:val="000000"/>
                <w:kern w:val="0"/>
                <w:sz w:val="20"/>
              </w:rPr>
              <w:t>执行合同</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提高诉讼服务信息化水平。</w:t>
            </w:r>
            <w:r>
              <w:rPr>
                <w:rStyle w:val="16"/>
                <w:rFonts w:hint="default" w:hAnsi="宋体"/>
              </w:rPr>
              <w:t>加强“移动微法院”、律师服务平台、网上诉讼服务中心等网络诉讼平台的推广和宣传，全面推进跨域诉讼服务，缩短网上立案审查时间，推广使用电子送达平台，提高诉讼文书电子送达率。依托福建法院司法大数据中心，推广使用全省法院的智审系统和繁简分流系统，提升新法标系统的功能应用，促进审判执行工作效率不断提升。</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528"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32</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提升案件流程信息公开水平。</w:t>
            </w:r>
            <w:r>
              <w:rPr>
                <w:rStyle w:val="16"/>
                <w:rFonts w:hint="default" w:hAnsi="宋体"/>
              </w:rPr>
              <w:t>立案部门、各审判执行业务部门及时在电子管理系统录入当事人、代理人以及案件流程信息。依托全国审判流程公开网和裁判文书公开网、执行流程公开网等，逐步实现全流程公开。</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2685"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33</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进一步强化案件“繁简分流”。</w:t>
            </w:r>
            <w:r>
              <w:rPr>
                <w:rStyle w:val="16"/>
                <w:rFonts w:hint="default" w:hAnsi="宋体"/>
              </w:rPr>
              <w:t>推广使用全省法院的繁简分流系统，健全和完善由法院与司法行政机构、仲裁机构、各类调解组织、法律服务工作者、律师等组成的多元化纠纷解决工作机制。善用法官工作室、诉调工作室等平台，善用多元化纠纷解决方式，真正做到案结事了。深入推进“分调裁”机制改革。通过简化庭审程序、简化程序性案件审查程序、简化文书制作等方法不断加快速裁类案件的审理进度。力争实现执行合同时间压缩至345天。</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569"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34</w:t>
            </w:r>
          </w:p>
        </w:tc>
        <w:tc>
          <w:tcPr>
            <w:tcW w:w="10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完善执行立案工作。</w:t>
            </w:r>
            <w:r>
              <w:rPr>
                <w:rStyle w:val="16"/>
                <w:rFonts w:hint="default" w:hAnsi="宋体"/>
              </w:rPr>
              <w:t>加派执行立案窗口人员负责执行案件的审核、立案和查控移送，实现一站式服务，提高立案的便捷性。配全立案窗口查控设备，在立案窗口配置有查控系统的电脑，案件立案后在窗口即发起查控，简化内部衔接流程。</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56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工作目标</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2611"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35</w:t>
            </w:r>
          </w:p>
        </w:tc>
        <w:tc>
          <w:tcPr>
            <w:tcW w:w="10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r>
              <w:rPr>
                <w:rFonts w:hint="eastAsia" w:hAnsi="宋体" w:cs="仿宋_GB2312"/>
                <w:b/>
                <w:color w:val="000000"/>
                <w:kern w:val="0"/>
                <w:sz w:val="20"/>
              </w:rPr>
              <w:t>（九）</w:t>
            </w:r>
            <w:r>
              <w:rPr>
                <w:rFonts w:hint="eastAsia" w:hAnsi="宋体" w:cs="仿宋_GB2312"/>
                <w:b/>
                <w:color w:val="000000"/>
                <w:kern w:val="0"/>
                <w:sz w:val="20"/>
              </w:rPr>
              <w:br w:type="textWrapping"/>
            </w:r>
            <w:r>
              <w:rPr>
                <w:rFonts w:hint="eastAsia" w:hAnsi="宋体" w:cs="仿宋_GB2312"/>
                <w:b/>
                <w:color w:val="000000"/>
                <w:kern w:val="0"/>
                <w:sz w:val="20"/>
              </w:rPr>
              <w:t>执行合同</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加强执行体制机制建设，对全局干警进行优化配置。</w:t>
            </w:r>
            <w:r>
              <w:rPr>
                <w:rStyle w:val="16"/>
                <w:rFonts w:hint="default" w:hAnsi="宋体"/>
              </w:rPr>
              <w:t>积极落实以法官为主导的“法官+法官助理（执行员）+法警+书记员”团队办案模式，按照分段集约繁简分流的执行工作机制，组建由院领导及部分资深员额法官为团队长的执行团队，并着力强化执行指挥中心集约功能，安排专人对执行流程节点进行管控。全面增强执行干警审限意识，严格审限延长报批手续。对无法定原因超审限执行案件进行问责。加快超长期未结案件的清理。</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99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sz w:val="20"/>
              </w:rPr>
              <w:t>36</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积极落实好执行指挥中心和执行案件流程信息管理系统的建设和完善。</w:t>
            </w:r>
            <w:r>
              <w:rPr>
                <w:rStyle w:val="16"/>
                <w:rFonts w:hint="default" w:hAnsi="宋体"/>
              </w:rPr>
              <w:t>加大对全体执行干警的教育培训，提升执行信息化的能力。完善网拍标的物网络询价机制，探索执行事务性工作外包，尝试引入拍卖辅助机构，专职协助承办法官做好标的物的调查、看样以及接受咨询等工作，进一步规范、加快网拍流程。</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560"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37</w:t>
            </w:r>
          </w:p>
        </w:tc>
        <w:tc>
          <w:tcPr>
            <w:tcW w:w="10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强化执行案款延期发放审批管理制度。</w:t>
            </w:r>
            <w:r>
              <w:rPr>
                <w:rStyle w:val="16"/>
                <w:rFonts w:hint="default" w:hAnsi="宋体"/>
              </w:rPr>
              <w:t>对执行案款超过一个月未发放的，必须逐案进行说明，并层报批准。推进不明款清理。坚持“以款找案、以案找人”，对于留存在账户中的不明款项进行集中清理。选派专人专门负责执行案款系统监控、提醒。明确执行局和财务部门的责任分工，优化案款管理。</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720"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38</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（十）</w:t>
            </w:r>
            <w:r>
              <w:rPr>
                <w:rFonts w:hint="eastAsia" w:hAnsi="宋体" w:cs="仿宋_GB2312"/>
                <w:b/>
                <w:color w:val="000000"/>
                <w:kern w:val="0"/>
                <w:sz w:val="20"/>
              </w:rPr>
              <w:br w:type="textWrapping"/>
            </w:r>
            <w:r>
              <w:rPr>
                <w:rFonts w:hint="eastAsia" w:hAnsi="宋体" w:cs="仿宋_GB2312"/>
                <w:b/>
                <w:color w:val="000000"/>
                <w:kern w:val="0"/>
                <w:sz w:val="20"/>
              </w:rPr>
              <w:t>市场监管</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创新监管方式。</w:t>
            </w:r>
            <w:r>
              <w:rPr>
                <w:rStyle w:val="16"/>
                <w:rFonts w:hint="default" w:hAnsi="宋体"/>
              </w:rPr>
              <w:t>将企业信用分类结果作为实施分级分类管理的重要参考，并与“双随机、一公开”等监管手段结合，依据信用分级分类，采取差异化监管方式。对信用较好的，合理降低抽查比例和频次，试点探索采取网络检查和书面检查的方式；对信用不良的，提高抽查比例和频次，严格采取实地检查的方式。</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522"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4"/>
                <w:szCs w:val="24"/>
              </w:rPr>
              <w:t>工作目标</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106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39</w:t>
            </w:r>
          </w:p>
        </w:tc>
        <w:tc>
          <w:tcPr>
            <w:tcW w:w="10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r>
              <w:rPr>
                <w:rFonts w:hint="eastAsia" w:hAnsi="宋体" w:cs="仿宋_GB2312"/>
                <w:b/>
                <w:color w:val="000000"/>
                <w:kern w:val="0"/>
                <w:sz w:val="20"/>
              </w:rPr>
              <w:t>（十）</w:t>
            </w:r>
            <w:r>
              <w:rPr>
                <w:rFonts w:hint="eastAsia" w:hAnsi="宋体" w:cs="仿宋_GB2312"/>
                <w:b/>
                <w:color w:val="000000"/>
                <w:kern w:val="0"/>
                <w:sz w:val="20"/>
              </w:rPr>
              <w:br w:type="textWrapping"/>
            </w:r>
            <w:r>
              <w:rPr>
                <w:rFonts w:hint="eastAsia" w:hAnsi="宋体" w:cs="仿宋_GB2312"/>
                <w:b/>
                <w:color w:val="000000"/>
                <w:kern w:val="0"/>
                <w:sz w:val="20"/>
              </w:rPr>
              <w:t>市场监管</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建立市场主体准入前信用承诺制度。</w:t>
            </w:r>
            <w:r>
              <w:rPr>
                <w:rStyle w:val="16"/>
                <w:rFonts w:hint="default" w:hAnsi="宋体"/>
              </w:rPr>
              <w:t>配合完善市公共信用信息平台联合奖惩系统建设，强化信用承诺作为信用监管的事前约束机制。</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区发改局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区行政服务中心管委会、区市场监管局、</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区数字办</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旭</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259"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40</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构建信用监管体系。</w:t>
            </w:r>
            <w:r>
              <w:rPr>
                <w:rStyle w:val="16"/>
                <w:rFonts w:hint="default" w:hAnsi="宋体"/>
              </w:rPr>
              <w:t>试行信用分级分类监管，积极推进企业注册登记代理人信用建设，并进一步强化失信代理人联合惩戒。针对近年来身份证被冒用，虚假注册等热点问题，积极推进企业注册登记代理人信用建设。</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区发改局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旭</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055"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41</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加强信息平台建设。</w:t>
            </w:r>
            <w:r>
              <w:rPr>
                <w:rStyle w:val="16"/>
                <w:rFonts w:hint="default" w:hAnsi="宋体"/>
              </w:rPr>
              <w:t>依托福州公共信用信息平台和国家企业信用信息公示系统（福州），配合上级部门进一步完善信用信息共享归集机制、信用修复机制和异议处理机制。</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区发改局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旭</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041"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kern w:val="0"/>
                <w:sz w:val="20"/>
              </w:rPr>
            </w:pPr>
            <w:r>
              <w:rPr>
                <w:rFonts w:hint="eastAsia" w:hAnsi="宋体" w:cs="仿宋_GB2312"/>
                <w:color w:val="000000"/>
                <w:kern w:val="0"/>
                <w:sz w:val="20"/>
              </w:rPr>
              <w:t>42</w:t>
            </w:r>
          </w:p>
        </w:tc>
        <w:tc>
          <w:tcPr>
            <w:tcW w:w="10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kern w:val="0"/>
                <w:sz w:val="20"/>
              </w:rPr>
            </w:pPr>
            <w:r>
              <w:rPr>
                <w:rFonts w:hint="eastAsia" w:hAnsi="宋体" w:cs="仿宋_GB2312"/>
                <w:b/>
                <w:color w:val="000000"/>
                <w:kern w:val="0"/>
                <w:sz w:val="20"/>
              </w:rPr>
              <w:t>加强信用宣传工作。</w:t>
            </w:r>
            <w:r>
              <w:rPr>
                <w:rStyle w:val="16"/>
                <w:rFonts w:hint="default" w:hAnsi="宋体"/>
              </w:rPr>
              <w:t>充分发挥主流媒体以及自有宣传平台的作用，广泛宣传鼓楼区信用惠民便企福利信息，树立诚信示范典型，引导企业、市民讲诚信，守信用，营造良好的信用环境。</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区发改局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陈  旭</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973"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43</w:t>
            </w:r>
          </w:p>
        </w:tc>
        <w:tc>
          <w:tcPr>
            <w:tcW w:w="100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（十一）</w:t>
            </w:r>
            <w:r>
              <w:rPr>
                <w:rFonts w:hint="eastAsia" w:hAnsi="宋体" w:cs="仿宋_GB2312"/>
                <w:b/>
                <w:color w:val="000000"/>
                <w:kern w:val="0"/>
                <w:sz w:val="20"/>
              </w:rPr>
              <w:br w:type="textWrapping"/>
            </w:r>
            <w:r>
              <w:rPr>
                <w:rFonts w:hint="eastAsia" w:hAnsi="宋体" w:cs="仿宋_GB2312"/>
                <w:b/>
                <w:color w:val="000000"/>
                <w:kern w:val="0"/>
                <w:sz w:val="20"/>
              </w:rPr>
              <w:t>政府采购</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严格执行公平竞争审查制度。</w:t>
            </w:r>
            <w:r>
              <w:rPr>
                <w:rStyle w:val="16"/>
                <w:rFonts w:hint="default" w:hAnsi="宋体"/>
              </w:rPr>
              <w:t>制定涉及市场主体的政府采购制度办法时，严格执行公平竞争审查制度。充分听取市场主体和相关行业协会商会意见。</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区财政局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柳向阳</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353"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44</w:t>
            </w:r>
          </w:p>
        </w:tc>
        <w:tc>
          <w:tcPr>
            <w:tcW w:w="100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（十二）</w:t>
            </w:r>
            <w:r>
              <w:rPr>
                <w:rFonts w:hint="eastAsia" w:hAnsi="宋体" w:cs="仿宋_GB2312"/>
                <w:b/>
                <w:color w:val="000000"/>
                <w:kern w:val="0"/>
                <w:sz w:val="20"/>
              </w:rPr>
              <w:br w:type="textWrapping"/>
            </w:r>
            <w:r>
              <w:rPr>
                <w:rFonts w:hint="eastAsia" w:hAnsi="宋体" w:cs="仿宋_GB2312"/>
                <w:b/>
                <w:color w:val="000000"/>
                <w:kern w:val="0"/>
                <w:sz w:val="20"/>
              </w:rPr>
              <w:t>政务服务</w:t>
            </w: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配合推广e福州便民服务平台应用。</w:t>
            </w:r>
            <w:r>
              <w:rPr>
                <w:rStyle w:val="16"/>
                <w:rFonts w:hint="default" w:hAnsi="宋体"/>
              </w:rPr>
              <w:t>配合推动“e福州”APP与自助服务终端，实现公安、人社、交通、医保等领域的100个事项自助办（个人事项80个，法人事项20个），40个高频便民服务事项掌上办。</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区行政服务中心</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管委会</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何春强</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108" w:hRule="atLeast"/>
        </w:trPr>
        <w:tc>
          <w:tcPr>
            <w:tcW w:w="549"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kern w:val="0"/>
                <w:sz w:val="20"/>
              </w:rPr>
            </w:pPr>
            <w:r>
              <w:rPr>
                <w:rFonts w:hint="eastAsia" w:hAnsi="宋体" w:cs="仿宋_GB2312"/>
                <w:color w:val="000000"/>
                <w:kern w:val="0"/>
                <w:sz w:val="20"/>
              </w:rPr>
              <w:t>45</w:t>
            </w:r>
          </w:p>
        </w:tc>
        <w:tc>
          <w:tcPr>
            <w:tcW w:w="100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kern w:val="0"/>
                <w:sz w:val="20"/>
              </w:rPr>
            </w:pPr>
          </w:p>
        </w:tc>
        <w:tc>
          <w:tcPr>
            <w:tcW w:w="548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kern w:val="0"/>
                <w:sz w:val="20"/>
              </w:rPr>
            </w:pPr>
            <w:r>
              <w:rPr>
                <w:rFonts w:hint="eastAsia" w:hAnsi="宋体" w:cs="仿宋_GB2312"/>
                <w:b/>
                <w:color w:val="000000"/>
                <w:kern w:val="0"/>
                <w:sz w:val="20"/>
              </w:rPr>
              <w:t>提升网上政务服务能力。</w:t>
            </w:r>
            <w:r>
              <w:rPr>
                <w:rStyle w:val="16"/>
                <w:rFonts w:hint="default" w:hAnsi="宋体"/>
              </w:rPr>
              <w:t>全面提升省网上办事大厅“一网通办”水平，进一步提升“一趟不用跑”实际办件量，“一趟不用跑”比例提升至60%以上，部分高频事项“一趟不用跑”。</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区行政服务中心</w:t>
            </w:r>
          </w:p>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管委会</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何春强</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6月底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567" w:hRule="atLeast"/>
        </w:trPr>
        <w:tc>
          <w:tcPr>
            <w:tcW w:w="5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工作目标</w:t>
            </w:r>
          </w:p>
        </w:tc>
        <w:tc>
          <w:tcPr>
            <w:tcW w:w="5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884"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1486"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kern w:val="0"/>
                <w:sz w:val="20"/>
              </w:rPr>
            </w:pPr>
            <w:r>
              <w:rPr>
                <w:rFonts w:hint="eastAsia" w:hAnsi="宋体" w:cs="仿宋_GB2312"/>
                <w:color w:val="000000"/>
                <w:kern w:val="0"/>
                <w:sz w:val="20"/>
              </w:rPr>
              <w:t>46</w:t>
            </w:r>
          </w:p>
        </w:tc>
        <w:tc>
          <w:tcPr>
            <w:tcW w:w="1001" w:type="dxa"/>
            <w:vMerge w:val="restart"/>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kern w:val="0"/>
                <w:sz w:val="20"/>
              </w:rPr>
            </w:pPr>
            <w:r>
              <w:rPr>
                <w:rFonts w:hint="eastAsia" w:hAnsi="宋体" w:cs="仿宋_GB2312"/>
                <w:b/>
                <w:color w:val="000000"/>
                <w:kern w:val="0"/>
                <w:sz w:val="20"/>
              </w:rPr>
              <w:t>（十二）</w:t>
            </w:r>
            <w:r>
              <w:rPr>
                <w:rFonts w:hint="eastAsia" w:hAnsi="宋体" w:cs="仿宋_GB2312"/>
                <w:b/>
                <w:color w:val="000000"/>
                <w:kern w:val="0"/>
                <w:sz w:val="20"/>
              </w:rPr>
              <w:br w:type="textWrapping"/>
            </w:r>
            <w:r>
              <w:rPr>
                <w:rFonts w:hint="eastAsia" w:hAnsi="宋体" w:cs="仿宋_GB2312"/>
                <w:b/>
                <w:color w:val="000000"/>
                <w:kern w:val="0"/>
                <w:sz w:val="20"/>
              </w:rPr>
              <w:t>政务服务</w:t>
            </w: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kern w:val="0"/>
                <w:sz w:val="20"/>
              </w:rPr>
            </w:pPr>
            <w:r>
              <w:rPr>
                <w:rFonts w:hint="eastAsia" w:hAnsi="宋体" w:cs="仿宋_GB2312"/>
                <w:b/>
                <w:color w:val="000000"/>
                <w:kern w:val="0"/>
                <w:sz w:val="20"/>
              </w:rPr>
              <w:t>充分应用智能服务形式。</w:t>
            </w:r>
            <w:r>
              <w:rPr>
                <w:rFonts w:hint="eastAsia" w:hAnsi="宋体" w:cs="仿宋_GB2312"/>
                <w:bCs/>
                <w:color w:val="000000"/>
                <w:kern w:val="0"/>
                <w:sz w:val="20"/>
              </w:rPr>
              <w:t>依托“福州鼓楼营商”微信公众号，采取“智能+人工”的形式，实行无接触式预约机制。充分应用抗疫期间智能化、高效率的新举措、新办法，进一步提升“一趟不用跑”实际办件量，持续深化“绿色通道”代办服务，提升群众办事的便捷度与获得感。</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区行政服务中心</w:t>
            </w:r>
          </w:p>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管委会</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何春强</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901"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47</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配合福州市建设城市大数据平台。</w:t>
            </w:r>
            <w:r>
              <w:rPr>
                <w:rStyle w:val="16"/>
                <w:rFonts w:hint="default" w:hAnsi="宋体"/>
              </w:rPr>
              <w:t>通过数据集中和共享，利用大数据等技术，配合建设福州市一体化的城市大数据资源中心。</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区数字办</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区直有关部门、各街镇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章世长</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张玉佩</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313"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48</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推进和完善政务数据汇聚共享平台建设。</w:t>
            </w:r>
            <w:r>
              <w:rPr>
                <w:rStyle w:val="16"/>
                <w:rFonts w:hint="default" w:hAnsi="宋体"/>
              </w:rPr>
              <w:t>完成全区各部门已登记政务资源在市政务数据汇聚共享平台信息资源汇聚工作；落实平台数据共享应用工作；推进落实已汇聚信息资源在市数据开放平台的开放工作。</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区数字办</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区直有关部门、各街镇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章世长</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张玉佩</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077"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49</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梳理发布“证照联办”套餐服务。</w:t>
            </w:r>
            <w:r>
              <w:rPr>
                <w:rStyle w:val="16"/>
                <w:rFonts w:hint="default" w:hAnsi="宋体"/>
              </w:rPr>
              <w:t>优化套餐服务办理流程，分批次上线多个主题的套餐服务事项，套餐服务事项总数增加至40项。</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区行政服务中心</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管委会</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何春强</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227"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50</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配合实现“全城通办”。</w:t>
            </w:r>
            <w:r>
              <w:rPr>
                <w:rStyle w:val="16"/>
                <w:rFonts w:hint="default" w:hAnsi="宋体"/>
              </w:rPr>
              <w:t>在“一窗受理”基础上，打通行政审批层级、消除审批地域界限，受理部门和实际审批部门依照“审批权数不变、数据网络流转、结果快递送达”要求，实现一批事项在市、县两级全城通办。</w:t>
            </w:r>
          </w:p>
        </w:tc>
        <w:tc>
          <w:tcPr>
            <w:tcW w:w="188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区行政服务中心</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管委会</w:t>
            </w:r>
          </w:p>
        </w:tc>
        <w:tc>
          <w:tcPr>
            <w:tcW w:w="2200"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何春强</w:t>
            </w:r>
          </w:p>
        </w:tc>
        <w:tc>
          <w:tcPr>
            <w:tcW w:w="10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764"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51</w:t>
            </w:r>
          </w:p>
        </w:tc>
        <w:tc>
          <w:tcPr>
            <w:tcW w:w="100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加快推进“智慧审批”改革。</w:t>
            </w:r>
            <w:r>
              <w:rPr>
                <w:rStyle w:val="16"/>
                <w:rFonts w:hint="default" w:hAnsi="宋体"/>
              </w:rPr>
              <w:t>创新“智慧审批”举措，对申请材料明晰、标准明确、可电子化表单化的事项，通过系统比对相关数据，与量化的审查标准进行对比，数据库自动识别，系统智能判定，实行“受理零窗口、审查零人工、领证零上门、归档零材料”的“智慧审批”，引导企业和群众自助办事。</w:t>
            </w:r>
          </w:p>
        </w:tc>
        <w:tc>
          <w:tcPr>
            <w:tcW w:w="1884"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区数字办</w:t>
            </w:r>
            <w:r>
              <w:rPr>
                <w:rFonts w:hint="eastAsia" w:hAnsi="宋体" w:cs="仿宋_GB2312"/>
                <w:color w:val="000000"/>
                <w:kern w:val="0"/>
                <w:sz w:val="20"/>
              </w:rPr>
              <w:br w:type="textWrapping"/>
            </w:r>
            <w:r>
              <w:rPr>
                <w:rFonts w:hint="eastAsia" w:hAnsi="宋体" w:cs="仿宋_GB2312"/>
                <w:color w:val="000000"/>
                <w:kern w:val="0"/>
                <w:sz w:val="20"/>
              </w:rPr>
              <w:t>区行政服务中心</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管委会</w:t>
            </w:r>
          </w:p>
        </w:tc>
        <w:tc>
          <w:tcPr>
            <w:tcW w:w="2200"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w:t>
            </w:r>
          </w:p>
        </w:tc>
        <w:tc>
          <w:tcPr>
            <w:tcW w:w="10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章世长</w:t>
            </w:r>
            <w:r>
              <w:rPr>
                <w:rFonts w:hint="eastAsia" w:hAnsi="宋体" w:cs="仿宋_GB2312"/>
                <w:color w:val="000000"/>
                <w:kern w:val="0"/>
                <w:sz w:val="20"/>
              </w:rPr>
              <w:br w:type="textWrapping"/>
            </w:r>
            <w:r>
              <w:rPr>
                <w:rFonts w:hint="eastAsia" w:hAnsi="宋体" w:cs="仿宋_GB2312"/>
                <w:color w:val="000000"/>
                <w:kern w:val="0"/>
                <w:sz w:val="20"/>
              </w:rPr>
              <w:t>何春强</w:t>
            </w:r>
          </w:p>
        </w:tc>
        <w:tc>
          <w:tcPr>
            <w:tcW w:w="108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杨  辉</w:t>
            </w:r>
          </w:p>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张玉佩</w:t>
            </w:r>
          </w:p>
        </w:tc>
        <w:tc>
          <w:tcPr>
            <w:tcW w:w="106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56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工作目标</w:t>
            </w:r>
          </w:p>
        </w:tc>
        <w:tc>
          <w:tcPr>
            <w:tcW w:w="54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884"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200"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olor w:val="000000"/>
                <w:kern w:val="0"/>
                <w:sz w:val="20"/>
              </w:rPr>
            </w:pPr>
            <w:r>
              <w:rPr>
                <w:rFonts w:hint="eastAsia" w:hAnsi="宋体" w:cs="仿宋_GB2312"/>
                <w:b/>
                <w:color w:val="000000"/>
                <w:kern w:val="0"/>
                <w:sz w:val="24"/>
                <w:szCs w:val="24"/>
              </w:rPr>
              <w:t>分管领导</w:t>
            </w:r>
          </w:p>
        </w:tc>
        <w:tc>
          <w:tcPr>
            <w:tcW w:w="10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2030"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52</w:t>
            </w:r>
          </w:p>
        </w:tc>
        <w:tc>
          <w:tcPr>
            <w:tcW w:w="100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（十三）</w:t>
            </w:r>
            <w:r>
              <w:rPr>
                <w:rFonts w:hint="eastAsia" w:hAnsi="宋体" w:cs="仿宋_GB2312"/>
                <w:b/>
                <w:color w:val="000000"/>
                <w:kern w:val="0"/>
                <w:sz w:val="20"/>
              </w:rPr>
              <w:br w:type="textWrapping"/>
            </w:r>
            <w:r>
              <w:rPr>
                <w:rFonts w:hint="eastAsia" w:hAnsi="宋体" w:cs="仿宋_GB2312"/>
                <w:b/>
                <w:color w:val="000000"/>
                <w:kern w:val="0"/>
                <w:sz w:val="20"/>
              </w:rPr>
              <w:t>知识产权创造、保护和运用</w:t>
            </w:r>
          </w:p>
        </w:tc>
        <w:tc>
          <w:tcPr>
            <w:tcW w:w="54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加强知识产权保护措施。</w:t>
            </w:r>
            <w:r>
              <w:rPr>
                <w:rStyle w:val="16"/>
                <w:rFonts w:hint="default" w:hAnsi="宋体"/>
              </w:rPr>
              <w:t>积极开展“4.26知识产权日”活动，及时发布知识产权司法保护典型案例，积极推进网络远程开庭，进行庭审直播，实现裁判文书百分百上网。组织开展打击侵犯知识产权工作，推进双打工作,深入开展打击网络侵权盗版“剑网行动”。</w:t>
            </w:r>
          </w:p>
        </w:tc>
        <w:tc>
          <w:tcPr>
            <w:tcW w:w="1884"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2200"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区市场监管局（知识产权局）、区新闻出版局</w:t>
            </w:r>
          </w:p>
        </w:tc>
        <w:tc>
          <w:tcPr>
            <w:tcW w:w="10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  曦</w:t>
            </w:r>
          </w:p>
        </w:tc>
        <w:tc>
          <w:tcPr>
            <w:tcW w:w="10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ascii="Times New Roman" w:hAnsi="Times New Roman"/>
                <w:color w:val="000000"/>
                <w:kern w:val="0"/>
                <w:sz w:val="20"/>
              </w:rPr>
              <w:t>陈  辉</w:t>
            </w:r>
          </w:p>
        </w:tc>
        <w:tc>
          <w:tcPr>
            <w:tcW w:w="10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735"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53</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加大知识产权保护宣传。</w:t>
            </w:r>
            <w:r>
              <w:rPr>
                <w:rStyle w:val="16"/>
                <w:rFonts w:hint="default" w:hAnsi="宋体"/>
              </w:rPr>
              <w:t>组织开展“进社区、进高校、进企业、进园区”知识产权现场宣传咨询活动。配合上级部门举办知识产权司法保护新闻发布会1场，发布福州知识产权司法保护状况白皮书及十大案例；持续推进庭审公开，加大庭审直播的数量。</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区市场监管局（知识产权局）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区法院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876"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54</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知识产权纠纷调解。</w:t>
            </w:r>
            <w:r>
              <w:rPr>
                <w:rStyle w:val="16"/>
                <w:rFonts w:hint="default" w:hAnsi="宋体"/>
              </w:rPr>
              <w:t>按照上级部门统一部署积极推进知识产权多元化纠纷解决机制的完善和运用。强化知识产权保护能力，发挥公职律师职能，结合专利纠纷人民调解委员会制度，发挥专利纠纷调解小组工作职能，配合专利侵权纠纷人民调解委员会日常工作，保障企业、专利权人合法权益。</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区市场监管局（知识产权局）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034"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55</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提高知识产权创造和运用程度。</w:t>
            </w:r>
            <w:r>
              <w:rPr>
                <w:rStyle w:val="16"/>
                <w:rFonts w:hint="default" w:hAnsi="宋体"/>
              </w:rPr>
              <w:t>按照上级有关方案力争增加知识产权示范、优势、贯标企业数量。</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区市场监管局（知识产权局）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181"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56</w:t>
            </w:r>
          </w:p>
        </w:tc>
        <w:tc>
          <w:tcPr>
            <w:tcW w:w="10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高效开展知识产权维权援助。</w:t>
            </w:r>
            <w:r>
              <w:rPr>
                <w:rStyle w:val="16"/>
                <w:rFonts w:hint="default" w:hAnsi="宋体"/>
              </w:rPr>
              <w:t>按照上级部门统一部署开展打击侵犯知识产权专项执法行动保护工作；贯彻落实新</w:t>
            </w:r>
            <w:r>
              <w:rPr>
                <w:rStyle w:val="16"/>
                <w:rFonts w:hint="eastAsia" w:hAnsi="宋体"/>
                <w:lang w:eastAsia="zh-CN"/>
              </w:rPr>
              <w:t>《中华人民共和国商标法》</w:t>
            </w:r>
            <w:r>
              <w:rPr>
                <w:rStyle w:val="16"/>
                <w:rFonts w:hint="default" w:hAnsi="宋体"/>
              </w:rPr>
              <w:t>。</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区市场监管局（知识产权局）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区新闻出版局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56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工作目标</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9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933"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57</w:t>
            </w:r>
          </w:p>
        </w:tc>
        <w:tc>
          <w:tcPr>
            <w:tcW w:w="10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（十四）</w:t>
            </w:r>
            <w:r>
              <w:rPr>
                <w:rFonts w:hint="eastAsia" w:hAnsi="宋体" w:cs="仿宋_GB2312"/>
                <w:b/>
                <w:color w:val="000000"/>
                <w:kern w:val="0"/>
                <w:sz w:val="20"/>
              </w:rPr>
              <w:br w:type="textWrapping"/>
            </w:r>
            <w:r>
              <w:rPr>
                <w:rFonts w:hint="eastAsia" w:hAnsi="宋体" w:cs="仿宋_GB2312"/>
                <w:b/>
                <w:color w:val="000000"/>
                <w:kern w:val="0"/>
                <w:sz w:val="20"/>
              </w:rPr>
              <w:t>劳动力市场监管</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推进就业和社会保障公共服务平台建设。</w:t>
            </w:r>
            <w:r>
              <w:rPr>
                <w:rStyle w:val="16"/>
                <w:rFonts w:hint="default" w:hAnsi="宋体"/>
              </w:rPr>
              <w:t>明确公共服务办事清单和责任清单；提升公共就业服务信息化水平，实现10个街镇就业和社会保障公共服务设施全覆盖。</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区人社局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秀</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2329"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58</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加强企业劳动用工管理服务和监管。</w:t>
            </w:r>
            <w:r>
              <w:rPr>
                <w:rStyle w:val="16"/>
                <w:rFonts w:hint="default" w:hAnsi="宋体"/>
              </w:rPr>
              <w:t>组织辖区企业参加海西法律大讲堂—构建和谐劳动关系讲座，切实增强用人单位遵守劳动法律法规的意识；深入推进和谐劳动关系创建活动，组织辖区企业、园区、街镇参评“劳动关系和谐企业、工业园区、乡镇（街道）”；扩大日常巡查，推广随机抽查机制，规范事中、事后监管，督促企业依法落实劳动合同、工资支付、工时制度、休息休假、规范裁员等规定，促使用人单位依法用工。</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区人社局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秀</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956"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59</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做好重点群体就业帮扶。</w:t>
            </w:r>
            <w:r>
              <w:rPr>
                <w:rStyle w:val="16"/>
                <w:rFonts w:hint="default" w:hAnsi="宋体"/>
              </w:rPr>
              <w:t>开展就业见习计划，完善高校毕业生就业创业服务平台。城镇登记失业率在3%以内，完成市下达的城镇新增就业25800人、失业人员再就业3150人任务。</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区人社局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秀</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717"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60</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节约企业用工成本。</w:t>
            </w:r>
            <w:r>
              <w:rPr>
                <w:rStyle w:val="16"/>
                <w:rFonts w:hint="default" w:hAnsi="宋体"/>
              </w:rPr>
              <w:t>失业保险费率优惠政策延长至4月底，工伤保险费率优惠政策延长至12月底。</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区人社局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区财政局、区税务局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秀</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287"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61</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稳定企业用工。</w:t>
            </w:r>
            <w:r>
              <w:rPr>
                <w:rStyle w:val="16"/>
                <w:rFonts w:hint="default" w:hAnsi="宋体"/>
              </w:rPr>
              <w:t>采取“先比对、再通知”方式，公示符合不裁员、少裁员的企业名单。加大对暂时困难且有望恢复生产企业的失业保险金稳岗返还及工业企业奖补资金受惠面，扶持资金450万元。</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区人社局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秀</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572"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62</w:t>
            </w:r>
          </w:p>
        </w:tc>
        <w:tc>
          <w:tcPr>
            <w:tcW w:w="100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鼓励创新创业。</w:t>
            </w:r>
            <w:r>
              <w:rPr>
                <w:rStyle w:val="16"/>
                <w:rFonts w:hint="default" w:hAnsi="宋体"/>
              </w:rPr>
              <w:t>鼓励创新创业。大力宣传“植根榕城”项目，推荐30家以上企业参评“植根榕城”创业项目；组织10家以上企业申报“一次性创业补贴”申请，并为企业提供就业创业政策辅导、岗位推荐等服务。</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区人社局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秀</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56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4"/>
                <w:szCs w:val="24"/>
              </w:rPr>
              <w:t>工作目标</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2415"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63</w:t>
            </w:r>
          </w:p>
        </w:tc>
        <w:tc>
          <w:tcPr>
            <w:tcW w:w="100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r>
              <w:rPr>
                <w:rFonts w:hint="eastAsia" w:hAnsi="宋体" w:cs="仿宋_GB2312"/>
                <w:b/>
                <w:color w:val="000000"/>
                <w:kern w:val="0"/>
                <w:sz w:val="20"/>
              </w:rPr>
              <w:t>（十四）</w:t>
            </w:r>
            <w:r>
              <w:rPr>
                <w:rFonts w:hint="eastAsia" w:hAnsi="宋体" w:cs="仿宋_GB2312"/>
                <w:b/>
                <w:color w:val="000000"/>
                <w:kern w:val="0"/>
                <w:sz w:val="20"/>
              </w:rPr>
              <w:br w:type="textWrapping"/>
            </w:r>
            <w:r>
              <w:rPr>
                <w:rFonts w:hint="eastAsia" w:hAnsi="宋体" w:cs="仿宋_GB2312"/>
                <w:b/>
                <w:color w:val="000000"/>
                <w:kern w:val="0"/>
                <w:sz w:val="20"/>
              </w:rPr>
              <w:t>劳动力市场监管</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确保各项人才服务政策落实到位。</w:t>
            </w:r>
            <w:r>
              <w:rPr>
                <w:rStyle w:val="16"/>
                <w:rFonts w:hint="default" w:hAnsi="宋体"/>
              </w:rPr>
              <w:t>配合市局做好省ABC类人才、工科类专业人才、优秀博士等高层次人才引进工作；积极宣传《鼓励引进高层次人才的八条措施》、人才共有产权住房、创业创新人才租房补贴、人才落户等系列优惠政策；推进《鼓楼区关于鼓励引进人才的六条措施》《鼓楼区重点企业业务技术骨干人才激励办法（试行）》等政策的落实。</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区人社局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区民政局、各街镇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秀</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2679"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64</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优化人才服务。</w:t>
            </w:r>
            <w:r>
              <w:rPr>
                <w:rStyle w:val="16"/>
                <w:rFonts w:hint="default" w:hAnsi="宋体"/>
              </w:rPr>
              <w:t>我区在人才落户、住房补贴、经费资助、子女就学等方面提供全方位服务，解决人才的后顾之忧。对入选区“高层次人才”“优秀人才”和“业务技术骨干人才”的子女给予义务阶段教育入学支持。构建“租、售、补”三位一体的人才住房保障体系，试行以政府、用人单位、人才各承担三分之一租金租赁人才公寓或以低价售卖等形式保障人才住房需求，对重点扶持的现代服务业企业骨干人才给予每月1000元的租房补贴或10万元购房补助。</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区人社局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秀</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253"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65</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保障农民工工资支付。</w:t>
            </w:r>
            <w:r>
              <w:rPr>
                <w:rStyle w:val="16"/>
                <w:rFonts w:hint="default" w:hAnsi="宋体"/>
              </w:rPr>
              <w:t>开展保障农民工工资支付专项检查，劳动保障监察案件结案率95%以上，开展用人单位工资支付诚信等级评价。</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区人社局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秀</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279"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sz w:val="20"/>
              </w:rPr>
              <w:t>66</w:t>
            </w:r>
          </w:p>
        </w:tc>
        <w:tc>
          <w:tcPr>
            <w:tcW w:w="10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强化劳动仲裁、调解工作。</w:t>
            </w:r>
            <w:r>
              <w:rPr>
                <w:rStyle w:val="16"/>
                <w:rFonts w:hint="default" w:hAnsi="宋体"/>
              </w:rPr>
              <w:t>劳动调解成功率达到60%以上；劳动仲裁结案率达到90%以上（具体比例以人社部、省人社厅、市人社局发布的要求及时对照更改）。</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区人社局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各街镇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秀</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56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工作目标</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1012"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67</w:t>
            </w:r>
          </w:p>
        </w:tc>
        <w:tc>
          <w:tcPr>
            <w:tcW w:w="100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（十五）</w:t>
            </w:r>
            <w:r>
              <w:rPr>
                <w:rFonts w:hint="eastAsia" w:hAnsi="宋体" w:cs="仿宋_GB2312"/>
                <w:b/>
                <w:color w:val="000000"/>
                <w:kern w:val="0"/>
                <w:sz w:val="20"/>
              </w:rPr>
              <w:br w:type="textWrapping"/>
            </w:r>
            <w:r>
              <w:rPr>
                <w:rFonts w:hint="eastAsia" w:hAnsi="宋体" w:cs="仿宋_GB2312"/>
                <w:b/>
                <w:color w:val="000000"/>
                <w:kern w:val="0"/>
                <w:sz w:val="20"/>
              </w:rPr>
              <w:t>包容普惠创新</w:t>
            </w: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推动学前教育普惠发展。</w:t>
            </w:r>
            <w:r>
              <w:rPr>
                <w:rStyle w:val="16"/>
                <w:rFonts w:hint="default" w:hAnsi="宋体"/>
              </w:rPr>
              <w:t>加快古乐路幼儿园建设进展；学前三年入园率保持在98%以上，普惠性学额（含公办学额和普惠性民办学额）覆盖率达85%，其中公办学额覆盖率50%。</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区教育局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区建工集团</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翁  晖</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高  翔</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613"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68</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推动教育培训机构规范管理。</w:t>
            </w:r>
            <w:r>
              <w:rPr>
                <w:rStyle w:val="16"/>
                <w:rFonts w:hint="default" w:hAnsi="宋体"/>
              </w:rPr>
              <w:t>在全国校外培训机构管理平台、鼓楼教育、社区学院微信公众号等公布办学机构白名单；深入开展校外培训机构专项治理“回头看”工作，不定期开展无证培训机构联合执法，抽查持证校外培训机构规范办学情况；通过多种活动形式引导培训机构提升办学品质。</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区教育局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翁  晖</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高  翔</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168"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69</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推进民办教育、终身教育健康发展。</w:t>
            </w:r>
            <w:r>
              <w:rPr>
                <w:rStyle w:val="16"/>
                <w:rFonts w:hint="default" w:hAnsi="宋体"/>
              </w:rPr>
              <w:t>出台《鼓楼区民办幼儿园管理办法》《鼓楼区民办教育培训机构审批管理办法》，启动第三方评估监管模式。培育一批新的省市社区教育品牌和基地。</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区教育局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翁  晖</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高  翔</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893"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70</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降低市场准入门槛。</w:t>
            </w:r>
            <w:r>
              <w:rPr>
                <w:rStyle w:val="16"/>
                <w:rFonts w:hint="default" w:hAnsi="宋体"/>
              </w:rPr>
              <w:t>取消对营利性医疗机构在证照办理等方面不合理限制；取消对营利性教育机构在证照办理、人才聘用等方面不合理限制。</w:t>
            </w:r>
          </w:p>
        </w:tc>
        <w:tc>
          <w:tcPr>
            <w:tcW w:w="4084"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区卫健局</w:t>
            </w:r>
            <w:r>
              <w:rPr>
                <w:rFonts w:hint="eastAsia" w:hAnsi="宋体" w:cs="仿宋_GB2312"/>
                <w:color w:val="000000"/>
                <w:kern w:val="0"/>
                <w:sz w:val="20"/>
              </w:rPr>
              <w:br w:type="textWrapping"/>
            </w:r>
            <w:r>
              <w:rPr>
                <w:rFonts w:hint="eastAsia" w:hAnsi="宋体" w:cs="仿宋_GB2312"/>
                <w:color w:val="000000"/>
                <w:kern w:val="0"/>
                <w:sz w:val="20"/>
              </w:rPr>
              <w:t>区教育局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高  勇</w:t>
            </w:r>
            <w:r>
              <w:rPr>
                <w:rFonts w:hint="eastAsia" w:hAnsi="宋体" w:cs="仿宋_GB2312"/>
                <w:color w:val="000000"/>
                <w:kern w:val="0"/>
                <w:sz w:val="20"/>
              </w:rPr>
              <w:br w:type="textWrapping"/>
            </w:r>
            <w:r>
              <w:rPr>
                <w:rFonts w:hint="eastAsia" w:hAnsi="宋体" w:cs="仿宋_GB2312"/>
                <w:color w:val="000000"/>
                <w:kern w:val="0"/>
                <w:sz w:val="20"/>
              </w:rPr>
              <w:t>翁  晖</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诚</w:t>
            </w:r>
            <w:r>
              <w:rPr>
                <w:rFonts w:hint="eastAsia" w:hAnsi="宋体" w:cs="仿宋_GB2312"/>
                <w:color w:val="000000"/>
                <w:kern w:val="0"/>
                <w:sz w:val="20"/>
              </w:rPr>
              <w:br w:type="textWrapping"/>
            </w:r>
            <w:r>
              <w:rPr>
                <w:rFonts w:hint="eastAsia" w:hAnsi="宋体" w:cs="仿宋_GB2312"/>
                <w:color w:val="000000"/>
                <w:kern w:val="0"/>
                <w:sz w:val="20"/>
              </w:rPr>
              <w:t>高  翔</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750"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71</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推进“互联网+医疗健康”试点。</w:t>
            </w:r>
            <w:r>
              <w:rPr>
                <w:rStyle w:val="16"/>
                <w:rFonts w:hint="default" w:hAnsi="宋体"/>
              </w:rPr>
              <w:t>通过与省电子信息集团合作，完善“互联网医疗健康服务中心”项目。</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区卫健局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区数字办</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高  勇</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诚</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2342"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sz w:val="20"/>
              </w:rPr>
              <w:t>72</w:t>
            </w:r>
          </w:p>
        </w:tc>
        <w:tc>
          <w:tcPr>
            <w:tcW w:w="100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提升就医办医水平。</w:t>
            </w:r>
            <w:r>
              <w:rPr>
                <w:rStyle w:val="16"/>
                <w:rFonts w:hint="default" w:hAnsi="宋体"/>
              </w:rPr>
              <w:t>鼓励社会在儿科、耳鼻喉、精神、康复等领域办医，加快打造一批具有竞争力的品牌服务机构。鼓励投资者建立品牌化、连锁化专科医疗集团。鼓励康复医疗中心、护理中心集团化、连锁化经营，对申请举办集团化、连锁化康复医疗中心、护理中心的，可优先设置审批。全面推进医疗机构、医师和护士电子化注册管理工作，医疗机构、医师、护士电子化注册率达100%。</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区卫健局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高  勇</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诚</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567"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4"/>
                <w:szCs w:val="24"/>
              </w:rPr>
              <w:t>工作目标</w:t>
            </w: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828"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73</w:t>
            </w:r>
          </w:p>
        </w:tc>
        <w:tc>
          <w:tcPr>
            <w:tcW w:w="100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r>
              <w:rPr>
                <w:rFonts w:hint="eastAsia" w:hAnsi="宋体" w:cs="仿宋_GB2312"/>
                <w:b/>
                <w:color w:val="000000"/>
                <w:kern w:val="0"/>
                <w:sz w:val="20"/>
              </w:rPr>
              <w:t>（十五）</w:t>
            </w:r>
            <w:r>
              <w:rPr>
                <w:rFonts w:hint="eastAsia" w:hAnsi="宋体" w:cs="仿宋_GB2312"/>
                <w:b/>
                <w:color w:val="000000"/>
                <w:kern w:val="0"/>
                <w:sz w:val="20"/>
              </w:rPr>
              <w:br w:type="textWrapping"/>
            </w:r>
            <w:r>
              <w:rPr>
                <w:rFonts w:hint="eastAsia" w:hAnsi="宋体" w:cs="仿宋_GB2312"/>
                <w:b/>
                <w:color w:val="000000"/>
                <w:kern w:val="0"/>
                <w:sz w:val="20"/>
              </w:rPr>
              <w:t>包容普惠创新</w:t>
            </w: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实施卫生服务中心能力提升工程。</w:t>
            </w:r>
            <w:r>
              <w:rPr>
                <w:rStyle w:val="16"/>
                <w:rFonts w:hint="default" w:hAnsi="宋体"/>
              </w:rPr>
              <w:t>完成水部、鼓西社区卫生服务中心建设。</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区卫健局</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高  勇</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诚</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044"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74</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深化“证照分离”改革。</w:t>
            </w:r>
            <w:r>
              <w:rPr>
                <w:rStyle w:val="16"/>
                <w:rFonts w:hint="default" w:hAnsi="宋体"/>
              </w:rPr>
              <w:t>按照上级部署，大幅放宽对服务业市场主体的资质、从业人员、经营场所等要求，推进“证照分离”改革，着力“照后减证”。</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839"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75</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公证档案数字化。</w:t>
            </w:r>
            <w:r>
              <w:rPr>
                <w:rStyle w:val="16"/>
                <w:rFonts w:hint="default" w:hAnsi="宋体"/>
              </w:rPr>
              <w:t>通过政府购买服务形式，引入市场化运营模式，实施公证档案数字化改革，并统一纳入区档案管理系统。</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区司法局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区公证处</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王建军</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诚</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8月底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1143"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76</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降低写字楼租赁成本。</w:t>
            </w:r>
            <w:r>
              <w:rPr>
                <w:rStyle w:val="16"/>
                <w:rFonts w:hint="default" w:hAnsi="宋体"/>
              </w:rPr>
              <w:t>积极引导各街镇、相关部门提供企业房产租赁需求的信息，在鼓楼区楼宇（大厦）工作群中发布，让企业更便捷、多渠道地租赁到办公场所。</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区房管局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各街镇及园区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  勉</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王茂盛</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1125"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77</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提高绿化覆盖率。</w:t>
            </w:r>
            <w:r>
              <w:rPr>
                <w:rStyle w:val="16"/>
                <w:rFonts w:hint="default" w:hAnsi="宋体"/>
              </w:rPr>
              <w:t>全区绿化覆盖率到40.98%。全区新增街头绿地（&gt;100</w:t>
            </w:r>
            <w:r>
              <w:rPr>
                <w:rStyle w:val="15"/>
                <w:rFonts w:hint="default"/>
              </w:rPr>
              <w:t>㎡</w:t>
            </w:r>
            <w:r>
              <w:rPr>
                <w:rStyle w:val="16"/>
                <w:rFonts w:hint="default" w:hAnsi="宋体"/>
              </w:rPr>
              <w:t>/处）10处以上，全区增种乔木1000颗。建成10处屋顶绿化或垂直绿化项目。</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区园林中心</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李建国</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李正国</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682"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78</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空气质量指数。</w:t>
            </w:r>
            <w:r>
              <w:rPr>
                <w:rStyle w:val="16"/>
                <w:rFonts w:hint="default" w:hAnsi="宋体"/>
              </w:rPr>
              <w:t>坚持O₃和PM2.5协同控制，力争PM2.5年均浓度低于25微克/立方米。</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鼓楼生态环境局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区建设局、区自然资源和规划局、区市场监管局、区城管局、区房管局、区商务局、鼓楼交警大队，各街镇及园区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林清松</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075"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79</w:t>
            </w:r>
          </w:p>
        </w:tc>
        <w:tc>
          <w:tcPr>
            <w:tcW w:w="100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推动铁道大厦营商环境提升及楼宇招商。</w:t>
            </w:r>
            <w:r>
              <w:rPr>
                <w:rStyle w:val="16"/>
                <w:rFonts w:hint="default" w:hAnsi="宋体"/>
              </w:rPr>
              <w:t>通过招引招商局蛇口工业区控股股份有限公司旗下品牌壹间公寓Apartment One（原槟榔园），吸引年轻群体，并加强周边配套，营造良好的营商环境，盘活楼宇资源。</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水部街道</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高  春</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hint="eastAsia" w:hAnsi="宋体" w:cs="仿宋_GB2312"/>
                <w:color w:val="000000"/>
                <w:kern w:val="0"/>
                <w:sz w:val="20"/>
              </w:rPr>
              <w:t>张玉佩</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567"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4"/>
                <w:szCs w:val="24"/>
              </w:rPr>
              <w:t>工作目标</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1382"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80</w:t>
            </w:r>
          </w:p>
        </w:tc>
        <w:tc>
          <w:tcPr>
            <w:tcW w:w="100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r>
              <w:rPr>
                <w:rFonts w:hint="eastAsia" w:hAnsi="宋体" w:cs="仿宋_GB2312"/>
                <w:b/>
                <w:color w:val="000000"/>
                <w:kern w:val="0"/>
                <w:sz w:val="20"/>
              </w:rPr>
              <w:t>（十五）</w:t>
            </w:r>
            <w:r>
              <w:rPr>
                <w:rFonts w:hint="eastAsia" w:hAnsi="宋体" w:cs="仿宋_GB2312"/>
                <w:b/>
                <w:color w:val="000000"/>
                <w:kern w:val="0"/>
                <w:sz w:val="20"/>
              </w:rPr>
              <w:br w:type="textWrapping"/>
            </w:r>
            <w:r>
              <w:rPr>
                <w:rFonts w:hint="eastAsia" w:hAnsi="宋体" w:cs="仿宋_GB2312"/>
                <w:b/>
                <w:color w:val="000000"/>
                <w:kern w:val="0"/>
                <w:sz w:val="20"/>
              </w:rPr>
              <w:t>包容普惠创新</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依托文创园打造夜色经济。</w:t>
            </w:r>
            <w:r>
              <w:rPr>
                <w:rStyle w:val="16"/>
                <w:rFonts w:hint="default" w:hAnsi="宋体"/>
              </w:rPr>
              <w:t>依托怡山文创园等现有载体，通过提升楼宇灯光效果，完善周边配套服务吸引周边住宅区、写字楼、院校的居民、白领、大学生等巨大消费群体，打造集餐饮、零售、文娱为一体的消费街区，提升洪山镇夜间消费环境和消费水平。</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洪山镇</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高新区洪山园</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 xml:space="preserve">林  波 </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hint="eastAsia" w:hAnsi="宋体" w:cs="仿宋_GB2312"/>
                <w:color w:val="000000"/>
                <w:sz w:val="20"/>
              </w:rPr>
              <w:t>郑炳锋</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1330"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81</w:t>
            </w:r>
          </w:p>
        </w:tc>
        <w:tc>
          <w:tcPr>
            <w:tcW w:w="1001"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发展特色民宿与文创产业。</w:t>
            </w:r>
            <w:r>
              <w:rPr>
                <w:rStyle w:val="16"/>
                <w:rFonts w:hint="default" w:hAnsi="宋体"/>
              </w:rPr>
              <w:t>利用辖区朱紫坊、鳌峰坊等历史文化街区资源，着重发展特色民宿与文创产业，使辖区文化历史街区在沿袭历史文脉的基础上，融入新的时代特色和现代经营理念，营造辖区浓厚、良好的文旅营商环境氛围。</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安泰街道</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靖</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hint="eastAsia" w:hAnsi="宋体" w:cs="仿宋_GB2312"/>
                <w:color w:val="000000"/>
                <w:kern w:val="0"/>
                <w:sz w:val="20"/>
              </w:rPr>
              <w:t>王茂盛</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932"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82</w:t>
            </w:r>
          </w:p>
        </w:tc>
        <w:tc>
          <w:tcPr>
            <w:tcW w:w="100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优化“企业驿站”服务。</w:t>
            </w:r>
            <w:r>
              <w:rPr>
                <w:rStyle w:val="16"/>
                <w:rFonts w:hint="default" w:hAnsi="宋体"/>
              </w:rPr>
              <w:t>持续优化“企业驿站”服务功能，精准对接各方需求，积极总结经验，丰富服务内容，适时推广至其他街镇。</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区市场监管局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区税务局、区企业服务中心，各街镇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吴小雄</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黄瑞忠</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1847"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83</w:t>
            </w:r>
          </w:p>
        </w:tc>
        <w:tc>
          <w:tcPr>
            <w:tcW w:w="100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r>
              <w:rPr>
                <w:rFonts w:hint="eastAsia" w:hAnsi="宋体" w:cs="仿宋_GB2312"/>
                <w:b/>
                <w:color w:val="000000"/>
                <w:kern w:val="0"/>
                <w:sz w:val="20"/>
              </w:rPr>
              <w:t>（十六）</w:t>
            </w:r>
            <w:r>
              <w:rPr>
                <w:rFonts w:hint="eastAsia" w:hAnsi="宋体" w:cs="仿宋_GB2312"/>
                <w:b/>
                <w:color w:val="000000"/>
                <w:kern w:val="0"/>
                <w:sz w:val="20"/>
              </w:rPr>
              <w:br w:type="textWrapping"/>
            </w:r>
            <w:r>
              <w:rPr>
                <w:rFonts w:hint="eastAsia" w:hAnsi="宋体" w:cs="仿宋_GB2312"/>
                <w:b/>
                <w:color w:val="000000"/>
                <w:kern w:val="0"/>
                <w:sz w:val="20"/>
              </w:rPr>
              <w:t>政策服务</w:t>
            </w: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政策修订完善。</w:t>
            </w:r>
            <w:r>
              <w:rPr>
                <w:rStyle w:val="16"/>
                <w:rFonts w:hint="default" w:hAnsi="宋体"/>
              </w:rPr>
              <w:t>进一步制定或完善企业扶持政策，通过走访调研，学习其他地区先进政策，系统了解本地企业政策诉求、兑现情况，分析未兑现的政策条款，根据实际情况调整修订。</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区发改局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区发改局（科技局）、区工信局、区商务局、区人社局、区教育局、区市场监管局、区文体旅局、区文产办、区财政局及其他区直有关部门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旭</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2177"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84</w:t>
            </w:r>
          </w:p>
        </w:tc>
        <w:tc>
          <w:tcPr>
            <w:tcW w:w="100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政策宣传推广。</w:t>
            </w:r>
            <w:r>
              <w:rPr>
                <w:rStyle w:val="16"/>
                <w:rFonts w:hint="default" w:hAnsi="宋体"/>
              </w:rPr>
              <w:t>持续加强对市、区企业扶持政策宣传解读，通过召开企业培训会、座谈会，以及网络宣传、发放宣传手册等形式，全方位开展政策宣传，营造良好的政策氛围。</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区发改局</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区企业服务中心、区发改局（科技局）、区工信局、区商务局、区人社局、区教育局、区市场监管局、区文体旅局、区文产办、区财政局及其他区直有关部门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旭</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494"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4"/>
                <w:szCs w:val="24"/>
              </w:rPr>
              <w:t>工作目标</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1968"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85</w:t>
            </w:r>
          </w:p>
        </w:tc>
        <w:tc>
          <w:tcPr>
            <w:tcW w:w="100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0"/>
              </w:rPr>
              <w:t>（十六）</w:t>
            </w:r>
            <w:r>
              <w:rPr>
                <w:rFonts w:hint="eastAsia" w:hAnsi="宋体" w:cs="仿宋_GB2312"/>
                <w:b/>
                <w:color w:val="000000"/>
                <w:kern w:val="0"/>
                <w:sz w:val="20"/>
              </w:rPr>
              <w:br w:type="textWrapping"/>
            </w:r>
            <w:r>
              <w:rPr>
                <w:rFonts w:hint="eastAsia" w:hAnsi="宋体" w:cs="仿宋_GB2312"/>
                <w:b/>
                <w:color w:val="000000"/>
                <w:kern w:val="0"/>
                <w:sz w:val="20"/>
              </w:rPr>
              <w:t>政策服务</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政策执行落实。</w:t>
            </w:r>
            <w:r>
              <w:rPr>
                <w:rStyle w:val="16"/>
                <w:rFonts w:hint="default" w:hAnsi="宋体"/>
              </w:rPr>
              <w:t>持续实施惠企政策代办服务机制，帮助企业兑现市、区优惠政策，让企业充分享受政策红利，利用政策扶持助推企业进一步做大做强；实时跟踪督促区直有关单位落实政策。</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区企业服务中心</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区发改局（科技局）、区工信局、区商务局、区人社局、区教育局、区市场监管局、区文体旅局、区文产办、区财政局及其他区直有关部门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何春强</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1845"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kern w:val="0"/>
                <w:sz w:val="20"/>
              </w:rPr>
            </w:pPr>
            <w:r>
              <w:rPr>
                <w:rFonts w:hint="eastAsia" w:hAnsi="宋体" w:cs="仿宋_GB2312"/>
                <w:color w:val="000000"/>
                <w:kern w:val="0"/>
                <w:sz w:val="20"/>
              </w:rPr>
              <w:t>86</w:t>
            </w:r>
          </w:p>
        </w:tc>
        <w:tc>
          <w:tcPr>
            <w:tcW w:w="1001"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kern w:val="0"/>
                <w:sz w:val="20"/>
              </w:rPr>
            </w:pPr>
            <w:r>
              <w:rPr>
                <w:rStyle w:val="16"/>
                <w:rFonts w:hAnsi="宋体"/>
                <w:b/>
                <w:bCs/>
              </w:rPr>
              <w:t>提升防疫扶持政策服务精准度。</w:t>
            </w:r>
            <w:r>
              <w:rPr>
                <w:rStyle w:val="16"/>
                <w:rFonts w:hAnsi="宋体"/>
              </w:rPr>
              <w:t>优化提升“福州鼓楼营商”公众号平台功能，开辟上线防疫扶持政策专栏，归整省、市、区涉疫扶持政策，帮助辖区企业自主、快速、精准获得政策资讯，助力企业有效应对疫情、转型升级。拓展政策预约服务和线上申报功能，充分应用抗疫期间智能化、高效率的新举措、新办法，有效提升群众办事的便捷度与获得感。</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区企业服务中心</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区直有关部门，各街镇及园区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何春强</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1336"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kern w:val="0"/>
                <w:sz w:val="20"/>
              </w:rPr>
            </w:pPr>
            <w:r>
              <w:rPr>
                <w:rFonts w:hint="eastAsia" w:hAnsi="宋体" w:cs="仿宋_GB2312"/>
                <w:color w:val="000000"/>
                <w:kern w:val="0"/>
                <w:sz w:val="20"/>
              </w:rPr>
              <w:t>87</w:t>
            </w:r>
          </w:p>
        </w:tc>
        <w:tc>
          <w:tcPr>
            <w:tcW w:w="1001"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Style w:val="16"/>
                <w:rFonts w:hAnsi="宋体"/>
                <w:b/>
                <w:bCs/>
              </w:rPr>
            </w:pPr>
            <w:r>
              <w:rPr>
                <w:rStyle w:val="16"/>
                <w:rFonts w:hAnsi="宋体"/>
                <w:b/>
                <w:bCs/>
              </w:rPr>
              <w:t>集中开展定向走访帮扶。</w:t>
            </w:r>
            <w:r>
              <w:rPr>
                <w:rStyle w:val="16"/>
                <w:rFonts w:hAnsi="宋体"/>
              </w:rPr>
              <w:t>对全区重点企业开展集中式、精准式走访帮扶，以企业问题为导向，努力破解热点难点问题，以企业需求为导向，全力营造良好发展环境。</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区直有关部门，各街镇及园区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区直有关部门，各街镇及园区责任领导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区直有关部门，各街镇及园区分管领导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1281"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kern w:val="0"/>
                <w:sz w:val="20"/>
              </w:rPr>
            </w:pPr>
            <w:r>
              <w:rPr>
                <w:rFonts w:hint="eastAsia" w:hAnsi="宋体" w:cs="仿宋_GB2312"/>
                <w:color w:val="000000"/>
                <w:kern w:val="0"/>
                <w:sz w:val="20"/>
              </w:rPr>
              <w:t>88</w:t>
            </w:r>
          </w:p>
        </w:tc>
        <w:tc>
          <w:tcPr>
            <w:tcW w:w="1001"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Style w:val="16"/>
                <w:rFonts w:hAnsi="宋体"/>
                <w:b/>
                <w:bCs/>
              </w:rPr>
            </w:pPr>
            <w:r>
              <w:rPr>
                <w:rStyle w:val="16"/>
                <w:rFonts w:hAnsi="宋体"/>
                <w:b/>
                <w:bCs/>
              </w:rPr>
              <w:t>探索开展企业属地驻点服务。</w:t>
            </w:r>
            <w:r>
              <w:rPr>
                <w:rStyle w:val="16"/>
                <w:rFonts w:hAnsi="宋体"/>
              </w:rPr>
              <w:t>针对辖区重点楼宇和产业园区等企业集聚地，通过委派服务专员就近驻点的形式，探索开展企业属地驻点服务工作。围绕企业集中反映的普遍突出问题，及时“送政策上门”“送服务入户”，将企业问题化解在一线。</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区企业服务中心</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区直有关部门，各街镇及园区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何春强</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1494"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kern w:val="0"/>
                <w:sz w:val="20"/>
              </w:rPr>
            </w:pPr>
            <w:r>
              <w:rPr>
                <w:rFonts w:hint="eastAsia" w:hAnsi="宋体" w:cs="仿宋_GB2312"/>
                <w:color w:val="000000"/>
                <w:kern w:val="0"/>
                <w:sz w:val="20"/>
              </w:rPr>
              <w:t>89</w:t>
            </w:r>
          </w:p>
        </w:tc>
        <w:tc>
          <w:tcPr>
            <w:tcW w:w="100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Style w:val="16"/>
                <w:rFonts w:hAnsi="宋体"/>
                <w:b/>
                <w:bCs/>
              </w:rPr>
            </w:pPr>
            <w:r>
              <w:rPr>
                <w:rStyle w:val="16"/>
                <w:rFonts w:hAnsi="宋体"/>
                <w:b/>
                <w:bCs/>
              </w:rPr>
              <w:t>切实保障政策资源精准对接。</w:t>
            </w:r>
            <w:r>
              <w:rPr>
                <w:rStyle w:val="16"/>
                <w:rFonts w:hAnsi="宋体"/>
              </w:rPr>
              <w:t>组织编印《鼓楼区帮助企业应对疫情共渡难关政策汇编》，采取“线上扫码+线下派发”相结合的模式，将汇编采用二维码方式同步在线上公布，直观精准地将省、市、区政策条款“宣传入企、推介到人”。</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区企业服务中心</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区直有关部门，各街镇及园区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何春强</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杨  辉</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567"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工作目标</w:t>
            </w: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9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2187" w:hRule="atLeast"/>
        </w:trPr>
        <w:tc>
          <w:tcPr>
            <w:tcW w:w="54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90</w:t>
            </w:r>
          </w:p>
        </w:tc>
        <w:tc>
          <w:tcPr>
            <w:tcW w:w="100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（十七）</w:t>
            </w:r>
            <w:r>
              <w:rPr>
                <w:rFonts w:hint="eastAsia" w:hAnsi="宋体" w:cs="仿宋_GB2312"/>
                <w:b/>
                <w:color w:val="000000"/>
                <w:kern w:val="0"/>
                <w:sz w:val="20"/>
              </w:rPr>
              <w:br w:type="textWrapping"/>
            </w:r>
            <w:r>
              <w:rPr>
                <w:rFonts w:hint="eastAsia" w:hAnsi="宋体" w:cs="仿宋_GB2312"/>
                <w:b/>
                <w:color w:val="000000"/>
                <w:kern w:val="0"/>
                <w:sz w:val="20"/>
              </w:rPr>
              <w:t>园区发展</w:t>
            </w:r>
          </w:p>
        </w:tc>
        <w:tc>
          <w:tcPr>
            <w:tcW w:w="548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进一步发挥平台作用。</w:t>
            </w:r>
            <w:r>
              <w:rPr>
                <w:rStyle w:val="16"/>
                <w:rFonts w:hint="default" w:hAnsi="宋体"/>
              </w:rPr>
              <w:t>提升华为软件云、基金大厦、“知创福建”、“五凤论见”、智慧园区、海峡人力资源产业园、软件交易福建工作中心等七大服务平台服务能力，发挥平台专业服务、专业招商、产业链上下游整合等动能作用，推动平台逐步从核心区向一园多区全面辐射。</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福州软件园管委会</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斌</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斌</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2919" w:hRule="atLeast"/>
        </w:trPr>
        <w:tc>
          <w:tcPr>
            <w:tcW w:w="549"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91</w:t>
            </w:r>
          </w:p>
        </w:tc>
        <w:tc>
          <w:tcPr>
            <w:tcW w:w="1001" w:type="dxa"/>
            <w:vMerge w:val="continue"/>
            <w:tcBorders>
              <w:left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高标准完善园区服务配套</w:t>
            </w:r>
            <w:r>
              <w:rPr>
                <w:rStyle w:val="16"/>
                <w:rFonts w:hint="default" w:hAnsi="宋体"/>
              </w:rPr>
              <w:t>。推进智慧园区建设，围绕数字经济的发展需求，通过整合各类空间资源和信息，全面提升园区治理模式和管理服务水平，建设软件园属地云，推动园区智慧化、智能化；增加300个停车位，缓解园区停车难问题，规范电动车管理。完善A区双创新城品牌配套服务；完善园区医疗服务配套；进一步加强园区绿化、美化，实现垃圾分类管理，维护好福山郊野生态公园，创建3A级景点；保持园区山清水秀的生态环境，园区水系的水质达到Ⅴ类标准；夯实园区生产安全防范各项措施，园区微型消防站投入使用，确保园区安全稳定。</w:t>
            </w:r>
          </w:p>
        </w:tc>
        <w:tc>
          <w:tcPr>
            <w:tcW w:w="4084"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福州软件园管委会</w:t>
            </w:r>
          </w:p>
        </w:tc>
        <w:tc>
          <w:tcPr>
            <w:tcW w:w="10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斌</w:t>
            </w:r>
          </w:p>
        </w:tc>
        <w:tc>
          <w:tcPr>
            <w:tcW w:w="10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斌</w:t>
            </w:r>
          </w:p>
        </w:tc>
        <w:tc>
          <w:tcPr>
            <w:tcW w:w="10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2629" w:hRule="atLeast"/>
        </w:trPr>
        <w:tc>
          <w:tcPr>
            <w:tcW w:w="549"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92</w:t>
            </w:r>
          </w:p>
        </w:tc>
        <w:tc>
          <w:tcPr>
            <w:tcW w:w="100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努力实施创业苗圃计划。</w:t>
            </w:r>
            <w:r>
              <w:rPr>
                <w:rStyle w:val="16"/>
                <w:rFonts w:hint="default" w:hAnsi="宋体"/>
              </w:rPr>
              <w:t>支持园区开展创业苗圃加速计划，腾挪10万平方米的创业空间，打造从“众创空间-孵化器-加速器”全链条、差异化的创新创业载体，培育省级众创空间（孵化器）1-2家，国家级众创空间（孵化器）1家。孵化高新技术企50家，力争新增人工智能、区块链、大数据、信息安全等重点领域企业20家入驻苗圃，加快推动优水科技落地园区，争创国家科技创新孵化链条示范单位。</w:t>
            </w:r>
          </w:p>
        </w:tc>
        <w:tc>
          <w:tcPr>
            <w:tcW w:w="4084" w:type="dxa"/>
            <w:gridSpan w:val="4"/>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福州软件园管委会</w:t>
            </w:r>
          </w:p>
        </w:tc>
        <w:tc>
          <w:tcPr>
            <w:tcW w:w="10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斌</w:t>
            </w:r>
          </w:p>
        </w:tc>
        <w:tc>
          <w:tcPr>
            <w:tcW w:w="108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陈  斌</w:t>
            </w:r>
          </w:p>
        </w:tc>
        <w:tc>
          <w:tcPr>
            <w:tcW w:w="106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567" w:hRule="atLeast"/>
        </w:trPr>
        <w:tc>
          <w:tcPr>
            <w:tcW w:w="54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序号</w:t>
            </w:r>
          </w:p>
        </w:tc>
        <w:tc>
          <w:tcPr>
            <w:tcW w:w="100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工作目标</w:t>
            </w:r>
          </w:p>
        </w:tc>
        <w:tc>
          <w:tcPr>
            <w:tcW w:w="54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kern w:val="0"/>
                <w:sz w:val="20"/>
              </w:rPr>
            </w:pPr>
            <w:r>
              <w:rPr>
                <w:rFonts w:hint="eastAsia" w:hAnsi="宋体" w:cs="仿宋_GB2312"/>
                <w:b/>
                <w:color w:val="000000"/>
                <w:kern w:val="0"/>
                <w:sz w:val="24"/>
                <w:szCs w:val="24"/>
              </w:rPr>
              <w:t>具体措施</w:t>
            </w:r>
          </w:p>
        </w:tc>
        <w:tc>
          <w:tcPr>
            <w:tcW w:w="1983" w:type="dxa"/>
            <w:gridSpan w:val="3"/>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牵头部门</w:t>
            </w:r>
          </w:p>
        </w:tc>
        <w:tc>
          <w:tcPr>
            <w:tcW w:w="210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责任部门</w:t>
            </w:r>
          </w:p>
        </w:tc>
        <w:tc>
          <w:tcPr>
            <w:tcW w:w="10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责任领导</w:t>
            </w:r>
          </w:p>
        </w:tc>
        <w:tc>
          <w:tcPr>
            <w:tcW w:w="10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分管领导</w:t>
            </w:r>
          </w:p>
        </w:tc>
        <w:tc>
          <w:tcPr>
            <w:tcW w:w="10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完成时限</w:t>
            </w:r>
          </w:p>
        </w:tc>
        <w:tc>
          <w:tcPr>
            <w:tcW w:w="166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b/>
                <w:color w:val="000000"/>
                <w:kern w:val="0"/>
                <w:sz w:val="24"/>
                <w:szCs w:val="24"/>
              </w:rPr>
              <w:t>备注</w:t>
            </w:r>
          </w:p>
        </w:tc>
      </w:tr>
      <w:tr>
        <w:tblPrEx>
          <w:tblCellMar>
            <w:top w:w="0" w:type="dxa"/>
            <w:left w:w="0" w:type="dxa"/>
            <w:bottom w:w="0" w:type="dxa"/>
            <w:right w:w="0" w:type="dxa"/>
          </w:tblCellMar>
        </w:tblPrEx>
        <w:trPr>
          <w:trHeight w:val="668" w:hRule="atLeast"/>
        </w:trPr>
        <w:tc>
          <w:tcPr>
            <w:tcW w:w="54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93</w:t>
            </w:r>
          </w:p>
        </w:tc>
        <w:tc>
          <w:tcPr>
            <w:tcW w:w="1001" w:type="dxa"/>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（十八）</w:t>
            </w:r>
            <w:r>
              <w:rPr>
                <w:rFonts w:hint="eastAsia" w:hAnsi="宋体" w:cs="仿宋_GB2312"/>
                <w:b/>
                <w:color w:val="000000"/>
                <w:kern w:val="0"/>
                <w:sz w:val="20"/>
              </w:rPr>
              <w:br w:type="textWrapping"/>
            </w:r>
            <w:r>
              <w:rPr>
                <w:rFonts w:hint="eastAsia" w:hAnsi="宋体" w:cs="仿宋_GB2312"/>
                <w:b/>
                <w:color w:val="000000"/>
                <w:kern w:val="0"/>
                <w:sz w:val="20"/>
              </w:rPr>
              <w:t>创建特色小镇</w:t>
            </w:r>
          </w:p>
        </w:tc>
        <w:tc>
          <w:tcPr>
            <w:tcW w:w="54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长春铺地块项目建设。</w:t>
            </w:r>
            <w:r>
              <w:rPr>
                <w:rStyle w:val="16"/>
                <w:rFonts w:hint="default" w:hAnsi="宋体"/>
              </w:rPr>
              <w:t>加快完成长春铺地块建设，项目2020年挂牌出让，并争取启动建设。</w:t>
            </w:r>
          </w:p>
        </w:tc>
        <w:tc>
          <w:tcPr>
            <w:tcW w:w="4084" w:type="dxa"/>
            <w:gridSpan w:val="4"/>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区旧改办</w:t>
            </w:r>
          </w:p>
        </w:tc>
        <w:tc>
          <w:tcPr>
            <w:tcW w:w="10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郑朝阳</w:t>
            </w:r>
          </w:p>
        </w:tc>
        <w:tc>
          <w:tcPr>
            <w:tcW w:w="10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王茂盛</w:t>
            </w:r>
          </w:p>
        </w:tc>
        <w:tc>
          <w:tcPr>
            <w:tcW w:w="10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1179"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94</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小镇华润5A甲级写字楼建设项目。</w:t>
            </w:r>
            <w:r>
              <w:rPr>
                <w:rStyle w:val="16"/>
                <w:rFonts w:hAnsi="宋体"/>
              </w:rPr>
              <w:t>拟于华润地块四期建设约4.3万平方米纯商务办公楼宇，争取年内交付使用，并引进互联网龙头或独角兽企业入驻，打造宜居宜业新区域，建设全省互联网经济新高地。</w:t>
            </w:r>
          </w:p>
        </w:tc>
        <w:tc>
          <w:tcPr>
            <w:tcW w:w="1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洪山镇</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高新区洪山园</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 xml:space="preserve">林  波 </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1091"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95</w:t>
            </w: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小镇形象提升建设工程。</w:t>
            </w:r>
            <w:r>
              <w:rPr>
                <w:rStyle w:val="16"/>
                <w:rFonts w:hint="default" w:hAnsi="宋体"/>
              </w:rPr>
              <w:t>加快推进</w:t>
            </w:r>
            <w:r>
              <w:rPr>
                <w:rStyle w:val="16"/>
                <w:rFonts w:hAnsi="宋体"/>
              </w:rPr>
              <w:t>小镇形象提升建设工程</w:t>
            </w:r>
            <w:r>
              <w:rPr>
                <w:rStyle w:val="16"/>
                <w:rFonts w:hint="default" w:hAnsi="宋体"/>
              </w:rPr>
              <w:t>。项目包含小镇视觉导引系统，对小镇重要景观节点实施绿化美化，进一步提升小镇辨识度和知名度等内容。</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高新区洪山园</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 xml:space="preserve">林  波 </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林  渊</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我区特色工作任务</w:t>
            </w:r>
          </w:p>
        </w:tc>
      </w:tr>
      <w:tr>
        <w:tblPrEx>
          <w:tblCellMar>
            <w:top w:w="0" w:type="dxa"/>
            <w:left w:w="0" w:type="dxa"/>
            <w:bottom w:w="0" w:type="dxa"/>
            <w:right w:w="0" w:type="dxa"/>
          </w:tblCellMar>
        </w:tblPrEx>
        <w:trPr>
          <w:trHeight w:val="973"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kern w:val="0"/>
                <w:sz w:val="20"/>
              </w:rPr>
              <w:t>96</w:t>
            </w:r>
          </w:p>
        </w:tc>
        <w:tc>
          <w:tcPr>
            <w:tcW w:w="10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b/>
                <w:color w:val="000000"/>
                <w:sz w:val="20"/>
              </w:rPr>
            </w:pPr>
            <w:r>
              <w:rPr>
                <w:rFonts w:hint="eastAsia" w:hAnsi="宋体" w:cs="仿宋_GB2312"/>
                <w:b/>
                <w:color w:val="000000"/>
                <w:kern w:val="0"/>
                <w:sz w:val="20"/>
              </w:rPr>
              <w:t>（十九）</w:t>
            </w:r>
            <w:r>
              <w:rPr>
                <w:rFonts w:hint="eastAsia" w:hAnsi="宋体" w:cs="仿宋_GB2312"/>
                <w:b/>
                <w:color w:val="000000"/>
                <w:kern w:val="0"/>
                <w:sz w:val="20"/>
              </w:rPr>
              <w:br w:type="textWrapping"/>
            </w:r>
            <w:r>
              <w:rPr>
                <w:rFonts w:hint="eastAsia" w:hAnsi="宋体" w:cs="仿宋_GB2312"/>
                <w:b/>
                <w:color w:val="000000"/>
                <w:kern w:val="0"/>
                <w:sz w:val="20"/>
              </w:rPr>
              <w:t>深化改革创新</w:t>
            </w: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提高干部依法履职能力。</w:t>
            </w:r>
            <w:r>
              <w:rPr>
                <w:rStyle w:val="16"/>
                <w:rFonts w:hint="default" w:hAnsi="宋体"/>
              </w:rPr>
              <w:t>根据年度干部培训计划，将营商环境等相关内容纳入科级干部培训班、中青年干部培训班等主体班培训课程，提升干部队伍依法行政能力。</w:t>
            </w:r>
          </w:p>
        </w:tc>
        <w:tc>
          <w:tcPr>
            <w:tcW w:w="4084"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区委组织部、区委党校</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kern w:val="0"/>
                <w:sz w:val="20"/>
              </w:rPr>
            </w:pPr>
            <w:r>
              <w:rPr>
                <w:rFonts w:hint="eastAsia" w:hAnsi="宋体" w:cs="仿宋_GB2312"/>
                <w:color w:val="000000"/>
                <w:kern w:val="0"/>
                <w:sz w:val="20"/>
              </w:rPr>
              <w:t>郑宇飞</w:t>
            </w:r>
          </w:p>
          <w:p>
            <w:pPr>
              <w:widowControl/>
              <w:spacing w:line="300" w:lineRule="exact"/>
              <w:jc w:val="center"/>
              <w:textAlignment w:val="center"/>
              <w:rPr>
                <w:rFonts w:hint="eastAsia"/>
                <w:color w:val="000000"/>
              </w:rPr>
            </w:pPr>
            <w:r>
              <w:rPr>
                <w:rFonts w:hint="eastAsia" w:hAnsi="宋体" w:cs="仿宋_GB2312"/>
                <w:color w:val="000000"/>
                <w:kern w:val="0"/>
                <w:sz w:val="20"/>
              </w:rPr>
              <w:t>游小文</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color w:val="000000"/>
                <w:sz w:val="20"/>
              </w:rPr>
            </w:pPr>
            <w:r>
              <w:rPr>
                <w:rFonts w:hint="eastAsia" w:hAnsi="宋体" w:cs="仿宋_GB2312"/>
                <w:color w:val="000000"/>
                <w:sz w:val="20"/>
              </w:rPr>
              <w:t>郑寅球</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12月底</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r>
        <w:tblPrEx>
          <w:tblCellMar>
            <w:top w:w="0" w:type="dxa"/>
            <w:left w:w="0" w:type="dxa"/>
            <w:bottom w:w="0" w:type="dxa"/>
            <w:right w:w="0" w:type="dxa"/>
          </w:tblCellMar>
        </w:tblPrEx>
        <w:trPr>
          <w:trHeight w:val="1222" w:hRule="atLeast"/>
        </w:trPr>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Ansi="宋体" w:cs="仿宋_GB2312"/>
                <w:color w:val="000000"/>
                <w:sz w:val="20"/>
              </w:rPr>
            </w:pPr>
            <w:r>
              <w:rPr>
                <w:rFonts w:hint="eastAsia" w:hAnsi="宋体" w:cs="仿宋_GB2312"/>
                <w:color w:val="000000"/>
                <w:sz w:val="20"/>
              </w:rPr>
              <w:t>97</w:t>
            </w:r>
          </w:p>
        </w:tc>
        <w:tc>
          <w:tcPr>
            <w:tcW w:w="10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hAnsi="宋体" w:cs="仿宋_GB2312"/>
                <w:b/>
                <w:color w:val="000000"/>
                <w:sz w:val="20"/>
              </w:rPr>
            </w:pPr>
          </w:p>
        </w:tc>
        <w:tc>
          <w:tcPr>
            <w:tcW w:w="5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hAnsi="宋体" w:cs="仿宋_GB2312"/>
                <w:b/>
                <w:color w:val="000000"/>
                <w:sz w:val="20"/>
              </w:rPr>
            </w:pPr>
            <w:r>
              <w:rPr>
                <w:rFonts w:hint="eastAsia" w:hAnsi="宋体" w:cs="仿宋_GB2312"/>
                <w:b/>
                <w:color w:val="000000"/>
                <w:kern w:val="0"/>
                <w:sz w:val="20"/>
              </w:rPr>
              <w:t>建立健全意见采纳情况反馈机制。</w:t>
            </w:r>
            <w:r>
              <w:rPr>
                <w:rStyle w:val="16"/>
                <w:rFonts w:hint="default" w:hAnsi="宋体"/>
              </w:rPr>
              <w:t>除依法需要保密外，制定与市场主体生产经营活动密切相关的行政规范性文件，应当通过报纸、网络等向社会公开征求意见，向社会公开征求意见的期限一般不少于30日。</w:t>
            </w:r>
          </w:p>
        </w:tc>
        <w:tc>
          <w:tcPr>
            <w:tcW w:w="40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区直有关部门责任领导</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区直有关部门分管领导</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持续推进</w:t>
            </w:r>
          </w:p>
        </w:tc>
        <w:tc>
          <w:tcPr>
            <w:tcW w:w="1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hAnsi="宋体" w:cs="仿宋_GB2312"/>
                <w:color w:val="000000"/>
                <w:sz w:val="20"/>
              </w:rPr>
            </w:pPr>
            <w:r>
              <w:rPr>
                <w:rFonts w:hint="eastAsia" w:hAnsi="宋体" w:cs="仿宋_GB2312"/>
                <w:color w:val="000000"/>
                <w:kern w:val="0"/>
                <w:sz w:val="20"/>
              </w:rPr>
              <w:t>承接市级工作任务</w:t>
            </w:r>
          </w:p>
        </w:tc>
      </w:tr>
    </w:tbl>
    <w:p>
      <w:pPr>
        <w:spacing w:line="300" w:lineRule="exact"/>
        <w:rPr>
          <w:color w:val="000000"/>
        </w:rPr>
      </w:pPr>
    </w:p>
    <w:p>
      <w:pPr>
        <w:pStyle w:val="2"/>
        <w:spacing w:line="300" w:lineRule="exact"/>
        <w:rPr>
          <w:color w:val="000000"/>
        </w:rPr>
      </w:pPr>
    </w:p>
    <w:p>
      <w:pPr>
        <w:pStyle w:val="2"/>
        <w:spacing w:line="300" w:lineRule="exact"/>
        <w:rPr>
          <w:color w:val="000000"/>
        </w:rPr>
      </w:pPr>
    </w:p>
    <w:p>
      <w:pPr>
        <w:pStyle w:val="2"/>
        <w:spacing w:line="300" w:lineRule="exact"/>
        <w:rPr>
          <w:rFonts w:hint="eastAsia"/>
          <w:color w:val="000000"/>
        </w:rPr>
      </w:pPr>
    </w:p>
    <w:p>
      <w:pPr>
        <w:pStyle w:val="2"/>
        <w:spacing w:line="300" w:lineRule="exact"/>
        <w:rPr>
          <w:rFonts w:hint="eastAsia"/>
          <w:color w:val="000000"/>
        </w:rPr>
      </w:pPr>
    </w:p>
    <w:p>
      <w:pPr>
        <w:pStyle w:val="2"/>
        <w:spacing w:line="300" w:lineRule="exact"/>
        <w:rPr>
          <w:rFonts w:hint="eastAsia"/>
          <w:color w:val="000000"/>
        </w:rPr>
      </w:pPr>
    </w:p>
    <w:p>
      <w:pPr>
        <w:pStyle w:val="2"/>
        <w:spacing w:line="300" w:lineRule="exact"/>
        <w:rPr>
          <w:rFonts w:hint="eastAsia"/>
          <w:color w:val="000000"/>
        </w:rPr>
      </w:pPr>
    </w:p>
    <w:p>
      <w:pPr>
        <w:pStyle w:val="2"/>
        <w:spacing w:line="300" w:lineRule="exact"/>
        <w:rPr>
          <w:rFonts w:hint="eastAsia"/>
          <w:color w:val="000000"/>
        </w:rPr>
      </w:pPr>
    </w:p>
    <w:p>
      <w:pPr>
        <w:pStyle w:val="2"/>
        <w:spacing w:line="300" w:lineRule="exact"/>
        <w:rPr>
          <w:color w:val="000000"/>
        </w:rPr>
      </w:pPr>
    </w:p>
    <w:p>
      <w:pPr>
        <w:pStyle w:val="2"/>
        <w:spacing w:line="300" w:lineRule="exact"/>
        <w:rPr>
          <w:color w:val="000000"/>
        </w:rPr>
      </w:pPr>
    </w:p>
    <w:tbl>
      <w:tblPr>
        <w:tblStyle w:val="9"/>
        <w:tblpPr w:leftFromText="180" w:rightFromText="180" w:vertAnchor="text" w:horzAnchor="page" w:tblpX="1733"/>
        <w:tblOverlap w:val="never"/>
        <w:tblW w:w="0" w:type="auto"/>
        <w:tblInd w:w="0" w:type="dxa"/>
        <w:tblLayout w:type="fixed"/>
        <w:tblCellMar>
          <w:top w:w="0" w:type="dxa"/>
          <w:left w:w="108" w:type="dxa"/>
          <w:bottom w:w="0" w:type="dxa"/>
          <w:right w:w="108" w:type="dxa"/>
        </w:tblCellMar>
      </w:tblPr>
      <w:tblGrid>
        <w:gridCol w:w="722"/>
        <w:gridCol w:w="2279"/>
        <w:gridCol w:w="2456"/>
        <w:gridCol w:w="3423"/>
        <w:gridCol w:w="1535"/>
        <w:gridCol w:w="1582"/>
        <w:gridCol w:w="1566"/>
      </w:tblGrid>
      <w:tr>
        <w:tblPrEx>
          <w:tblCellMar>
            <w:top w:w="0" w:type="dxa"/>
            <w:left w:w="108" w:type="dxa"/>
            <w:bottom w:w="0" w:type="dxa"/>
            <w:right w:w="108" w:type="dxa"/>
          </w:tblCellMar>
        </w:tblPrEx>
        <w:trPr>
          <w:trHeight w:val="540" w:hRule="atLeast"/>
        </w:trPr>
        <w:tc>
          <w:tcPr>
            <w:tcW w:w="13563" w:type="dxa"/>
            <w:gridSpan w:val="7"/>
            <w:tcBorders>
              <w:top w:val="nil"/>
              <w:left w:val="nil"/>
              <w:bottom w:val="nil"/>
              <w:right w:val="nil"/>
            </w:tcBorders>
            <w:vAlign w:val="center"/>
          </w:tcPr>
          <w:p>
            <w:pPr>
              <w:widowControl/>
              <w:spacing w:line="300" w:lineRule="exact"/>
              <w:ind w:firstLine="318" w:firstLineChars="100"/>
              <w:jc w:val="left"/>
              <w:rPr>
                <w:rFonts w:hint="eastAsia" w:ascii="方正小标宋简体" w:hAnsi="方正小标宋简体" w:eastAsia="方正小标宋简体" w:cs="方正小标宋简体"/>
                <w:color w:val="000000"/>
                <w:kern w:val="0"/>
                <w:sz w:val="44"/>
                <w:szCs w:val="44"/>
              </w:rPr>
            </w:pPr>
            <w:r>
              <w:rPr>
                <w:rFonts w:hint="eastAsia" w:ascii="黑体" w:hAnsi="黑体" w:eastAsia="黑体" w:cs="黑体"/>
                <w:color w:val="000000"/>
                <w:kern w:val="0"/>
                <w:szCs w:val="32"/>
              </w:rPr>
              <w:t>附件2</w:t>
            </w:r>
          </w:p>
        </w:tc>
      </w:tr>
      <w:tr>
        <w:tblPrEx>
          <w:tblCellMar>
            <w:top w:w="0" w:type="dxa"/>
            <w:left w:w="108" w:type="dxa"/>
            <w:bottom w:w="0" w:type="dxa"/>
            <w:right w:w="108" w:type="dxa"/>
          </w:tblCellMar>
        </w:tblPrEx>
        <w:trPr>
          <w:trHeight w:val="805" w:hRule="atLeast"/>
        </w:trPr>
        <w:tc>
          <w:tcPr>
            <w:tcW w:w="13563" w:type="dxa"/>
            <w:gridSpan w:val="7"/>
            <w:tcBorders>
              <w:top w:val="nil"/>
              <w:left w:val="nil"/>
              <w:bottom w:val="single" w:color="auto" w:sz="4" w:space="0"/>
              <w:right w:val="nil"/>
            </w:tcBorders>
            <w:vAlign w:val="center"/>
          </w:tcPr>
          <w:p>
            <w:pPr>
              <w:widowControl/>
              <w:spacing w:line="5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2020年鼓楼区工作专项组任务分工一览表</w:t>
            </w:r>
          </w:p>
        </w:tc>
      </w:tr>
      <w:tr>
        <w:tblPrEx>
          <w:tblCellMar>
            <w:top w:w="0" w:type="dxa"/>
            <w:left w:w="108" w:type="dxa"/>
            <w:bottom w:w="0" w:type="dxa"/>
            <w:right w:w="108" w:type="dxa"/>
          </w:tblCellMar>
        </w:tblPrEx>
        <w:trPr>
          <w:trHeight w:val="567" w:hRule="atLeast"/>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hAnsi="宋体" w:cs="仿宋_GB2312"/>
                <w:b/>
                <w:color w:val="000000"/>
                <w:kern w:val="0"/>
                <w:sz w:val="24"/>
                <w:szCs w:val="24"/>
              </w:rPr>
            </w:pPr>
            <w:r>
              <w:rPr>
                <w:rFonts w:hint="eastAsia" w:hAnsi="宋体" w:cs="仿宋_GB2312"/>
                <w:b/>
                <w:color w:val="000000"/>
                <w:kern w:val="0"/>
                <w:sz w:val="24"/>
                <w:szCs w:val="24"/>
              </w:rPr>
              <w:t>序号</w:t>
            </w:r>
          </w:p>
        </w:tc>
        <w:tc>
          <w:tcPr>
            <w:tcW w:w="2279"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hint="eastAsia" w:hAnsi="宋体" w:cs="仿宋_GB2312"/>
                <w:b/>
                <w:color w:val="000000"/>
                <w:kern w:val="0"/>
                <w:sz w:val="24"/>
                <w:szCs w:val="24"/>
              </w:rPr>
            </w:pPr>
            <w:r>
              <w:rPr>
                <w:rFonts w:hint="eastAsia" w:hAnsi="宋体" w:cs="仿宋_GB2312"/>
                <w:b/>
                <w:color w:val="000000"/>
                <w:kern w:val="0"/>
                <w:sz w:val="24"/>
                <w:szCs w:val="24"/>
              </w:rPr>
              <w:t>专项组名</w:t>
            </w:r>
          </w:p>
        </w:tc>
        <w:tc>
          <w:tcPr>
            <w:tcW w:w="2456"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hint="eastAsia" w:hAnsi="宋体" w:cs="仿宋_GB2312"/>
                <w:b/>
                <w:color w:val="000000"/>
                <w:kern w:val="0"/>
                <w:sz w:val="24"/>
                <w:szCs w:val="24"/>
              </w:rPr>
            </w:pPr>
            <w:r>
              <w:rPr>
                <w:rFonts w:hint="eastAsia" w:hAnsi="宋体" w:cs="仿宋_GB2312"/>
                <w:b/>
                <w:color w:val="000000"/>
                <w:kern w:val="0"/>
                <w:sz w:val="24"/>
                <w:szCs w:val="24"/>
              </w:rPr>
              <w:t>牵头部门</w:t>
            </w:r>
          </w:p>
        </w:tc>
        <w:tc>
          <w:tcPr>
            <w:tcW w:w="3423"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hint="eastAsia" w:hAnsi="宋体" w:cs="仿宋_GB2312"/>
                <w:b/>
                <w:color w:val="000000"/>
                <w:kern w:val="0"/>
                <w:sz w:val="24"/>
                <w:szCs w:val="24"/>
              </w:rPr>
            </w:pPr>
            <w:r>
              <w:rPr>
                <w:rFonts w:hint="eastAsia" w:hAnsi="宋体" w:cs="仿宋_GB2312"/>
                <w:b/>
                <w:color w:val="000000"/>
                <w:kern w:val="0"/>
                <w:sz w:val="24"/>
                <w:szCs w:val="24"/>
              </w:rPr>
              <w:t>工作目标</w:t>
            </w:r>
          </w:p>
        </w:tc>
        <w:tc>
          <w:tcPr>
            <w:tcW w:w="1535"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hint="eastAsia" w:hAnsi="宋体" w:cs="仿宋_GB2312"/>
                <w:b/>
                <w:color w:val="000000"/>
                <w:kern w:val="0"/>
                <w:sz w:val="24"/>
                <w:szCs w:val="24"/>
              </w:rPr>
            </w:pPr>
            <w:r>
              <w:rPr>
                <w:rFonts w:hint="eastAsia" w:hAnsi="宋体" w:cs="仿宋_GB2312"/>
                <w:b/>
                <w:color w:val="000000"/>
                <w:kern w:val="0"/>
                <w:sz w:val="24"/>
                <w:szCs w:val="24"/>
              </w:rPr>
              <w:t>责任领导</w:t>
            </w:r>
          </w:p>
        </w:tc>
        <w:tc>
          <w:tcPr>
            <w:tcW w:w="1582"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hint="eastAsia" w:hAnsi="宋体" w:cs="仿宋_GB2312"/>
                <w:b/>
                <w:color w:val="000000"/>
                <w:kern w:val="0"/>
                <w:sz w:val="24"/>
                <w:szCs w:val="24"/>
              </w:rPr>
            </w:pPr>
            <w:r>
              <w:rPr>
                <w:rFonts w:hint="eastAsia" w:hAnsi="宋体" w:cs="仿宋_GB2312"/>
                <w:b/>
                <w:color w:val="000000"/>
                <w:kern w:val="0"/>
                <w:sz w:val="24"/>
                <w:szCs w:val="24"/>
              </w:rPr>
              <w:t>分管领导</w:t>
            </w:r>
          </w:p>
        </w:tc>
        <w:tc>
          <w:tcPr>
            <w:tcW w:w="1566"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hint="eastAsia" w:hAnsi="宋体" w:cs="仿宋_GB2312"/>
                <w:b/>
                <w:color w:val="000000"/>
                <w:kern w:val="0"/>
                <w:sz w:val="24"/>
                <w:szCs w:val="24"/>
              </w:rPr>
            </w:pPr>
            <w:r>
              <w:rPr>
                <w:rFonts w:hint="eastAsia" w:hAnsi="宋体" w:cs="仿宋_GB2312"/>
                <w:b/>
                <w:color w:val="000000"/>
                <w:kern w:val="0"/>
                <w:sz w:val="24"/>
                <w:szCs w:val="24"/>
              </w:rPr>
              <w:t>联络人</w:t>
            </w:r>
          </w:p>
        </w:tc>
      </w:tr>
      <w:tr>
        <w:trPr>
          <w:trHeight w:val="454" w:hRule="atLeast"/>
        </w:trPr>
        <w:tc>
          <w:tcPr>
            <w:tcW w:w="72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1</w:t>
            </w:r>
          </w:p>
        </w:tc>
        <w:tc>
          <w:tcPr>
            <w:tcW w:w="2279"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开办企业组</w:t>
            </w:r>
          </w:p>
        </w:tc>
        <w:tc>
          <w:tcPr>
            <w:tcW w:w="245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区市场监管局</w:t>
            </w: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开办企业</w:t>
            </w:r>
          </w:p>
        </w:tc>
        <w:tc>
          <w:tcPr>
            <w:tcW w:w="153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吴小雄</w:t>
            </w:r>
          </w:p>
        </w:tc>
        <w:tc>
          <w:tcPr>
            <w:tcW w:w="158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晁  旭</w:t>
            </w:r>
          </w:p>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黄瑞忠</w:t>
            </w:r>
          </w:p>
        </w:tc>
        <w:tc>
          <w:tcPr>
            <w:tcW w:w="156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魏文钧</w:t>
            </w:r>
          </w:p>
        </w:tc>
      </w:tr>
      <w:tr>
        <w:tblPrEx>
          <w:tblCellMar>
            <w:top w:w="0" w:type="dxa"/>
            <w:left w:w="108" w:type="dxa"/>
            <w:bottom w:w="0" w:type="dxa"/>
            <w:right w:w="108" w:type="dxa"/>
          </w:tblCellMar>
        </w:tblPrEx>
        <w:trPr>
          <w:trHeight w:val="454" w:hRule="atLeast"/>
        </w:trPr>
        <w:tc>
          <w:tcPr>
            <w:tcW w:w="72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4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注销企业</w:t>
            </w:r>
          </w:p>
        </w:tc>
        <w:tc>
          <w:tcPr>
            <w:tcW w:w="1535"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highlight w:val="yellow"/>
              </w:rPr>
            </w:pPr>
          </w:p>
        </w:tc>
        <w:tc>
          <w:tcPr>
            <w:tcW w:w="158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highlight w:val="yellow"/>
              </w:rPr>
            </w:pPr>
          </w:p>
        </w:tc>
        <w:tc>
          <w:tcPr>
            <w:tcW w:w="156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r>
      <w:tr>
        <w:tblPrEx>
          <w:tblCellMar>
            <w:top w:w="0" w:type="dxa"/>
            <w:left w:w="108" w:type="dxa"/>
            <w:bottom w:w="0" w:type="dxa"/>
            <w:right w:w="108" w:type="dxa"/>
          </w:tblCellMar>
        </w:tblPrEx>
        <w:trPr>
          <w:trHeight w:val="454" w:hRule="atLeast"/>
        </w:trPr>
        <w:tc>
          <w:tcPr>
            <w:tcW w:w="722"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2</w:t>
            </w:r>
          </w:p>
        </w:tc>
        <w:tc>
          <w:tcPr>
            <w:tcW w:w="2279"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办理建设许可组</w:t>
            </w:r>
          </w:p>
        </w:tc>
        <w:tc>
          <w:tcPr>
            <w:tcW w:w="2456"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区建设局</w:t>
            </w: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办理建筑许可</w:t>
            </w:r>
          </w:p>
        </w:tc>
        <w:tc>
          <w:tcPr>
            <w:tcW w:w="1535"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陈  雯</w:t>
            </w:r>
          </w:p>
        </w:tc>
        <w:tc>
          <w:tcPr>
            <w:tcW w:w="1582"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陈晓彬</w:t>
            </w:r>
          </w:p>
        </w:tc>
        <w:tc>
          <w:tcPr>
            <w:tcW w:w="1566"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吴丹丹</w:t>
            </w:r>
          </w:p>
        </w:tc>
      </w:tr>
      <w:tr>
        <w:tblPrEx>
          <w:tblCellMar>
            <w:top w:w="0" w:type="dxa"/>
            <w:left w:w="108" w:type="dxa"/>
            <w:bottom w:w="0" w:type="dxa"/>
            <w:right w:w="108" w:type="dxa"/>
          </w:tblCellMar>
        </w:tblPrEx>
        <w:trPr>
          <w:trHeight w:val="454" w:hRule="atLeast"/>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3</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获得电力组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区工信局</w:t>
            </w: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获得电力</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倪  云</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林  渊</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雷斌斌</w:t>
            </w:r>
          </w:p>
        </w:tc>
      </w:tr>
      <w:tr>
        <w:tblPrEx>
          <w:tblCellMar>
            <w:top w:w="0" w:type="dxa"/>
            <w:left w:w="108" w:type="dxa"/>
            <w:bottom w:w="0" w:type="dxa"/>
            <w:right w:w="108" w:type="dxa"/>
          </w:tblCellMar>
        </w:tblPrEx>
        <w:trPr>
          <w:trHeight w:val="467" w:hRule="atLeast"/>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4</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获得信贷组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区金融办</w:t>
            </w: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获得信贷</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俞  婕</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杨  辉</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高  琳</w:t>
            </w:r>
          </w:p>
        </w:tc>
      </w:tr>
      <w:tr>
        <w:tblPrEx>
          <w:tblCellMar>
            <w:top w:w="0" w:type="dxa"/>
            <w:left w:w="108" w:type="dxa"/>
            <w:bottom w:w="0" w:type="dxa"/>
            <w:right w:w="108" w:type="dxa"/>
          </w:tblCellMar>
        </w:tblPrEx>
        <w:trPr>
          <w:trHeight w:val="454" w:hRule="atLeast"/>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5</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纳税指导组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区税务局</w:t>
            </w: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纳税</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吴圣杰</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杨  辉</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马淑华</w:t>
            </w:r>
          </w:p>
        </w:tc>
      </w:tr>
      <w:tr>
        <w:tblPrEx>
          <w:tblCellMar>
            <w:top w:w="0" w:type="dxa"/>
            <w:left w:w="108" w:type="dxa"/>
            <w:bottom w:w="0" w:type="dxa"/>
            <w:right w:w="108" w:type="dxa"/>
          </w:tblCellMar>
        </w:tblPrEx>
        <w:trPr>
          <w:trHeight w:val="454" w:hRule="atLeast"/>
        </w:trPr>
        <w:tc>
          <w:tcPr>
            <w:tcW w:w="7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6</w:t>
            </w:r>
          </w:p>
        </w:tc>
        <w:tc>
          <w:tcPr>
            <w:tcW w:w="22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权益保护组</w:t>
            </w:r>
          </w:p>
        </w:tc>
        <w:tc>
          <w:tcPr>
            <w:tcW w:w="24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区法院</w:t>
            </w: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保护中小投资者</w:t>
            </w:r>
          </w:p>
        </w:tc>
        <w:tc>
          <w:tcPr>
            <w:tcW w:w="153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李  曦</w:t>
            </w:r>
          </w:p>
        </w:tc>
        <w:tc>
          <w:tcPr>
            <w:tcW w:w="158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陈  辉</w:t>
            </w:r>
          </w:p>
        </w:tc>
        <w:tc>
          <w:tcPr>
            <w:tcW w:w="156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胡晓强</w:t>
            </w:r>
          </w:p>
        </w:tc>
      </w:tr>
      <w:tr>
        <w:tblPrEx>
          <w:tblCellMar>
            <w:top w:w="0" w:type="dxa"/>
            <w:left w:w="108" w:type="dxa"/>
            <w:bottom w:w="0" w:type="dxa"/>
            <w:right w:w="108" w:type="dxa"/>
          </w:tblCellMar>
        </w:tblPrEx>
        <w:trPr>
          <w:trHeight w:val="454" w:hRule="atLeast"/>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2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办理破产</w:t>
            </w:r>
          </w:p>
        </w:tc>
        <w:tc>
          <w:tcPr>
            <w:tcW w:w="1535"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highlight w:val="yellow"/>
              </w:rPr>
            </w:pPr>
          </w:p>
        </w:tc>
        <w:tc>
          <w:tcPr>
            <w:tcW w:w="1582"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highlight w:val="yellow"/>
              </w:rPr>
            </w:pPr>
          </w:p>
        </w:tc>
        <w:tc>
          <w:tcPr>
            <w:tcW w:w="1566"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r>
      <w:tr>
        <w:tblPrEx>
          <w:tblCellMar>
            <w:top w:w="0" w:type="dxa"/>
            <w:left w:w="108" w:type="dxa"/>
            <w:bottom w:w="0" w:type="dxa"/>
            <w:right w:w="108" w:type="dxa"/>
          </w:tblCellMar>
        </w:tblPrEx>
        <w:trPr>
          <w:trHeight w:val="454" w:hRule="atLeast"/>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2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执行合同</w:t>
            </w:r>
          </w:p>
        </w:tc>
        <w:tc>
          <w:tcPr>
            <w:tcW w:w="1535"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highlight w:val="yellow"/>
              </w:rPr>
            </w:pPr>
          </w:p>
        </w:tc>
        <w:tc>
          <w:tcPr>
            <w:tcW w:w="158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highlight w:val="yellow"/>
              </w:rPr>
            </w:pPr>
          </w:p>
        </w:tc>
        <w:tc>
          <w:tcPr>
            <w:tcW w:w="156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r>
      <w:tr>
        <w:tblPrEx>
          <w:tblCellMar>
            <w:top w:w="0" w:type="dxa"/>
            <w:left w:w="108" w:type="dxa"/>
            <w:bottom w:w="0" w:type="dxa"/>
            <w:right w:w="108" w:type="dxa"/>
          </w:tblCellMar>
        </w:tblPrEx>
        <w:trPr>
          <w:trHeight w:val="454" w:hRule="atLeast"/>
        </w:trPr>
        <w:tc>
          <w:tcPr>
            <w:tcW w:w="7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7</w:t>
            </w:r>
          </w:p>
        </w:tc>
        <w:tc>
          <w:tcPr>
            <w:tcW w:w="22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降低成本组</w:t>
            </w:r>
          </w:p>
        </w:tc>
        <w:tc>
          <w:tcPr>
            <w:tcW w:w="24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区发改局</w:t>
            </w: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市场监管</w:t>
            </w:r>
          </w:p>
        </w:tc>
        <w:tc>
          <w:tcPr>
            <w:tcW w:w="153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陈  旭</w:t>
            </w:r>
          </w:p>
        </w:tc>
        <w:tc>
          <w:tcPr>
            <w:tcW w:w="158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杨  辉</w:t>
            </w:r>
          </w:p>
        </w:tc>
        <w:tc>
          <w:tcPr>
            <w:tcW w:w="156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cs="仿宋_GB2312"/>
                <w:color w:val="000000"/>
                <w:kern w:val="0"/>
                <w:sz w:val="24"/>
                <w:szCs w:val="24"/>
              </w:rPr>
            </w:pPr>
            <w:r>
              <w:rPr>
                <w:rFonts w:hint="eastAsia" w:cs="仿宋_GB2312"/>
                <w:color w:val="000000"/>
                <w:kern w:val="0"/>
                <w:sz w:val="24"/>
                <w:szCs w:val="24"/>
              </w:rPr>
              <w:t>薛  昆</w:t>
            </w:r>
          </w:p>
        </w:tc>
      </w:tr>
      <w:tr>
        <w:tblPrEx>
          <w:tblCellMar>
            <w:top w:w="0" w:type="dxa"/>
            <w:left w:w="108" w:type="dxa"/>
            <w:bottom w:w="0" w:type="dxa"/>
            <w:right w:w="108" w:type="dxa"/>
          </w:tblCellMar>
        </w:tblPrEx>
        <w:trPr>
          <w:trHeight w:val="454" w:hRule="atLeast"/>
        </w:trPr>
        <w:tc>
          <w:tcPr>
            <w:tcW w:w="722" w:type="dxa"/>
            <w:vMerge w:val="continue"/>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279" w:type="dxa"/>
            <w:vMerge w:val="continue"/>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456" w:type="dxa"/>
            <w:vMerge w:val="continue"/>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政府采购</w:t>
            </w:r>
          </w:p>
        </w:tc>
        <w:tc>
          <w:tcPr>
            <w:tcW w:w="1535"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highlight w:val="yellow"/>
              </w:rPr>
            </w:pPr>
          </w:p>
        </w:tc>
        <w:tc>
          <w:tcPr>
            <w:tcW w:w="1582"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highlight w:val="yellow"/>
              </w:rPr>
            </w:pPr>
          </w:p>
        </w:tc>
        <w:tc>
          <w:tcPr>
            <w:tcW w:w="1566"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r>
      <w:tr>
        <w:tblPrEx>
          <w:tblCellMar>
            <w:top w:w="0" w:type="dxa"/>
            <w:left w:w="108" w:type="dxa"/>
            <w:bottom w:w="0" w:type="dxa"/>
            <w:right w:w="108" w:type="dxa"/>
          </w:tblCellMar>
        </w:tblPrEx>
        <w:trPr>
          <w:trHeight w:val="454" w:hRule="atLeast"/>
        </w:trPr>
        <w:tc>
          <w:tcPr>
            <w:tcW w:w="722"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8</w:t>
            </w:r>
          </w:p>
        </w:tc>
        <w:tc>
          <w:tcPr>
            <w:tcW w:w="2279"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数字政务及</w:t>
            </w:r>
          </w:p>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平台建设组</w:t>
            </w:r>
          </w:p>
        </w:tc>
        <w:tc>
          <w:tcPr>
            <w:tcW w:w="2456"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区数字办</w:t>
            </w: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政务服务</w:t>
            </w:r>
          </w:p>
        </w:tc>
        <w:tc>
          <w:tcPr>
            <w:tcW w:w="1535"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章世长</w:t>
            </w:r>
          </w:p>
        </w:tc>
        <w:tc>
          <w:tcPr>
            <w:tcW w:w="1582"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张玉佩</w:t>
            </w:r>
          </w:p>
        </w:tc>
        <w:tc>
          <w:tcPr>
            <w:tcW w:w="1566"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杨  丽</w:t>
            </w:r>
          </w:p>
        </w:tc>
      </w:tr>
      <w:tr>
        <w:tblPrEx>
          <w:tblCellMar>
            <w:top w:w="0" w:type="dxa"/>
            <w:left w:w="108" w:type="dxa"/>
            <w:bottom w:w="0" w:type="dxa"/>
            <w:right w:w="108" w:type="dxa"/>
          </w:tblCellMar>
        </w:tblPrEx>
        <w:trPr>
          <w:trHeight w:val="454" w:hRule="atLeast"/>
        </w:trPr>
        <w:tc>
          <w:tcPr>
            <w:tcW w:w="72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9</w:t>
            </w:r>
          </w:p>
        </w:tc>
        <w:tc>
          <w:tcPr>
            <w:tcW w:w="2279"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政策扶持组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区发改局</w:t>
            </w:r>
          </w:p>
        </w:tc>
        <w:tc>
          <w:tcPr>
            <w:tcW w:w="342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政策服务</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陈  旭</w:t>
            </w:r>
          </w:p>
        </w:tc>
        <w:tc>
          <w:tcPr>
            <w:tcW w:w="158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杨  辉</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薛  昆</w:t>
            </w:r>
          </w:p>
        </w:tc>
      </w:tr>
      <w:tr>
        <w:tblPrEx>
          <w:tblCellMar>
            <w:top w:w="0" w:type="dxa"/>
            <w:left w:w="108" w:type="dxa"/>
            <w:bottom w:w="0" w:type="dxa"/>
            <w:right w:w="108" w:type="dxa"/>
          </w:tblCellMar>
        </w:tblPrEx>
        <w:trPr>
          <w:trHeight w:val="454" w:hRule="atLeast"/>
        </w:trPr>
        <w:tc>
          <w:tcPr>
            <w:tcW w:w="72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区企业服务中心</w:t>
            </w:r>
          </w:p>
        </w:tc>
        <w:tc>
          <w:tcPr>
            <w:tcW w:w="342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何春强</w:t>
            </w:r>
          </w:p>
        </w:tc>
        <w:tc>
          <w:tcPr>
            <w:tcW w:w="158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陈少渊</w:t>
            </w:r>
          </w:p>
        </w:tc>
      </w:tr>
    </w:tbl>
    <w:p>
      <w:pPr>
        <w:pStyle w:val="2"/>
        <w:spacing w:line="300" w:lineRule="exact"/>
        <w:rPr>
          <w:color w:val="000000"/>
        </w:rPr>
      </w:pPr>
    </w:p>
    <w:tbl>
      <w:tblPr>
        <w:tblStyle w:val="9"/>
        <w:tblpPr w:leftFromText="180" w:rightFromText="180" w:vertAnchor="text" w:horzAnchor="page" w:tblpX="1745" w:tblpY="1"/>
        <w:tblOverlap w:val="never"/>
        <w:tblW w:w="0" w:type="auto"/>
        <w:tblInd w:w="0" w:type="dxa"/>
        <w:tblLayout w:type="fixed"/>
        <w:tblCellMar>
          <w:top w:w="0" w:type="dxa"/>
          <w:left w:w="108" w:type="dxa"/>
          <w:bottom w:w="0" w:type="dxa"/>
          <w:right w:w="108" w:type="dxa"/>
        </w:tblCellMar>
      </w:tblPr>
      <w:tblGrid>
        <w:gridCol w:w="722"/>
        <w:gridCol w:w="2279"/>
        <w:gridCol w:w="2456"/>
        <w:gridCol w:w="3423"/>
        <w:gridCol w:w="1535"/>
        <w:gridCol w:w="1582"/>
        <w:gridCol w:w="1566"/>
      </w:tblGrid>
      <w:tr>
        <w:tblPrEx>
          <w:tblCellMar>
            <w:top w:w="0" w:type="dxa"/>
            <w:left w:w="108" w:type="dxa"/>
            <w:bottom w:w="0" w:type="dxa"/>
            <w:right w:w="108" w:type="dxa"/>
          </w:tblCellMar>
        </w:tblPrEx>
        <w:trPr>
          <w:trHeight w:val="567" w:hRule="atLeast"/>
        </w:trPr>
        <w:tc>
          <w:tcPr>
            <w:tcW w:w="722" w:type="dxa"/>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hint="eastAsia" w:cs="仿宋_GB2312"/>
                <w:color w:val="000000"/>
                <w:kern w:val="0"/>
                <w:sz w:val="24"/>
                <w:szCs w:val="24"/>
              </w:rPr>
            </w:pPr>
            <w:r>
              <w:rPr>
                <w:rFonts w:hint="eastAsia" w:hAnsi="宋体" w:cs="仿宋_GB2312"/>
                <w:b/>
                <w:color w:val="000000"/>
                <w:kern w:val="0"/>
                <w:sz w:val="24"/>
                <w:szCs w:val="24"/>
              </w:rPr>
              <w:t>序号</w:t>
            </w:r>
          </w:p>
        </w:tc>
        <w:tc>
          <w:tcPr>
            <w:tcW w:w="2279" w:type="dxa"/>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hint="eastAsia" w:cs="仿宋_GB2312"/>
                <w:color w:val="000000"/>
                <w:kern w:val="0"/>
                <w:sz w:val="24"/>
                <w:szCs w:val="24"/>
              </w:rPr>
            </w:pPr>
            <w:r>
              <w:rPr>
                <w:rFonts w:hint="eastAsia" w:hAnsi="宋体" w:cs="仿宋_GB2312"/>
                <w:b/>
                <w:color w:val="000000"/>
                <w:kern w:val="0"/>
                <w:sz w:val="24"/>
                <w:szCs w:val="24"/>
              </w:rPr>
              <w:t>专项组名</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cs="仿宋_GB2312"/>
                <w:color w:val="000000"/>
                <w:kern w:val="0"/>
                <w:sz w:val="24"/>
                <w:szCs w:val="24"/>
              </w:rPr>
            </w:pPr>
            <w:r>
              <w:rPr>
                <w:rFonts w:hint="eastAsia" w:hAnsi="宋体" w:cs="仿宋_GB2312"/>
                <w:b/>
                <w:color w:val="000000"/>
                <w:kern w:val="0"/>
                <w:sz w:val="24"/>
                <w:szCs w:val="24"/>
              </w:rPr>
              <w:t>牵头部门</w:t>
            </w: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cs="仿宋_GB2312"/>
                <w:color w:val="000000"/>
                <w:kern w:val="0"/>
                <w:sz w:val="24"/>
                <w:szCs w:val="24"/>
              </w:rPr>
            </w:pPr>
            <w:r>
              <w:rPr>
                <w:rFonts w:hint="eastAsia" w:hAnsi="宋体" w:cs="仿宋_GB2312"/>
                <w:b/>
                <w:color w:val="000000"/>
                <w:kern w:val="0"/>
                <w:sz w:val="24"/>
                <w:szCs w:val="24"/>
              </w:rPr>
              <w:t>工作目标</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cs="仿宋_GB2312"/>
                <w:color w:val="000000"/>
                <w:kern w:val="0"/>
                <w:sz w:val="24"/>
                <w:szCs w:val="24"/>
              </w:rPr>
            </w:pPr>
            <w:r>
              <w:rPr>
                <w:rFonts w:hint="eastAsia" w:hAnsi="宋体" w:cs="仿宋_GB2312"/>
                <w:b/>
                <w:color w:val="000000"/>
                <w:kern w:val="0"/>
                <w:sz w:val="24"/>
                <w:szCs w:val="24"/>
              </w:rPr>
              <w:t>责任领导</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cs="仿宋_GB2312"/>
                <w:color w:val="000000"/>
                <w:kern w:val="0"/>
                <w:sz w:val="24"/>
                <w:szCs w:val="24"/>
              </w:rPr>
            </w:pPr>
            <w:r>
              <w:rPr>
                <w:rFonts w:hint="eastAsia" w:hAnsi="宋体" w:cs="仿宋_GB2312"/>
                <w:b/>
                <w:color w:val="000000"/>
                <w:kern w:val="0"/>
                <w:sz w:val="24"/>
                <w:szCs w:val="24"/>
              </w:rPr>
              <w:t>分管领导</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cs="仿宋_GB2312"/>
                <w:color w:val="000000"/>
                <w:kern w:val="0"/>
                <w:sz w:val="24"/>
                <w:szCs w:val="24"/>
              </w:rPr>
            </w:pPr>
            <w:r>
              <w:rPr>
                <w:rFonts w:hint="eastAsia" w:hAnsi="宋体" w:cs="仿宋_GB2312"/>
                <w:b/>
                <w:color w:val="000000"/>
                <w:kern w:val="0"/>
                <w:sz w:val="24"/>
                <w:szCs w:val="24"/>
              </w:rPr>
              <w:t>联络人</w:t>
            </w:r>
          </w:p>
        </w:tc>
      </w:tr>
      <w:tr>
        <w:tblPrEx>
          <w:tblCellMar>
            <w:top w:w="0" w:type="dxa"/>
            <w:left w:w="108" w:type="dxa"/>
            <w:bottom w:w="0" w:type="dxa"/>
            <w:right w:w="108" w:type="dxa"/>
          </w:tblCellMar>
        </w:tblPrEx>
        <w:trPr>
          <w:trHeight w:val="454" w:hRule="atLeast"/>
        </w:trPr>
        <w:tc>
          <w:tcPr>
            <w:tcW w:w="722"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10</w:t>
            </w:r>
          </w:p>
        </w:tc>
        <w:tc>
          <w:tcPr>
            <w:tcW w:w="2279" w:type="dxa"/>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信用建设组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区发改局</w:t>
            </w: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市场监管</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陈  旭</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杨  辉</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薛  昆</w:t>
            </w:r>
          </w:p>
        </w:tc>
      </w:tr>
      <w:tr>
        <w:tblPrEx>
          <w:tblCellMar>
            <w:top w:w="0" w:type="dxa"/>
            <w:left w:w="108" w:type="dxa"/>
            <w:bottom w:w="0" w:type="dxa"/>
            <w:right w:w="108" w:type="dxa"/>
          </w:tblCellMar>
        </w:tblPrEx>
        <w:trPr>
          <w:trHeight w:val="454" w:hRule="atLeast"/>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11</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园区发展组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福州软件园</w:t>
            </w: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园区发展</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cs="仿宋_GB2312"/>
                <w:color w:val="000000"/>
                <w:kern w:val="0"/>
                <w:sz w:val="24"/>
                <w:szCs w:val="24"/>
              </w:rPr>
              <w:t>陈</w:t>
            </w:r>
            <w:r>
              <w:rPr>
                <w:rFonts w:hint="eastAsia" w:cs="仿宋_GB2312"/>
                <w:color w:val="000000"/>
                <w:kern w:val="0"/>
                <w:sz w:val="24"/>
                <w:szCs w:val="24"/>
              </w:rPr>
              <w:t xml:space="preserve">  </w:t>
            </w:r>
            <w:r>
              <w:rPr>
                <w:rFonts w:cs="仿宋_GB2312"/>
                <w:color w:val="000000"/>
                <w:kern w:val="0"/>
                <w:sz w:val="24"/>
                <w:szCs w:val="24"/>
              </w:rPr>
              <w:t>斌</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cs="仿宋_GB2312"/>
                <w:color w:val="000000"/>
                <w:kern w:val="0"/>
                <w:sz w:val="24"/>
                <w:szCs w:val="24"/>
              </w:rPr>
              <w:t>陈</w:t>
            </w:r>
            <w:r>
              <w:rPr>
                <w:rFonts w:hint="eastAsia" w:cs="仿宋_GB2312"/>
                <w:color w:val="000000"/>
                <w:kern w:val="0"/>
                <w:sz w:val="24"/>
                <w:szCs w:val="24"/>
              </w:rPr>
              <w:t xml:space="preserve">  </w:t>
            </w:r>
            <w:r>
              <w:rPr>
                <w:rFonts w:cs="仿宋_GB2312"/>
                <w:color w:val="000000"/>
                <w:kern w:val="0"/>
                <w:sz w:val="24"/>
                <w:szCs w:val="24"/>
              </w:rPr>
              <w:t>斌</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高团洪</w:t>
            </w:r>
          </w:p>
        </w:tc>
      </w:tr>
      <w:tr>
        <w:tblPrEx>
          <w:tblCellMar>
            <w:top w:w="0" w:type="dxa"/>
            <w:left w:w="108" w:type="dxa"/>
            <w:bottom w:w="0" w:type="dxa"/>
            <w:right w:w="108" w:type="dxa"/>
          </w:tblCellMar>
        </w:tblPrEx>
        <w:trPr>
          <w:trHeight w:val="454" w:hRule="atLeast"/>
        </w:trPr>
        <w:tc>
          <w:tcPr>
            <w:tcW w:w="722" w:type="dxa"/>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12</w:t>
            </w:r>
          </w:p>
        </w:tc>
        <w:tc>
          <w:tcPr>
            <w:tcW w:w="2279" w:type="dxa"/>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特色小镇建设组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高新区洪山园</w:t>
            </w: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创建特色小镇</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林  波</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林  渊</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刘美蓉</w:t>
            </w:r>
          </w:p>
        </w:tc>
      </w:tr>
      <w:tr>
        <w:tblPrEx>
          <w:tblCellMar>
            <w:top w:w="0" w:type="dxa"/>
            <w:left w:w="108" w:type="dxa"/>
            <w:bottom w:w="0" w:type="dxa"/>
            <w:right w:w="108" w:type="dxa"/>
          </w:tblCellMar>
        </w:tblPrEx>
        <w:trPr>
          <w:trHeight w:val="454" w:hRule="atLeast"/>
        </w:trPr>
        <w:tc>
          <w:tcPr>
            <w:tcW w:w="722" w:type="dxa"/>
            <w:vMerge w:val="restart"/>
            <w:tcBorders>
              <w:left w:val="single" w:color="auto" w:sz="4" w:space="0"/>
              <w:right w:val="single" w:color="auto" w:sz="4" w:space="0"/>
            </w:tcBorders>
            <w:vAlign w:val="center"/>
          </w:tcPr>
          <w:p>
            <w:pPr>
              <w:widowControl/>
              <w:spacing w:line="300" w:lineRule="exact"/>
              <w:jc w:val="center"/>
              <w:rPr>
                <w:rFonts w:cs="仿宋_GB2312"/>
                <w:color w:val="000000"/>
                <w:kern w:val="0"/>
                <w:sz w:val="24"/>
                <w:szCs w:val="24"/>
              </w:rPr>
            </w:pPr>
            <w:r>
              <w:rPr>
                <w:rFonts w:hint="eastAsia" w:cs="仿宋_GB2312"/>
                <w:color w:val="000000"/>
                <w:kern w:val="0"/>
                <w:sz w:val="24"/>
                <w:szCs w:val="24"/>
              </w:rPr>
              <w:t>13</w:t>
            </w:r>
          </w:p>
        </w:tc>
        <w:tc>
          <w:tcPr>
            <w:tcW w:w="2279" w:type="dxa"/>
            <w:vMerge w:val="restart"/>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知识产权、人才和劳动力服务组</w:t>
            </w:r>
          </w:p>
        </w:tc>
        <w:tc>
          <w:tcPr>
            <w:tcW w:w="245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区人社局</w:t>
            </w: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知识产权创造、保护和运用</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sz w:val="24"/>
                <w:szCs w:val="24"/>
              </w:rPr>
            </w:pPr>
            <w:r>
              <w:rPr>
                <w:rFonts w:hint="eastAsia" w:cs="仿宋_GB2312"/>
                <w:color w:val="000000"/>
                <w:sz w:val="24"/>
                <w:szCs w:val="24"/>
              </w:rPr>
              <w:t>吴小雄</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sz w:val="24"/>
                <w:szCs w:val="24"/>
              </w:rPr>
            </w:pPr>
            <w:r>
              <w:rPr>
                <w:rFonts w:hint="eastAsia" w:cs="仿宋_GB2312"/>
                <w:color w:val="000000"/>
                <w:sz w:val="24"/>
                <w:szCs w:val="24"/>
              </w:rPr>
              <w:t>黄瑞忠</w:t>
            </w:r>
          </w:p>
        </w:tc>
        <w:tc>
          <w:tcPr>
            <w:tcW w:w="156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黄晨岚</w:t>
            </w:r>
          </w:p>
        </w:tc>
      </w:tr>
      <w:tr>
        <w:tblPrEx>
          <w:tblCellMar>
            <w:top w:w="0" w:type="dxa"/>
            <w:left w:w="108" w:type="dxa"/>
            <w:bottom w:w="0" w:type="dxa"/>
            <w:right w:w="108" w:type="dxa"/>
          </w:tblCellMar>
        </w:tblPrEx>
        <w:trPr>
          <w:trHeight w:val="454" w:hRule="atLeast"/>
        </w:trPr>
        <w:tc>
          <w:tcPr>
            <w:tcW w:w="72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4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34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劳动力市场监管</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highlight w:val="yellow"/>
              </w:rPr>
            </w:pPr>
            <w:r>
              <w:rPr>
                <w:rFonts w:hint="eastAsia" w:hAnsi="宋体" w:cs="仿宋_GB2312"/>
                <w:color w:val="000000"/>
                <w:kern w:val="0"/>
                <w:sz w:val="24"/>
                <w:szCs w:val="24"/>
              </w:rPr>
              <w:t>林  秀</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highlight w:val="yellow"/>
              </w:rPr>
            </w:pPr>
            <w:r>
              <w:rPr>
                <w:rFonts w:hint="eastAsia" w:cs="仿宋_GB2312"/>
                <w:color w:val="000000"/>
                <w:kern w:val="0"/>
                <w:sz w:val="24"/>
                <w:szCs w:val="24"/>
              </w:rPr>
              <w:t>林  渊</w:t>
            </w:r>
          </w:p>
        </w:tc>
        <w:tc>
          <w:tcPr>
            <w:tcW w:w="156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r>
      <w:tr>
        <w:tblPrEx>
          <w:tblCellMar>
            <w:top w:w="0" w:type="dxa"/>
            <w:left w:w="108" w:type="dxa"/>
            <w:bottom w:w="0" w:type="dxa"/>
            <w:right w:w="108" w:type="dxa"/>
          </w:tblCellMar>
        </w:tblPrEx>
        <w:trPr>
          <w:trHeight w:val="454" w:hRule="atLeast"/>
        </w:trPr>
        <w:tc>
          <w:tcPr>
            <w:tcW w:w="72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14</w:t>
            </w:r>
          </w:p>
        </w:tc>
        <w:tc>
          <w:tcPr>
            <w:tcW w:w="2279"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社会民生组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区卫健局</w:t>
            </w:r>
          </w:p>
        </w:tc>
        <w:tc>
          <w:tcPr>
            <w:tcW w:w="342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包容普惠创新</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lang w:val="zh-TW"/>
              </w:rPr>
              <w:t>高</w:t>
            </w:r>
            <w:r>
              <w:rPr>
                <w:rFonts w:hint="eastAsia" w:cs="仿宋_GB2312"/>
                <w:color w:val="000000"/>
                <w:kern w:val="0"/>
                <w:sz w:val="24"/>
                <w:szCs w:val="24"/>
              </w:rPr>
              <w:t xml:space="preserve">  </w:t>
            </w:r>
            <w:r>
              <w:rPr>
                <w:rFonts w:hint="eastAsia" w:cs="仿宋_GB2312"/>
                <w:color w:val="000000"/>
                <w:kern w:val="0"/>
                <w:sz w:val="24"/>
                <w:szCs w:val="24"/>
                <w:lang w:val="zh-TW"/>
              </w:rPr>
              <w:t>勇</w:t>
            </w:r>
          </w:p>
        </w:tc>
        <w:tc>
          <w:tcPr>
            <w:tcW w:w="15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林  诚</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陈  翠</w:t>
            </w:r>
          </w:p>
        </w:tc>
      </w:tr>
      <w:tr>
        <w:tblPrEx>
          <w:tblCellMar>
            <w:top w:w="0" w:type="dxa"/>
            <w:left w:w="108" w:type="dxa"/>
            <w:bottom w:w="0" w:type="dxa"/>
            <w:right w:w="108" w:type="dxa"/>
          </w:tblCellMar>
        </w:tblPrEx>
        <w:trPr>
          <w:trHeight w:val="454" w:hRule="atLeast"/>
        </w:trPr>
        <w:tc>
          <w:tcPr>
            <w:tcW w:w="722"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区司法局</w:t>
            </w:r>
          </w:p>
        </w:tc>
        <w:tc>
          <w:tcPr>
            <w:tcW w:w="3423"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王建军</w:t>
            </w: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李善玲</w:t>
            </w:r>
          </w:p>
        </w:tc>
      </w:tr>
      <w:tr>
        <w:tblPrEx>
          <w:tblCellMar>
            <w:top w:w="0" w:type="dxa"/>
            <w:left w:w="108" w:type="dxa"/>
            <w:bottom w:w="0" w:type="dxa"/>
            <w:right w:w="108" w:type="dxa"/>
          </w:tblCellMar>
        </w:tblPrEx>
        <w:trPr>
          <w:trHeight w:val="454" w:hRule="atLeast"/>
        </w:trPr>
        <w:tc>
          <w:tcPr>
            <w:tcW w:w="722"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区教育局</w:t>
            </w:r>
          </w:p>
        </w:tc>
        <w:tc>
          <w:tcPr>
            <w:tcW w:w="3423"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sz w:val="24"/>
                <w:szCs w:val="24"/>
              </w:rPr>
            </w:pPr>
            <w:r>
              <w:rPr>
                <w:rFonts w:hint="eastAsia" w:cs="仿宋_GB2312"/>
                <w:color w:val="000000"/>
                <w:sz w:val="24"/>
                <w:szCs w:val="24"/>
                <w:lang w:val="zh-TW"/>
              </w:rPr>
              <w:t>翁</w:t>
            </w:r>
            <w:r>
              <w:rPr>
                <w:rFonts w:hint="eastAsia" w:cs="仿宋_GB2312"/>
                <w:color w:val="000000"/>
                <w:sz w:val="24"/>
                <w:szCs w:val="24"/>
              </w:rPr>
              <w:t xml:space="preserve">  晖</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sz w:val="24"/>
                <w:szCs w:val="24"/>
              </w:rPr>
            </w:pPr>
            <w:r>
              <w:rPr>
                <w:rFonts w:hint="eastAsia" w:cs="仿宋_GB2312"/>
                <w:color w:val="000000"/>
                <w:sz w:val="24"/>
                <w:szCs w:val="24"/>
                <w:lang w:val="zh-TW"/>
              </w:rPr>
              <w:t>高</w:t>
            </w:r>
            <w:r>
              <w:rPr>
                <w:rFonts w:hint="eastAsia" w:cs="仿宋_GB2312"/>
                <w:color w:val="000000"/>
                <w:sz w:val="24"/>
                <w:szCs w:val="24"/>
              </w:rPr>
              <w:t xml:space="preserve">  </w:t>
            </w:r>
            <w:r>
              <w:rPr>
                <w:rFonts w:hint="eastAsia" w:cs="仿宋_GB2312"/>
                <w:color w:val="000000"/>
                <w:sz w:val="24"/>
                <w:szCs w:val="24"/>
                <w:lang w:val="zh-TW"/>
              </w:rPr>
              <w:t>翔</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sz w:val="24"/>
                <w:szCs w:val="24"/>
              </w:rPr>
            </w:pPr>
            <w:r>
              <w:rPr>
                <w:rFonts w:hint="eastAsia" w:cs="仿宋_GB2312"/>
                <w:color w:val="000000"/>
                <w:sz w:val="24"/>
                <w:szCs w:val="24"/>
                <w:lang w:val="zh-TW"/>
              </w:rPr>
              <w:t>高</w:t>
            </w:r>
            <w:r>
              <w:rPr>
                <w:rFonts w:hint="eastAsia" w:cs="仿宋_GB2312"/>
                <w:color w:val="000000"/>
                <w:sz w:val="24"/>
                <w:szCs w:val="24"/>
              </w:rPr>
              <w:t xml:space="preserve">  </w:t>
            </w:r>
            <w:r>
              <w:rPr>
                <w:rFonts w:hint="eastAsia" w:cs="仿宋_GB2312"/>
                <w:color w:val="000000"/>
                <w:sz w:val="24"/>
                <w:szCs w:val="24"/>
                <w:lang w:val="zh-TW"/>
              </w:rPr>
              <w:t>翔</w:t>
            </w:r>
          </w:p>
        </w:tc>
      </w:tr>
      <w:tr>
        <w:tblPrEx>
          <w:tblCellMar>
            <w:top w:w="0" w:type="dxa"/>
            <w:left w:w="108" w:type="dxa"/>
            <w:bottom w:w="0" w:type="dxa"/>
            <w:right w:w="108" w:type="dxa"/>
          </w:tblCellMar>
        </w:tblPrEx>
        <w:trPr>
          <w:trHeight w:val="454" w:hRule="atLeast"/>
        </w:trPr>
        <w:tc>
          <w:tcPr>
            <w:tcW w:w="722"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鼓楼生态环境局</w:t>
            </w:r>
          </w:p>
        </w:tc>
        <w:tc>
          <w:tcPr>
            <w:tcW w:w="3423"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林清松</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lang w:val="zh-TW"/>
              </w:rPr>
              <w:t>林</w:t>
            </w:r>
            <w:r>
              <w:rPr>
                <w:rFonts w:hint="eastAsia" w:cs="仿宋_GB2312"/>
                <w:color w:val="000000"/>
                <w:kern w:val="0"/>
                <w:sz w:val="24"/>
                <w:szCs w:val="24"/>
              </w:rPr>
              <w:t xml:space="preserve">  </w:t>
            </w:r>
            <w:r>
              <w:rPr>
                <w:rFonts w:hint="eastAsia" w:cs="仿宋_GB2312"/>
                <w:color w:val="000000"/>
                <w:kern w:val="0"/>
                <w:sz w:val="24"/>
                <w:szCs w:val="24"/>
                <w:lang w:val="zh-TW"/>
              </w:rPr>
              <w:t>渊</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林华娇</w:t>
            </w:r>
          </w:p>
        </w:tc>
      </w:tr>
      <w:tr>
        <w:tblPrEx>
          <w:tblCellMar>
            <w:top w:w="0" w:type="dxa"/>
            <w:left w:w="108" w:type="dxa"/>
            <w:bottom w:w="0" w:type="dxa"/>
            <w:right w:w="108" w:type="dxa"/>
          </w:tblCellMar>
        </w:tblPrEx>
        <w:trPr>
          <w:trHeight w:val="454" w:hRule="atLeast"/>
        </w:trPr>
        <w:tc>
          <w:tcPr>
            <w:tcW w:w="722"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区房管局</w:t>
            </w:r>
          </w:p>
        </w:tc>
        <w:tc>
          <w:tcPr>
            <w:tcW w:w="3423"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黄  勉</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lang w:val="zh-TW"/>
              </w:rPr>
              <w:t>王茂盛</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孙榕星</w:t>
            </w:r>
          </w:p>
        </w:tc>
      </w:tr>
      <w:tr>
        <w:tblPrEx>
          <w:tblCellMar>
            <w:top w:w="0" w:type="dxa"/>
            <w:left w:w="108" w:type="dxa"/>
            <w:bottom w:w="0" w:type="dxa"/>
            <w:right w:w="108" w:type="dxa"/>
          </w:tblCellMar>
        </w:tblPrEx>
        <w:trPr>
          <w:trHeight w:val="454" w:hRule="atLeast"/>
        </w:trPr>
        <w:tc>
          <w:tcPr>
            <w:tcW w:w="722"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区园林中心</w:t>
            </w:r>
          </w:p>
        </w:tc>
        <w:tc>
          <w:tcPr>
            <w:tcW w:w="3423" w:type="dxa"/>
            <w:vMerge w:val="continue"/>
            <w:tcBorders>
              <w:left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李建国</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lang w:val="zh-TW"/>
              </w:rPr>
              <w:t>李正国</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林肖炜</w:t>
            </w:r>
          </w:p>
        </w:tc>
      </w:tr>
      <w:tr>
        <w:tblPrEx>
          <w:tblCellMar>
            <w:top w:w="0" w:type="dxa"/>
            <w:left w:w="108" w:type="dxa"/>
            <w:bottom w:w="0" w:type="dxa"/>
            <w:right w:w="108" w:type="dxa"/>
          </w:tblCellMar>
        </w:tblPrEx>
        <w:trPr>
          <w:trHeight w:val="454" w:hRule="atLeast"/>
        </w:trPr>
        <w:tc>
          <w:tcPr>
            <w:tcW w:w="72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区市场监管局</w:t>
            </w:r>
          </w:p>
        </w:tc>
        <w:tc>
          <w:tcPr>
            <w:tcW w:w="342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吴小雄</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黄瑞忠</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cs="仿宋_GB2312"/>
                <w:color w:val="000000"/>
                <w:kern w:val="0"/>
                <w:sz w:val="24"/>
                <w:szCs w:val="24"/>
              </w:rPr>
            </w:pPr>
            <w:r>
              <w:rPr>
                <w:rFonts w:hint="eastAsia" w:cs="仿宋_GB2312"/>
                <w:color w:val="000000"/>
                <w:kern w:val="0"/>
                <w:sz w:val="24"/>
                <w:szCs w:val="24"/>
              </w:rPr>
              <w:t>魏文钧</w:t>
            </w:r>
          </w:p>
        </w:tc>
      </w:tr>
    </w:tbl>
    <w:p>
      <w:pPr>
        <w:pStyle w:val="2"/>
        <w:spacing w:line="300" w:lineRule="exact"/>
        <w:rPr>
          <w:color w:val="000000"/>
        </w:rPr>
      </w:pPr>
    </w:p>
    <w:p>
      <w:pPr>
        <w:pStyle w:val="3"/>
        <w:spacing w:line="300" w:lineRule="exact"/>
        <w:rPr>
          <w:color w:val="000000"/>
        </w:rPr>
      </w:pPr>
    </w:p>
    <w:p>
      <w:pPr>
        <w:pStyle w:val="2"/>
        <w:spacing w:line="300" w:lineRule="exact"/>
        <w:rPr>
          <w:rFonts w:hint="eastAsia"/>
        </w:rPr>
      </w:pPr>
    </w:p>
    <w:p>
      <w:pPr>
        <w:spacing w:line="300" w:lineRule="exact"/>
      </w:pPr>
    </w:p>
    <w:sectPr>
      <w:headerReference r:id="rId6" w:type="default"/>
      <w:footerReference r:id="rId8" w:type="default"/>
      <w:headerReference r:id="rId7" w:type="even"/>
      <w:footerReference r:id="rId9" w:type="even"/>
      <w:pgSz w:w="16838" w:h="11906" w:orient="landscape"/>
      <w:pgMar w:top="851" w:right="2098" w:bottom="851" w:left="1588" w:header="851" w:footer="1361" w:gutter="0"/>
      <w:cols w:space="720" w:num="1"/>
      <w:docGrid w:type="linesAndChars" w:linePitch="574"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hint="eastAsia" w:ascii="楷体_GB2312" w:eastAsia="楷体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711C"/>
    <w:rsid w:val="00014498"/>
    <w:rsid w:val="002C7885"/>
    <w:rsid w:val="0073711C"/>
    <w:rsid w:val="008314E7"/>
    <w:rsid w:val="BDF5F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仿宋_GB2312" w:hAnsi="仿宋_GB2312" w:eastAsia="仿宋_GB2312" w:cs="Times New Roman"/>
      <w:kern w:val="2"/>
      <w:sz w:val="32"/>
      <w:szCs w:val="20"/>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rFonts w:ascii="Calibri" w:hAnsi="Calibri" w:eastAsia="宋体"/>
      <w:sz w:val="18"/>
      <w:szCs w:val="18"/>
    </w:rPr>
  </w:style>
  <w:style w:type="paragraph" w:styleId="3">
    <w:name w:val="Body Text"/>
    <w:basedOn w:val="1"/>
    <w:link w:val="19"/>
    <w:qFormat/>
    <w:uiPriority w:val="0"/>
    <w:pPr>
      <w:spacing w:after="120"/>
    </w:pPr>
    <w:rPr>
      <w:rFonts w:ascii="Times New Roman" w:hAnsi="Times New Roman" w:eastAsia="宋体"/>
    </w:rPr>
  </w:style>
  <w:style w:type="paragraph" w:styleId="4">
    <w:name w:val="Body Text Indent"/>
    <w:basedOn w:val="1"/>
    <w:link w:val="20"/>
    <w:semiHidden/>
    <w:unhideWhenUsed/>
    <w:qFormat/>
    <w:uiPriority w:val="99"/>
    <w:pPr>
      <w:spacing w:after="120"/>
      <w:ind w:left="420" w:leftChars="200"/>
    </w:p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link w:val="22"/>
    <w:qFormat/>
    <w:uiPriority w:val="0"/>
    <w:pPr>
      <w:ind w:firstLine="420" w:firstLineChars="100"/>
    </w:pPr>
  </w:style>
  <w:style w:type="paragraph" w:styleId="8">
    <w:name w:val="Body Text First Indent 2"/>
    <w:basedOn w:val="1"/>
    <w:link w:val="21"/>
    <w:qFormat/>
    <w:uiPriority w:val="0"/>
    <w:pPr>
      <w:ind w:firstLine="420" w:firstLineChars="200"/>
    </w:pPr>
  </w:style>
  <w:style w:type="character" w:styleId="11">
    <w:name w:val="page number"/>
    <w:basedOn w:val="10"/>
    <w:qFormat/>
    <w:uiPriority w:val="0"/>
  </w:style>
  <w:style w:type="character" w:styleId="12">
    <w:name w:val="line number"/>
    <w:basedOn w:val="10"/>
    <w:qFormat/>
    <w:uiPriority w:val="0"/>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character" w:customStyle="1" w:styleId="15">
    <w:name w:val="font101"/>
    <w:basedOn w:val="10"/>
    <w:qFormat/>
    <w:uiPriority w:val="0"/>
    <w:rPr>
      <w:rFonts w:hint="eastAsia" w:ascii="宋体" w:hAnsi="宋体" w:eastAsia="宋体" w:cs="宋体"/>
      <w:color w:val="000000"/>
      <w:sz w:val="20"/>
      <w:szCs w:val="20"/>
      <w:u w:val="none"/>
    </w:rPr>
  </w:style>
  <w:style w:type="character" w:customStyle="1" w:styleId="16">
    <w:name w:val="font71"/>
    <w:basedOn w:val="10"/>
    <w:qFormat/>
    <w:uiPriority w:val="0"/>
    <w:rPr>
      <w:rFonts w:hint="eastAsia" w:ascii="仿宋_GB2312" w:eastAsia="仿宋_GB2312" w:cs="仿宋_GB2312"/>
      <w:color w:val="000000"/>
      <w:sz w:val="20"/>
      <w:szCs w:val="20"/>
      <w:u w:val="none"/>
    </w:rPr>
  </w:style>
  <w:style w:type="paragraph" w:customStyle="1" w:styleId="17">
    <w:name w:val="p0"/>
    <w:basedOn w:val="1"/>
    <w:qFormat/>
    <w:uiPriority w:val="0"/>
    <w:pPr>
      <w:widowControl/>
    </w:pPr>
    <w:rPr>
      <w:rFonts w:eastAsia="宋体"/>
      <w:kern w:val="0"/>
      <w:szCs w:val="32"/>
    </w:rPr>
  </w:style>
  <w:style w:type="character" w:customStyle="1" w:styleId="18">
    <w:name w:val="批注框文本 Char"/>
    <w:basedOn w:val="10"/>
    <w:link w:val="2"/>
    <w:qFormat/>
    <w:uiPriority w:val="0"/>
    <w:rPr>
      <w:rFonts w:ascii="Calibri" w:hAnsi="Calibri" w:eastAsia="宋体" w:cs="Times New Roman"/>
      <w:sz w:val="18"/>
      <w:szCs w:val="18"/>
    </w:rPr>
  </w:style>
  <w:style w:type="character" w:customStyle="1" w:styleId="19">
    <w:name w:val="正文文本 Char"/>
    <w:basedOn w:val="10"/>
    <w:link w:val="3"/>
    <w:uiPriority w:val="0"/>
    <w:rPr>
      <w:rFonts w:ascii="Times New Roman" w:hAnsi="Times New Roman" w:eastAsia="宋体" w:cs="Times New Roman"/>
      <w:sz w:val="32"/>
      <w:szCs w:val="20"/>
    </w:rPr>
  </w:style>
  <w:style w:type="character" w:customStyle="1" w:styleId="20">
    <w:name w:val="正文文本缩进 Char"/>
    <w:basedOn w:val="10"/>
    <w:link w:val="4"/>
    <w:semiHidden/>
    <w:uiPriority w:val="99"/>
    <w:rPr>
      <w:rFonts w:ascii="仿宋_GB2312" w:hAnsi="仿宋_GB2312" w:eastAsia="仿宋_GB2312" w:cs="Times New Roman"/>
      <w:sz w:val="32"/>
      <w:szCs w:val="20"/>
    </w:rPr>
  </w:style>
  <w:style w:type="character" w:customStyle="1" w:styleId="21">
    <w:name w:val="正文首行缩进 2 Char"/>
    <w:basedOn w:val="20"/>
    <w:link w:val="8"/>
    <w:qFormat/>
    <w:uiPriority w:val="0"/>
  </w:style>
  <w:style w:type="character" w:customStyle="1" w:styleId="22">
    <w:name w:val="正文首行缩进 Char"/>
    <w:basedOn w:val="19"/>
    <w:link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2202</Words>
  <Characters>12557</Characters>
  <Lines>104</Lines>
  <Paragraphs>29</Paragraphs>
  <TotalTime>19</TotalTime>
  <ScaleCrop>false</ScaleCrop>
  <LinksUpToDate>false</LinksUpToDate>
  <CharactersWithSpaces>14730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2020-04-09T10:46:00Z</dcterms:created>
  <dc:creator>Windows 用户</dc:creator>
  <cp:lastModifiedBy>常继赟</cp:lastModifiedBy>
  <dcterms:modified xsi:type="dcterms:W3CDTF">2025-09-22T10:32:21Z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60E9DB63361EBE8535B5D068C8D0B17C</vt:lpwstr>
  </property>
</Properties>
</file>