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rPr>
          <w:rFonts w:hint="default"/>
          <w:color w:val="auto"/>
          <w:highlight w:val="none"/>
          <w:lang w:eastAsia="zh-CN"/>
        </w:rPr>
      </w:pPr>
    </w:p>
    <w:p>
      <w:pPr>
        <w:pStyle w:val="22"/>
        <w:jc w:val="center"/>
        <w:outlineLvl w:val="1"/>
        <w:rPr>
          <w:rFonts w:hint="default"/>
          <w:color w:val="auto"/>
          <w:highlight w:val="none"/>
        </w:rPr>
      </w:pPr>
      <w:r>
        <w:rPr>
          <w:rFonts w:hint="eastAsia"/>
          <w:b/>
          <w:color w:val="auto"/>
          <w:sz w:val="36"/>
          <w:highlight w:val="none"/>
          <w:lang w:eastAsia="zh-CN"/>
        </w:rPr>
        <w:t>项目采购需求</w:t>
      </w:r>
    </w:p>
    <w:p>
      <w:pPr>
        <w:pStyle w:val="22"/>
        <w:spacing w:line="446" w:lineRule="exact"/>
        <w:ind w:firstLine="482"/>
        <w:jc w:val="both"/>
        <w:outlineLvl w:val="1"/>
        <w:rPr>
          <w:rFonts w:hint="default"/>
          <w:b/>
          <w:color w:val="auto"/>
          <w:sz w:val="24"/>
          <w:szCs w:val="24"/>
          <w:highlight w:val="none"/>
        </w:rPr>
      </w:pPr>
      <w:r>
        <w:rPr>
          <w:b/>
          <w:color w:val="auto"/>
          <w:sz w:val="24"/>
          <w:szCs w:val="24"/>
          <w:highlight w:val="none"/>
        </w:rPr>
        <w:t>一、项目概况（采购标的）</w:t>
      </w:r>
    </w:p>
    <w:p>
      <w:pPr>
        <w:pStyle w:val="22"/>
        <w:spacing w:line="446" w:lineRule="exact"/>
        <w:ind w:firstLine="482"/>
        <w:jc w:val="both"/>
        <w:rPr>
          <w:rFonts w:hint="default" w:ascii="宋体" w:hAnsi="宋体" w:eastAsia="宋体" w:cs="宋体"/>
          <w:color w:val="auto"/>
          <w:sz w:val="24"/>
          <w:highlight w:val="none"/>
          <w:lang w:eastAsia="zh-CN"/>
        </w:rPr>
      </w:pPr>
      <w:r>
        <w:rPr>
          <w:rFonts w:ascii="宋体" w:hAnsi="宋体" w:eastAsia="宋体" w:cs="宋体"/>
          <w:color w:val="auto"/>
          <w:sz w:val="24"/>
          <w:highlight w:val="none"/>
          <w:lang w:eastAsia="zh-CN"/>
        </w:rPr>
        <w:t>1、本项目包括温泉公园、屏山公园、冶山公园、乌山（一期和二期）、黎明湖公园等5个公园，由福州市鼓楼区乌山历史风貌区服务中心作为本项目采购人。</w:t>
      </w:r>
    </w:p>
    <w:p>
      <w:pPr>
        <w:pStyle w:val="22"/>
        <w:spacing w:line="446" w:lineRule="exact"/>
        <w:ind w:firstLine="482"/>
        <w:jc w:val="both"/>
        <w:rPr>
          <w:rFonts w:hint="default" w:ascii="宋体" w:hAnsi="宋体" w:eastAsia="宋体" w:cs="宋体"/>
          <w:color w:val="auto"/>
          <w:sz w:val="24"/>
          <w:highlight w:val="none"/>
          <w:lang w:eastAsia="zh-CN"/>
        </w:rPr>
      </w:pPr>
      <w:r>
        <w:rPr>
          <w:rFonts w:ascii="宋体" w:hAnsi="宋体" w:eastAsia="宋体" w:cs="宋体"/>
          <w:color w:val="auto"/>
          <w:sz w:val="24"/>
          <w:highlight w:val="none"/>
          <w:lang w:eastAsia="zh-CN"/>
        </w:rPr>
        <w:t>2、服务期</w:t>
      </w:r>
    </w:p>
    <w:p>
      <w:pPr>
        <w:pStyle w:val="22"/>
        <w:spacing w:line="446" w:lineRule="exact"/>
        <w:ind w:firstLine="482"/>
        <w:jc w:val="both"/>
        <w:rPr>
          <w:rFonts w:ascii="宋体" w:hAnsi="宋体" w:eastAsia="宋体" w:cs="宋体"/>
          <w:color w:val="auto"/>
          <w:sz w:val="24"/>
          <w:highlight w:val="none"/>
          <w:lang w:eastAsia="zh-CN"/>
        </w:rPr>
      </w:pPr>
      <w:r>
        <w:rPr>
          <w:rFonts w:hint="default" w:ascii="宋体" w:hAnsi="宋体" w:eastAsia="宋体" w:cs="宋体"/>
          <w:color w:val="auto"/>
          <w:sz w:val="24"/>
          <w:highlight w:val="none"/>
          <w:lang w:eastAsia="zh-CN"/>
        </w:rPr>
        <w:t>本项目服务期3年，合同采用一年一签方式（即1＋1+1模式），实施单位与中标人签订为期1年的合同。在第1年合同履行期间，依据考核标准，中标人一年内连续两个月或累计3个月考评平均分低于85分（不含85分）</w:t>
      </w:r>
      <w:r>
        <w:rPr>
          <w:rFonts w:hint="eastAsia" w:ascii="宋体" w:hAnsi="宋体" w:eastAsia="宋体" w:cs="宋体"/>
          <w:color w:val="auto"/>
          <w:sz w:val="24"/>
          <w:highlight w:val="none"/>
          <w:lang w:val="en-US" w:eastAsia="zh-CN"/>
        </w:rPr>
        <w:t>的</w:t>
      </w:r>
      <w:r>
        <w:rPr>
          <w:rFonts w:hint="default" w:ascii="宋体" w:hAnsi="宋体" w:eastAsia="宋体" w:cs="宋体"/>
          <w:color w:val="auto"/>
          <w:sz w:val="24"/>
          <w:highlight w:val="none"/>
          <w:lang w:eastAsia="zh-CN"/>
        </w:rPr>
        <w:t>，各公园有权在合同期内单方终止合同，中标人还须</w:t>
      </w:r>
      <w:r>
        <w:rPr>
          <w:rFonts w:ascii="宋体" w:hAnsi="宋体" w:eastAsia="宋体" w:cs="宋体"/>
          <w:color w:val="auto"/>
          <w:sz w:val="24"/>
          <w:highlight w:val="none"/>
        </w:rPr>
        <w:t>赔偿给公园造成的损失</w:t>
      </w:r>
      <w:r>
        <w:rPr>
          <w:rFonts w:hint="default" w:ascii="宋体" w:hAnsi="宋体" w:eastAsia="宋体" w:cs="宋体"/>
          <w:color w:val="auto"/>
          <w:sz w:val="24"/>
          <w:highlight w:val="none"/>
          <w:lang w:eastAsia="zh-CN"/>
        </w:rPr>
        <w:t>并责令中标人退出，且不承担违约责任</w:t>
      </w:r>
      <w:r>
        <w:rPr>
          <w:rFonts w:ascii="宋体" w:hAnsi="宋体" w:eastAsia="宋体" w:cs="宋体"/>
          <w:color w:val="auto"/>
          <w:sz w:val="24"/>
          <w:highlight w:val="none"/>
          <w:lang w:eastAsia="zh-CN"/>
        </w:rPr>
        <w:t>。</w:t>
      </w:r>
    </w:p>
    <w:p>
      <w:pPr>
        <w:pStyle w:val="22"/>
        <w:spacing w:line="446" w:lineRule="exact"/>
        <w:ind w:firstLine="482"/>
        <w:jc w:val="both"/>
        <w:rPr>
          <w:rFonts w:hint="eastAsia" w:ascii="宋体" w:hAnsi="宋体" w:eastAsia="宋体" w:cs="宋体"/>
          <w:color w:val="auto"/>
          <w:sz w:val="24"/>
          <w:szCs w:val="22"/>
          <w:highlight w:val="none"/>
          <w:lang w:val="en-US" w:eastAsia="zh-CN"/>
        </w:rPr>
      </w:pPr>
      <w:r>
        <w:rPr>
          <w:rFonts w:ascii="宋体" w:hAnsi="宋体" w:eastAsia="宋体" w:cs="宋体"/>
          <w:color w:val="auto"/>
          <w:sz w:val="24"/>
          <w:highlight w:val="none"/>
          <w:lang w:eastAsia="zh-CN"/>
        </w:rPr>
        <w:t>中标人</w:t>
      </w:r>
      <w:r>
        <w:rPr>
          <w:rFonts w:hint="default" w:ascii="宋体" w:hAnsi="宋体" w:eastAsia="宋体" w:cs="宋体"/>
          <w:color w:val="auto"/>
          <w:sz w:val="24"/>
          <w:highlight w:val="none"/>
          <w:lang w:eastAsia="zh-CN"/>
        </w:rPr>
        <w:t>养护满一年且年平均考核在90分</w:t>
      </w:r>
      <w:r>
        <w:rPr>
          <w:rFonts w:ascii="宋体" w:hAnsi="宋体" w:eastAsia="宋体" w:cs="宋体"/>
          <w:color w:val="auto"/>
          <w:sz w:val="24"/>
          <w:highlight w:val="none"/>
          <w:lang w:eastAsia="zh-CN"/>
        </w:rPr>
        <w:t>及</w:t>
      </w:r>
      <w:r>
        <w:rPr>
          <w:rFonts w:hint="default" w:ascii="宋体" w:hAnsi="宋体" w:eastAsia="宋体" w:cs="宋体"/>
          <w:color w:val="auto"/>
          <w:sz w:val="24"/>
          <w:highlight w:val="none"/>
          <w:lang w:eastAsia="zh-CN"/>
        </w:rPr>
        <w:t>以上，</w:t>
      </w:r>
      <w:r>
        <w:rPr>
          <w:rFonts w:hint="eastAsia" w:ascii="宋体" w:hAnsi="宋体" w:eastAsia="宋体" w:cs="宋体"/>
          <w:color w:val="auto"/>
          <w:sz w:val="24"/>
          <w:highlight w:val="none"/>
          <w:lang w:val="en-US" w:eastAsia="zh-CN"/>
        </w:rPr>
        <w:t>则</w:t>
      </w:r>
      <w:r>
        <w:rPr>
          <w:rFonts w:hint="default" w:ascii="宋体" w:hAnsi="宋体" w:eastAsia="宋体" w:cs="宋体"/>
          <w:color w:val="auto"/>
          <w:sz w:val="24"/>
          <w:highlight w:val="none"/>
          <w:lang w:eastAsia="zh-CN"/>
        </w:rPr>
        <w:t>续签第2年合同，如中标人不续签合同，</w:t>
      </w:r>
      <w:r>
        <w:rPr>
          <w:rFonts w:hint="default" w:ascii="宋体" w:hAnsi="宋体" w:eastAsia="宋体" w:cs="宋体"/>
          <w:color w:val="auto"/>
          <w:sz w:val="24"/>
          <w:szCs w:val="22"/>
          <w:highlight w:val="none"/>
          <w:lang w:val="en-US" w:eastAsia="zh-CN"/>
        </w:rPr>
        <w:t>则</w:t>
      </w:r>
      <w:r>
        <w:rPr>
          <w:rFonts w:hint="eastAsia" w:ascii="宋体" w:hAnsi="宋体" w:eastAsia="宋体" w:cs="宋体"/>
          <w:color w:val="auto"/>
          <w:sz w:val="24"/>
          <w:szCs w:val="22"/>
          <w:highlight w:val="none"/>
          <w:lang w:val="en-US" w:eastAsia="zh-CN"/>
        </w:rPr>
        <w:t>扣除最后一个月养护费用。</w:t>
      </w:r>
    </w:p>
    <w:p>
      <w:pPr>
        <w:pStyle w:val="22"/>
        <w:spacing w:line="446" w:lineRule="exact"/>
        <w:ind w:firstLine="482"/>
        <w:jc w:val="both"/>
        <w:rPr>
          <w:rFonts w:hint="default" w:ascii="宋体" w:hAnsi="宋体" w:eastAsia="宋体" w:cs="宋体"/>
          <w:color w:val="auto"/>
          <w:sz w:val="24"/>
          <w:highlight w:val="none"/>
          <w:lang w:eastAsia="zh-CN"/>
        </w:rPr>
      </w:pPr>
      <w:r>
        <w:rPr>
          <w:rFonts w:hint="eastAsia" w:ascii="宋体" w:hAnsi="宋体" w:eastAsia="宋体" w:cs="宋体"/>
          <w:color w:val="auto"/>
          <w:sz w:val="24"/>
          <w:szCs w:val="22"/>
          <w:highlight w:val="none"/>
          <w:lang w:eastAsia="zh-CN"/>
        </w:rPr>
        <w:t>如遇到政策变化，区属公园移交由其他单位管理，则合同和续签约定在移交管理后自动解除，且不承担违约责任。</w:t>
      </w:r>
    </w:p>
    <w:p>
      <w:pPr>
        <w:pStyle w:val="22"/>
        <w:spacing w:line="446" w:lineRule="exact"/>
        <w:ind w:firstLine="482"/>
        <w:jc w:val="both"/>
        <w:rPr>
          <w:rFonts w:hint="default" w:ascii="宋体" w:hAnsi="宋体" w:eastAsia="宋体" w:cs="宋体"/>
          <w:color w:val="auto"/>
          <w:sz w:val="24"/>
          <w:highlight w:val="none"/>
          <w:lang w:eastAsia="zh-CN"/>
        </w:rPr>
      </w:pPr>
      <w:r>
        <w:rPr>
          <w:rFonts w:ascii="宋体" w:hAnsi="宋体" w:eastAsia="宋体" w:cs="宋体"/>
          <w:color w:val="auto"/>
          <w:sz w:val="24"/>
          <w:highlight w:val="none"/>
          <w:lang w:eastAsia="zh-CN"/>
        </w:rPr>
        <w:t>3、本项目实施联合采购，合同采用统招分签形式，在《中标通知书》发出之日起30日内，中标人与实施单位签署合同</w:t>
      </w:r>
      <w:r>
        <w:rPr>
          <w:rFonts w:hint="eastAsia" w:ascii="宋体" w:hAnsi="宋体" w:eastAsia="宋体" w:cs="宋体"/>
          <w:color w:val="auto"/>
          <w:sz w:val="24"/>
          <w:highlight w:val="none"/>
          <w:lang w:val="en-US" w:eastAsia="zh-CN"/>
        </w:rPr>
        <w:t>。</w:t>
      </w:r>
    </w:p>
    <w:p>
      <w:pPr>
        <w:pStyle w:val="22"/>
        <w:spacing w:line="446" w:lineRule="exact"/>
        <w:ind w:firstLine="482"/>
        <w:jc w:val="both"/>
        <w:rPr>
          <w:rFonts w:ascii="宋体" w:hAnsi="宋体" w:eastAsia="宋体" w:cs="宋体"/>
          <w:color w:val="auto"/>
          <w:sz w:val="24"/>
          <w:highlight w:val="none"/>
          <w:lang w:eastAsia="zh-CN"/>
        </w:rPr>
      </w:pPr>
      <w:r>
        <w:rPr>
          <w:rFonts w:ascii="宋体" w:hAnsi="宋体" w:eastAsia="宋体" w:cs="宋体"/>
          <w:color w:val="auto"/>
          <w:sz w:val="24"/>
          <w:highlight w:val="none"/>
          <w:lang w:eastAsia="zh-CN"/>
        </w:rPr>
        <w:t>4、各公园的合同价格由采购人根据中标金额与最高限价之间的下浮率来计算</w:t>
      </w:r>
      <w:r>
        <w:rPr>
          <w:rFonts w:hint="eastAsia" w:ascii="宋体" w:hAnsi="宋体" w:eastAsia="宋体" w:cs="宋体"/>
          <w:color w:val="auto"/>
          <w:sz w:val="24"/>
          <w:highlight w:val="none"/>
          <w:lang w:eastAsia="zh-CN"/>
        </w:rPr>
        <w:t>。</w:t>
      </w:r>
      <w:r>
        <w:rPr>
          <w:rFonts w:ascii="宋体" w:hAnsi="宋体" w:eastAsia="宋体" w:cs="宋体"/>
          <w:color w:val="auto"/>
          <w:sz w:val="24"/>
          <w:highlight w:val="none"/>
          <w:lang w:eastAsia="zh-CN"/>
        </w:rPr>
        <w:t>投标人投标时无需报出各公园的投标报价</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若投标人有报各公园投标报价的，则合同签约价以各公园预算价*（1-下浮率）（</w:t>
      </w:r>
      <w:r>
        <w:rPr>
          <w:rFonts w:ascii="宋体" w:hAnsi="宋体" w:eastAsia="宋体" w:cs="宋体"/>
          <w:color w:val="auto"/>
          <w:sz w:val="24"/>
          <w:highlight w:val="none"/>
          <w:lang w:eastAsia="zh-CN"/>
        </w:rPr>
        <w:t>中标金额与最高限价之间的下浮率</w:t>
      </w:r>
      <w:r>
        <w:rPr>
          <w:rFonts w:hint="eastAsia" w:ascii="宋体" w:hAnsi="宋体" w:eastAsia="宋体" w:cs="宋体"/>
          <w:color w:val="auto"/>
          <w:sz w:val="24"/>
          <w:highlight w:val="none"/>
          <w:lang w:eastAsia="zh-CN"/>
        </w:rPr>
        <w:t>）</w:t>
      </w:r>
      <w:r>
        <w:rPr>
          <w:rFonts w:hint="eastAsia" w:ascii="宋体" w:hAnsi="宋体" w:eastAsia="宋体" w:cs="宋体"/>
          <w:color w:val="auto"/>
          <w:sz w:val="24"/>
          <w:highlight w:val="none"/>
          <w:lang w:val="en-US" w:eastAsia="zh-CN"/>
        </w:rPr>
        <w:t>计算</w:t>
      </w:r>
      <w:r>
        <w:rPr>
          <w:rFonts w:ascii="宋体" w:hAnsi="宋体" w:eastAsia="宋体" w:cs="宋体"/>
          <w:color w:val="auto"/>
          <w:sz w:val="24"/>
          <w:highlight w:val="none"/>
          <w:lang w:eastAsia="zh-CN"/>
        </w:rPr>
        <w:t>。</w:t>
      </w:r>
    </w:p>
    <w:tbl>
      <w:tblPr>
        <w:tblStyle w:val="16"/>
        <w:tblW w:w="76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02"/>
        <w:gridCol w:w="3349"/>
        <w:gridCol w:w="2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002"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b/>
                <w:bCs/>
                <w:color w:val="auto"/>
                <w:kern w:val="0"/>
                <w:szCs w:val="21"/>
                <w:highlight w:val="none"/>
                <w:lang w:bidi="ar"/>
              </w:rPr>
              <w:t>公园名称</w:t>
            </w:r>
          </w:p>
        </w:tc>
        <w:tc>
          <w:tcPr>
            <w:tcW w:w="3349" w:type="dxa"/>
            <w:vAlign w:val="center"/>
          </w:tcPr>
          <w:p>
            <w:pPr>
              <w:widowControl/>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bidi="ar"/>
              </w:rPr>
              <w:t>实施单位</w:t>
            </w:r>
          </w:p>
        </w:tc>
        <w:tc>
          <w:tcPr>
            <w:tcW w:w="2298" w:type="dxa"/>
            <w:vAlign w:val="center"/>
          </w:tcPr>
          <w:p>
            <w:pPr>
              <w:widowControl/>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val="en-US" w:eastAsia="zh-CN" w:bidi="ar"/>
              </w:rPr>
              <w:t>预算价</w:t>
            </w:r>
            <w:r>
              <w:rPr>
                <w:rFonts w:hint="eastAsia" w:ascii="宋体" w:hAnsi="宋体" w:eastAsia="宋体" w:cs="宋体"/>
                <w:b/>
                <w:bCs/>
                <w:color w:val="auto"/>
                <w:kern w:val="0"/>
                <w:szCs w:val="21"/>
                <w:highlight w:val="none"/>
                <w:lang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2002"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温泉公园</w:t>
            </w:r>
          </w:p>
        </w:tc>
        <w:tc>
          <w:tcPr>
            <w:tcW w:w="3349"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福州市鼓楼区温泉公园服务中心</w:t>
            </w:r>
          </w:p>
        </w:tc>
        <w:tc>
          <w:tcPr>
            <w:tcW w:w="2298"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348.86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jc w:val="center"/>
        </w:trPr>
        <w:tc>
          <w:tcPr>
            <w:tcW w:w="2002"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屏山公园</w:t>
            </w:r>
          </w:p>
        </w:tc>
        <w:tc>
          <w:tcPr>
            <w:tcW w:w="3349" w:type="dxa"/>
            <w:vMerge w:val="restart"/>
            <w:vAlign w:val="center"/>
          </w:tcPr>
          <w:p>
            <w:pPr>
              <w:widowControl/>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福州市鼓楼区园林中心</w:t>
            </w:r>
          </w:p>
        </w:tc>
        <w:tc>
          <w:tcPr>
            <w:tcW w:w="2298"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158.90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2002"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冶山公园</w:t>
            </w:r>
          </w:p>
        </w:tc>
        <w:tc>
          <w:tcPr>
            <w:tcW w:w="3349" w:type="dxa"/>
            <w:vMerge w:val="continue"/>
            <w:vAlign w:val="center"/>
          </w:tcPr>
          <w:p>
            <w:pPr>
              <w:widowControl/>
              <w:jc w:val="center"/>
              <w:textAlignment w:val="center"/>
              <w:rPr>
                <w:rFonts w:ascii="宋体" w:hAnsi="宋体" w:eastAsia="宋体" w:cs="宋体"/>
                <w:color w:val="auto"/>
                <w:kern w:val="0"/>
                <w:szCs w:val="21"/>
                <w:highlight w:val="none"/>
                <w:lang w:bidi="ar"/>
              </w:rPr>
            </w:pPr>
          </w:p>
        </w:tc>
        <w:tc>
          <w:tcPr>
            <w:tcW w:w="2298"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94.30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002"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乌山（一期）</w:t>
            </w:r>
          </w:p>
        </w:tc>
        <w:tc>
          <w:tcPr>
            <w:tcW w:w="3349" w:type="dxa"/>
            <w:vMerge w:val="restart"/>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福州市鼓楼区乌山历史风貌区服务中心</w:t>
            </w:r>
          </w:p>
        </w:tc>
        <w:tc>
          <w:tcPr>
            <w:tcW w:w="2298"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349.55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2002"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乌山（二期）</w:t>
            </w:r>
          </w:p>
        </w:tc>
        <w:tc>
          <w:tcPr>
            <w:tcW w:w="3349" w:type="dxa"/>
            <w:vMerge w:val="continue"/>
            <w:vAlign w:val="center"/>
          </w:tcPr>
          <w:p>
            <w:pPr>
              <w:widowControl/>
              <w:jc w:val="center"/>
              <w:textAlignment w:val="center"/>
              <w:rPr>
                <w:rFonts w:ascii="宋体" w:hAnsi="宋体" w:eastAsia="宋体" w:cs="宋体"/>
                <w:color w:val="auto"/>
                <w:kern w:val="0"/>
                <w:szCs w:val="21"/>
                <w:highlight w:val="none"/>
                <w:lang w:bidi="ar"/>
              </w:rPr>
            </w:pPr>
          </w:p>
        </w:tc>
        <w:tc>
          <w:tcPr>
            <w:tcW w:w="2298"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170.42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atLeast"/>
          <w:jc w:val="center"/>
        </w:trPr>
        <w:tc>
          <w:tcPr>
            <w:tcW w:w="2002"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黎明湖公园</w:t>
            </w:r>
          </w:p>
        </w:tc>
        <w:tc>
          <w:tcPr>
            <w:tcW w:w="3349" w:type="dxa"/>
            <w:vMerge w:val="continue"/>
            <w:vAlign w:val="center"/>
          </w:tcPr>
          <w:p>
            <w:pPr>
              <w:widowControl/>
              <w:jc w:val="center"/>
              <w:textAlignment w:val="center"/>
              <w:rPr>
                <w:rFonts w:ascii="宋体" w:hAnsi="宋体" w:eastAsia="宋体" w:cs="宋体"/>
                <w:color w:val="auto"/>
                <w:kern w:val="0"/>
                <w:szCs w:val="21"/>
                <w:highlight w:val="none"/>
                <w:lang w:bidi="ar"/>
              </w:rPr>
            </w:pPr>
          </w:p>
        </w:tc>
        <w:tc>
          <w:tcPr>
            <w:tcW w:w="2298"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163.69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5351" w:type="dxa"/>
            <w:gridSpan w:val="2"/>
            <w:vAlign w:val="center"/>
          </w:tcPr>
          <w:p>
            <w:pPr>
              <w:widowControl/>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val="en-US" w:eastAsia="zh-CN" w:bidi="ar"/>
              </w:rPr>
              <w:t>预算总价（即为本项目</w:t>
            </w:r>
            <w:r>
              <w:rPr>
                <w:rFonts w:hint="eastAsia" w:ascii="宋体" w:hAnsi="宋体" w:eastAsia="宋体" w:cs="宋体"/>
                <w:b/>
                <w:bCs/>
                <w:color w:val="auto"/>
                <w:kern w:val="0"/>
                <w:szCs w:val="21"/>
                <w:highlight w:val="none"/>
                <w:lang w:bidi="ar"/>
              </w:rPr>
              <w:t>最高限价</w:t>
            </w:r>
            <w:r>
              <w:rPr>
                <w:rFonts w:hint="eastAsia" w:ascii="宋体" w:hAnsi="宋体" w:eastAsia="宋体" w:cs="宋体"/>
                <w:b/>
                <w:bCs/>
                <w:color w:val="auto"/>
                <w:kern w:val="0"/>
                <w:szCs w:val="21"/>
                <w:highlight w:val="none"/>
                <w:lang w:eastAsia="zh-CN" w:bidi="ar"/>
              </w:rPr>
              <w:t>）</w:t>
            </w:r>
            <w:r>
              <w:rPr>
                <w:rFonts w:hint="eastAsia" w:ascii="宋体" w:hAnsi="宋体" w:eastAsia="宋体" w:cs="宋体"/>
                <w:b/>
                <w:bCs/>
                <w:color w:val="auto"/>
                <w:kern w:val="0"/>
                <w:szCs w:val="21"/>
                <w:highlight w:val="none"/>
                <w:lang w:bidi="ar"/>
              </w:rPr>
              <w:t>(</w:t>
            </w:r>
            <w:r>
              <w:rPr>
                <w:rFonts w:hint="eastAsia" w:ascii="宋体" w:hAnsi="宋体" w:eastAsia="宋体" w:cs="宋体"/>
                <w:b/>
                <w:bCs/>
                <w:color w:val="auto"/>
                <w:kern w:val="0"/>
                <w:szCs w:val="21"/>
                <w:highlight w:val="none"/>
                <w:lang w:val="en-US" w:eastAsia="zh-CN" w:bidi="ar"/>
              </w:rPr>
              <w:t>万</w:t>
            </w:r>
            <w:r>
              <w:rPr>
                <w:rFonts w:hint="eastAsia" w:ascii="宋体" w:hAnsi="宋体" w:eastAsia="宋体" w:cs="宋体"/>
                <w:b/>
                <w:bCs/>
                <w:color w:val="auto"/>
                <w:kern w:val="0"/>
                <w:szCs w:val="21"/>
                <w:highlight w:val="none"/>
                <w:lang w:bidi="ar"/>
              </w:rPr>
              <w:t>元)</w:t>
            </w:r>
          </w:p>
        </w:tc>
        <w:tc>
          <w:tcPr>
            <w:tcW w:w="2298"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b/>
                <w:bCs/>
                <w:color w:val="auto"/>
                <w:kern w:val="0"/>
                <w:szCs w:val="21"/>
                <w:highlight w:val="none"/>
                <w:lang w:bidi="ar"/>
              </w:rPr>
              <w:t>1285.72</w:t>
            </w:r>
          </w:p>
        </w:tc>
      </w:tr>
    </w:tbl>
    <w:p>
      <w:pPr>
        <w:pStyle w:val="22"/>
        <w:spacing w:line="446" w:lineRule="exact"/>
        <w:ind w:firstLine="482"/>
        <w:jc w:val="both"/>
        <w:rPr>
          <w:rFonts w:hint="default" w:ascii="宋体" w:hAnsi="宋体" w:eastAsia="宋体" w:cs="宋体"/>
          <w:color w:val="auto"/>
          <w:sz w:val="24"/>
          <w:highlight w:val="none"/>
          <w:lang w:eastAsia="zh-CN"/>
        </w:rPr>
      </w:pPr>
    </w:p>
    <w:p>
      <w:pPr>
        <w:pStyle w:val="22"/>
        <w:spacing w:line="446" w:lineRule="exact"/>
        <w:ind w:firstLine="482"/>
        <w:jc w:val="both"/>
        <w:rPr>
          <w:rFonts w:hint="default" w:ascii="宋体" w:hAnsi="宋体" w:eastAsia="宋体" w:cs="宋体"/>
          <w:color w:val="auto"/>
          <w:sz w:val="24"/>
          <w:highlight w:val="none"/>
          <w:lang w:eastAsia="zh-CN"/>
        </w:rPr>
      </w:pPr>
      <w:r>
        <w:rPr>
          <w:rFonts w:ascii="宋体" w:hAnsi="宋体" w:eastAsia="宋体" w:cs="宋体"/>
          <w:color w:val="auto"/>
          <w:sz w:val="24"/>
          <w:highlight w:val="none"/>
          <w:lang w:eastAsia="zh-CN"/>
        </w:rPr>
        <w:t>5、本章“二、技术和服务要求”只须根据招标文件第七章“技术和服务要求响应表”填报即可，无须提供佐证</w:t>
      </w:r>
      <w:r>
        <w:rPr>
          <w:rFonts w:hint="eastAsia" w:ascii="宋体" w:hAnsi="宋体" w:eastAsia="宋体" w:cs="宋体"/>
          <w:color w:val="auto"/>
          <w:sz w:val="24"/>
          <w:highlight w:val="none"/>
          <w:lang w:val="en-US" w:eastAsia="zh-CN"/>
        </w:rPr>
        <w:t>或专项承诺</w:t>
      </w:r>
      <w:r>
        <w:rPr>
          <w:rFonts w:ascii="宋体" w:hAnsi="宋体" w:eastAsia="宋体" w:cs="宋体"/>
          <w:color w:val="auto"/>
          <w:sz w:val="24"/>
          <w:highlight w:val="none"/>
          <w:lang w:eastAsia="zh-CN"/>
        </w:rPr>
        <w:t>材料。</w:t>
      </w:r>
    </w:p>
    <w:p>
      <w:pPr>
        <w:pStyle w:val="22"/>
        <w:spacing w:line="446" w:lineRule="exact"/>
        <w:ind w:firstLine="482"/>
        <w:jc w:val="both"/>
        <w:rPr>
          <w:rStyle w:val="19"/>
          <w:rFonts w:hint="default" w:ascii="宋体" w:hAnsi="宋体" w:eastAsia="宋体" w:cs="宋体"/>
          <w:bCs/>
          <w:color w:val="auto"/>
          <w:highlight w:val="none"/>
        </w:rPr>
      </w:pPr>
      <w:r>
        <w:rPr>
          <w:rFonts w:ascii="宋体" w:hAnsi="宋体" w:eastAsia="宋体" w:cs="宋体"/>
          <w:color w:val="auto"/>
          <w:sz w:val="24"/>
          <w:highlight w:val="none"/>
          <w:lang w:eastAsia="zh-CN"/>
        </w:rPr>
        <w:t>6、中标人不得转包或分包他人，若发现转包或分包，采购人有权终止合同，并追究相应法律责任。</w:t>
      </w:r>
    </w:p>
    <w:p>
      <w:pPr>
        <w:pStyle w:val="12"/>
        <w:widowControl/>
        <w:spacing w:before="0" w:beforeAutospacing="0" w:after="120" w:afterAutospacing="0" w:line="340" w:lineRule="exact"/>
        <w:ind w:firstLine="482" w:firstLineChars="200"/>
        <w:rPr>
          <w:rFonts w:ascii="宋体" w:hAnsi="宋体" w:eastAsia="宋体" w:cs="宋体"/>
          <w:color w:val="auto"/>
          <w:highlight w:val="none"/>
        </w:rPr>
      </w:pPr>
      <w:r>
        <w:rPr>
          <w:rStyle w:val="19"/>
          <w:rFonts w:hint="eastAsia" w:ascii="宋体" w:hAnsi="宋体" w:eastAsia="宋体" w:cs="宋体"/>
          <w:bCs/>
          <w:color w:val="auto"/>
          <w:highlight w:val="none"/>
        </w:rPr>
        <w:t>7、为方便评标委员会评审，投标人可将投标文件中相关证明资料中的主要评审内容用醒目的方式标识出来。</w:t>
      </w:r>
    </w:p>
    <w:p>
      <w:pPr>
        <w:pStyle w:val="22"/>
        <w:spacing w:line="446" w:lineRule="exact"/>
        <w:ind w:firstLine="482"/>
        <w:jc w:val="both"/>
        <w:outlineLvl w:val="1"/>
        <w:rPr>
          <w:rFonts w:hint="default"/>
          <w:b/>
          <w:color w:val="auto"/>
          <w:sz w:val="24"/>
          <w:szCs w:val="24"/>
          <w:highlight w:val="none"/>
        </w:rPr>
      </w:pPr>
      <w:r>
        <w:rPr>
          <w:b/>
          <w:color w:val="auto"/>
          <w:sz w:val="24"/>
          <w:szCs w:val="24"/>
          <w:highlight w:val="none"/>
        </w:rPr>
        <w:t>二、技术和服务要求（以“★”标示的内容为不允许负偏离的实质性要求）</w:t>
      </w:r>
    </w:p>
    <w:p>
      <w:pPr>
        <w:spacing w:line="500" w:lineRule="exact"/>
        <w:ind w:firstLine="482" w:firstLineChars="200"/>
        <w:outlineLvl w:val="1"/>
        <w:rPr>
          <w:rFonts w:ascii="宋体" w:hAnsi="宋体" w:eastAsia="宋体" w:cs="宋体"/>
          <w:bCs/>
          <w:color w:val="auto"/>
          <w:sz w:val="24"/>
          <w:highlight w:val="none"/>
        </w:rPr>
      </w:pPr>
      <w:r>
        <w:rPr>
          <w:b/>
          <w:color w:val="auto"/>
          <w:sz w:val="24"/>
          <w:szCs w:val="24"/>
          <w:highlight w:val="none"/>
        </w:rPr>
        <w:t>★</w:t>
      </w:r>
      <w:r>
        <w:rPr>
          <w:rFonts w:hint="eastAsia" w:ascii="宋体" w:hAnsi="宋体" w:eastAsia="宋体" w:cs="宋体"/>
          <w:color w:val="auto"/>
          <w:sz w:val="24"/>
          <w:highlight w:val="none"/>
        </w:rPr>
        <w:t>（一）、</w:t>
      </w:r>
      <w:r>
        <w:rPr>
          <w:rFonts w:hint="eastAsia" w:ascii="宋体" w:hAnsi="宋体" w:eastAsia="宋体" w:cs="宋体"/>
          <w:bCs/>
          <w:color w:val="auto"/>
          <w:sz w:val="24"/>
          <w:highlight w:val="none"/>
        </w:rPr>
        <w:t>公园养护范围</w:t>
      </w:r>
    </w:p>
    <w:p>
      <w:pPr>
        <w:spacing w:line="500" w:lineRule="exact"/>
        <w:ind w:firstLine="480" w:firstLineChars="200"/>
        <w:outlineLvl w:val="2"/>
        <w:rPr>
          <w:rFonts w:ascii="宋体" w:hAnsi="宋体" w:eastAsia="宋体" w:cs="宋体"/>
          <w:b/>
          <w:color w:val="auto"/>
          <w:sz w:val="24"/>
          <w:highlight w:val="none"/>
        </w:rPr>
      </w:pPr>
      <w:r>
        <w:rPr>
          <w:rFonts w:hint="eastAsia" w:ascii="宋体" w:hAnsi="宋体" w:eastAsia="宋体" w:cs="宋体"/>
          <w:bCs/>
          <w:color w:val="auto"/>
          <w:sz w:val="24"/>
          <w:highlight w:val="none"/>
        </w:rPr>
        <w:t>1、温泉公园养护范围</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bCs/>
          <w:color w:val="auto"/>
          <w:sz w:val="24"/>
          <w:highlight w:val="none"/>
        </w:rPr>
        <w:t>温泉公园</w:t>
      </w:r>
      <w:r>
        <w:rPr>
          <w:rFonts w:hint="eastAsia" w:ascii="宋体" w:hAnsi="宋体" w:eastAsia="宋体" w:cs="宋体"/>
          <w:color w:val="auto"/>
          <w:sz w:val="24"/>
          <w:highlight w:val="none"/>
        </w:rPr>
        <w:t>养护</w:t>
      </w:r>
      <w:r>
        <w:rPr>
          <w:rFonts w:hint="eastAsia" w:ascii="宋体" w:hAnsi="宋体" w:eastAsia="宋体" w:cs="宋体"/>
          <w:color w:val="auto"/>
          <w:kern w:val="0"/>
          <w:sz w:val="24"/>
          <w:highlight w:val="none"/>
          <w:lang w:bidi="ar"/>
        </w:rPr>
        <w:t>总面积约173075.47平方米（包含无需管护面积约14929.71平方米），其中绿地面积约91212.73平方米、水域面积约21205.81平方米）、广场面积约15570.71平方米、人行硬地面积约30156.51平方米</w:t>
      </w:r>
      <w:r>
        <w:rPr>
          <w:rFonts w:hint="eastAsia" w:ascii="宋体" w:hAnsi="宋体" w:eastAsia="宋体" w:cs="宋体"/>
          <w:color w:val="auto"/>
          <w:sz w:val="24"/>
          <w:highlight w:val="none"/>
        </w:rPr>
        <w:t xml:space="preserve">。 </w:t>
      </w:r>
    </w:p>
    <w:p>
      <w:pPr>
        <w:spacing w:line="500" w:lineRule="exact"/>
        <w:ind w:firstLine="480" w:firstLineChars="200"/>
        <w:outlineLvl w:val="2"/>
        <w:rPr>
          <w:rFonts w:ascii="宋体" w:hAnsi="宋体" w:eastAsia="宋体" w:cs="宋体"/>
          <w:bCs/>
          <w:color w:val="auto"/>
          <w:sz w:val="24"/>
          <w:highlight w:val="none"/>
        </w:rPr>
      </w:pPr>
      <w:r>
        <w:rPr>
          <w:rFonts w:hint="eastAsia" w:ascii="宋体" w:hAnsi="宋体" w:eastAsia="宋体" w:cs="宋体"/>
          <w:bCs/>
          <w:color w:val="auto"/>
          <w:sz w:val="24"/>
          <w:highlight w:val="none"/>
        </w:rPr>
        <w:t>2、屏山公园养护范围</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屏山公园养护总面积约61595万平方米，包含售票处以上区域但不包含镇海楼平台广场区域。其中，绿地面积约28284平方米，林地约17854平方米，道路硬质平台约9320平方米；水域面积</w:t>
      </w:r>
      <w:r>
        <w:rPr>
          <w:rFonts w:hint="eastAsia" w:ascii="宋体" w:hAnsi="宋体" w:eastAsia="宋体" w:cs="宋体"/>
          <w:color w:val="auto"/>
          <w:kern w:val="0"/>
          <w:sz w:val="24"/>
          <w:highlight w:val="none"/>
          <w:lang w:bidi="ar"/>
        </w:rPr>
        <w:t>约</w:t>
      </w:r>
      <w:r>
        <w:rPr>
          <w:rFonts w:hint="eastAsia" w:ascii="宋体" w:hAnsi="宋体" w:eastAsia="宋体" w:cs="宋体"/>
          <w:color w:val="auto"/>
          <w:sz w:val="24"/>
          <w:highlight w:val="none"/>
        </w:rPr>
        <w:t>6137万平方米。</w:t>
      </w:r>
    </w:p>
    <w:p>
      <w:pPr>
        <w:spacing w:line="500" w:lineRule="exact"/>
        <w:ind w:firstLine="480" w:firstLineChars="200"/>
        <w:outlineLvl w:val="2"/>
        <w:rPr>
          <w:rFonts w:ascii="宋体" w:hAnsi="宋体" w:eastAsia="宋体" w:cs="宋体"/>
          <w:bCs/>
          <w:color w:val="auto"/>
          <w:sz w:val="24"/>
          <w:highlight w:val="none"/>
        </w:rPr>
      </w:pPr>
      <w:r>
        <w:rPr>
          <w:rFonts w:hint="eastAsia" w:ascii="宋体" w:hAnsi="宋体" w:eastAsia="宋体" w:cs="宋体"/>
          <w:bCs/>
          <w:color w:val="auto"/>
          <w:sz w:val="24"/>
          <w:highlight w:val="none"/>
        </w:rPr>
        <w:t>3、冶山公园养护范围</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冶山公园养护面积约31735.93平方米，其中绿地面积约16221.67平方米，人行硬地面积约12568.02平方米，水域面积约2946.24万平方米。</w:t>
      </w:r>
    </w:p>
    <w:p>
      <w:pPr>
        <w:spacing w:line="500" w:lineRule="exact"/>
        <w:ind w:firstLine="480" w:firstLineChars="200"/>
        <w:outlineLvl w:val="2"/>
        <w:rPr>
          <w:rFonts w:ascii="宋体" w:hAnsi="宋体" w:eastAsia="宋体" w:cs="宋体"/>
          <w:bCs/>
          <w:color w:val="auto"/>
          <w:sz w:val="24"/>
          <w:highlight w:val="none"/>
        </w:rPr>
      </w:pPr>
      <w:r>
        <w:rPr>
          <w:rFonts w:hint="eastAsia" w:ascii="宋体" w:hAnsi="宋体" w:eastAsia="宋体" w:cs="宋体"/>
          <w:bCs/>
          <w:color w:val="auto"/>
          <w:sz w:val="24"/>
          <w:highlight w:val="none"/>
        </w:rPr>
        <w:t>4、乌山(一期）公园养护范围</w:t>
      </w:r>
    </w:p>
    <w:p>
      <w:pPr>
        <w:widowControl/>
        <w:spacing w:line="500" w:lineRule="exact"/>
        <w:ind w:firstLine="200"/>
        <w:jc w:val="left"/>
        <w:rPr>
          <w:rFonts w:ascii="宋体" w:hAnsi="宋体" w:eastAsia="宋体" w:cs="宋体"/>
          <w:color w:val="auto"/>
          <w:sz w:val="24"/>
          <w:highlight w:val="none"/>
        </w:rPr>
      </w:pPr>
      <w:r>
        <w:rPr>
          <w:rFonts w:hint="eastAsia" w:ascii="宋体" w:hAnsi="宋体" w:eastAsia="宋体" w:cs="宋体"/>
          <w:color w:val="auto"/>
          <w:sz w:val="24"/>
          <w:highlight w:val="none"/>
        </w:rPr>
        <w:t>乌山历史风貌区一</w:t>
      </w:r>
      <w:r>
        <w:rPr>
          <w:rFonts w:hint="eastAsia" w:ascii="宋体" w:hAnsi="宋体" w:eastAsia="宋体" w:cs="宋体"/>
          <w:color w:val="auto"/>
          <w:kern w:val="0"/>
          <w:sz w:val="24"/>
          <w:szCs w:val="20"/>
          <w:highlight w:val="none"/>
        </w:rPr>
        <w:t>期面积约128650平方米，其中硬地面积约38750平方米，建筑立面面积约1050平方米，</w:t>
      </w:r>
      <w:r>
        <w:rPr>
          <w:rFonts w:hint="eastAsia" w:ascii="宋体" w:hAnsi="宋体" w:eastAsia="宋体" w:cs="宋体"/>
          <w:color w:val="auto"/>
          <w:sz w:val="24"/>
          <w:highlight w:val="none"/>
        </w:rPr>
        <w:t>绿地面积</w:t>
      </w:r>
      <w:r>
        <w:rPr>
          <w:rFonts w:hint="eastAsia" w:ascii="宋体" w:hAnsi="宋体" w:eastAsia="宋体" w:cs="宋体"/>
          <w:color w:val="auto"/>
          <w:kern w:val="0"/>
          <w:sz w:val="24"/>
          <w:highlight w:val="none"/>
          <w:lang w:bidi="ar"/>
        </w:rPr>
        <w:t>约</w:t>
      </w:r>
      <w:r>
        <w:rPr>
          <w:rFonts w:hint="eastAsia" w:ascii="宋体" w:hAnsi="宋体" w:eastAsia="宋体" w:cs="宋体"/>
          <w:color w:val="auto"/>
          <w:sz w:val="24"/>
          <w:highlight w:val="none"/>
        </w:rPr>
        <w:t>85850平方米，水域面积约3000平方米。</w:t>
      </w:r>
    </w:p>
    <w:p>
      <w:pPr>
        <w:spacing w:line="500" w:lineRule="exact"/>
        <w:ind w:firstLine="480" w:firstLineChars="200"/>
        <w:outlineLvl w:val="2"/>
        <w:rPr>
          <w:rFonts w:ascii="宋体" w:hAnsi="宋体" w:eastAsia="宋体" w:cs="宋体"/>
          <w:bCs/>
          <w:color w:val="auto"/>
          <w:sz w:val="24"/>
          <w:highlight w:val="none"/>
        </w:rPr>
      </w:pPr>
      <w:r>
        <w:rPr>
          <w:rFonts w:hint="eastAsia" w:ascii="宋体" w:hAnsi="宋体" w:eastAsia="宋体" w:cs="宋体"/>
          <w:bCs/>
          <w:color w:val="auto"/>
          <w:sz w:val="24"/>
          <w:highlight w:val="none"/>
        </w:rPr>
        <w:t>5、乌山(二期）公园养护范围</w:t>
      </w:r>
    </w:p>
    <w:p>
      <w:pPr>
        <w:pStyle w:val="7"/>
        <w:spacing w:line="500" w:lineRule="exact"/>
        <w:ind w:firstLine="480" w:firstLineChars="200"/>
        <w:rPr>
          <w:rFonts w:eastAsia="宋体" w:cs="宋体"/>
          <w:color w:val="auto"/>
          <w:highlight w:val="none"/>
        </w:rPr>
      </w:pPr>
      <w:r>
        <w:rPr>
          <w:rFonts w:hint="eastAsia" w:eastAsia="宋体" w:cs="宋体"/>
          <w:color w:val="auto"/>
          <w:highlight w:val="none"/>
        </w:rPr>
        <w:t>乌山历史风貌区二期面积约</w:t>
      </w:r>
      <w:r>
        <w:rPr>
          <w:rFonts w:hint="eastAsia" w:eastAsia="宋体" w:cs="宋体"/>
          <w:color w:val="auto"/>
          <w:highlight w:val="none"/>
          <w:lang w:eastAsia="zh-CN"/>
        </w:rPr>
        <w:t>42806</w:t>
      </w:r>
      <w:r>
        <w:rPr>
          <w:rFonts w:hint="eastAsia" w:eastAsia="宋体" w:cs="宋体"/>
          <w:color w:val="auto"/>
          <w:highlight w:val="none"/>
        </w:rPr>
        <w:t>平方米，其中硬地面积约</w:t>
      </w:r>
      <w:r>
        <w:rPr>
          <w:rFonts w:hint="eastAsia" w:eastAsia="宋体" w:cs="宋体"/>
          <w:color w:val="auto"/>
          <w:highlight w:val="none"/>
          <w:lang w:eastAsia="zh-CN"/>
        </w:rPr>
        <w:t>17179</w:t>
      </w:r>
      <w:r>
        <w:rPr>
          <w:rFonts w:hint="eastAsia" w:eastAsia="宋体" w:cs="宋体"/>
          <w:color w:val="auto"/>
          <w:highlight w:val="none"/>
        </w:rPr>
        <w:t>平方米，建筑</w:t>
      </w:r>
      <w:r>
        <w:rPr>
          <w:rFonts w:hint="eastAsia" w:eastAsia="宋体" w:cs="宋体"/>
          <w:color w:val="auto"/>
          <w:highlight w:val="none"/>
          <w:lang w:eastAsia="zh-CN"/>
        </w:rPr>
        <w:t>立面</w:t>
      </w:r>
      <w:r>
        <w:rPr>
          <w:rFonts w:hint="eastAsia" w:eastAsia="宋体" w:cs="宋体"/>
          <w:color w:val="auto"/>
          <w:highlight w:val="none"/>
        </w:rPr>
        <w:t>面积约</w:t>
      </w:r>
      <w:r>
        <w:rPr>
          <w:rFonts w:hint="eastAsia" w:eastAsia="宋体" w:cs="宋体"/>
          <w:color w:val="auto"/>
          <w:highlight w:val="none"/>
          <w:lang w:eastAsia="zh-CN"/>
        </w:rPr>
        <w:t>1500</w:t>
      </w:r>
      <w:r>
        <w:rPr>
          <w:rFonts w:hint="eastAsia" w:eastAsia="宋体" w:cs="宋体"/>
          <w:color w:val="auto"/>
          <w:highlight w:val="none"/>
        </w:rPr>
        <w:t>平方米，绿地面积约</w:t>
      </w:r>
      <w:r>
        <w:rPr>
          <w:rFonts w:hint="eastAsia" w:eastAsia="宋体" w:cs="宋体"/>
          <w:color w:val="auto"/>
          <w:highlight w:val="none"/>
          <w:lang w:eastAsia="zh-CN"/>
        </w:rPr>
        <w:t>24127</w:t>
      </w:r>
      <w:r>
        <w:rPr>
          <w:rFonts w:hint="eastAsia" w:eastAsia="宋体" w:cs="宋体"/>
          <w:color w:val="auto"/>
          <w:highlight w:val="none"/>
        </w:rPr>
        <w:t>平方米。</w:t>
      </w:r>
    </w:p>
    <w:p>
      <w:pPr>
        <w:numPr>
          <w:ilvl w:val="0"/>
          <w:numId w:val="1"/>
        </w:numPr>
        <w:spacing w:line="500" w:lineRule="exact"/>
        <w:ind w:firstLine="480" w:firstLineChars="200"/>
        <w:outlineLvl w:val="2"/>
        <w:rPr>
          <w:rFonts w:ascii="宋体" w:hAnsi="宋体" w:eastAsia="宋体" w:cs="宋体"/>
          <w:color w:val="auto"/>
          <w:sz w:val="24"/>
          <w:highlight w:val="none"/>
        </w:rPr>
      </w:pPr>
      <w:r>
        <w:rPr>
          <w:rFonts w:hint="eastAsia" w:ascii="宋体" w:hAnsi="宋体" w:eastAsia="宋体" w:cs="宋体"/>
          <w:bCs/>
          <w:color w:val="auto"/>
          <w:sz w:val="24"/>
          <w:highlight w:val="none"/>
        </w:rPr>
        <w:t>黎明湖公园养护范围</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黎明湖公园管养总面积约76280平方米，绿化面积约32960平方米，其中水生植物面积</w:t>
      </w:r>
      <w:r>
        <w:rPr>
          <w:rFonts w:hint="eastAsia" w:ascii="宋体" w:hAnsi="宋体" w:eastAsia="宋体" w:cs="宋体"/>
          <w:color w:val="auto"/>
          <w:kern w:val="0"/>
          <w:sz w:val="24"/>
          <w:highlight w:val="none"/>
          <w:lang w:bidi="ar"/>
        </w:rPr>
        <w:t>约</w:t>
      </w:r>
      <w:r>
        <w:rPr>
          <w:rFonts w:hint="eastAsia" w:ascii="宋体" w:hAnsi="宋体" w:eastAsia="宋体" w:cs="宋体"/>
          <w:color w:val="auto"/>
          <w:sz w:val="24"/>
          <w:highlight w:val="none"/>
        </w:rPr>
        <w:t>8375平方米，绿地</w:t>
      </w:r>
      <w:r>
        <w:rPr>
          <w:rFonts w:hint="eastAsia" w:ascii="宋体" w:hAnsi="宋体" w:eastAsia="宋体" w:cs="宋体"/>
          <w:color w:val="auto"/>
          <w:kern w:val="0"/>
          <w:sz w:val="24"/>
          <w:highlight w:val="none"/>
          <w:lang w:bidi="ar"/>
        </w:rPr>
        <w:t>约</w:t>
      </w:r>
      <w:r>
        <w:rPr>
          <w:rFonts w:hint="eastAsia" w:ascii="宋体" w:hAnsi="宋体" w:eastAsia="宋体" w:cs="宋体"/>
          <w:color w:val="auto"/>
          <w:sz w:val="24"/>
          <w:highlight w:val="none"/>
        </w:rPr>
        <w:t>24585平方米，道路硬质平台约8820平方米，亭台楼阁约1000平方米；水域面积</w:t>
      </w:r>
      <w:r>
        <w:rPr>
          <w:rFonts w:hint="eastAsia" w:ascii="宋体" w:hAnsi="宋体" w:eastAsia="宋体" w:cs="宋体"/>
          <w:color w:val="auto"/>
          <w:kern w:val="0"/>
          <w:sz w:val="24"/>
          <w:highlight w:val="none"/>
          <w:lang w:bidi="ar"/>
        </w:rPr>
        <w:t>约</w:t>
      </w:r>
      <w:r>
        <w:rPr>
          <w:rFonts w:hint="eastAsia" w:ascii="宋体" w:hAnsi="宋体" w:eastAsia="宋体" w:cs="宋体"/>
          <w:color w:val="auto"/>
          <w:sz w:val="24"/>
          <w:highlight w:val="none"/>
        </w:rPr>
        <w:t>33500平方米。</w:t>
      </w:r>
    </w:p>
    <w:p>
      <w:pPr>
        <w:spacing w:line="500" w:lineRule="exact"/>
        <w:ind w:firstLine="480" w:firstLineChars="200"/>
        <w:outlineLvl w:val="1"/>
        <w:rPr>
          <w:rFonts w:ascii="宋体" w:hAnsi="宋体" w:eastAsia="宋体" w:cs="宋体"/>
          <w:color w:val="auto"/>
          <w:sz w:val="24"/>
          <w:highlight w:val="none"/>
        </w:rPr>
      </w:pPr>
      <w:r>
        <w:rPr>
          <w:rFonts w:hint="eastAsia" w:ascii="宋体" w:hAnsi="宋体" w:eastAsia="宋体" w:cs="宋体"/>
          <w:color w:val="auto"/>
          <w:sz w:val="24"/>
          <w:highlight w:val="none"/>
        </w:rPr>
        <w:t>（二）、保洁</w:t>
      </w:r>
    </w:p>
    <w:p>
      <w:pPr>
        <w:spacing w:line="500" w:lineRule="exact"/>
        <w:ind w:firstLine="482" w:firstLineChars="200"/>
        <w:outlineLvl w:val="2"/>
        <w:rPr>
          <w:rFonts w:ascii="宋体" w:hAnsi="宋体" w:eastAsia="宋体" w:cs="宋体"/>
          <w:b/>
          <w:bCs/>
          <w:color w:val="auto"/>
          <w:kern w:val="0"/>
          <w:sz w:val="24"/>
          <w:highlight w:val="none"/>
          <w:lang w:bidi="ar"/>
        </w:rPr>
      </w:pPr>
      <w:r>
        <w:rPr>
          <w:rFonts w:hint="eastAsia" w:ascii="宋体" w:hAnsi="宋体" w:eastAsia="宋体" w:cs="宋体"/>
          <w:b/>
          <w:bCs/>
          <w:color w:val="auto"/>
          <w:kern w:val="0"/>
          <w:sz w:val="24"/>
          <w:highlight w:val="none"/>
          <w:lang w:bidi="ar"/>
        </w:rPr>
        <w:t>1.工作内容</w:t>
      </w:r>
    </w:p>
    <w:p>
      <w:pPr>
        <w:widowControl/>
        <w:spacing w:line="500" w:lineRule="exact"/>
        <w:ind w:firstLine="482" w:firstLineChars="200"/>
        <w:jc w:val="left"/>
        <w:rPr>
          <w:rFonts w:ascii="宋体" w:hAnsi="宋体" w:eastAsia="宋体" w:cs="宋体"/>
          <w:color w:val="auto"/>
          <w:kern w:val="0"/>
          <w:sz w:val="24"/>
          <w:highlight w:val="none"/>
          <w:lang w:bidi="ar"/>
        </w:rPr>
      </w:pPr>
      <w:r>
        <w:rPr>
          <w:rFonts w:hint="eastAsia" w:ascii="宋体" w:hAnsi="宋体" w:eastAsia="宋体" w:cs="宋体"/>
          <w:b/>
          <w:bCs/>
          <w:color w:val="auto"/>
          <w:kern w:val="0"/>
          <w:sz w:val="24"/>
          <w:highlight w:val="none"/>
          <w:lang w:bidi="ar"/>
        </w:rPr>
        <w:t>（1）硬地及设施保洁内容包括</w:t>
      </w:r>
      <w:r>
        <w:rPr>
          <w:rFonts w:hint="eastAsia" w:ascii="宋体" w:hAnsi="宋体" w:eastAsia="宋体" w:cs="宋体"/>
          <w:color w:val="auto"/>
          <w:kern w:val="0"/>
          <w:sz w:val="24"/>
          <w:highlight w:val="none"/>
          <w:lang w:bidi="ar"/>
        </w:rPr>
        <w:t>：园内广场、步道、塑胶跑道(若有)等硬化地面的清扫保洁，建筑物、园椅园凳、果皮箱、指示牌、景观小品、喷泉水池等设施的保洁，垃圾收集运输等。</w:t>
      </w:r>
    </w:p>
    <w:p>
      <w:pPr>
        <w:widowControl/>
        <w:spacing w:line="500" w:lineRule="exact"/>
        <w:ind w:firstLine="482" w:firstLineChars="200"/>
        <w:jc w:val="left"/>
        <w:rPr>
          <w:rFonts w:ascii="宋体" w:hAnsi="宋体" w:eastAsia="宋体" w:cs="宋体"/>
          <w:color w:val="auto"/>
          <w:kern w:val="0"/>
          <w:sz w:val="24"/>
          <w:highlight w:val="none"/>
          <w:lang w:bidi="ar"/>
        </w:rPr>
      </w:pPr>
      <w:r>
        <w:rPr>
          <w:rFonts w:hint="eastAsia" w:ascii="宋体" w:hAnsi="宋体" w:eastAsia="宋体" w:cs="宋体"/>
          <w:b/>
          <w:bCs/>
          <w:color w:val="auto"/>
          <w:kern w:val="0"/>
          <w:sz w:val="24"/>
          <w:highlight w:val="none"/>
          <w:lang w:bidi="ar"/>
        </w:rPr>
        <w:t>（2）水面保洁内容</w:t>
      </w:r>
      <w:r>
        <w:rPr>
          <w:rFonts w:hint="eastAsia" w:ascii="宋体" w:hAnsi="宋体" w:eastAsia="宋体" w:cs="宋体"/>
          <w:color w:val="auto"/>
          <w:kern w:val="0"/>
          <w:sz w:val="24"/>
          <w:highlight w:val="none"/>
          <w:lang w:bidi="ar"/>
        </w:rPr>
        <w:t>：为园内湖面的漂浮废弃物的打捞、清理等。温泉公园范围内水域面积约21205.81平方米、屏山公园范围内水域面积约6137平方米、冶山公园范围内水域面积约2946.24平方米、乌山公园范围内水域面积约3000平方米、黎明湖公园范围内水域面积约33500平方米。</w:t>
      </w:r>
    </w:p>
    <w:p>
      <w:pPr>
        <w:widowControl/>
        <w:spacing w:line="500" w:lineRule="exact"/>
        <w:ind w:firstLine="482" w:firstLineChars="200"/>
        <w:jc w:val="left"/>
        <w:rPr>
          <w:rFonts w:ascii="宋体" w:hAnsi="宋体" w:eastAsia="宋体" w:cs="宋体"/>
          <w:color w:val="auto"/>
          <w:kern w:val="0"/>
          <w:sz w:val="24"/>
          <w:highlight w:val="none"/>
          <w:lang w:bidi="ar"/>
        </w:rPr>
      </w:pPr>
      <w:r>
        <w:rPr>
          <w:rFonts w:hint="eastAsia" w:ascii="宋体" w:hAnsi="宋体" w:eastAsia="宋体" w:cs="宋体"/>
          <w:b/>
          <w:bCs/>
          <w:color w:val="auto"/>
          <w:kern w:val="0"/>
          <w:sz w:val="24"/>
          <w:highlight w:val="none"/>
          <w:lang w:bidi="ar"/>
        </w:rPr>
        <w:t>（3）公厕保洁内容</w:t>
      </w:r>
      <w:r>
        <w:rPr>
          <w:rFonts w:hint="eastAsia" w:ascii="宋体" w:hAnsi="宋体" w:eastAsia="宋体" w:cs="宋体"/>
          <w:color w:val="auto"/>
          <w:kern w:val="0"/>
          <w:sz w:val="24"/>
          <w:highlight w:val="none"/>
          <w:lang w:bidi="ar"/>
        </w:rPr>
        <w:t>：为园内公厕地面、台面、便池、洗手池等人工清洁，卫生纸、洗手液等卫生用品的供应，粪便抽运等。温泉公园园内公厕共3座、屏山公园园内公厕2座、冶山公园园内公厕1座、乌山公园一期公厕4座、乌山二期公厕2座、黎明湖公园园内公厕共1座。</w:t>
      </w:r>
    </w:p>
    <w:p>
      <w:pPr>
        <w:pStyle w:val="7"/>
        <w:spacing w:line="500" w:lineRule="exact"/>
        <w:ind w:firstLine="200"/>
        <w:rPr>
          <w:rFonts w:eastAsia="宋体" w:cs="宋体"/>
          <w:color w:val="auto"/>
          <w:highlight w:val="none"/>
          <w:lang w:eastAsia="zh-CN" w:bidi="ar"/>
        </w:rPr>
      </w:pPr>
      <w:r>
        <w:rPr>
          <w:rFonts w:hint="eastAsia" w:eastAsia="宋体" w:cs="宋体"/>
          <w:color w:val="auto"/>
          <w:highlight w:val="none"/>
          <w:lang w:eastAsia="zh-CN" w:bidi="ar"/>
        </w:rPr>
        <w:t xml:space="preserve">    </w:t>
      </w:r>
      <w:r>
        <w:rPr>
          <w:rFonts w:hint="eastAsia" w:eastAsia="宋体" w:cs="宋体"/>
          <w:b/>
          <w:bCs/>
          <w:color w:val="auto"/>
          <w:highlight w:val="none"/>
          <w:lang w:eastAsia="zh-CN" w:bidi="ar"/>
        </w:rPr>
        <w:t>（4）公园保洁时间：</w:t>
      </w:r>
      <w:r>
        <w:rPr>
          <w:rFonts w:hint="eastAsia" w:eastAsia="宋体" w:cs="宋体"/>
          <w:color w:val="auto"/>
          <w:highlight w:val="none"/>
          <w:lang w:eastAsia="zh-CN" w:bidi="ar"/>
        </w:rPr>
        <w:t>各公园保洁时间为6:00-22:00（具体以各公园时实际开放时间为准）。</w:t>
      </w:r>
    </w:p>
    <w:p>
      <w:pPr>
        <w:spacing w:line="500" w:lineRule="exact"/>
        <w:ind w:firstLine="482" w:firstLineChars="200"/>
        <w:outlineLvl w:val="2"/>
        <w:rPr>
          <w:rFonts w:ascii="宋体" w:hAnsi="宋体" w:eastAsia="宋体" w:cs="宋体"/>
          <w:b/>
          <w:bCs/>
          <w:color w:val="auto"/>
          <w:kern w:val="0"/>
          <w:sz w:val="24"/>
          <w:highlight w:val="none"/>
          <w:lang w:bidi="ar"/>
        </w:rPr>
      </w:pPr>
      <w:r>
        <w:rPr>
          <w:rFonts w:hint="eastAsia" w:ascii="宋体" w:hAnsi="宋体" w:eastAsia="宋体" w:cs="宋体"/>
          <w:b/>
          <w:bCs/>
          <w:color w:val="auto"/>
          <w:kern w:val="0"/>
          <w:sz w:val="24"/>
          <w:highlight w:val="none"/>
          <w:lang w:bidi="ar"/>
        </w:rPr>
        <w:t>2.作业模式</w:t>
      </w:r>
    </w:p>
    <w:p>
      <w:pPr>
        <w:widowControl/>
        <w:spacing w:line="500" w:lineRule="exact"/>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t>（1）</w:t>
      </w:r>
      <w:r>
        <w:rPr>
          <w:rFonts w:hint="eastAsia" w:ascii="宋体" w:hAnsi="宋体" w:eastAsia="宋体" w:cs="宋体"/>
          <w:b/>
          <w:bCs/>
          <w:color w:val="auto"/>
          <w:kern w:val="0"/>
          <w:sz w:val="24"/>
          <w:highlight w:val="none"/>
          <w:lang w:bidi="ar"/>
        </w:rPr>
        <w:t>硬地保洁</w:t>
      </w:r>
      <w:r>
        <w:rPr>
          <w:rFonts w:hint="eastAsia" w:ascii="宋体" w:hAnsi="宋体" w:eastAsia="宋体" w:cs="宋体"/>
          <w:color w:val="auto"/>
          <w:kern w:val="0"/>
          <w:sz w:val="24"/>
          <w:highlight w:val="none"/>
          <w:lang w:bidi="ar"/>
        </w:rPr>
        <w:t>：</w:t>
      </w:r>
    </w:p>
    <w:p>
      <w:pPr>
        <w:widowControl/>
        <w:spacing w:line="500" w:lineRule="exact"/>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1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硬地保洁作业安排应尽量避开人流高峰期，结合公园特点，采用人工作业“全面普扫+巡回保洁”的模式，每日集中普扫2次，其余为保洁时间，安排2班作业。</w:t>
      </w:r>
    </w:p>
    <w:p>
      <w:pPr>
        <w:widowControl/>
        <w:spacing w:line="500" w:lineRule="exact"/>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2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每月清洗不少于1次</w:t>
      </w:r>
      <w:r>
        <w:rPr>
          <w:rFonts w:hint="eastAsia" w:ascii="宋体" w:hAnsi="宋体" w:eastAsia="宋体" w:cs="宋体"/>
          <w:bCs/>
          <w:color w:val="auto"/>
          <w:sz w:val="24"/>
          <w:highlight w:val="none"/>
        </w:rPr>
        <w:t>全园硬地及</w:t>
      </w:r>
      <w:r>
        <w:rPr>
          <w:rFonts w:hint="eastAsia" w:ascii="宋体" w:hAnsi="宋体" w:eastAsia="宋体" w:cs="宋体"/>
          <w:color w:val="auto"/>
          <w:kern w:val="0"/>
          <w:sz w:val="24"/>
          <w:highlight w:val="none"/>
          <w:lang w:bidi="ar"/>
        </w:rPr>
        <w:t>公共设施（如桌椅、健身娱乐设施、指示牌、简介牌、警示牌、园林小品</w:t>
      </w:r>
      <w:r>
        <w:rPr>
          <w:rFonts w:hint="eastAsia" w:ascii="宋体" w:hAnsi="宋体" w:eastAsia="宋体" w:cs="宋体"/>
          <w:bCs/>
          <w:color w:val="auto"/>
          <w:sz w:val="24"/>
          <w:highlight w:val="none"/>
        </w:rPr>
        <w:t>、亭、台、廊、榭、阁、栏杆、园灯、沙井口、明渠、服务场所、建筑物屋顶、建构筑物</w:t>
      </w:r>
      <w:r>
        <w:rPr>
          <w:rFonts w:hint="eastAsia" w:ascii="宋体" w:hAnsi="宋体" w:eastAsia="宋体" w:cs="宋体"/>
          <w:color w:val="auto"/>
          <w:kern w:val="0"/>
          <w:sz w:val="24"/>
          <w:highlight w:val="none"/>
          <w:lang w:bidi="ar"/>
        </w:rPr>
        <w:t>等），及时清除设施（如电线杆、墙面等）上的违规张贴及字迹、画迹、蜘蛛网等污迹。花展、重大接待、每年重要节假日及专项检查前各加洗1次，做到路面整洁、无污渍、无痰迹、无扬尘。公园有权视情况要求加洗。其中主干道和广场硬地，发现污渍应随时清洗。</w:t>
      </w:r>
    </w:p>
    <w:p>
      <w:pPr>
        <w:spacing w:line="500" w:lineRule="exact"/>
        <w:ind w:firstLine="482" w:firstLineChars="200"/>
        <w:rPr>
          <w:rFonts w:ascii="宋体" w:hAnsi="宋体" w:eastAsia="宋体" w:cs="宋体"/>
          <w:b/>
          <w:bCs/>
          <w:color w:val="auto"/>
          <w:kern w:val="0"/>
          <w:sz w:val="24"/>
          <w:highlight w:val="none"/>
          <w:lang w:bidi="ar"/>
        </w:rPr>
      </w:pPr>
      <w:r>
        <w:rPr>
          <w:rFonts w:hint="eastAsia" w:ascii="宋体" w:hAnsi="宋体" w:eastAsia="宋体" w:cs="宋体"/>
          <w:b/>
          <w:bCs/>
          <w:color w:val="auto"/>
          <w:kern w:val="0"/>
          <w:sz w:val="24"/>
          <w:highlight w:val="none"/>
          <w:lang w:bidi="ar"/>
        </w:rPr>
        <w:t>（2）水面保洁：</w:t>
      </w:r>
    </w:p>
    <w:p>
      <w:pPr>
        <w:spacing w:line="500" w:lineRule="exact"/>
        <w:ind w:firstLine="496" w:firstLineChars="200"/>
        <w:rPr>
          <w:rFonts w:ascii="宋体" w:hAnsi="宋体" w:eastAsia="宋体" w:cs="宋体"/>
          <w:color w:val="auto"/>
          <w:sz w:val="24"/>
          <w:highlight w:val="none"/>
        </w:rPr>
      </w:pPr>
      <w:r>
        <w:rPr>
          <w:rFonts w:hint="eastAsia" w:ascii="宋体" w:hAnsi="宋体" w:eastAsia="宋体" w:cs="宋体"/>
          <w:color w:val="auto"/>
          <w:spacing w:val="4"/>
          <w:sz w:val="24"/>
          <w:highlight w:val="none"/>
        </w:rPr>
        <w:t>为园内湖面的漂浮废弃物的打捞、清理等</w:t>
      </w:r>
      <w:r>
        <w:rPr>
          <w:rFonts w:hint="eastAsia" w:ascii="宋体" w:hAnsi="宋体" w:eastAsia="宋体" w:cs="宋体"/>
          <w:color w:val="auto"/>
          <w:spacing w:val="-7"/>
          <w:sz w:val="24"/>
          <w:highlight w:val="none"/>
        </w:rPr>
        <w:t>。</w:t>
      </w:r>
      <w:r>
        <w:rPr>
          <w:rFonts w:hint="eastAsia" w:ascii="宋体" w:hAnsi="宋体" w:eastAsia="宋体" w:cs="宋体"/>
          <w:color w:val="auto"/>
          <w:spacing w:val="-9"/>
          <w:sz w:val="24"/>
          <w:highlight w:val="none"/>
        </w:rPr>
        <w:t>水</w:t>
      </w:r>
      <w:r>
        <w:rPr>
          <w:rFonts w:hint="eastAsia" w:ascii="宋体" w:hAnsi="宋体" w:eastAsia="宋体" w:cs="宋体"/>
          <w:color w:val="auto"/>
          <w:spacing w:val="-7"/>
          <w:sz w:val="24"/>
          <w:highlight w:val="none"/>
        </w:rPr>
        <w:t>面保洁采用人工保洁模式，安排1班作业。</w:t>
      </w:r>
    </w:p>
    <w:p>
      <w:pPr>
        <w:spacing w:line="500" w:lineRule="exact"/>
        <w:ind w:firstLine="478" w:firstLineChars="200"/>
        <w:rPr>
          <w:rFonts w:ascii="宋体" w:hAnsi="宋体" w:eastAsia="宋体" w:cs="宋体"/>
          <w:b/>
          <w:bCs/>
          <w:color w:val="auto"/>
          <w:spacing w:val="4"/>
          <w:sz w:val="24"/>
          <w:highlight w:val="none"/>
        </w:rPr>
      </w:pPr>
      <w:r>
        <w:rPr>
          <w:rFonts w:hint="eastAsia" w:ascii="宋体" w:hAnsi="宋体" w:eastAsia="宋体" w:cs="宋体"/>
          <w:b/>
          <w:bCs/>
          <w:color w:val="auto"/>
          <w:spacing w:val="-1"/>
          <w:sz w:val="24"/>
          <w:highlight w:val="none"/>
        </w:rPr>
        <w:t>（3）公厕</w:t>
      </w:r>
      <w:r>
        <w:rPr>
          <w:rFonts w:hint="eastAsia" w:ascii="宋体" w:hAnsi="宋体" w:eastAsia="宋体" w:cs="宋体"/>
          <w:b/>
          <w:bCs/>
          <w:color w:val="auto"/>
          <w:spacing w:val="4"/>
          <w:sz w:val="24"/>
          <w:highlight w:val="none"/>
        </w:rPr>
        <w:t>保洁:</w:t>
      </w:r>
    </w:p>
    <w:p>
      <w:pPr>
        <w:spacing w:line="500" w:lineRule="exact"/>
        <w:ind w:firstLine="476" w:firstLineChars="200"/>
        <w:rPr>
          <w:rFonts w:ascii="宋体" w:hAnsi="宋体" w:eastAsia="宋体" w:cs="宋体"/>
          <w:color w:val="auto"/>
          <w:spacing w:val="-4"/>
          <w:sz w:val="24"/>
          <w:highlight w:val="none"/>
        </w:rPr>
      </w:pPr>
      <w:r>
        <w:rPr>
          <w:rFonts w:hint="eastAsia" w:ascii="宋体" w:hAnsi="宋体" w:eastAsia="宋体" w:cs="宋体"/>
          <w:color w:val="auto"/>
          <w:spacing w:val="-1"/>
          <w:sz w:val="24"/>
          <w:highlight w:val="none"/>
        </w:rPr>
        <w:t>为园内公厕地面、台面、便池、洗手池等人工清洁，卫</w:t>
      </w:r>
      <w:r>
        <w:rPr>
          <w:rFonts w:hint="eastAsia" w:ascii="宋体" w:hAnsi="宋体" w:eastAsia="宋体" w:cs="宋体"/>
          <w:color w:val="auto"/>
          <w:sz w:val="24"/>
          <w:highlight w:val="none"/>
        </w:rPr>
        <w:t>生纸、</w:t>
      </w:r>
      <w:r>
        <w:rPr>
          <w:rFonts w:hint="eastAsia" w:ascii="宋体" w:hAnsi="宋体" w:eastAsia="宋体" w:cs="宋体"/>
          <w:color w:val="auto"/>
          <w:spacing w:val="-8"/>
          <w:sz w:val="24"/>
          <w:highlight w:val="none"/>
        </w:rPr>
        <w:t>洗</w:t>
      </w:r>
      <w:r>
        <w:rPr>
          <w:rFonts w:hint="eastAsia" w:ascii="宋体" w:hAnsi="宋体" w:eastAsia="宋体" w:cs="宋体"/>
          <w:color w:val="auto"/>
          <w:spacing w:val="-7"/>
          <w:sz w:val="24"/>
          <w:highlight w:val="none"/>
        </w:rPr>
        <w:t>手液等卫生用品的供应，粪便抽运等，</w:t>
      </w:r>
      <w:r>
        <w:rPr>
          <w:rFonts w:hint="eastAsia" w:ascii="宋体" w:hAnsi="宋体" w:eastAsia="宋体" w:cs="宋体"/>
          <w:color w:val="auto"/>
          <w:spacing w:val="-8"/>
          <w:sz w:val="24"/>
          <w:highlight w:val="none"/>
        </w:rPr>
        <w:t>公厕</w:t>
      </w:r>
      <w:r>
        <w:rPr>
          <w:rFonts w:hint="eastAsia" w:ascii="宋体" w:hAnsi="宋体" w:eastAsia="宋体" w:cs="宋体"/>
          <w:color w:val="auto"/>
          <w:spacing w:val="-4"/>
          <w:sz w:val="24"/>
          <w:highlight w:val="none"/>
        </w:rPr>
        <w:t>保洁采用人工保洁模式，公园开放时间全时段作业，安排2班作业。</w:t>
      </w:r>
      <w:r>
        <w:rPr>
          <w:rFonts w:hint="eastAsia" w:ascii="宋体" w:hAnsi="宋体" w:eastAsia="宋体" w:cs="宋体"/>
          <w:bCs/>
          <w:color w:val="auto"/>
          <w:sz w:val="24"/>
          <w:highlight w:val="none"/>
        </w:rPr>
        <w:t>公厕保洁作业应按需配置手刷、拖把、水桶、清洁剂等工具，并为游客提供卫生纸、洗手液等消耗用品。</w:t>
      </w:r>
    </w:p>
    <w:p>
      <w:pPr>
        <w:spacing w:line="500" w:lineRule="exact"/>
        <w:ind w:firstLine="466" w:firstLineChars="200"/>
        <w:outlineLvl w:val="2"/>
        <w:rPr>
          <w:rFonts w:ascii="宋体" w:hAnsi="宋体" w:eastAsia="宋体" w:cs="宋体"/>
          <w:b/>
          <w:bCs/>
          <w:color w:val="auto"/>
          <w:spacing w:val="-4"/>
          <w:sz w:val="24"/>
          <w:highlight w:val="none"/>
        </w:rPr>
      </w:pPr>
      <w:r>
        <w:rPr>
          <w:rFonts w:hint="eastAsia" w:ascii="宋体" w:hAnsi="宋体" w:eastAsia="宋体" w:cs="宋体"/>
          <w:b/>
          <w:bCs/>
          <w:color w:val="auto"/>
          <w:spacing w:val="-4"/>
          <w:sz w:val="24"/>
          <w:highlight w:val="none"/>
        </w:rPr>
        <w:t>3.质量标准</w:t>
      </w:r>
    </w:p>
    <w:p>
      <w:pPr>
        <w:spacing w:line="500" w:lineRule="exact"/>
        <w:ind w:firstLine="466" w:firstLineChars="200"/>
        <w:rPr>
          <w:rFonts w:ascii="宋体" w:hAnsi="宋体" w:eastAsia="宋体" w:cs="宋体"/>
          <w:color w:val="auto"/>
          <w:spacing w:val="-4"/>
          <w:sz w:val="24"/>
          <w:highlight w:val="none"/>
        </w:rPr>
      </w:pPr>
      <w:r>
        <w:rPr>
          <w:rFonts w:hint="eastAsia" w:ascii="宋体" w:hAnsi="宋体" w:eastAsia="宋体" w:cs="宋体"/>
          <w:b/>
          <w:bCs/>
          <w:color w:val="auto"/>
          <w:spacing w:val="-4"/>
          <w:sz w:val="24"/>
          <w:highlight w:val="none"/>
        </w:rPr>
        <w:t>（1）硬地及设施保洁</w:t>
      </w:r>
      <w:r>
        <w:rPr>
          <w:rFonts w:hint="eastAsia" w:ascii="宋体" w:hAnsi="宋体" w:eastAsia="宋体" w:cs="宋体"/>
          <w:color w:val="auto"/>
          <w:spacing w:val="-4"/>
          <w:sz w:val="24"/>
          <w:highlight w:val="none"/>
        </w:rPr>
        <w:t>应达到《福建省城镇道路清扫保洁质量与评价标准》(征求意见稿)中三级标准，感官质量标准参照《福建省城镇道路清扫保洁质量与评价标准》(征求意见稿)中人行道质量标准执行：</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1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无积沙土，无明显积水，无油渍污染，无烟蒂、纸屑、果皮、树叶、石块、杂草、粪便等其他废弃物。</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2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石砖无污垢，路沿石面干净。</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3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树头无杂物、杂草。</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4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垃圾滞留时间不超过30分钟。</w:t>
      </w:r>
    </w:p>
    <w:p>
      <w:pPr>
        <w:spacing w:line="500" w:lineRule="exact"/>
        <w:ind w:firstLine="466" w:firstLineChars="200"/>
        <w:rPr>
          <w:rFonts w:ascii="宋体" w:hAnsi="宋体" w:eastAsia="宋体" w:cs="宋体"/>
          <w:color w:val="auto"/>
          <w:spacing w:val="-4"/>
          <w:sz w:val="24"/>
          <w:highlight w:val="none"/>
        </w:rPr>
      </w:pPr>
      <w:r>
        <w:rPr>
          <w:rFonts w:hint="eastAsia" w:ascii="宋体" w:hAnsi="宋体" w:eastAsia="宋体" w:cs="宋体"/>
          <w:b/>
          <w:bCs/>
          <w:color w:val="auto"/>
          <w:spacing w:val="-4"/>
          <w:sz w:val="24"/>
          <w:highlight w:val="none"/>
        </w:rPr>
        <w:t>（2）水面保洁质量</w:t>
      </w:r>
      <w:r>
        <w:rPr>
          <w:rFonts w:hint="eastAsia" w:ascii="宋体" w:hAnsi="宋体" w:eastAsia="宋体" w:cs="宋体"/>
          <w:color w:val="auto"/>
          <w:spacing w:val="-4"/>
          <w:sz w:val="24"/>
          <w:highlight w:val="none"/>
        </w:rPr>
        <w:t>应达到《城市水域保洁作业及质量标准》(CJJ/T174-2013)中三级水域水面保洁质量标准：</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1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每5000平方米水域水面垃圾累计面积≦3平方米。</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2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每5000平方米水域水生植物面积单处面积≦100平方米或累计面积≦500平方米。</w:t>
      </w:r>
    </w:p>
    <w:p>
      <w:pPr>
        <w:spacing w:line="500" w:lineRule="exact"/>
        <w:ind w:firstLine="466" w:firstLineChars="200"/>
        <w:rPr>
          <w:rFonts w:ascii="宋体" w:hAnsi="宋体" w:eastAsia="宋体" w:cs="宋体"/>
          <w:color w:val="auto"/>
          <w:spacing w:val="-4"/>
          <w:sz w:val="24"/>
          <w:highlight w:val="none"/>
        </w:rPr>
      </w:pPr>
      <w:r>
        <w:rPr>
          <w:rFonts w:hint="eastAsia" w:ascii="宋体" w:hAnsi="宋体" w:eastAsia="宋体" w:cs="宋体"/>
          <w:b/>
          <w:bCs/>
          <w:color w:val="auto"/>
          <w:spacing w:val="-4"/>
          <w:sz w:val="24"/>
          <w:highlight w:val="none"/>
        </w:rPr>
        <w:t>（3）公厕保洁质量</w:t>
      </w:r>
      <w:r>
        <w:rPr>
          <w:rFonts w:hint="eastAsia" w:ascii="宋体" w:hAnsi="宋体" w:eastAsia="宋体" w:cs="宋体"/>
          <w:color w:val="auto"/>
          <w:spacing w:val="-4"/>
          <w:sz w:val="24"/>
          <w:highlight w:val="none"/>
        </w:rPr>
        <w:t>应达到《公共厕所卫生规范》(GB/T17217-2021)中独立式公共厕所卫生阈值及厕所保洁与设施卫生管理标准，满足《公共厕所卫生规范》(GB/T17217-2021)中厕所保洁与设施卫生管理的相关要求：</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1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地面无积水、痰迹和垃圾。</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2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大便池内无积粪、粪迹，小便池内无积尿和尿垢。</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3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墙壁、顶、门窗、灯具、洗手池周围应无蝇蛆滋生。</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4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化粪池内积存的粪液、尿液不得外溢，应及时清运。</w:t>
      </w:r>
    </w:p>
    <w:p>
      <w:pPr>
        <w:spacing w:line="500" w:lineRule="exact"/>
        <w:ind w:firstLine="464" w:firstLineChars="200"/>
        <w:rPr>
          <w:rFonts w:ascii="宋体" w:hAnsi="宋体" w:eastAsia="宋体" w:cs="宋体"/>
          <w:color w:val="auto"/>
          <w:spacing w:val="-4"/>
          <w:sz w:val="24"/>
          <w:highlight w:val="none"/>
        </w:rPr>
      </w:pPr>
      <w:r>
        <w:rPr>
          <w:rFonts w:hint="eastAsia" w:ascii="宋体" w:hAnsi="宋体" w:eastAsia="宋体" w:cs="宋体"/>
          <w:color w:val="auto"/>
          <w:spacing w:val="-4"/>
          <w:sz w:val="24"/>
          <w:highlight w:val="none"/>
        </w:rPr>
        <w:fldChar w:fldCharType="begin"/>
      </w:r>
      <w:r>
        <w:rPr>
          <w:rFonts w:hint="eastAsia" w:ascii="宋体" w:hAnsi="宋体" w:eastAsia="宋体" w:cs="宋体"/>
          <w:color w:val="auto"/>
          <w:spacing w:val="-4"/>
          <w:sz w:val="24"/>
          <w:highlight w:val="none"/>
        </w:rPr>
        <w:instrText xml:space="preserve"> = 5 \* GB3 \* MERGEFORMAT </w:instrText>
      </w:r>
      <w:r>
        <w:rPr>
          <w:rFonts w:hint="eastAsia" w:ascii="宋体" w:hAnsi="宋体" w:eastAsia="宋体" w:cs="宋体"/>
          <w:color w:val="auto"/>
          <w:spacing w:val="-4"/>
          <w:sz w:val="24"/>
          <w:highlight w:val="none"/>
        </w:rPr>
        <w:fldChar w:fldCharType="separate"/>
      </w:r>
      <w:r>
        <w:rPr>
          <w:rFonts w:hint="eastAsia" w:ascii="宋体" w:hAnsi="宋体" w:eastAsia="宋体" w:cs="宋体"/>
          <w:color w:val="auto"/>
          <w:sz w:val="24"/>
          <w:highlight w:val="none"/>
        </w:rPr>
        <w:t>⑤</w:t>
      </w:r>
      <w:r>
        <w:rPr>
          <w:rFonts w:hint="eastAsia" w:ascii="宋体" w:hAnsi="宋体" w:eastAsia="宋体" w:cs="宋体"/>
          <w:color w:val="auto"/>
          <w:spacing w:val="-4"/>
          <w:sz w:val="24"/>
          <w:highlight w:val="none"/>
        </w:rPr>
        <w:fldChar w:fldCharType="end"/>
      </w:r>
      <w:r>
        <w:rPr>
          <w:rFonts w:hint="eastAsia" w:ascii="宋体" w:hAnsi="宋体" w:eastAsia="宋体" w:cs="宋体"/>
          <w:color w:val="auto"/>
          <w:spacing w:val="-4"/>
          <w:sz w:val="24"/>
          <w:highlight w:val="none"/>
        </w:rPr>
        <w:t>定期对洗手盆、门把手等进行消毒。</w:t>
      </w:r>
    </w:p>
    <w:p>
      <w:pPr>
        <w:spacing w:line="500" w:lineRule="exact"/>
        <w:ind w:firstLine="464" w:firstLineChars="200"/>
        <w:rPr>
          <w:rFonts w:ascii="宋体" w:hAnsi="宋体" w:eastAsia="宋体" w:cs="宋体"/>
          <w:color w:val="auto"/>
          <w:sz w:val="24"/>
          <w:highlight w:val="none"/>
        </w:rPr>
      </w:pPr>
      <w:r>
        <w:rPr>
          <w:rFonts w:hint="eastAsia" w:ascii="宋体" w:hAnsi="宋体" w:eastAsia="宋体" w:cs="宋体"/>
          <w:color w:val="auto"/>
          <w:spacing w:val="-4"/>
          <w:sz w:val="24"/>
          <w:highlight w:val="none"/>
        </w:rPr>
        <w:t>同时应做到“十无两有”标准。即：洗手间地面全时段无积水、无垃圾、无污渍，门窗墙壁无灰尘、无粘贴物，镜面台面无水迹，纸篓垃圾桶无满溢，小便斗、蹲坑无尿碱、无便渍，周边3米范围内无烟头纸屑，公厕内有纸巾、有洗手液，确保全时段无异味，打造精美化公厕样板，提升市民满意度。</w:t>
      </w:r>
    </w:p>
    <w:p>
      <w:pPr>
        <w:spacing w:line="500" w:lineRule="exact"/>
        <w:ind w:firstLine="482" w:firstLineChars="200"/>
        <w:outlineLvl w:val="2"/>
        <w:rPr>
          <w:rFonts w:ascii="宋体" w:hAnsi="宋体" w:eastAsia="宋体" w:cs="宋体"/>
          <w:b/>
          <w:bCs/>
          <w:color w:val="auto"/>
          <w:kern w:val="0"/>
          <w:sz w:val="24"/>
          <w:highlight w:val="none"/>
          <w:lang w:bidi="ar"/>
        </w:rPr>
      </w:pPr>
      <w:r>
        <w:rPr>
          <w:rFonts w:hint="eastAsia" w:ascii="宋体" w:hAnsi="宋体" w:eastAsia="宋体" w:cs="宋体"/>
          <w:b/>
          <w:bCs/>
          <w:color w:val="auto"/>
          <w:kern w:val="0"/>
          <w:sz w:val="24"/>
          <w:highlight w:val="none"/>
          <w:lang w:bidi="ar"/>
        </w:rPr>
        <w:t>4.作业要求</w:t>
      </w:r>
    </w:p>
    <w:p>
      <w:pPr>
        <w:spacing w:line="500" w:lineRule="exact"/>
        <w:ind w:firstLine="200"/>
        <w:rPr>
          <w:rFonts w:ascii="宋体" w:hAnsi="宋体" w:eastAsia="宋体" w:cs="宋体"/>
          <w:color w:val="auto"/>
          <w:kern w:val="0"/>
          <w:sz w:val="24"/>
          <w:highlight w:val="none"/>
          <w:lang w:bidi="ar"/>
        </w:rPr>
      </w:pPr>
      <w:r>
        <w:rPr>
          <w:rFonts w:hint="eastAsia" w:ascii="宋体" w:hAnsi="宋体" w:eastAsia="宋体" w:cs="宋体"/>
          <w:b/>
          <w:bCs/>
          <w:color w:val="auto"/>
          <w:kern w:val="0"/>
          <w:sz w:val="24"/>
          <w:highlight w:val="none"/>
          <w:lang w:bidi="ar"/>
        </w:rPr>
        <w:t>（1）硬地保洁：</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1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乌山一期、二期卫生保洁服务按照三坊七巷-乌山历史风貌区国家AAAAA级景区的相关标准及规定执行：全天不间断保洁，垃圾随丢随捡，日产日清，设施干净无灰尘，卫生设施达到AAAAA级景区标准。</w:t>
      </w:r>
    </w:p>
    <w:p>
      <w:pPr>
        <w:widowControl/>
        <w:spacing w:line="500" w:lineRule="exact"/>
        <w:ind w:firstLine="480" w:firstLineChars="200"/>
        <w:jc w:val="left"/>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2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各公园普扫工作应根据各公园实际在上午7:30——8:30之间、下午2:30——3:00之间完成，每日至少二次普扫；全日制保洁时间为开园至闭园；并严格实行全日制保洁清捡制度(包括垃圾、枯枝、落叶等)。</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3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精扫工作要求全面、彻底，做到路面、果皮箱四周、园内水面清洁无杂物、污物；路面、广场每天清扫不少于2次，垃圾停留时间不超过30分钟。每月使用高压清洗机清洗路面台阶等2次。路沟、排水口清洁畅通。保洁时段内每个片区至少有一人在该片区内巡逻保洁。按地段放置垃圾箱，并由保洁工每天清洁2次，垃圾及时转运清理，应基本做到日产日清，严禁在园内焚烧垃圾，并定期清洗垃圾箱。</w:t>
      </w:r>
    </w:p>
    <w:p>
      <w:pPr>
        <w:spacing w:line="500" w:lineRule="exact"/>
        <w:ind w:firstLine="480" w:firstLineChars="200"/>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4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严格遵守作业时间，在公园开放时间内定人定岗定责。</w:t>
      </w:r>
    </w:p>
    <w:p>
      <w:pPr>
        <w:spacing w:line="500" w:lineRule="exact"/>
        <w:ind w:firstLine="480" w:firstLineChars="200"/>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5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⑤</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清扫工作要求全面、彻底，做到路面、花坛、绿地、地穴树头、垃圾箱四周、园内陆域水域等清洁无杂物、污物。</w:t>
      </w:r>
    </w:p>
    <w:p>
      <w:pPr>
        <w:spacing w:line="500" w:lineRule="exact"/>
        <w:ind w:firstLine="480" w:firstLineChars="200"/>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6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⑥</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水景应及时捞除水景中的漂浮杂物，做到池内无有形垃圾、沉淀物，无明显水垢，无青苔，水质清澈；其中温泉公园每日按时温泉体验区清洁和消毒温泉池，及时清除水面漂浮物，以确保温泉排水系统通畅。</w:t>
      </w:r>
    </w:p>
    <w:p>
      <w:pPr>
        <w:spacing w:line="500" w:lineRule="exact"/>
        <w:ind w:firstLine="480" w:firstLineChars="200"/>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7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⑦</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卫生保洁：地面、墙面、绿地内（含园路及铺装地面）无白色垃圾、污物或其他有形垃圾及杂物，枝叶上无有形垃圾、晾晒物、吊挂物等未经绿化管理部门允许设置的设施；公园定期做好除“四害”（鼠、蚊、蝇、蟑螂）工作。对垃圾池和“四害”孳生地定期进行清理和药物喷洒，每周不少于1次，遇重大节日和活动则增加清理和喷药次数。公园内不能出现张贴和悬挂未经批准的杂物等；雕塑、园林小品及公园配套设施干净，整洁，及时清理；及时清除雨后路面积水和污泥。定期清掏路沟、沟眼、园内排水系统及其设施，保持其清洁畅通。水面无绿藻、无杂物。</w:t>
      </w:r>
    </w:p>
    <w:p>
      <w:pPr>
        <w:spacing w:line="500" w:lineRule="exact"/>
        <w:ind w:firstLine="480" w:firstLineChars="200"/>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8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⑧</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垃圾桶应套袋并及时清倒、清洗，做到桶壳清洁、桶内无积污、不发臭。对垃圾集中点必须做好美化装饰工作，不得影响景观，每日垃圾外运时做好清扫。</w:t>
      </w:r>
    </w:p>
    <w:p>
      <w:pPr>
        <w:spacing w:line="500" w:lineRule="exact"/>
        <w:ind w:firstLine="480" w:firstLineChars="200"/>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9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⑨</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园内垃圾严禁将垃圾倒入湖中，应集中收纳置于指定地点的垃圾收纳桶内，并及时转运至公园指定垃圾场，做到收集点垃圾无积压、周围卫生整洁、转运无撒漏。</w:t>
      </w:r>
    </w:p>
    <w:p>
      <w:pPr>
        <w:spacing w:line="500" w:lineRule="exact"/>
        <w:ind w:firstLine="480" w:firstLineChars="200"/>
        <w:rPr>
          <w:rFonts w:ascii="宋体" w:hAnsi="宋体" w:eastAsia="宋体" w:cs="宋体"/>
          <w:color w:val="auto"/>
          <w:kern w:val="0"/>
          <w:sz w:val="24"/>
          <w:highlight w:val="none"/>
          <w:lang w:bidi="ar"/>
        </w:rPr>
      </w:pPr>
      <w:r>
        <w:rPr>
          <w:rFonts w:hint="eastAsia" w:ascii="宋体" w:hAnsi="宋体" w:eastAsia="宋体" w:cs="宋体"/>
          <w:color w:val="auto"/>
          <w:kern w:val="0"/>
          <w:sz w:val="24"/>
          <w:highlight w:val="none"/>
          <w:lang w:bidi="ar"/>
        </w:rPr>
        <w:fldChar w:fldCharType="begin"/>
      </w:r>
      <w:r>
        <w:rPr>
          <w:rFonts w:hint="eastAsia" w:ascii="宋体" w:hAnsi="宋体" w:eastAsia="宋体" w:cs="宋体"/>
          <w:color w:val="auto"/>
          <w:kern w:val="0"/>
          <w:sz w:val="24"/>
          <w:highlight w:val="none"/>
          <w:lang w:bidi="ar"/>
        </w:rPr>
        <w:instrText xml:space="preserve"> = 10 \* GB3 \* MERGEFORMAT </w:instrText>
      </w:r>
      <w:r>
        <w:rPr>
          <w:rFonts w:hint="eastAsia" w:ascii="宋体" w:hAnsi="宋体" w:eastAsia="宋体" w:cs="宋体"/>
          <w:color w:val="auto"/>
          <w:kern w:val="0"/>
          <w:sz w:val="24"/>
          <w:highlight w:val="none"/>
          <w:lang w:bidi="ar"/>
        </w:rPr>
        <w:fldChar w:fldCharType="separate"/>
      </w:r>
      <w:r>
        <w:rPr>
          <w:rFonts w:hint="eastAsia" w:ascii="宋体" w:hAnsi="宋体" w:eastAsia="宋体" w:cs="宋体"/>
          <w:color w:val="auto"/>
          <w:sz w:val="24"/>
          <w:highlight w:val="none"/>
        </w:rPr>
        <w:t>⑩</w:t>
      </w:r>
      <w:r>
        <w:rPr>
          <w:rFonts w:hint="eastAsia" w:ascii="宋体" w:hAnsi="宋体" w:eastAsia="宋体" w:cs="宋体"/>
          <w:color w:val="auto"/>
          <w:kern w:val="0"/>
          <w:sz w:val="24"/>
          <w:highlight w:val="none"/>
          <w:lang w:bidi="ar"/>
        </w:rPr>
        <w:fldChar w:fldCharType="end"/>
      </w:r>
      <w:r>
        <w:rPr>
          <w:rFonts w:hint="eastAsia" w:ascii="宋体" w:hAnsi="宋体" w:eastAsia="宋体" w:cs="宋体"/>
          <w:color w:val="auto"/>
          <w:kern w:val="0"/>
          <w:sz w:val="24"/>
          <w:highlight w:val="none"/>
          <w:lang w:bidi="ar"/>
        </w:rPr>
        <w:t>环卫作业车辆应保持车容整洁、无破损车容。</w:t>
      </w:r>
    </w:p>
    <w:p>
      <w:pPr>
        <w:pStyle w:val="7"/>
        <w:spacing w:line="500" w:lineRule="exact"/>
        <w:ind w:firstLine="482" w:firstLineChars="200"/>
        <w:rPr>
          <w:rFonts w:eastAsia="宋体" w:cs="宋体"/>
          <w:b/>
          <w:color w:val="auto"/>
          <w:highlight w:val="none"/>
          <w:lang w:eastAsia="zh-CN"/>
        </w:rPr>
      </w:pPr>
      <w:r>
        <w:rPr>
          <w:rFonts w:hint="eastAsia" w:eastAsia="宋体" w:cs="宋体"/>
          <w:b/>
          <w:color w:val="auto"/>
          <w:highlight w:val="none"/>
          <w:lang w:eastAsia="zh-CN"/>
        </w:rPr>
        <w:t>（2）水面保洁：</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保持水域、水景及周边环境清洁，水质良好，水量适度，相关设施完好无损。及时清除杂物，定时杀灭蚊子幼虫。要有补水措施，做到及时补水。</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每天坚持清除水面漂浮物，打捞水中杂物。严格控制绿地内或周边各类污水排入水域内。认真清理栈道旁水生植物丛中的生活垃圾，及时清理湖面漂浮聚集的污渍水垢。每隔一定年限对水域进行疏浚除污。对驳岸立面上的污垢，应用竹扫帚，刷子等沾水清洗干净。</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岸线维护，水域界线的挡土墙（驳岸）、自然坡岸保证完整、美观，发现破损要及时维修。亲水平台应加以认真维护，不能随意堆放杂物或影响游人驻停的构件。</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4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配备保洁船只，并配备相应的湖面卫生保洁工具和救生防护设施，保持船只整洁无破损。每船作业人员配备2人(水性好），严格遵守作业时间，按规定定岗定责，遵守各项文明安全操作规程，防止发生意外事故。</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5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⑤</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出发前应按各自职责做好各项工作准备与检查，检查船舶行驶性能是否良好，带齐必要的作业工具、收纳容器和防护用具。作业人员应穿着统一工作服、穿着救生衣、防滑鞋与防护用品、佩戴工号标志上岗。</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6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⑥</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每次作业结束，应将收集的全部垃圾送至指定的存放处，装卸作业时应防止垃圾散落造成二次污染，做到日收日清，并清洁作业船只，停靠在指定地点。</w:t>
      </w:r>
    </w:p>
    <w:p>
      <w:pPr>
        <w:pStyle w:val="28"/>
        <w:spacing w:line="500" w:lineRule="exact"/>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（3）公厕</w:t>
      </w:r>
      <w:r>
        <w:rPr>
          <w:rFonts w:hint="eastAsia" w:ascii="宋体" w:hAnsi="宋体" w:eastAsia="宋体" w:cs="宋体"/>
          <w:b/>
          <w:bCs/>
          <w:color w:val="auto"/>
          <w:kern w:val="0"/>
          <w:sz w:val="24"/>
          <w:highlight w:val="none"/>
          <w:lang w:bidi="ar"/>
        </w:rPr>
        <w:t>保洁</w:t>
      </w:r>
      <w:r>
        <w:rPr>
          <w:rFonts w:hint="eastAsia" w:ascii="宋体" w:hAnsi="宋体" w:eastAsia="宋体" w:cs="宋体"/>
          <w:b/>
          <w:bCs/>
          <w:color w:val="auto"/>
          <w:sz w:val="24"/>
          <w:highlight w:val="none"/>
        </w:rPr>
        <w:t>：</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按规定的作业时间实施作业，作业人员无缺岗、无迟到、无早退现象，各时段人员准时到岗作业，保洁人员着装规范作业，相关作业人员的信息在公厕入口处进行公示。</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公厕管理人员要着标志服、挂牌上岗。</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公厕厕内通风良好，摆放纸篓、无蝇、无蛆、无痰迹、无臭味、无乱贴乱画。窗台、墙壁、顶棚无灰尘、蜘蛛网。厕内外设施完好。</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4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厕内达到蹲位净、地面净、窗台净、墙壁净；厕外三米内地面干净。</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5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⑤</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要确保用水设施及用电设施完整，性能良好，用水及用电设施出现故障，要在2个小时内自行修复。</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6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⑥</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保持公厕洗手盆、玻璃镜、坑位、地面、内外墙体、天花板完好，如果洗手盆、玻璃镜、坑位、地面、内外墙体、天花板出现破损，要在一个工作日内自行修复。</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7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⑦</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公厕内外工具、用品摆放整齐，严禁乱拉、乱挂、乱堆、乱放物品；内外墙体无乱张贴现象。必须遵章守法，确保安全，严禁在公厕内堆放杂物等行为。</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8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⑧</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达到《全国文明城市测评实地考察点要求须知》的相关要求，做到“公共厕所保洁及时，无明显异味，水电开关、便纸篓有节约提示，提供手纸，无结垢、无蛛网、无烟蒂、无乱涂画，冲水设施完好，窗户玻璃无灰尘”。</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9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⑨</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卫生洁具多为陶瓷制品，禁止使用碱性清洁剂，以免损伤瓷面。卫生洁具容易破碎，清洁时不能用工具的坚硬部分撞击，也不能让重物落下因冲击而致使卫生器具破损。</w:t>
      </w:r>
    </w:p>
    <w:p>
      <w:pPr>
        <w:pStyle w:val="28"/>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10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⑩</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一旦发现卫生洁具或排水管道堵塞，应立即疏通。疏通时，应根据堵塞的严重程度和堵塞的部位采用相应的办法：如果堵塞不严重，堵塞部分在排水人口处，可用夹钳式铁丝钩取出堵塞物；如果堵塞物已进入排水的存水弯，可将排通器胶皮碗口竖压排水口，手持把柄，反复下压上抽，将其疏通，疏通时，应用湿布盖住地漏，以便形成真空而利于疏通。如果堵塞严重，应及时通知管道工疏通。如果发现洁具损坏，管道、阀门、龙头漏水，应及时通知维修工修理或更换。由于清洁工作的疏漏或使用日久，卫生间的卫生洁具、墙身或地面极易积有粪垢、尿渍、水锈和污垢，故必须定期进行去污除垢工作，以保证卫生间保持良好的卫生状况。</w:t>
      </w:r>
    </w:p>
    <w:p>
      <w:pPr>
        <w:spacing w:line="500" w:lineRule="exact"/>
        <w:ind w:firstLine="480" w:firstLineChars="200"/>
        <w:rPr>
          <w:rFonts w:cs="仿宋_GB2312" w:asciiTheme="minorEastAsia" w:hAnsiTheme="minorEastAsia"/>
          <w:color w:val="auto"/>
          <w:sz w:val="24"/>
          <w:highlight w:val="none"/>
        </w:rPr>
      </w:pPr>
      <w:r>
        <w:rPr>
          <w:rFonts w:ascii="Cambria Math" w:hAnsi="Cambria Math" w:cs="Cambria Math"/>
          <w:color w:val="auto"/>
          <w:sz w:val="24"/>
          <w:highlight w:val="none"/>
        </w:rPr>
        <w:t>⑪</w:t>
      </w:r>
      <w:r>
        <w:rPr>
          <w:rFonts w:hint="eastAsia" w:cs="仿宋_GB2312" w:asciiTheme="minorEastAsia" w:hAnsiTheme="minorEastAsia"/>
          <w:color w:val="auto"/>
          <w:sz w:val="24"/>
          <w:highlight w:val="none"/>
        </w:rPr>
        <w:t>使用洁厕水和其他刺激性清洁剂时，应戴橡胶手套，以防止损伤皮肤。</w:t>
      </w:r>
    </w:p>
    <w:p>
      <w:pPr>
        <w:pStyle w:val="28"/>
        <w:spacing w:line="500" w:lineRule="exact"/>
        <w:ind w:firstLine="480" w:firstLineChars="200"/>
        <w:rPr>
          <w:rFonts w:hint="eastAsia" w:ascii="宋体" w:hAnsi="宋体" w:eastAsia="宋体" w:cs="宋体"/>
          <w:color w:val="auto"/>
          <w:sz w:val="24"/>
          <w:highlight w:val="none"/>
        </w:rPr>
      </w:pPr>
    </w:p>
    <w:p>
      <w:pPr>
        <w:pStyle w:val="28"/>
        <w:spacing w:line="500" w:lineRule="exact"/>
        <w:ind w:firstLine="482" w:firstLineChars="200"/>
        <w:rPr>
          <w:rFonts w:ascii="宋体" w:hAnsi="宋体" w:eastAsia="宋体" w:cs="宋体"/>
          <w:b/>
          <w:bCs/>
          <w:color w:val="auto"/>
          <w:sz w:val="24"/>
          <w:highlight w:val="none"/>
        </w:rPr>
      </w:pPr>
      <w:r>
        <w:rPr>
          <w:rFonts w:hint="eastAsia" w:ascii="宋体" w:hAnsi="宋体" w:eastAsia="宋体" w:cs="宋体"/>
          <w:b/>
          <w:bCs/>
          <w:color w:val="auto"/>
          <w:sz w:val="24"/>
          <w:highlight w:val="none"/>
        </w:rPr>
        <w:t>（4）《全国文明城市测评实地考察点要求须知》的相关要求：</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kern w:val="0"/>
          <w:sz w:val="24"/>
          <w:highlight w:val="none"/>
          <w:lang w:bidi="ar"/>
        </w:rPr>
        <w:t>做到“环境卫生整洁，垃圾清运及时，垃圾收集站、垃圾转运站设施干净，周围无垃圾污水污迹、无明显异味”。文明作业要求：清扫保洁人员应小心执扫，控制扬尘，避免妨碍游客。非普扫时间不使用大扫把。清扫保洁工具应摆放整齐，保洁范围内有工具房的应存放在工具房内，保洁垃圾车、小水车不得横向占道。保洁垃圾车装载垃圾时，应覆盖密闭和及时运走。清扫保洁人员应穿着统一制作的行业工作服，保持衣冠整齐，并佩戴工号牌，且有明显所属单位标志，夜间作业应佩带反光安全标志。洒水车作业应发送警示信号提醒路人，并应控制适当的水压和行速，避免妨碍路人。</w:t>
      </w:r>
    </w:p>
    <w:p>
      <w:pPr>
        <w:numPr>
          <w:ilvl w:val="0"/>
          <w:numId w:val="2"/>
        </w:numPr>
        <w:spacing w:line="500" w:lineRule="exact"/>
        <w:ind w:firstLine="482" w:firstLineChars="200"/>
        <w:outlineLvl w:val="2"/>
        <w:rPr>
          <w:rFonts w:cs="楷体_GB2312" w:asciiTheme="minorEastAsia" w:hAnsiTheme="minorEastAsia"/>
          <w:b/>
          <w:bCs/>
          <w:color w:val="auto"/>
          <w:sz w:val="24"/>
          <w:highlight w:val="none"/>
        </w:rPr>
      </w:pPr>
      <w:r>
        <w:rPr>
          <w:rFonts w:hint="eastAsia" w:cs="楷体_GB2312" w:asciiTheme="minorEastAsia" w:hAnsiTheme="minorEastAsia"/>
          <w:b/>
          <w:bCs/>
          <w:color w:val="auto"/>
          <w:sz w:val="24"/>
          <w:highlight w:val="none"/>
        </w:rPr>
        <w:t>人员安排</w:t>
      </w:r>
    </w:p>
    <w:p>
      <w:pPr>
        <w:spacing w:line="500" w:lineRule="exact"/>
        <w:ind w:firstLine="432" w:firstLineChars="200"/>
        <w:rPr>
          <w:rFonts w:cs="仿宋" w:asciiTheme="minorEastAsia" w:hAnsiTheme="minorEastAsia"/>
          <w:bCs/>
          <w:color w:val="auto"/>
          <w:sz w:val="24"/>
          <w:highlight w:val="none"/>
        </w:rPr>
      </w:pPr>
      <w:r>
        <w:rPr>
          <w:rFonts w:hint="eastAsia" w:cs="仿宋" w:asciiTheme="minorEastAsia" w:hAnsiTheme="minorEastAsia"/>
          <w:color w:val="auto"/>
          <w:spacing w:val="-12"/>
          <w:sz w:val="24"/>
          <w:highlight w:val="none"/>
        </w:rPr>
        <w:t>（1）温泉公园每日保洁作业共需配置作业人员19人次，分两班作业，同时每班配置保洁队长1人，2</w:t>
      </w:r>
      <w:r>
        <w:rPr>
          <w:rFonts w:hint="eastAsia" w:cs="仿宋" w:asciiTheme="minorEastAsia" w:hAnsiTheme="minorEastAsia"/>
          <w:color w:val="auto"/>
          <w:spacing w:val="2"/>
          <w:sz w:val="24"/>
          <w:highlight w:val="none"/>
        </w:rPr>
        <w:t>班共安排2人</w:t>
      </w:r>
      <w:r>
        <w:rPr>
          <w:rFonts w:hint="eastAsia" w:cs="仿宋" w:asciiTheme="minorEastAsia" w:hAnsiTheme="minorEastAsia"/>
          <w:bCs/>
          <w:color w:val="auto"/>
          <w:sz w:val="24"/>
          <w:highlight w:val="none"/>
        </w:rPr>
        <w:t>；</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（2）屏山公园</w:t>
      </w:r>
      <w:r>
        <w:rPr>
          <w:rFonts w:hint="eastAsia" w:cs="仿宋" w:asciiTheme="minorEastAsia" w:hAnsiTheme="minorEastAsia"/>
          <w:color w:val="auto"/>
          <w:spacing w:val="-12"/>
          <w:sz w:val="24"/>
          <w:highlight w:val="none"/>
        </w:rPr>
        <w:t>每日</w:t>
      </w:r>
      <w:r>
        <w:rPr>
          <w:rFonts w:hint="eastAsia" w:cs="仿宋_GB2312" w:asciiTheme="minorEastAsia" w:hAnsiTheme="minorEastAsia"/>
          <w:bCs/>
          <w:color w:val="auto"/>
          <w:sz w:val="24"/>
          <w:highlight w:val="none"/>
        </w:rPr>
        <w:t>保洁作业共需配置作业人员8人次，</w:t>
      </w:r>
      <w:r>
        <w:rPr>
          <w:rFonts w:hint="eastAsia" w:cs="仿宋" w:asciiTheme="minorEastAsia" w:hAnsiTheme="minorEastAsia"/>
          <w:color w:val="auto"/>
          <w:spacing w:val="-12"/>
          <w:sz w:val="24"/>
          <w:highlight w:val="none"/>
        </w:rPr>
        <w:t>分两班作业，同时每班配置保洁队长1人，2</w:t>
      </w:r>
      <w:r>
        <w:rPr>
          <w:rFonts w:hint="eastAsia" w:cs="仿宋" w:asciiTheme="minorEastAsia" w:hAnsiTheme="minorEastAsia"/>
          <w:color w:val="auto"/>
          <w:spacing w:val="2"/>
          <w:sz w:val="24"/>
          <w:highlight w:val="none"/>
        </w:rPr>
        <w:t>班共安排2人</w:t>
      </w:r>
      <w:r>
        <w:rPr>
          <w:rFonts w:hint="eastAsia" w:cs="仿宋_GB2312" w:asciiTheme="minorEastAsia" w:hAnsiTheme="minorEastAsia"/>
          <w:bCs/>
          <w:color w:val="auto"/>
          <w:sz w:val="24"/>
          <w:highlight w:val="none"/>
        </w:rPr>
        <w:t>。</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（3）冶山公园</w:t>
      </w:r>
      <w:r>
        <w:rPr>
          <w:rFonts w:hint="eastAsia" w:cs="仿宋" w:asciiTheme="minorEastAsia" w:hAnsiTheme="minorEastAsia"/>
          <w:color w:val="auto"/>
          <w:spacing w:val="-12"/>
          <w:sz w:val="24"/>
          <w:highlight w:val="none"/>
        </w:rPr>
        <w:t>每日</w:t>
      </w:r>
      <w:r>
        <w:rPr>
          <w:rFonts w:hint="eastAsia" w:cs="仿宋_GB2312" w:asciiTheme="minorEastAsia" w:hAnsiTheme="minorEastAsia"/>
          <w:bCs/>
          <w:color w:val="auto"/>
          <w:sz w:val="24"/>
          <w:highlight w:val="none"/>
        </w:rPr>
        <w:t>保洁作业共需配置作业人员7人次，</w:t>
      </w:r>
      <w:r>
        <w:rPr>
          <w:rFonts w:hint="eastAsia" w:cs="仿宋" w:asciiTheme="minorEastAsia" w:hAnsiTheme="minorEastAsia"/>
          <w:color w:val="auto"/>
          <w:spacing w:val="-12"/>
          <w:sz w:val="24"/>
          <w:highlight w:val="none"/>
        </w:rPr>
        <w:t>分两班作业，</w:t>
      </w:r>
      <w:r>
        <w:rPr>
          <w:rFonts w:hint="eastAsia" w:cs="仿宋_GB2312" w:asciiTheme="minorEastAsia" w:hAnsiTheme="minorEastAsia"/>
          <w:bCs/>
          <w:color w:val="auto"/>
          <w:sz w:val="24"/>
          <w:highlight w:val="none"/>
        </w:rPr>
        <w:t>同时每班配置保洁队长</w:t>
      </w:r>
      <w:r>
        <w:rPr>
          <w:rFonts w:cs="仿宋_GB2312" w:asciiTheme="minorEastAsia" w:hAnsiTheme="minorEastAsia"/>
          <w:bCs/>
          <w:color w:val="auto"/>
          <w:sz w:val="24"/>
          <w:highlight w:val="none"/>
        </w:rPr>
        <w:t>1</w:t>
      </w:r>
      <w:r>
        <w:rPr>
          <w:rFonts w:hint="eastAsia" w:cs="仿宋_GB2312" w:asciiTheme="minorEastAsia" w:hAnsiTheme="minorEastAsia"/>
          <w:bCs/>
          <w:color w:val="auto"/>
          <w:sz w:val="24"/>
          <w:highlight w:val="none"/>
        </w:rPr>
        <w:t>人，</w:t>
      </w:r>
      <w:r>
        <w:rPr>
          <w:rFonts w:cs="仿宋_GB2312" w:asciiTheme="minorEastAsia" w:hAnsiTheme="minorEastAsia"/>
          <w:bCs/>
          <w:color w:val="auto"/>
          <w:sz w:val="24"/>
          <w:highlight w:val="none"/>
        </w:rPr>
        <w:t>2</w:t>
      </w:r>
      <w:r>
        <w:rPr>
          <w:rFonts w:hint="eastAsia" w:cs="仿宋_GB2312" w:asciiTheme="minorEastAsia" w:hAnsiTheme="minorEastAsia"/>
          <w:bCs/>
          <w:color w:val="auto"/>
          <w:sz w:val="24"/>
          <w:highlight w:val="none"/>
        </w:rPr>
        <w:t>班共安排</w:t>
      </w:r>
      <w:r>
        <w:rPr>
          <w:rFonts w:cs="仿宋_GB2312" w:asciiTheme="minorEastAsia" w:hAnsiTheme="minorEastAsia"/>
          <w:bCs/>
          <w:color w:val="auto"/>
          <w:sz w:val="24"/>
          <w:highlight w:val="none"/>
        </w:rPr>
        <w:t>2</w:t>
      </w:r>
      <w:r>
        <w:rPr>
          <w:rFonts w:hint="eastAsia" w:cs="仿宋_GB2312" w:asciiTheme="minorEastAsia" w:hAnsiTheme="minorEastAsia"/>
          <w:bCs/>
          <w:color w:val="auto"/>
          <w:sz w:val="24"/>
          <w:highlight w:val="none"/>
        </w:rPr>
        <w:t>人。</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（4）乌山一期</w:t>
      </w:r>
      <w:r>
        <w:rPr>
          <w:rFonts w:hint="eastAsia" w:cs="仿宋" w:asciiTheme="minorEastAsia" w:hAnsiTheme="minorEastAsia"/>
          <w:color w:val="auto"/>
          <w:spacing w:val="-12"/>
          <w:sz w:val="24"/>
          <w:highlight w:val="none"/>
        </w:rPr>
        <w:t>每日</w:t>
      </w:r>
      <w:r>
        <w:rPr>
          <w:rFonts w:hint="eastAsia" w:cs="仿宋_GB2312" w:asciiTheme="minorEastAsia" w:hAnsiTheme="minorEastAsia"/>
          <w:bCs/>
          <w:color w:val="auto"/>
          <w:sz w:val="24"/>
          <w:highlight w:val="none"/>
        </w:rPr>
        <w:t>保洁作业共需配置作业人员18人次，</w:t>
      </w:r>
      <w:r>
        <w:rPr>
          <w:rFonts w:hint="eastAsia" w:cs="仿宋" w:asciiTheme="minorEastAsia" w:hAnsiTheme="minorEastAsia"/>
          <w:color w:val="auto"/>
          <w:spacing w:val="-12"/>
          <w:sz w:val="24"/>
          <w:highlight w:val="none"/>
        </w:rPr>
        <w:t>分两班作业，</w:t>
      </w:r>
      <w:r>
        <w:rPr>
          <w:rFonts w:hint="eastAsia" w:cs="仿宋_GB2312" w:asciiTheme="minorEastAsia" w:hAnsiTheme="minorEastAsia"/>
          <w:bCs/>
          <w:color w:val="auto"/>
          <w:sz w:val="24"/>
          <w:highlight w:val="none"/>
        </w:rPr>
        <w:t>同时每班配置保洁队长1人，2班共安排2人。</w:t>
      </w:r>
    </w:p>
    <w:p>
      <w:pPr>
        <w:spacing w:line="500" w:lineRule="exact"/>
        <w:ind w:firstLine="480" w:firstLineChars="200"/>
        <w:rPr>
          <w:rFonts w:cs="仿宋_GB2312" w:asciiTheme="minorEastAsia" w:hAnsiTheme="minorEastAsia"/>
          <w:bCs/>
          <w:color w:val="auto"/>
          <w:sz w:val="24"/>
          <w:highlight w:val="none"/>
        </w:rPr>
      </w:pPr>
      <w:r>
        <w:rPr>
          <w:rFonts w:hint="eastAsia" w:cs="仿宋_GB2312" w:asciiTheme="minorEastAsia" w:hAnsiTheme="minorEastAsia"/>
          <w:bCs/>
          <w:color w:val="auto"/>
          <w:sz w:val="24"/>
          <w:highlight w:val="none"/>
        </w:rPr>
        <w:t>（5）乌山二期</w:t>
      </w:r>
      <w:r>
        <w:rPr>
          <w:rFonts w:hint="eastAsia" w:cs="仿宋" w:asciiTheme="minorEastAsia" w:hAnsiTheme="minorEastAsia"/>
          <w:color w:val="auto"/>
          <w:spacing w:val="-12"/>
          <w:sz w:val="24"/>
          <w:highlight w:val="none"/>
        </w:rPr>
        <w:t>每日</w:t>
      </w:r>
      <w:r>
        <w:rPr>
          <w:rFonts w:hint="eastAsia" w:cs="仿宋_GB2312" w:asciiTheme="minorEastAsia" w:hAnsiTheme="minorEastAsia"/>
          <w:bCs/>
          <w:color w:val="auto"/>
          <w:sz w:val="24"/>
          <w:highlight w:val="none"/>
        </w:rPr>
        <w:t>保洁作业共需配置作业人员10人次，</w:t>
      </w:r>
      <w:r>
        <w:rPr>
          <w:rFonts w:hint="eastAsia" w:cs="仿宋" w:asciiTheme="minorEastAsia" w:hAnsiTheme="minorEastAsia"/>
          <w:color w:val="auto"/>
          <w:spacing w:val="-12"/>
          <w:sz w:val="24"/>
          <w:highlight w:val="none"/>
        </w:rPr>
        <w:t>分两班作业，</w:t>
      </w:r>
      <w:r>
        <w:rPr>
          <w:rFonts w:hint="eastAsia" w:cs="仿宋_GB2312" w:asciiTheme="minorEastAsia" w:hAnsiTheme="minorEastAsia"/>
          <w:bCs/>
          <w:color w:val="auto"/>
          <w:sz w:val="24"/>
          <w:highlight w:val="none"/>
        </w:rPr>
        <w:t>同时每班配置保洁队长1人，2班共安排2人。</w:t>
      </w:r>
    </w:p>
    <w:p>
      <w:pPr>
        <w:pStyle w:val="7"/>
        <w:spacing w:line="500" w:lineRule="exact"/>
        <w:ind w:firstLine="480" w:firstLineChars="200"/>
        <w:rPr>
          <w:rFonts w:cs="仿宋" w:asciiTheme="minorEastAsia" w:hAnsiTheme="minorEastAsia"/>
          <w:color w:val="auto"/>
          <w:spacing w:val="-12"/>
          <w:highlight w:val="none"/>
          <w:lang w:eastAsia="zh-CN"/>
        </w:rPr>
      </w:pPr>
      <w:r>
        <w:rPr>
          <w:rFonts w:hint="eastAsia" w:cs="仿宋_GB2312" w:asciiTheme="minorEastAsia" w:hAnsiTheme="minorEastAsia"/>
          <w:bCs/>
          <w:color w:val="auto"/>
          <w:highlight w:val="none"/>
          <w:lang w:eastAsia="zh-CN"/>
        </w:rPr>
        <w:t>（6）</w:t>
      </w:r>
      <w:r>
        <w:rPr>
          <w:rFonts w:hint="eastAsia" w:cs="仿宋" w:asciiTheme="minorEastAsia" w:hAnsiTheme="minorEastAsia"/>
          <w:color w:val="auto"/>
          <w:spacing w:val="-12"/>
          <w:highlight w:val="none"/>
          <w:lang w:eastAsia="zh-CN"/>
        </w:rPr>
        <w:t>黎明湖公园每日保洁作业共需配置作业人员8人次，分两班作业，同时每班配置保洁队长</w:t>
      </w:r>
      <w:r>
        <w:rPr>
          <w:rFonts w:cs="仿宋" w:asciiTheme="minorEastAsia" w:hAnsiTheme="minorEastAsia"/>
          <w:color w:val="auto"/>
          <w:spacing w:val="-12"/>
          <w:highlight w:val="none"/>
          <w:lang w:eastAsia="zh-CN"/>
        </w:rPr>
        <w:t>1</w:t>
      </w:r>
      <w:r>
        <w:rPr>
          <w:rFonts w:hint="eastAsia" w:cs="仿宋" w:asciiTheme="minorEastAsia" w:hAnsiTheme="minorEastAsia"/>
          <w:color w:val="auto"/>
          <w:spacing w:val="-12"/>
          <w:highlight w:val="none"/>
          <w:lang w:eastAsia="zh-CN"/>
        </w:rPr>
        <w:t>人，</w:t>
      </w:r>
      <w:r>
        <w:rPr>
          <w:rFonts w:cs="仿宋" w:asciiTheme="minorEastAsia" w:hAnsiTheme="minorEastAsia"/>
          <w:color w:val="auto"/>
          <w:spacing w:val="-12"/>
          <w:highlight w:val="none"/>
          <w:lang w:eastAsia="zh-CN"/>
        </w:rPr>
        <w:t>2</w:t>
      </w:r>
      <w:r>
        <w:rPr>
          <w:rFonts w:hint="eastAsia" w:cs="仿宋" w:asciiTheme="minorEastAsia" w:hAnsiTheme="minorEastAsia"/>
          <w:color w:val="auto"/>
          <w:spacing w:val="-12"/>
          <w:highlight w:val="none"/>
          <w:lang w:eastAsia="zh-CN"/>
        </w:rPr>
        <w:t>班共安排</w:t>
      </w:r>
      <w:r>
        <w:rPr>
          <w:rFonts w:cs="仿宋" w:asciiTheme="minorEastAsia" w:hAnsiTheme="minorEastAsia"/>
          <w:color w:val="auto"/>
          <w:spacing w:val="-12"/>
          <w:highlight w:val="none"/>
          <w:lang w:eastAsia="zh-CN"/>
        </w:rPr>
        <w:t>2</w:t>
      </w:r>
      <w:r>
        <w:rPr>
          <w:rFonts w:hint="eastAsia" w:cs="仿宋" w:asciiTheme="minorEastAsia" w:hAnsiTheme="minorEastAsia"/>
          <w:color w:val="auto"/>
          <w:spacing w:val="-12"/>
          <w:highlight w:val="none"/>
          <w:lang w:eastAsia="zh-CN"/>
        </w:rPr>
        <w:t>人。</w:t>
      </w:r>
    </w:p>
    <w:p>
      <w:pPr>
        <w:jc w:val="center"/>
        <w:rPr>
          <w:color w:val="auto"/>
          <w:highlight w:val="none"/>
        </w:rPr>
      </w:pPr>
      <w:r>
        <w:rPr>
          <w:rFonts w:hint="eastAsia" w:cs="楷体" w:asciiTheme="minorEastAsia" w:hAnsiTheme="minorEastAsia"/>
          <w:color w:val="auto"/>
          <w:spacing w:val="-3"/>
          <w:szCs w:val="21"/>
          <w:highlight w:val="none"/>
        </w:rPr>
        <w:t>保洁</w:t>
      </w:r>
      <w:r>
        <w:rPr>
          <w:rFonts w:cs="楷体" w:asciiTheme="minorEastAsia" w:hAnsiTheme="minorEastAsia"/>
          <w:color w:val="auto"/>
          <w:spacing w:val="-3"/>
          <w:szCs w:val="21"/>
          <w:highlight w:val="none"/>
        </w:rPr>
        <w:t>作业人员安排表</w:t>
      </w:r>
    </w:p>
    <w:tbl>
      <w:tblPr>
        <w:tblStyle w:val="29"/>
        <w:tblW w:w="8930"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941"/>
        <w:gridCol w:w="1389"/>
        <w:gridCol w:w="900"/>
        <w:gridCol w:w="1009"/>
        <w:gridCol w:w="955"/>
        <w:gridCol w:w="982"/>
        <w:gridCol w:w="940"/>
        <w:gridCol w:w="955"/>
        <w:gridCol w:w="8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41" w:type="dxa"/>
            <w:tcBorders>
              <w:left w:val="single" w:color="000000" w:sz="16" w:space="0"/>
              <w:right w:val="single" w:color="000000" w:sz="4" w:space="0"/>
            </w:tcBorders>
          </w:tcPr>
          <w:p>
            <w:pPr>
              <w:jc w:val="center"/>
              <w:rPr>
                <w:rFonts w:cs="楷体" w:asciiTheme="minorEastAsia" w:hAnsiTheme="minorEastAsia"/>
                <w:b/>
                <w:bCs/>
                <w:color w:val="auto"/>
                <w:spacing w:val="1"/>
                <w:szCs w:val="21"/>
                <w:highlight w:val="none"/>
              </w:rPr>
            </w:pPr>
            <w:r>
              <w:rPr>
                <w:rFonts w:hint="eastAsia" w:cs="楷体" w:asciiTheme="minorEastAsia" w:hAnsiTheme="minorEastAsia"/>
                <w:b/>
                <w:bCs/>
                <w:color w:val="auto"/>
                <w:spacing w:val="1"/>
                <w:szCs w:val="21"/>
                <w:highlight w:val="none"/>
              </w:rPr>
              <w:t>序号</w:t>
            </w:r>
          </w:p>
        </w:tc>
        <w:tc>
          <w:tcPr>
            <w:tcW w:w="1389" w:type="dxa"/>
            <w:tcBorders>
              <w:left w:val="single" w:color="000000" w:sz="4" w:space="0"/>
              <w:right w:val="single" w:color="000000" w:sz="4" w:space="0"/>
            </w:tcBorders>
          </w:tcPr>
          <w:p>
            <w:pPr>
              <w:jc w:val="center"/>
              <w:rPr>
                <w:rFonts w:cs="楷体" w:asciiTheme="minorEastAsia" w:hAnsiTheme="minorEastAsia"/>
                <w:b/>
                <w:bCs/>
                <w:color w:val="auto"/>
                <w:spacing w:val="1"/>
                <w:szCs w:val="21"/>
                <w:highlight w:val="none"/>
              </w:rPr>
            </w:pPr>
            <w:r>
              <w:rPr>
                <w:rFonts w:hint="eastAsia" w:cs="楷体" w:asciiTheme="minorEastAsia" w:hAnsiTheme="minorEastAsia"/>
                <w:b/>
                <w:bCs/>
                <w:color w:val="auto"/>
                <w:spacing w:val="1"/>
                <w:szCs w:val="21"/>
                <w:highlight w:val="none"/>
              </w:rPr>
              <w:t>项目</w:t>
            </w:r>
          </w:p>
        </w:tc>
        <w:tc>
          <w:tcPr>
            <w:tcW w:w="900" w:type="dxa"/>
            <w:tcBorders>
              <w:left w:val="single" w:color="000000" w:sz="4" w:space="0"/>
              <w:right w:val="single" w:color="000000" w:sz="16" w:space="0"/>
            </w:tcBorders>
          </w:tcPr>
          <w:p>
            <w:pPr>
              <w:jc w:val="center"/>
              <w:rPr>
                <w:rFonts w:cs="楷体" w:asciiTheme="minorEastAsia" w:hAnsiTheme="minorEastAsia"/>
                <w:b/>
                <w:bCs/>
                <w:color w:val="auto"/>
                <w:spacing w:val="1"/>
                <w:szCs w:val="21"/>
                <w:highlight w:val="none"/>
              </w:rPr>
            </w:pPr>
            <w:r>
              <w:rPr>
                <w:rFonts w:hint="eastAsia" w:cs="楷体" w:asciiTheme="minorEastAsia" w:hAnsiTheme="minorEastAsia"/>
                <w:b/>
                <w:bCs/>
                <w:color w:val="auto"/>
                <w:spacing w:val="1"/>
                <w:szCs w:val="21"/>
                <w:highlight w:val="none"/>
              </w:rPr>
              <w:t>硬扫保洁员数量</w:t>
            </w:r>
            <w:r>
              <w:rPr>
                <w:rFonts w:hint="eastAsia" w:cs="楷体_GB2312" w:asciiTheme="minorEastAsia" w:hAnsiTheme="minorEastAsia"/>
                <w:color w:val="auto"/>
                <w:szCs w:val="21"/>
                <w:highlight w:val="none"/>
              </w:rPr>
              <w:t>（人）</w:t>
            </w:r>
          </w:p>
        </w:tc>
        <w:tc>
          <w:tcPr>
            <w:tcW w:w="1009" w:type="dxa"/>
            <w:tcBorders>
              <w:left w:val="single" w:color="000000" w:sz="4" w:space="0"/>
              <w:right w:val="single" w:color="000000" w:sz="16" w:space="0"/>
            </w:tcBorders>
          </w:tcPr>
          <w:p>
            <w:pPr>
              <w:jc w:val="center"/>
              <w:rPr>
                <w:rFonts w:cs="楷体" w:asciiTheme="minorEastAsia" w:hAnsiTheme="minorEastAsia"/>
                <w:b/>
                <w:bCs/>
                <w:color w:val="auto"/>
                <w:spacing w:val="1"/>
                <w:szCs w:val="21"/>
                <w:highlight w:val="none"/>
              </w:rPr>
            </w:pPr>
            <w:r>
              <w:rPr>
                <w:rFonts w:hint="eastAsia" w:cs="楷体" w:asciiTheme="minorEastAsia" w:hAnsiTheme="minorEastAsia"/>
                <w:b/>
                <w:bCs/>
                <w:color w:val="auto"/>
                <w:spacing w:val="1"/>
                <w:szCs w:val="21"/>
                <w:highlight w:val="none"/>
              </w:rPr>
              <w:t>硬地及设施清洗洗</w:t>
            </w:r>
            <w:r>
              <w:rPr>
                <w:rFonts w:hint="eastAsia" w:cs="楷体_GB2312" w:asciiTheme="minorEastAsia" w:hAnsiTheme="minorEastAsia"/>
                <w:color w:val="auto"/>
                <w:szCs w:val="21"/>
                <w:highlight w:val="none"/>
              </w:rPr>
              <w:t>（人）</w:t>
            </w:r>
          </w:p>
        </w:tc>
        <w:tc>
          <w:tcPr>
            <w:tcW w:w="955" w:type="dxa"/>
            <w:tcBorders>
              <w:left w:val="single" w:color="000000" w:sz="4" w:space="0"/>
              <w:right w:val="single" w:color="000000" w:sz="16" w:space="0"/>
            </w:tcBorders>
          </w:tcPr>
          <w:p>
            <w:pPr>
              <w:jc w:val="center"/>
              <w:rPr>
                <w:rFonts w:cs="楷体" w:asciiTheme="minorEastAsia" w:hAnsiTheme="minorEastAsia"/>
                <w:b/>
                <w:bCs/>
                <w:color w:val="auto"/>
                <w:spacing w:val="1"/>
                <w:szCs w:val="21"/>
                <w:highlight w:val="none"/>
              </w:rPr>
            </w:pPr>
            <w:r>
              <w:rPr>
                <w:rFonts w:hint="eastAsia" w:cs="楷体" w:asciiTheme="minorEastAsia" w:hAnsiTheme="minorEastAsia"/>
                <w:b/>
                <w:bCs/>
                <w:color w:val="auto"/>
                <w:spacing w:val="1"/>
                <w:szCs w:val="21"/>
                <w:highlight w:val="none"/>
              </w:rPr>
              <w:t>水面保洁</w:t>
            </w:r>
            <w:r>
              <w:rPr>
                <w:rFonts w:hint="eastAsia" w:cs="楷体_GB2312" w:asciiTheme="minorEastAsia" w:hAnsiTheme="minorEastAsia"/>
                <w:color w:val="auto"/>
                <w:szCs w:val="21"/>
                <w:highlight w:val="none"/>
              </w:rPr>
              <w:t>（人）</w:t>
            </w:r>
          </w:p>
        </w:tc>
        <w:tc>
          <w:tcPr>
            <w:tcW w:w="982" w:type="dxa"/>
            <w:tcBorders>
              <w:left w:val="single" w:color="000000" w:sz="4" w:space="0"/>
              <w:right w:val="single" w:color="000000" w:sz="16" w:space="0"/>
            </w:tcBorders>
          </w:tcPr>
          <w:p>
            <w:pPr>
              <w:jc w:val="center"/>
              <w:rPr>
                <w:rFonts w:cs="楷体" w:asciiTheme="minorEastAsia" w:hAnsiTheme="minorEastAsia"/>
                <w:b/>
                <w:bCs/>
                <w:color w:val="auto"/>
                <w:spacing w:val="1"/>
                <w:szCs w:val="21"/>
                <w:highlight w:val="none"/>
              </w:rPr>
            </w:pPr>
            <w:r>
              <w:rPr>
                <w:rFonts w:hint="eastAsia" w:cs="楷体" w:asciiTheme="minorEastAsia" w:hAnsiTheme="minorEastAsia"/>
                <w:b/>
                <w:bCs/>
                <w:color w:val="auto"/>
                <w:spacing w:val="1"/>
                <w:szCs w:val="21"/>
                <w:highlight w:val="none"/>
              </w:rPr>
              <w:t>中心公厕</w:t>
            </w:r>
            <w:r>
              <w:rPr>
                <w:rFonts w:hint="eastAsia" w:cs="楷体_GB2312" w:asciiTheme="minorEastAsia" w:hAnsiTheme="minorEastAsia"/>
                <w:color w:val="auto"/>
                <w:szCs w:val="21"/>
                <w:highlight w:val="none"/>
              </w:rPr>
              <w:t>（人）</w:t>
            </w:r>
          </w:p>
        </w:tc>
        <w:tc>
          <w:tcPr>
            <w:tcW w:w="940" w:type="dxa"/>
            <w:tcBorders>
              <w:left w:val="single" w:color="000000" w:sz="4" w:space="0"/>
              <w:right w:val="single" w:color="000000" w:sz="16" w:space="0"/>
            </w:tcBorders>
          </w:tcPr>
          <w:p>
            <w:pPr>
              <w:jc w:val="center"/>
              <w:rPr>
                <w:rFonts w:cs="楷体" w:asciiTheme="minorEastAsia" w:hAnsiTheme="minorEastAsia"/>
                <w:b/>
                <w:bCs/>
                <w:color w:val="auto"/>
                <w:spacing w:val="1"/>
                <w:szCs w:val="21"/>
                <w:highlight w:val="none"/>
              </w:rPr>
            </w:pPr>
            <w:r>
              <w:rPr>
                <w:rFonts w:hint="eastAsia" w:cs="楷体" w:asciiTheme="minorEastAsia" w:hAnsiTheme="minorEastAsia"/>
                <w:b/>
                <w:bCs/>
                <w:color w:val="auto"/>
                <w:spacing w:val="1"/>
                <w:szCs w:val="21"/>
                <w:highlight w:val="none"/>
              </w:rPr>
              <w:t>一般公厕</w:t>
            </w:r>
            <w:r>
              <w:rPr>
                <w:rFonts w:hint="eastAsia" w:cs="楷体_GB2312" w:asciiTheme="minorEastAsia" w:hAnsiTheme="minorEastAsia"/>
                <w:color w:val="auto"/>
                <w:szCs w:val="21"/>
                <w:highlight w:val="none"/>
              </w:rPr>
              <w:t>（人）</w:t>
            </w:r>
          </w:p>
        </w:tc>
        <w:tc>
          <w:tcPr>
            <w:tcW w:w="955" w:type="dxa"/>
            <w:tcBorders>
              <w:left w:val="single" w:color="000000" w:sz="4" w:space="0"/>
              <w:right w:val="single" w:color="000000" w:sz="16" w:space="0"/>
            </w:tcBorders>
          </w:tcPr>
          <w:p>
            <w:pPr>
              <w:jc w:val="center"/>
              <w:rPr>
                <w:rFonts w:cs="楷体" w:asciiTheme="minorEastAsia" w:hAnsiTheme="minorEastAsia"/>
                <w:b/>
                <w:bCs/>
                <w:color w:val="auto"/>
                <w:spacing w:val="1"/>
                <w:szCs w:val="21"/>
                <w:highlight w:val="none"/>
              </w:rPr>
            </w:pPr>
            <w:r>
              <w:rPr>
                <w:rFonts w:hint="eastAsia" w:cs="楷体" w:asciiTheme="minorEastAsia" w:hAnsiTheme="minorEastAsia"/>
                <w:b/>
                <w:bCs/>
                <w:color w:val="auto"/>
                <w:spacing w:val="1"/>
                <w:szCs w:val="21"/>
                <w:highlight w:val="none"/>
              </w:rPr>
              <w:t>保洁队长</w:t>
            </w:r>
            <w:r>
              <w:rPr>
                <w:rFonts w:hint="eastAsia" w:cs="楷体_GB2312" w:asciiTheme="minorEastAsia" w:hAnsiTheme="minorEastAsia"/>
                <w:color w:val="auto"/>
                <w:szCs w:val="21"/>
                <w:highlight w:val="none"/>
              </w:rPr>
              <w:t>（人）</w:t>
            </w:r>
          </w:p>
        </w:tc>
        <w:tc>
          <w:tcPr>
            <w:tcW w:w="859" w:type="dxa"/>
            <w:tcBorders>
              <w:left w:val="single" w:color="000000" w:sz="4" w:space="0"/>
              <w:right w:val="single" w:color="000000" w:sz="16" w:space="0"/>
            </w:tcBorders>
          </w:tcPr>
          <w:p>
            <w:pPr>
              <w:jc w:val="center"/>
              <w:rPr>
                <w:rFonts w:cs="楷体" w:asciiTheme="minorEastAsia" w:hAnsiTheme="minorEastAsia"/>
                <w:b/>
                <w:bCs/>
                <w:color w:val="auto"/>
                <w:spacing w:val="1"/>
                <w:szCs w:val="21"/>
                <w:highlight w:val="none"/>
              </w:rPr>
            </w:pPr>
            <w:r>
              <w:rPr>
                <w:rFonts w:hint="eastAsia" w:cs="楷体" w:asciiTheme="minorEastAsia" w:hAnsiTheme="minorEastAsia"/>
                <w:b/>
                <w:bCs/>
                <w:color w:val="auto"/>
                <w:spacing w:val="1"/>
                <w:szCs w:val="21"/>
                <w:highlight w:val="none"/>
              </w:rPr>
              <w:t>合计</w:t>
            </w:r>
            <w:r>
              <w:rPr>
                <w:rFonts w:hint="eastAsia" w:cs="楷体_GB2312" w:asciiTheme="minorEastAsia" w:hAnsiTheme="minorEastAsia"/>
                <w:color w:val="auto"/>
                <w:szCs w:val="21"/>
                <w:highlight w:val="none"/>
              </w:rPr>
              <w:t>（人）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3" w:hRule="atLeast"/>
          <w:jc w:val="center"/>
        </w:trPr>
        <w:tc>
          <w:tcPr>
            <w:tcW w:w="941" w:type="dxa"/>
            <w:tcBorders>
              <w:left w:val="single" w:color="000000" w:sz="16" w:space="0"/>
              <w:right w:val="single" w:color="000000" w:sz="4"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1389" w:type="dxa"/>
            <w:tcBorders>
              <w:left w:val="single" w:color="000000" w:sz="4" w:space="0"/>
              <w:right w:val="single" w:color="000000" w:sz="4"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温泉公园</w:t>
            </w:r>
          </w:p>
        </w:tc>
        <w:tc>
          <w:tcPr>
            <w:tcW w:w="900"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10</w:t>
            </w:r>
          </w:p>
        </w:tc>
        <w:tc>
          <w:tcPr>
            <w:tcW w:w="1009"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4</w:t>
            </w:r>
          </w:p>
        </w:tc>
        <w:tc>
          <w:tcPr>
            <w:tcW w:w="955"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82"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940"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955"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859"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21</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29" w:hRule="atLeast"/>
          <w:jc w:val="center"/>
        </w:trPr>
        <w:tc>
          <w:tcPr>
            <w:tcW w:w="941" w:type="dxa"/>
            <w:tcBorders>
              <w:left w:val="single" w:color="000000" w:sz="16" w:space="0"/>
              <w:right w:val="single" w:color="000000" w:sz="4"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1389" w:type="dxa"/>
            <w:tcBorders>
              <w:left w:val="single" w:color="000000" w:sz="4" w:space="0"/>
              <w:right w:val="single" w:color="000000" w:sz="4"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屏山公园</w:t>
            </w:r>
          </w:p>
        </w:tc>
        <w:tc>
          <w:tcPr>
            <w:tcW w:w="900"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4</w:t>
            </w:r>
          </w:p>
        </w:tc>
        <w:tc>
          <w:tcPr>
            <w:tcW w:w="1009"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55"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82"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0</w:t>
            </w:r>
          </w:p>
        </w:tc>
        <w:tc>
          <w:tcPr>
            <w:tcW w:w="940"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955"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859"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41" w:type="dxa"/>
            <w:tcBorders>
              <w:left w:val="single" w:color="000000" w:sz="16" w:space="0"/>
              <w:right w:val="single" w:color="000000" w:sz="4"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3</w:t>
            </w:r>
          </w:p>
        </w:tc>
        <w:tc>
          <w:tcPr>
            <w:tcW w:w="1389" w:type="dxa"/>
            <w:tcBorders>
              <w:left w:val="single" w:color="000000" w:sz="4" w:space="0"/>
              <w:right w:val="single" w:color="000000" w:sz="4"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冶山公园</w:t>
            </w:r>
          </w:p>
        </w:tc>
        <w:tc>
          <w:tcPr>
            <w:tcW w:w="900"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4</w:t>
            </w:r>
          </w:p>
        </w:tc>
        <w:tc>
          <w:tcPr>
            <w:tcW w:w="1009"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55"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82"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0</w:t>
            </w:r>
          </w:p>
        </w:tc>
        <w:tc>
          <w:tcPr>
            <w:tcW w:w="940"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55"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859"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41" w:type="dxa"/>
            <w:tcBorders>
              <w:left w:val="single" w:color="000000" w:sz="16" w:space="0"/>
              <w:right w:val="single" w:color="000000" w:sz="4"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4</w:t>
            </w:r>
          </w:p>
        </w:tc>
        <w:tc>
          <w:tcPr>
            <w:tcW w:w="1389" w:type="dxa"/>
            <w:tcBorders>
              <w:left w:val="single" w:color="000000" w:sz="4" w:space="0"/>
              <w:right w:val="single" w:color="000000" w:sz="4"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乌山（一期）</w:t>
            </w:r>
          </w:p>
        </w:tc>
        <w:tc>
          <w:tcPr>
            <w:tcW w:w="900"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11</w:t>
            </w:r>
          </w:p>
        </w:tc>
        <w:tc>
          <w:tcPr>
            <w:tcW w:w="1009"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955"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82"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0</w:t>
            </w:r>
          </w:p>
        </w:tc>
        <w:tc>
          <w:tcPr>
            <w:tcW w:w="940"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4</w:t>
            </w:r>
          </w:p>
        </w:tc>
        <w:tc>
          <w:tcPr>
            <w:tcW w:w="955"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859" w:type="dxa"/>
            <w:tcBorders>
              <w:left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41" w:type="dxa"/>
            <w:tcBorders>
              <w:left w:val="single" w:color="000000" w:sz="16" w:space="0"/>
              <w:right w:val="single" w:color="000000" w:sz="4"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5</w:t>
            </w:r>
          </w:p>
        </w:tc>
        <w:tc>
          <w:tcPr>
            <w:tcW w:w="1389" w:type="dxa"/>
            <w:tcBorders>
              <w:left w:val="single" w:color="000000" w:sz="4" w:space="0"/>
              <w:right w:val="single" w:color="000000" w:sz="4"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乌山（二期）</w:t>
            </w:r>
          </w:p>
        </w:tc>
        <w:tc>
          <w:tcPr>
            <w:tcW w:w="900" w:type="dxa"/>
            <w:tcBorders>
              <w:left w:val="single" w:color="000000" w:sz="4" w:space="0"/>
              <w:right w:val="single" w:color="000000" w:sz="16"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6</w:t>
            </w:r>
          </w:p>
        </w:tc>
        <w:tc>
          <w:tcPr>
            <w:tcW w:w="1009" w:type="dxa"/>
            <w:tcBorders>
              <w:left w:val="single" w:color="000000" w:sz="4" w:space="0"/>
              <w:right w:val="single" w:color="000000" w:sz="16"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955" w:type="dxa"/>
            <w:tcBorders>
              <w:left w:val="single" w:color="000000" w:sz="4" w:space="0"/>
              <w:right w:val="single" w:color="000000" w:sz="16"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0</w:t>
            </w:r>
          </w:p>
        </w:tc>
        <w:tc>
          <w:tcPr>
            <w:tcW w:w="982" w:type="dxa"/>
            <w:tcBorders>
              <w:left w:val="single" w:color="000000" w:sz="4" w:space="0"/>
              <w:right w:val="single" w:color="000000" w:sz="16"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0</w:t>
            </w:r>
          </w:p>
        </w:tc>
        <w:tc>
          <w:tcPr>
            <w:tcW w:w="940" w:type="dxa"/>
            <w:tcBorders>
              <w:left w:val="single" w:color="000000" w:sz="4" w:space="0"/>
              <w:right w:val="single" w:color="000000" w:sz="16"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955" w:type="dxa"/>
            <w:tcBorders>
              <w:left w:val="single" w:color="000000" w:sz="4" w:space="0"/>
              <w:right w:val="single" w:color="000000" w:sz="16"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859" w:type="dxa"/>
            <w:tcBorders>
              <w:left w:val="single" w:color="000000" w:sz="4" w:space="0"/>
              <w:right w:val="single" w:color="000000" w:sz="16"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941" w:type="dxa"/>
            <w:tcBorders>
              <w:left w:val="single" w:color="000000" w:sz="16" w:space="0"/>
              <w:bottom w:val="single" w:color="000000" w:sz="4" w:space="0"/>
              <w:right w:val="single" w:color="000000" w:sz="4" w:space="0"/>
            </w:tcBorders>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6</w:t>
            </w:r>
          </w:p>
        </w:tc>
        <w:tc>
          <w:tcPr>
            <w:tcW w:w="1389" w:type="dxa"/>
            <w:tcBorders>
              <w:left w:val="single" w:color="000000" w:sz="4" w:space="0"/>
              <w:bottom w:val="single" w:color="000000" w:sz="4" w:space="0"/>
              <w:right w:val="single" w:color="000000" w:sz="4"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黎明湖公园</w:t>
            </w:r>
          </w:p>
        </w:tc>
        <w:tc>
          <w:tcPr>
            <w:tcW w:w="900" w:type="dxa"/>
            <w:tcBorders>
              <w:left w:val="single" w:color="000000" w:sz="4" w:space="0"/>
              <w:bottom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4</w:t>
            </w:r>
          </w:p>
        </w:tc>
        <w:tc>
          <w:tcPr>
            <w:tcW w:w="1009" w:type="dxa"/>
            <w:tcBorders>
              <w:left w:val="single" w:color="000000" w:sz="4" w:space="0"/>
              <w:bottom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55" w:type="dxa"/>
            <w:tcBorders>
              <w:left w:val="single" w:color="000000" w:sz="4" w:space="0"/>
              <w:bottom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982" w:type="dxa"/>
            <w:tcBorders>
              <w:left w:val="single" w:color="000000" w:sz="4" w:space="0"/>
              <w:bottom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0</w:t>
            </w:r>
          </w:p>
        </w:tc>
        <w:tc>
          <w:tcPr>
            <w:tcW w:w="940" w:type="dxa"/>
            <w:tcBorders>
              <w:left w:val="single" w:color="000000" w:sz="4" w:space="0"/>
              <w:bottom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w:t>
            </w:r>
          </w:p>
        </w:tc>
        <w:tc>
          <w:tcPr>
            <w:tcW w:w="955" w:type="dxa"/>
            <w:tcBorders>
              <w:left w:val="single" w:color="000000" w:sz="4" w:space="0"/>
              <w:bottom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2</w:t>
            </w:r>
          </w:p>
        </w:tc>
        <w:tc>
          <w:tcPr>
            <w:tcW w:w="859" w:type="dxa"/>
            <w:tcBorders>
              <w:left w:val="single" w:color="000000" w:sz="4" w:space="0"/>
              <w:bottom w:val="single" w:color="000000" w:sz="4" w:space="0"/>
              <w:right w:val="single" w:color="000000" w:sz="16" w:space="0"/>
            </w:tcBorders>
            <w:vAlign w:val="center"/>
          </w:tcPr>
          <w:p>
            <w:pPr>
              <w:jc w:val="center"/>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10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930" w:type="dxa"/>
            <w:gridSpan w:val="9"/>
            <w:tcBorders>
              <w:left w:val="single" w:color="000000" w:sz="16" w:space="0"/>
              <w:bottom w:val="single" w:color="000000" w:sz="4" w:space="0"/>
              <w:right w:val="single" w:color="000000" w:sz="16" w:space="0"/>
            </w:tcBorders>
          </w:tcPr>
          <w:p>
            <w:pPr>
              <w:jc w:val="left"/>
              <w:rPr>
                <w:rFonts w:cs="楷体" w:asciiTheme="minorEastAsia" w:hAnsiTheme="minorEastAsia"/>
                <w:color w:val="auto"/>
                <w:spacing w:val="1"/>
                <w:szCs w:val="21"/>
                <w:highlight w:val="none"/>
              </w:rPr>
            </w:pPr>
            <w:r>
              <w:rPr>
                <w:rFonts w:hint="eastAsia" w:cs="楷体" w:asciiTheme="minorEastAsia" w:hAnsiTheme="minorEastAsia"/>
                <w:color w:val="auto"/>
                <w:spacing w:val="1"/>
                <w:szCs w:val="21"/>
                <w:highlight w:val="none"/>
              </w:rPr>
              <w:t>备注：人员可统筹使用，确保园区整体卫生质量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3" w:hRule="atLeast"/>
          <w:jc w:val="center"/>
        </w:trPr>
        <w:tc>
          <w:tcPr>
            <w:tcW w:w="8930" w:type="dxa"/>
            <w:gridSpan w:val="9"/>
            <w:tcBorders>
              <w:top w:val="single" w:color="000000" w:sz="4" w:space="0"/>
              <w:left w:val="nil"/>
              <w:bottom w:val="nil"/>
              <w:right w:val="nil"/>
            </w:tcBorders>
          </w:tcPr>
          <w:p>
            <w:pPr>
              <w:pStyle w:val="7"/>
              <w:rPr>
                <w:rFonts w:eastAsia="宋体" w:cs="宋体"/>
                <w:color w:val="auto"/>
                <w:highlight w:val="none"/>
                <w:lang w:eastAsia="zh-CN"/>
              </w:rPr>
            </w:pPr>
          </w:p>
        </w:tc>
      </w:tr>
    </w:tbl>
    <w:p>
      <w:pPr>
        <w:numPr>
          <w:ilvl w:val="0"/>
          <w:numId w:val="2"/>
        </w:numPr>
        <w:spacing w:line="500" w:lineRule="exact"/>
        <w:ind w:firstLine="482" w:firstLineChars="200"/>
        <w:outlineLvl w:val="2"/>
        <w:rPr>
          <w:rFonts w:ascii="宋体" w:hAnsi="宋体" w:eastAsia="宋体" w:cs="宋体"/>
          <w:b/>
          <w:bCs/>
          <w:color w:val="auto"/>
          <w:sz w:val="24"/>
          <w:highlight w:val="none"/>
        </w:rPr>
      </w:pPr>
      <w:r>
        <w:rPr>
          <w:rFonts w:hint="eastAsia" w:ascii="宋体" w:hAnsi="宋体" w:eastAsia="宋体" w:cs="宋体"/>
          <w:b/>
          <w:bCs/>
          <w:color w:val="auto"/>
          <w:sz w:val="24"/>
          <w:highlight w:val="none"/>
        </w:rPr>
        <w:t>保洁机械及工具配备</w:t>
      </w:r>
    </w:p>
    <w:p>
      <w:pPr>
        <w:pStyle w:val="7"/>
        <w:spacing w:line="500" w:lineRule="exact"/>
        <w:ind w:firstLine="480" w:firstLineChars="200"/>
        <w:rPr>
          <w:rFonts w:eastAsia="宋体" w:cs="宋体"/>
          <w:bCs/>
          <w:color w:val="auto"/>
          <w:highlight w:val="none"/>
          <w:lang w:eastAsia="zh-CN"/>
        </w:rPr>
      </w:pPr>
      <w:r>
        <w:rPr>
          <w:rFonts w:hint="eastAsia" w:eastAsia="宋体" w:cs="宋体"/>
          <w:bCs/>
          <w:color w:val="auto"/>
          <w:highlight w:val="none"/>
          <w:lang w:eastAsia="zh-CN"/>
        </w:rPr>
        <w:t>（1）5个区属公园保洁工具配备：垃圾夹、大扫把、小扫把、畚斗、铁锹、手刷、簸箕、水管、拖把、水桶、清洁剂、消毒液、毛巾、口罩、手套、洗手液、卫生纸、打捞网、伸缩杆、伸缩捞杆、铁耙、铁锹、箩筐、地刷、竹枝、铁丝、铁梯等。</w:t>
      </w:r>
    </w:p>
    <w:p>
      <w:pPr>
        <w:spacing w:line="500" w:lineRule="exact"/>
        <w:ind w:firstLine="482" w:firstLineChars="200"/>
        <w:rPr>
          <w:rFonts w:ascii="宋体" w:hAnsi="宋体" w:eastAsia="宋体" w:cs="宋体"/>
          <w:b/>
          <w:color w:val="auto"/>
          <w:sz w:val="24"/>
          <w:highlight w:val="none"/>
        </w:rPr>
      </w:pPr>
      <w:r>
        <w:rPr>
          <w:rFonts w:hint="eastAsia" w:ascii="宋体" w:hAnsi="宋体" w:eastAsia="宋体" w:cs="宋体"/>
          <w:b/>
          <w:color w:val="auto"/>
          <w:sz w:val="24"/>
          <w:highlight w:val="none"/>
        </w:rPr>
        <w:t>（2）</w:t>
      </w:r>
      <w:r>
        <w:rPr>
          <w:rFonts w:hint="eastAsia" w:ascii="宋体" w:hAnsi="宋体" w:eastAsia="宋体" w:cs="宋体"/>
          <w:bCs/>
          <w:color w:val="auto"/>
          <w:sz w:val="24"/>
          <w:highlight w:val="none"/>
        </w:rPr>
        <w:t>5个区属公园保洁机械配备表</w:t>
      </w:r>
    </w:p>
    <w:tbl>
      <w:tblPr>
        <w:tblStyle w:val="16"/>
        <w:tblpPr w:leftFromText="180" w:rightFromText="180" w:vertAnchor="text" w:horzAnchor="page" w:tblpXSpec="center" w:tblpY="290"/>
        <w:tblOverlap w:val="never"/>
        <w:tblW w:w="90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8"/>
        <w:gridCol w:w="2099"/>
        <w:gridCol w:w="454"/>
        <w:gridCol w:w="850"/>
        <w:gridCol w:w="850"/>
        <w:gridCol w:w="850"/>
        <w:gridCol w:w="850"/>
        <w:gridCol w:w="850"/>
        <w:gridCol w:w="850"/>
        <w:gridCol w:w="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序号</w:t>
            </w:r>
          </w:p>
        </w:tc>
        <w:tc>
          <w:tcPr>
            <w:tcW w:w="2099"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种类</w:t>
            </w:r>
          </w:p>
        </w:tc>
        <w:tc>
          <w:tcPr>
            <w:tcW w:w="454"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单位</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乌山一期</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乌山二期</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黎明</w:t>
            </w:r>
          </w:p>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湖公园</w:t>
            </w:r>
          </w:p>
        </w:tc>
        <w:tc>
          <w:tcPr>
            <w:tcW w:w="850" w:type="dxa"/>
            <w:vAlign w:val="center"/>
          </w:tcPr>
          <w:p>
            <w:pPr>
              <w:widowControl/>
              <w:spacing w:line="560" w:lineRule="exact"/>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bidi="ar"/>
              </w:rPr>
              <w:t>温泉公园</w:t>
            </w:r>
          </w:p>
        </w:tc>
        <w:tc>
          <w:tcPr>
            <w:tcW w:w="850" w:type="dxa"/>
            <w:vAlign w:val="center"/>
          </w:tcPr>
          <w:p>
            <w:pPr>
              <w:widowControl/>
              <w:spacing w:line="560" w:lineRule="exact"/>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bidi="ar"/>
              </w:rPr>
              <w:t>屏山公园</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冶山公园</w:t>
            </w:r>
          </w:p>
        </w:tc>
        <w:tc>
          <w:tcPr>
            <w:tcW w:w="850" w:type="dxa"/>
            <w:tcBorders>
              <w:right w:val="single" w:color="000000" w:sz="16" w:space="0"/>
            </w:tcBorders>
            <w:vAlign w:val="center"/>
          </w:tcPr>
          <w:p>
            <w:pPr>
              <w:jc w:val="center"/>
              <w:rPr>
                <w:rFonts w:ascii="宋体" w:hAnsi="宋体" w:eastAsia="宋体" w:cs="宋体"/>
                <w:b/>
                <w:bCs/>
                <w:color w:val="auto"/>
                <w:spacing w:val="-1"/>
                <w:szCs w:val="21"/>
                <w:highlight w:val="none"/>
              </w:rPr>
            </w:pPr>
            <w:r>
              <w:rPr>
                <w:rFonts w:hint="eastAsia" w:ascii="宋体" w:hAnsi="宋体" w:eastAsia="宋体" w:cs="宋体"/>
                <w:b/>
                <w:bCs/>
                <w:color w:val="auto"/>
                <w:spacing w:val="-1"/>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jc w:val="center"/>
        </w:trPr>
        <w:tc>
          <w:tcPr>
            <w:tcW w:w="518" w:type="dxa"/>
            <w:tcBorders>
              <w:lef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2099"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无动力船</w:t>
            </w:r>
          </w:p>
        </w:tc>
        <w:tc>
          <w:tcPr>
            <w:tcW w:w="454"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艘</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Pr>
          <w:p>
            <w:pPr>
              <w:spacing w:line="560" w:lineRule="exact"/>
              <w:ind w:firstLine="210" w:firstLineChars="100"/>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2099" w:type="dxa"/>
          </w:tcPr>
          <w:p>
            <w:pPr>
              <w:spacing w:line="560" w:lineRule="exact"/>
              <w:jc w:val="center"/>
              <w:rPr>
                <w:rFonts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电动打捞船</w:t>
            </w:r>
          </w:p>
        </w:tc>
        <w:tc>
          <w:tcPr>
            <w:tcW w:w="454"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艘</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Borders>
              <w:right w:val="single" w:color="000000" w:sz="16" w:space="0"/>
            </w:tcBorders>
          </w:tcPr>
          <w:p>
            <w:pPr>
              <w:spacing w:line="560" w:lineRule="exact"/>
              <w:jc w:val="center"/>
              <w:rPr>
                <w:rFonts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2099"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5"/>
                <w:szCs w:val="21"/>
                <w:highlight w:val="none"/>
              </w:rPr>
              <w:t>小型高压冲洗车</w:t>
            </w:r>
          </w:p>
        </w:tc>
        <w:tc>
          <w:tcPr>
            <w:tcW w:w="454"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辆</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Borders>
              <w:righ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2099"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4"/>
                <w:szCs w:val="21"/>
                <w:highlight w:val="none"/>
              </w:rPr>
              <w:t>清洗车</w:t>
            </w:r>
          </w:p>
        </w:tc>
        <w:tc>
          <w:tcPr>
            <w:tcW w:w="454"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辆</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Borders>
              <w:righ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18" w:type="dxa"/>
            <w:tcBorders>
              <w:lef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2099"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3"/>
                <w:szCs w:val="21"/>
                <w:highlight w:val="none"/>
              </w:rPr>
              <w:t>电动四轮保洁转运车</w:t>
            </w:r>
          </w:p>
        </w:tc>
        <w:tc>
          <w:tcPr>
            <w:tcW w:w="454"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辆</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2099"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3"/>
                <w:szCs w:val="21"/>
                <w:highlight w:val="none"/>
              </w:rPr>
              <w:t>吹风机</w:t>
            </w:r>
          </w:p>
        </w:tc>
        <w:tc>
          <w:tcPr>
            <w:tcW w:w="454"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Borders>
              <w:righ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2099"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3"/>
                <w:szCs w:val="21"/>
                <w:highlight w:val="none"/>
              </w:rPr>
              <w:t>背</w:t>
            </w:r>
            <w:r>
              <w:rPr>
                <w:rFonts w:hint="eastAsia" w:ascii="宋体" w:hAnsi="宋体" w:eastAsia="宋体" w:cs="宋体"/>
                <w:color w:val="auto"/>
                <w:spacing w:val="-2"/>
                <w:szCs w:val="21"/>
                <w:highlight w:val="none"/>
              </w:rPr>
              <w:t>负式喷药机</w:t>
            </w:r>
          </w:p>
        </w:tc>
        <w:tc>
          <w:tcPr>
            <w:tcW w:w="454"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Borders>
              <w:righ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2099" w:type="dxa"/>
          </w:tcPr>
          <w:p>
            <w:pPr>
              <w:spacing w:line="560" w:lineRule="exact"/>
              <w:jc w:val="center"/>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抽水泵</w:t>
            </w:r>
          </w:p>
        </w:tc>
        <w:tc>
          <w:tcPr>
            <w:tcW w:w="454"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Borders>
              <w:right w:val="single" w:color="000000" w:sz="16" w:space="0"/>
            </w:tcBorders>
          </w:tcPr>
          <w:p>
            <w:pPr>
              <w:spacing w:line="560" w:lineRule="exact"/>
              <w:jc w:val="center"/>
              <w:rPr>
                <w:rFonts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2099" w:type="dxa"/>
          </w:tcPr>
          <w:p>
            <w:pPr>
              <w:spacing w:line="560" w:lineRule="exact"/>
              <w:jc w:val="center"/>
              <w:rPr>
                <w:rFonts w:ascii="宋体" w:hAnsi="宋体" w:eastAsia="宋体" w:cs="宋体"/>
                <w:color w:val="auto"/>
                <w:spacing w:val="-6"/>
                <w:szCs w:val="21"/>
                <w:highlight w:val="none"/>
              </w:rPr>
            </w:pPr>
            <w:r>
              <w:rPr>
                <w:rFonts w:hint="eastAsia" w:ascii="宋体" w:hAnsi="宋体" w:eastAsia="宋体" w:cs="宋体"/>
                <w:color w:val="auto"/>
                <w:spacing w:val="-6"/>
                <w:szCs w:val="21"/>
                <w:highlight w:val="none"/>
              </w:rPr>
              <w:t>增压泵</w:t>
            </w:r>
          </w:p>
        </w:tc>
        <w:tc>
          <w:tcPr>
            <w:tcW w:w="454"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Pr>
          <w:p>
            <w:pPr>
              <w:spacing w:line="560" w:lineRule="exact"/>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Borders>
              <w:right w:val="single" w:color="000000" w:sz="16" w:space="0"/>
            </w:tcBorders>
          </w:tcPr>
          <w:p>
            <w:pPr>
              <w:spacing w:line="560" w:lineRule="exact"/>
              <w:jc w:val="center"/>
              <w:rPr>
                <w:rFonts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9021" w:type="dxa"/>
            <w:gridSpan w:val="10"/>
            <w:tcBorders>
              <w:left w:val="single" w:color="000000" w:sz="16" w:space="0"/>
              <w:right w:val="single" w:color="000000" w:sz="16" w:space="0"/>
            </w:tcBorders>
          </w:tcPr>
          <w:p>
            <w:pPr>
              <w:spacing w:line="560" w:lineRule="exact"/>
              <w:jc w:val="left"/>
              <w:rPr>
                <w:rFonts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备注：如公园已有该设备，则由中标单位负责日常维护、修理，包含更换。</w:t>
            </w:r>
          </w:p>
        </w:tc>
      </w:tr>
    </w:tbl>
    <w:p>
      <w:pPr>
        <w:spacing w:line="560" w:lineRule="exact"/>
        <w:ind w:firstLine="480" w:firstLineChars="200"/>
        <w:outlineLvl w:val="1"/>
        <w:rPr>
          <w:rFonts w:ascii="宋体" w:hAnsi="宋体" w:eastAsia="宋体" w:cs="宋体"/>
          <w:color w:val="auto"/>
          <w:sz w:val="24"/>
          <w:highlight w:val="none"/>
        </w:rPr>
      </w:pPr>
      <w:r>
        <w:rPr>
          <w:rFonts w:hint="eastAsia" w:ascii="宋体" w:hAnsi="宋体" w:eastAsia="宋体" w:cs="宋体"/>
          <w:color w:val="auto"/>
          <w:sz w:val="24"/>
          <w:highlight w:val="none"/>
        </w:rPr>
        <w:t>（三）、绿化养护</w:t>
      </w:r>
    </w:p>
    <w:p>
      <w:pPr>
        <w:spacing w:line="560" w:lineRule="exact"/>
        <w:ind w:firstLine="480" w:firstLineChars="200"/>
        <w:outlineLvl w:val="2"/>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pacing w:val="-7"/>
          <w:sz w:val="24"/>
          <w:highlight w:val="none"/>
        </w:rPr>
        <w:t>、</w:t>
      </w:r>
      <w:r>
        <w:rPr>
          <w:rFonts w:hint="eastAsia" w:ascii="宋体" w:hAnsi="宋体" w:eastAsia="宋体" w:cs="宋体"/>
          <w:color w:val="auto"/>
          <w:spacing w:val="-6"/>
          <w:sz w:val="24"/>
          <w:highlight w:val="none"/>
        </w:rPr>
        <w:t>绿化养护</w:t>
      </w:r>
      <w:r>
        <w:rPr>
          <w:rFonts w:hint="eastAsia" w:ascii="宋体" w:hAnsi="宋体" w:eastAsia="宋体" w:cs="宋体"/>
          <w:color w:val="auto"/>
          <w:sz w:val="24"/>
          <w:highlight w:val="none"/>
        </w:rPr>
        <w:t>工作内容</w:t>
      </w:r>
    </w:p>
    <w:p>
      <w:pPr>
        <w:spacing w:line="560" w:lineRule="exact"/>
        <w:ind w:firstLine="452" w:firstLineChars="200"/>
        <w:rPr>
          <w:rFonts w:ascii="宋体" w:hAnsi="宋体" w:eastAsia="宋体" w:cs="宋体"/>
          <w:color w:val="auto"/>
          <w:spacing w:val="-7"/>
          <w:sz w:val="24"/>
          <w:highlight w:val="none"/>
        </w:rPr>
      </w:pPr>
      <w:r>
        <w:rPr>
          <w:rFonts w:hint="eastAsia" w:ascii="宋体" w:hAnsi="宋体" w:eastAsia="宋体" w:cs="宋体"/>
          <w:color w:val="auto"/>
          <w:spacing w:val="-7"/>
          <w:sz w:val="24"/>
          <w:highlight w:val="none"/>
        </w:rPr>
        <w:t>负责各公园范围内绿地的日常养护，每日灌溉、定期中耕除草、施肥、修剪</w:t>
      </w:r>
      <w:r>
        <w:rPr>
          <w:rFonts w:hint="eastAsia" w:ascii="宋体" w:hAnsi="宋体" w:eastAsia="宋体" w:cs="宋体"/>
          <w:color w:val="auto"/>
          <w:spacing w:val="-4"/>
          <w:sz w:val="24"/>
          <w:highlight w:val="none"/>
        </w:rPr>
        <w:t>整</w:t>
      </w:r>
      <w:r>
        <w:rPr>
          <w:rFonts w:hint="eastAsia" w:ascii="宋体" w:hAnsi="宋体" w:eastAsia="宋体" w:cs="宋体"/>
          <w:color w:val="auto"/>
          <w:spacing w:val="-18"/>
          <w:sz w:val="24"/>
          <w:highlight w:val="none"/>
        </w:rPr>
        <w:t>形</w:t>
      </w:r>
      <w:r>
        <w:rPr>
          <w:rFonts w:hint="eastAsia" w:ascii="宋体" w:hAnsi="宋体" w:eastAsia="宋体" w:cs="宋体"/>
          <w:color w:val="auto"/>
          <w:spacing w:val="-14"/>
          <w:sz w:val="24"/>
          <w:highlight w:val="none"/>
        </w:rPr>
        <w:t>以</w:t>
      </w:r>
      <w:r>
        <w:rPr>
          <w:rFonts w:hint="eastAsia" w:ascii="宋体" w:hAnsi="宋体" w:eastAsia="宋体" w:cs="宋体"/>
          <w:color w:val="auto"/>
          <w:spacing w:val="-9"/>
          <w:sz w:val="24"/>
          <w:highlight w:val="none"/>
        </w:rPr>
        <w:t>及病虫害防治、清理绿地垃圾等；遇台风、寒流、干旱等恶劣的天气变化时，采取</w:t>
      </w:r>
      <w:r>
        <w:rPr>
          <w:rFonts w:hint="eastAsia" w:ascii="宋体" w:hAnsi="宋体" w:eastAsia="宋体" w:cs="宋体"/>
          <w:color w:val="auto"/>
          <w:spacing w:val="-15"/>
          <w:sz w:val="24"/>
          <w:highlight w:val="none"/>
        </w:rPr>
        <w:t>必要的防护措施，及时进行灾后重建；日常对缺株、枯苗、莳花进行更换、补植，</w:t>
      </w:r>
      <w:r>
        <w:rPr>
          <w:rFonts w:hint="eastAsia" w:ascii="宋体" w:hAnsi="宋体" w:eastAsia="宋体" w:cs="宋体"/>
          <w:color w:val="auto"/>
          <w:spacing w:val="-3"/>
          <w:sz w:val="24"/>
          <w:highlight w:val="none"/>
        </w:rPr>
        <w:t>缺株、枯苗、死树、草坪斑秃72小时内</w:t>
      </w:r>
      <w:r>
        <w:rPr>
          <w:rFonts w:hint="eastAsia" w:ascii="宋体" w:hAnsi="宋体" w:eastAsia="宋体" w:cs="宋体"/>
          <w:color w:val="auto"/>
          <w:spacing w:val="-2"/>
          <w:sz w:val="24"/>
          <w:highlight w:val="none"/>
        </w:rPr>
        <w:t>完</w:t>
      </w:r>
      <w:r>
        <w:rPr>
          <w:rFonts w:hint="eastAsia" w:ascii="宋体" w:hAnsi="宋体" w:eastAsia="宋体" w:cs="宋体"/>
          <w:color w:val="auto"/>
          <w:sz w:val="24"/>
          <w:highlight w:val="none"/>
        </w:rPr>
        <w:t>成补</w:t>
      </w:r>
      <w:r>
        <w:rPr>
          <w:rFonts w:hint="eastAsia" w:ascii="宋体" w:hAnsi="宋体" w:eastAsia="宋体" w:cs="宋体"/>
          <w:color w:val="auto"/>
          <w:spacing w:val="-8"/>
          <w:sz w:val="24"/>
          <w:highlight w:val="none"/>
        </w:rPr>
        <w:t>植</w:t>
      </w:r>
      <w:r>
        <w:rPr>
          <w:rFonts w:hint="eastAsia" w:ascii="宋体" w:hAnsi="宋体" w:eastAsia="宋体" w:cs="宋体"/>
          <w:color w:val="auto"/>
          <w:spacing w:val="-7"/>
          <w:sz w:val="24"/>
          <w:highlight w:val="none"/>
        </w:rPr>
        <w:t>和更换</w:t>
      </w:r>
      <w:r>
        <w:rPr>
          <w:rFonts w:hint="eastAsia" w:ascii="宋体" w:hAnsi="宋体" w:eastAsia="宋体" w:cs="宋体"/>
          <w:color w:val="auto"/>
          <w:spacing w:val="-15"/>
          <w:sz w:val="24"/>
          <w:highlight w:val="none"/>
        </w:rPr>
        <w:t>；</w:t>
      </w:r>
      <w:r>
        <w:rPr>
          <w:rFonts w:hint="eastAsia" w:ascii="宋体" w:hAnsi="宋体" w:eastAsia="宋体" w:cs="宋体"/>
          <w:color w:val="auto"/>
          <w:spacing w:val="-14"/>
          <w:sz w:val="24"/>
          <w:highlight w:val="none"/>
        </w:rPr>
        <w:t>负</w:t>
      </w:r>
      <w:r>
        <w:rPr>
          <w:rFonts w:hint="eastAsia" w:ascii="宋体" w:hAnsi="宋体" w:eastAsia="宋体" w:cs="宋体"/>
          <w:color w:val="auto"/>
          <w:spacing w:val="-9"/>
          <w:sz w:val="24"/>
          <w:highlight w:val="none"/>
        </w:rPr>
        <w:t>责重要节假日及活动公园布置（温泉公园包含协助郁金香花节布展工作）和莳花更换，每年安排5次以上各公园内的莳花更换，确保元旦、春节、五一、十</w:t>
      </w:r>
      <w:r>
        <w:rPr>
          <w:rFonts w:hint="eastAsia" w:ascii="宋体" w:hAnsi="宋体" w:eastAsia="宋体" w:cs="宋体"/>
          <w:color w:val="auto"/>
          <w:spacing w:val="-3"/>
          <w:sz w:val="24"/>
          <w:highlight w:val="none"/>
        </w:rPr>
        <w:t>一假期、</w:t>
      </w:r>
      <w:r>
        <w:rPr>
          <w:rFonts w:hint="eastAsia" w:ascii="宋体" w:hAnsi="宋体" w:eastAsia="宋体" w:cs="宋体"/>
          <w:color w:val="auto"/>
          <w:spacing w:val="-9"/>
          <w:sz w:val="24"/>
          <w:highlight w:val="none"/>
        </w:rPr>
        <w:t>重要检查</w:t>
      </w:r>
      <w:r>
        <w:rPr>
          <w:rFonts w:hint="eastAsia" w:ascii="宋体" w:hAnsi="宋体" w:eastAsia="宋体" w:cs="宋体"/>
          <w:color w:val="auto"/>
          <w:spacing w:val="-3"/>
          <w:sz w:val="24"/>
          <w:highlight w:val="none"/>
        </w:rPr>
        <w:t>等时间节点莳花长势良好，各公园每次更换或摆放的</w:t>
      </w:r>
      <w:r>
        <w:rPr>
          <w:rFonts w:hint="eastAsia" w:ascii="宋体" w:hAnsi="宋体" w:eastAsia="宋体" w:cs="宋体"/>
          <w:color w:val="auto"/>
          <w:spacing w:val="-9"/>
          <w:sz w:val="24"/>
          <w:highlight w:val="none"/>
        </w:rPr>
        <w:t>莳花数量如下:乌山一期285平方米、乌山二期100平方米、黎明湖公园100平方米、</w:t>
      </w:r>
      <w:r>
        <w:rPr>
          <w:rFonts w:hint="eastAsia" w:ascii="宋体" w:hAnsi="宋体" w:eastAsia="宋体" w:cs="宋体"/>
          <w:color w:val="auto"/>
          <w:spacing w:val="-7"/>
          <w:sz w:val="24"/>
          <w:highlight w:val="none"/>
        </w:rPr>
        <w:t>温泉公园200平方米、屏山公园200平方米、</w:t>
      </w:r>
      <w:r>
        <w:rPr>
          <w:rFonts w:hint="eastAsia" w:ascii="宋体" w:hAnsi="宋体" w:eastAsia="宋体" w:cs="宋体"/>
          <w:color w:val="auto"/>
          <w:sz w:val="24"/>
          <w:highlight w:val="none"/>
        </w:rPr>
        <w:t>冶山公园</w:t>
      </w:r>
      <w:r>
        <w:rPr>
          <w:rFonts w:hint="eastAsia" w:ascii="宋体" w:hAnsi="宋体" w:eastAsia="宋体" w:cs="宋体"/>
          <w:color w:val="auto"/>
          <w:spacing w:val="-9"/>
          <w:sz w:val="24"/>
          <w:highlight w:val="none"/>
        </w:rPr>
        <w:t>80</w:t>
      </w:r>
      <w:r>
        <w:rPr>
          <w:rFonts w:hint="eastAsia" w:ascii="宋体" w:hAnsi="宋体" w:eastAsia="宋体" w:cs="宋体"/>
          <w:bCs/>
          <w:color w:val="auto"/>
          <w:sz w:val="24"/>
          <w:highlight w:val="none"/>
        </w:rPr>
        <w:t>平方米</w:t>
      </w:r>
      <w:r>
        <w:rPr>
          <w:rFonts w:hint="eastAsia" w:ascii="宋体" w:hAnsi="宋体" w:eastAsia="宋体" w:cs="宋体"/>
          <w:color w:val="auto"/>
          <w:spacing w:val="-7"/>
          <w:sz w:val="24"/>
          <w:highlight w:val="none"/>
        </w:rPr>
        <w:t>。</w:t>
      </w:r>
    </w:p>
    <w:p>
      <w:pPr>
        <w:spacing w:line="560" w:lineRule="exact"/>
        <w:ind w:firstLine="480" w:firstLineChars="200"/>
        <w:outlineLvl w:val="2"/>
        <w:rPr>
          <w:rFonts w:ascii="宋体" w:hAnsi="宋体" w:eastAsia="宋体" w:cs="宋体"/>
          <w:color w:val="auto"/>
          <w:spacing w:val="-6"/>
          <w:sz w:val="24"/>
          <w:highlight w:val="none"/>
        </w:rPr>
      </w:pPr>
      <w:r>
        <w:rPr>
          <w:rFonts w:hint="eastAsia" w:ascii="宋体" w:hAnsi="宋体" w:eastAsia="宋体" w:cs="宋体"/>
          <w:bCs/>
          <w:color w:val="auto"/>
          <w:sz w:val="24"/>
          <w:highlight w:val="none"/>
        </w:rPr>
        <w:t>2</w:t>
      </w:r>
      <w:r>
        <w:rPr>
          <w:rFonts w:hint="eastAsia" w:ascii="宋体" w:hAnsi="宋体" w:eastAsia="宋体" w:cs="宋体"/>
          <w:color w:val="auto"/>
          <w:spacing w:val="-7"/>
          <w:sz w:val="24"/>
          <w:highlight w:val="none"/>
        </w:rPr>
        <w:t>、</w:t>
      </w:r>
      <w:r>
        <w:rPr>
          <w:rFonts w:hint="eastAsia" w:ascii="宋体" w:hAnsi="宋体" w:eastAsia="宋体" w:cs="宋体"/>
          <w:bCs/>
          <w:color w:val="auto"/>
          <w:sz w:val="24"/>
          <w:highlight w:val="none"/>
        </w:rPr>
        <w:t>作业要求</w:t>
      </w:r>
    </w:p>
    <w:p>
      <w:pPr>
        <w:spacing w:line="560" w:lineRule="exact"/>
        <w:ind w:firstLine="456" w:firstLineChars="200"/>
        <w:rPr>
          <w:rFonts w:ascii="宋体" w:hAnsi="宋体" w:eastAsia="宋体" w:cs="宋体"/>
          <w:color w:val="auto"/>
          <w:sz w:val="24"/>
          <w:highlight w:val="none"/>
        </w:rPr>
      </w:pPr>
      <w:r>
        <w:rPr>
          <w:rFonts w:hint="eastAsia" w:ascii="宋体" w:hAnsi="宋体" w:eastAsia="宋体" w:cs="宋体"/>
          <w:color w:val="auto"/>
          <w:spacing w:val="-6"/>
          <w:sz w:val="24"/>
          <w:highlight w:val="none"/>
        </w:rPr>
        <w:t>根</w:t>
      </w:r>
      <w:r>
        <w:rPr>
          <w:rFonts w:hint="eastAsia" w:ascii="宋体" w:hAnsi="宋体" w:eastAsia="宋体" w:cs="宋体"/>
          <w:color w:val="auto"/>
          <w:spacing w:val="-4"/>
          <w:sz w:val="24"/>
          <w:highlight w:val="none"/>
        </w:rPr>
        <w:t>据</w:t>
      </w:r>
      <w:r>
        <w:rPr>
          <w:rFonts w:hint="eastAsia" w:ascii="宋体" w:hAnsi="宋体" w:eastAsia="宋体" w:cs="宋体"/>
          <w:color w:val="auto"/>
          <w:spacing w:val="-3"/>
          <w:sz w:val="24"/>
          <w:highlight w:val="none"/>
        </w:rPr>
        <w:t>《福州市城市园林绿化管理办法》、《福州市城市古树名木保护管理办</w:t>
      </w:r>
      <w:r>
        <w:rPr>
          <w:rFonts w:hint="eastAsia" w:ascii="宋体" w:hAnsi="宋体" w:eastAsia="宋体" w:cs="宋体"/>
          <w:color w:val="auto"/>
          <w:spacing w:val="-4"/>
          <w:sz w:val="24"/>
          <w:highlight w:val="none"/>
        </w:rPr>
        <w:t>法》等法规</w:t>
      </w:r>
      <w:r>
        <w:rPr>
          <w:rFonts w:hint="eastAsia" w:ascii="宋体" w:hAnsi="宋体" w:eastAsia="宋体" w:cs="宋体"/>
          <w:color w:val="auto"/>
          <w:spacing w:val="-3"/>
          <w:sz w:val="24"/>
          <w:highlight w:val="none"/>
        </w:rPr>
        <w:t>及</w:t>
      </w:r>
      <w:r>
        <w:rPr>
          <w:rFonts w:hint="eastAsia" w:ascii="宋体" w:hAnsi="宋体" w:eastAsia="宋体" w:cs="宋体"/>
          <w:color w:val="auto"/>
          <w:spacing w:val="-2"/>
          <w:sz w:val="24"/>
          <w:highlight w:val="none"/>
        </w:rPr>
        <w:t>《园林绿化养护标准(CJJT287-2018)》、《城市园林绿地养护</w:t>
      </w:r>
      <w:r>
        <w:rPr>
          <w:rFonts w:hint="eastAsia" w:ascii="宋体" w:hAnsi="宋体" w:eastAsia="宋体" w:cs="宋体"/>
          <w:color w:val="auto"/>
          <w:spacing w:val="21"/>
          <w:sz w:val="24"/>
          <w:highlight w:val="none"/>
        </w:rPr>
        <w:t>质</w:t>
      </w:r>
      <w:r>
        <w:rPr>
          <w:rFonts w:hint="eastAsia" w:ascii="宋体" w:hAnsi="宋体" w:eastAsia="宋体" w:cs="宋体"/>
          <w:color w:val="auto"/>
          <w:spacing w:val="20"/>
          <w:sz w:val="24"/>
          <w:highlight w:val="none"/>
        </w:rPr>
        <w:t>量标准(</w:t>
      </w:r>
      <w:r>
        <w:rPr>
          <w:rFonts w:hint="eastAsia" w:ascii="宋体" w:hAnsi="宋体" w:eastAsia="宋体" w:cs="宋体"/>
          <w:color w:val="auto"/>
          <w:sz w:val="24"/>
          <w:highlight w:val="none"/>
        </w:rPr>
        <w:t>DBJ</w:t>
      </w:r>
      <w:r>
        <w:rPr>
          <w:rFonts w:hint="eastAsia" w:ascii="宋体" w:hAnsi="宋体" w:eastAsia="宋体" w:cs="宋体"/>
          <w:color w:val="auto"/>
          <w:spacing w:val="20"/>
          <w:sz w:val="24"/>
          <w:highlight w:val="none"/>
        </w:rPr>
        <w:t>/</w:t>
      </w:r>
      <w:r>
        <w:rPr>
          <w:rFonts w:hint="eastAsia" w:ascii="宋体" w:hAnsi="宋体" w:eastAsia="宋体" w:cs="宋体"/>
          <w:color w:val="auto"/>
          <w:sz w:val="24"/>
          <w:highlight w:val="none"/>
        </w:rPr>
        <w:t>T</w:t>
      </w:r>
      <w:r>
        <w:rPr>
          <w:rFonts w:hint="eastAsia" w:ascii="宋体" w:hAnsi="宋体" w:eastAsia="宋体" w:cs="宋体"/>
          <w:color w:val="auto"/>
          <w:spacing w:val="20"/>
          <w:sz w:val="24"/>
          <w:highlight w:val="none"/>
        </w:rPr>
        <w:t>13-154-2012)》、《福建省城市园林植物种植技术规程</w:t>
      </w:r>
      <w:r>
        <w:rPr>
          <w:rFonts w:hint="eastAsia" w:ascii="宋体" w:hAnsi="宋体" w:eastAsia="宋体" w:cs="宋体"/>
          <w:color w:val="auto"/>
          <w:spacing w:val="-9"/>
          <w:sz w:val="24"/>
          <w:highlight w:val="none"/>
        </w:rPr>
        <w:t>DBJ/</w:t>
      </w:r>
      <w:r>
        <w:rPr>
          <w:rFonts w:hint="eastAsia" w:ascii="宋体" w:hAnsi="宋体" w:eastAsia="宋体" w:cs="宋体"/>
          <w:color w:val="auto"/>
          <w:spacing w:val="-4"/>
          <w:sz w:val="24"/>
          <w:highlight w:val="none"/>
        </w:rPr>
        <w:t>T</w:t>
      </w:r>
      <w:r>
        <w:rPr>
          <w:rFonts w:hint="eastAsia" w:ascii="宋体" w:hAnsi="宋体" w:eastAsia="宋体" w:cs="宋体"/>
          <w:color w:val="auto"/>
          <w:spacing w:val="-9"/>
          <w:sz w:val="24"/>
          <w:highlight w:val="none"/>
        </w:rPr>
        <w:t>13-148-2012》、《福州市市管绿化社会化养护管理实施方案》等技术规范，</w:t>
      </w:r>
      <w:r>
        <w:rPr>
          <w:rFonts w:hint="eastAsia" w:ascii="宋体" w:hAnsi="宋体" w:eastAsia="宋体" w:cs="宋体"/>
          <w:color w:val="auto"/>
          <w:spacing w:val="-11"/>
          <w:sz w:val="24"/>
          <w:highlight w:val="none"/>
        </w:rPr>
        <w:t>区属各公园</w:t>
      </w:r>
      <w:r>
        <w:rPr>
          <w:rFonts w:hint="eastAsia" w:ascii="宋体" w:hAnsi="宋体" w:eastAsia="宋体" w:cs="宋体"/>
          <w:color w:val="auto"/>
          <w:spacing w:val="-6"/>
          <w:sz w:val="24"/>
          <w:highlight w:val="none"/>
        </w:rPr>
        <w:t>属于景观要求较高、人流量较大的城市中心公园绿地，根据各公园的养护要求，精细化养管维持绿</w:t>
      </w:r>
      <w:r>
        <w:rPr>
          <w:rFonts w:hint="eastAsia" w:ascii="宋体" w:hAnsi="宋体" w:eastAsia="宋体" w:cs="宋体"/>
          <w:color w:val="auto"/>
          <w:spacing w:val="-3"/>
          <w:sz w:val="24"/>
          <w:highlight w:val="none"/>
        </w:rPr>
        <w:t>化养护等级标准如下：乌山一期、二期，黎明湖公园，</w:t>
      </w:r>
      <w:r>
        <w:rPr>
          <w:rFonts w:hint="eastAsia" w:ascii="宋体" w:hAnsi="宋体" w:eastAsia="宋体" w:cs="宋体"/>
          <w:color w:val="auto"/>
          <w:spacing w:val="-7"/>
          <w:sz w:val="24"/>
          <w:highlight w:val="none"/>
        </w:rPr>
        <w:t>温泉公园，冶山公园按</w:t>
      </w:r>
      <w:r>
        <w:rPr>
          <w:rFonts w:hint="eastAsia" w:ascii="宋体" w:hAnsi="宋体" w:eastAsia="宋体" w:cs="宋体"/>
          <w:color w:val="auto"/>
          <w:spacing w:val="-6"/>
          <w:sz w:val="24"/>
          <w:highlight w:val="none"/>
        </w:rPr>
        <w:t>一级</w:t>
      </w:r>
      <w:r>
        <w:rPr>
          <w:rFonts w:hint="eastAsia" w:ascii="宋体" w:hAnsi="宋体" w:eastAsia="宋体" w:cs="宋体"/>
          <w:color w:val="auto"/>
          <w:spacing w:val="-3"/>
          <w:sz w:val="24"/>
          <w:highlight w:val="none"/>
        </w:rPr>
        <w:t>养护等级标准</w:t>
      </w:r>
      <w:r>
        <w:rPr>
          <w:rFonts w:hint="eastAsia" w:ascii="宋体" w:hAnsi="宋体" w:eastAsia="宋体" w:cs="宋体"/>
          <w:color w:val="auto"/>
          <w:spacing w:val="-7"/>
          <w:sz w:val="24"/>
          <w:highlight w:val="none"/>
        </w:rPr>
        <w:t>；屏山公园按</w:t>
      </w:r>
      <w:r>
        <w:rPr>
          <w:rFonts w:hint="eastAsia" w:ascii="宋体" w:hAnsi="宋体" w:eastAsia="宋体" w:cs="宋体"/>
          <w:bCs/>
          <w:color w:val="auto"/>
          <w:sz w:val="24"/>
          <w:highlight w:val="none"/>
        </w:rPr>
        <w:t>一级养护和三级养护</w:t>
      </w:r>
      <w:r>
        <w:rPr>
          <w:rFonts w:hint="eastAsia" w:ascii="宋体" w:hAnsi="宋体" w:eastAsia="宋体" w:cs="宋体"/>
          <w:color w:val="auto"/>
          <w:spacing w:val="-3"/>
          <w:sz w:val="24"/>
          <w:highlight w:val="none"/>
        </w:rPr>
        <w:t>等级标准，要求如下：</w:t>
      </w:r>
    </w:p>
    <w:tbl>
      <w:tblPr>
        <w:tblStyle w:val="17"/>
        <w:tblW w:w="82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97"/>
        <w:gridCol w:w="3569"/>
        <w:gridCol w:w="321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497" w:type="dxa"/>
            <w:vAlign w:val="center"/>
          </w:tcPr>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养护作业</w:t>
            </w:r>
          </w:p>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内容</w:t>
            </w:r>
          </w:p>
        </w:tc>
        <w:tc>
          <w:tcPr>
            <w:tcW w:w="3569" w:type="dxa"/>
            <w:vAlign w:val="center"/>
          </w:tcPr>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一级绿化养护</w:t>
            </w:r>
          </w:p>
        </w:tc>
        <w:tc>
          <w:tcPr>
            <w:tcW w:w="3210" w:type="dxa"/>
            <w:vAlign w:val="center"/>
          </w:tcPr>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三级绿化养护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（1）整体要求</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制订完善科学的养护技术方案，建有工种齐全和固定的养护队伍，养护到位、得当，达到黄土不露天，绿地总体景观好</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有养护管理技术方案，建有具备基本工种的养护队伍，黄土露天现象不明显，绿地总体景观基本完好。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（2）行道树、重要景观树以及古树名木</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植株长势茂盛，树冠丰满完整。植株无徒长枝、病虫枝、过密枝、并生枝、交叉枝、下垂枝、枯枝、伤损枝；树穴有平整盖板或种植地被植物，黄土不裸露；无缺株、死树，植株不倾斜，无断桩、坏桩，桩位扎缚规范化；基本无病虫害危害迹象；其中蛀干性害虫危害率不超过3％；有防治措施。行道树的体量、高度保持一致，下缘线和分枝点高度的控制在3.0m以上，倾斜率小于3%。</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树穴有完整覆盖。无死树、无缺株现象。有病虫害控制措施，其中，蛀干性害虫危害率不超过10％；有一定的防治措施。行道树的倾斜率小于7%，保持树冠基本完整。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（3）行道树、重要景观树以及古树名木以外的其它树木</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生长旺盛，树冠整齐，主侧枝分枝均匀，数量适宜，内膛通风透光。</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叶色正常，无卷叶、黄叶（生长季节），无病虫害。</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枝干健壮，无枯死枝，无蛀干性病虫危害。</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4)</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缺株在2%以下（含2%）。不得连续2棵缺株，补植树木与原树木径级不超过20%。</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5)</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树穴内无垃圾杂草、土壤松疏。</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生长基本正常，树冠基本完整，选留主侧枝基本合理，内膛基本通风透气。</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叶色基本正常，有部分黄叶（生长季节）、焦叶、卷叶，有部分虫粪，有被虫咬食的痕迹。</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枝干生长正常，有少量枯死枝，有少量蛀干病虫为害。</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4)</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缺株在6%以下（含6%）。不得连续4棵缺株，补植树木与原树木径级不超过40%。</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5)</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树穴内基本无垃圾及高型杂草。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（4）花卉</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植株健壮，花型正，花色艳，株行距适宜，不露底土。</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花卉生长正常，无枯枝残花，无缺株、倒伏。</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花坛图案清晰，色彩鲜艳，花朵繁茂，花期一致。</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4)</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花径花卉层次分明，高矮有序。</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有整体色彩效果，不露底土。</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花卉生长基本正常，缺株、倒伏不超过5处， 基本无枯枝残花。</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适时开花。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（5）绿篱及地被</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生长茂盛，枝条茂密。</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修剪成型，完整无缺。</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无垃圾杂物。</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生长基本正常，有少量枯枝、断枝。</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修剪能在规定时间内完成。</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无明显的垃圾杂物。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（6）草坪</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生长旺盛，草根不裸露。</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生长季节不枯黄，杂草率≤15%，覆盖率达95%以上。</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修剪及时，修剪高度符合要求，无垃圾及堆料堆物。</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4)</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单块空秃面积不超过0.1m2。</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生长基本正常，杂草率≤35%，覆盖率达85%以上。</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修剪高度基本符合要求，堆料堆场清理能在规定期限内完成。</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单块空秃面积不超过0.3m2。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（7）病虫害控制</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食叶性害虫危害的叶片每株小于5%，刺吸性害虫危害的叶片每株小于10%，蛀干性害虫率小于3%，基本无危害迹象</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叶性害虫危害的叶片每株小于15%，刺吸性害虫危害的叶片每株小于30%，蛀干性害虫危害率小于10%，无因病害而引起断枝倒伏现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（8）杂草控制</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无杂草。无缠绕性、攀援性杂草。</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无缠绕性、攀援性杂草。控制杂草高度以不影响景观效果为度。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（9）设施</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建筑小品、辅助设施完好无损，并做到经常出新。</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有必要的防护措施。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（10）环境卫生</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绿地整洁，无垃圾。</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绿地整洁，基本无垃圾。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497" w:type="dxa"/>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（11）绿地作业</w:t>
            </w:r>
          </w:p>
        </w:tc>
        <w:tc>
          <w:tcPr>
            <w:tcW w:w="3569"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打草一年4次，施肥一年4次，修剪一年4次。</w:t>
            </w:r>
          </w:p>
        </w:tc>
        <w:tc>
          <w:tcPr>
            <w:tcW w:w="32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打草一年不少于2次，施肥一年不少于2次，修剪一年不少于2次。</w:t>
            </w:r>
          </w:p>
        </w:tc>
      </w:tr>
    </w:tbl>
    <w:p>
      <w:pPr>
        <w:spacing w:line="560" w:lineRule="exact"/>
        <w:ind w:firstLine="600" w:firstLineChars="250"/>
        <w:outlineLvl w:val="2"/>
        <w:rPr>
          <w:rFonts w:ascii="宋体" w:hAnsi="宋体" w:eastAsia="宋体" w:cs="宋体"/>
          <w:bCs/>
          <w:color w:val="auto"/>
          <w:sz w:val="24"/>
          <w:highlight w:val="none"/>
        </w:rPr>
      </w:pPr>
      <w:r>
        <w:rPr>
          <w:rFonts w:hint="eastAsia" w:ascii="宋体" w:hAnsi="宋体" w:eastAsia="宋体" w:cs="宋体"/>
          <w:bCs/>
          <w:color w:val="auto"/>
          <w:sz w:val="24"/>
          <w:highlight w:val="none"/>
        </w:rPr>
        <w:t>3</w:t>
      </w:r>
      <w:r>
        <w:rPr>
          <w:rFonts w:hint="eastAsia" w:ascii="宋体" w:hAnsi="宋体" w:eastAsia="宋体" w:cs="宋体"/>
          <w:color w:val="auto"/>
          <w:spacing w:val="-7"/>
          <w:sz w:val="24"/>
          <w:highlight w:val="none"/>
        </w:rPr>
        <w:t>、</w:t>
      </w:r>
      <w:r>
        <w:rPr>
          <w:rFonts w:hint="eastAsia" w:ascii="宋体" w:hAnsi="宋体" w:eastAsia="宋体" w:cs="宋体"/>
          <w:bCs/>
          <w:color w:val="auto"/>
          <w:sz w:val="24"/>
          <w:highlight w:val="none"/>
        </w:rPr>
        <w:t>绿地养护质量标准</w:t>
      </w:r>
    </w:p>
    <w:p>
      <w:pPr>
        <w:pStyle w:val="28"/>
        <w:spacing w:line="560" w:lineRule="exact"/>
        <w:ind w:firstLine="640"/>
        <w:rPr>
          <w:rFonts w:ascii="宋体" w:hAnsi="宋体" w:eastAsia="宋体" w:cs="宋体"/>
          <w:color w:val="auto"/>
          <w:sz w:val="24"/>
          <w:highlight w:val="none"/>
        </w:rPr>
      </w:pPr>
      <w:r>
        <w:rPr>
          <w:rFonts w:hint="eastAsia" w:ascii="宋体" w:hAnsi="宋体" w:eastAsia="宋体" w:cs="宋体"/>
          <w:color w:val="auto"/>
          <w:sz w:val="24"/>
          <w:highlight w:val="none"/>
        </w:rPr>
        <w:t xml:space="preserve">(1)根据《福州市市管绿化社会化养护管理实施方案》，福州市公园绿地的年养护标准同道路绿地养护等级标准，区属各公园公园属于景观要求较高、人流量较大的城市中心公园绿地，精细化养管需按照一级养护标准或三级养护标准，要求如下。 </w:t>
      </w:r>
    </w:p>
    <w:tbl>
      <w:tblPr>
        <w:tblStyle w:val="17"/>
        <w:tblW w:w="8276"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04"/>
        <w:gridCol w:w="3580"/>
        <w:gridCol w:w="349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1204" w:type="dxa"/>
            <w:vAlign w:val="center"/>
          </w:tcPr>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绿地养护内容</w:t>
            </w:r>
          </w:p>
        </w:tc>
        <w:tc>
          <w:tcPr>
            <w:tcW w:w="3580" w:type="dxa"/>
            <w:vAlign w:val="center"/>
          </w:tcPr>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一级养护标准</w:t>
            </w:r>
          </w:p>
        </w:tc>
        <w:tc>
          <w:tcPr>
            <w:tcW w:w="3492" w:type="dxa"/>
            <w:vAlign w:val="center"/>
          </w:tcPr>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三级养护标准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植物养护</w:t>
            </w:r>
          </w:p>
        </w:tc>
        <w:tc>
          <w:tcPr>
            <w:tcW w:w="358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植物长势良好，群落配置合理完整，层次丰富得当，黄土不露天，整体观赏效果好。</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乔木：生长健壮，树冠完整美观，主、侧枝分布匀称，疏密得当，内膛无乱枝，通风透光，叶片大小、颜色正常；层性乔木应保持明显的顶端生长优势，层次明显，树枝完整，枝叶茂盛。树干修剪面平滑，无撕裂面，根部无侧芽，树干上的不定芽应及时抹除；无徒长枝、病虫枝、过密枝、碰线枝、伤损枝以及枯枝和烂头。死树应及时挖除补植。无主干（断桩）或主干不完整的树木应及时更换补植。补植的树木应选用原来的树种，规格也应相近似。</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灌木：株形丰满，无人为折损枝，无枯枝、残花，保持良好的观赏效果。花灌木开花及时，在花芽分化前进行修剪，避免把花芽剪掉，花谢后及时修剪残花残枝。造型植物的形状轮廓清晰，枝叶疏密得当，透光，枝叶覆盖均匀，不露枝杆。</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4)</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绿篱：根据景观需要，达到一定的高度、宽度，平整、无空缺、无断层、下部不光秃，无露枝杆，新抽条不超过篱面6cm；叶片、枝条大小分布均匀。</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5)</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地被植物：植物生长良好，无老化现象，无枯枝残花残叶，无缺株断行，覆盖率达100%，色块分明，线条清晰流畅；控制一定高度，及时修剪。</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6)</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宿根花卉：宿根花卉萌芽前应剪除上年残留枯枝、枯叶，花谢后应及时去除残花、残枝和枯叶，并加强肥水管理。</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7)</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水生植物：植株健壮，花、叶色泽正常，无残花败叶。应经常清除杂草。老化及生长不良的水生植物应及时更换或更新种植。</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8)</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竹类：及时疏伐和清除老竹头，出笋期做到去劣留优，疏密得当。</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9)</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藤本植物：根据不同植物的攀援特点，及时采取相应的牵引、设置网架等技术措施，修剪得当，能在正常的季节开花，枝条上无积叶，覆盖率不低于90％。</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10)</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花坛：植株生长健壮，花繁叶茂，无残花败叶，整洁美观，图案清晰，花期整齐，始花期方可上花坛种植，株行距适宜，不露底土，无缺株倒伏。</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草坪：草坪生长茂盛，叶色正常，单块空秃面积不超过0.1m2，无明显杂草，杂草率≤15%，覆盖率达95%以上。生长期不枯黄，定期修剪，草高不超过6cm，草坪边缘线清晰。无坑洼积水、无砖石瓦砾、无杂物。应符合现行国家标准《主要花卉产品等级第7部分：草坪》GB/T18247.7中开放型绿地草坪一级标准的要求。</w:t>
            </w:r>
          </w:p>
        </w:tc>
        <w:tc>
          <w:tcPr>
            <w:tcW w:w="3492"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植物长势良好，群落配置合理完整，层次丰富得当，黄土不露天，绿地总体景观基本完好。</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乔木：生长健壮，树冠完整，主、侧枝分布匀称，疏密得当；层性乔木应保持树枝完整，层次明显，枝叶茂盛。树干修剪面平滑，无撕裂面；无徒长枝、过密枝、碰线枝、伤损枝。死树应及时挖除补植。无主干（断桩）或主干不完整的树木应及时更换补植。补植的树木应选用原来的树种，规格也应相近似。</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灌木：无人为折损枝，保持良好的观赏效果。花灌木开花及时，在花芽分化前进行修剪，避免把花芽剪掉，花谢后及时修剪残花残枝。造型植物的形状轮廓清晰，枝叶疏密得当，枝叶覆盖均匀。</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4)</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绿篱：根据景观需要，达到一定的高度、宽度，平整、无空缺、无断层、下部不光秃，新抽条不超过篱面6cm。</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5)</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地被植物：植物生长基本正常，无斑秃现象，色块分明，线条清晰流畅；控制一定高度，及时修剪。</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6)</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宿根花卉：宿根花卉萌芽前应剪除上年残留枯枝、枯叶，花谢后应及时去除残花、残枝和枯叶，基本无枯枝残枝。</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7)</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水生植物：植株花、叶色泽基本正常。应经常清除杂草，老化及生长不良的水生植物应及时更换或更新种植。</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8)</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竹类：及时疏伐，出笋期做到去劣留优，疏密得当。</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9)</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藤本植物：根据不同植物的攀援特点，及时采取相应的牵引、设置网架等技术措施，修剪得当，能在正常的季节开花，覆盖率不低于90％。</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10)</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花坛：植株生长健壮，花繁叶茂，无残花败叶，整洁美观，图案清晰，花期整齐，株行距适宜，不露底土。</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草坪：草坪叶色正常，单块空秃面积不超过0.3 m2，杂草率≤35%，覆盖率达85%以上。生长基本正常，定期修剪，草高不超过6cm，草坪边缘线清晰。无坑洼积水、无砖石瓦砾、无杂物。应符合现行国家标准《主要花卉产品等级第7部分：草坪》GB/T18247.7中开放型绿地草坪一级标准的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植物成活率</w:t>
            </w:r>
          </w:p>
        </w:tc>
        <w:tc>
          <w:tcPr>
            <w:tcW w:w="358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绿地内植物无死株，树木成活率98%以上，树木保存率100%。若有死株要及时清理，并及时补植回原来的品种且规格也应相近似。</w:t>
            </w:r>
          </w:p>
        </w:tc>
        <w:tc>
          <w:tcPr>
            <w:tcW w:w="3492"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绿地内单块空秃面积不超过0.3 m2，树木成活率94%以上。若有死株要及时清理，并及时补植回原来的品种且规格也应相近似。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土肥</w:t>
            </w:r>
          </w:p>
        </w:tc>
        <w:tc>
          <w:tcPr>
            <w:tcW w:w="358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土壤疏松，无积水，不板结，根据植物生长特性及时进行水肥管理，增强土壤肥力，改善土壤理化性状，一年至少施肥2次。</w:t>
            </w:r>
          </w:p>
        </w:tc>
        <w:tc>
          <w:tcPr>
            <w:tcW w:w="3492"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土壤疏松，无积水，不板结，根据植物生长特性及时进行水肥管理，增强土壤肥力，改善土壤理化性状。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病虫害防治</w:t>
            </w:r>
          </w:p>
        </w:tc>
        <w:tc>
          <w:tcPr>
            <w:tcW w:w="358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提倡以防为主，综合防治，病虫害控制在以不影响观赏效果的危害程度之内，基本无危害迹象。食叶性害虫≤5%，刺吸性害虫≤10％，蛀干性害虫≤3％。</w:t>
            </w:r>
          </w:p>
        </w:tc>
        <w:tc>
          <w:tcPr>
            <w:tcW w:w="3492"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提倡以防为主，综合防治，病虫害控制在以不影响观赏效果的危害程度之内，基本无危害迹象。食叶性害虫≤15%，刺吸性害虫≤30％，蛀干性害虫≤10％。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防护标准</w:t>
            </w:r>
          </w:p>
        </w:tc>
        <w:tc>
          <w:tcPr>
            <w:tcW w:w="358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防晒防干旱：夏秋季节气温高，苗木水分蒸发量大，应及时浇水以补充水分供应。夏季浇水要在早、晚进行。对于新植的耐荫地被若暴露在烈日下，应搭架遮盖遮阴网，以防灼伤。</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防寒防霜冻：新栽的不耐寒的树种、耐寒力差的树种，在树干部分应包稻草或草绳卷干，自下而上，逐层包扎，包扎的高度一般要达到主干分枝处。不耐寒的灌木、地被，应遮盖稻草、遮荫网防霜，寒流来临前要准备塑料薄膜进行保温。</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防台风：在台风季节来临前，做好树木修剪。风暴后要及时修剪断折、下垂的枝条，将歪斜、倒伏的树木扶正，压实根部土壤，设立支架加固。</w:t>
            </w:r>
          </w:p>
        </w:tc>
        <w:tc>
          <w:tcPr>
            <w:tcW w:w="3492"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防晒防干旱：夏秋季节气温高，苗木水分蒸发量大，应及时浇水以补充水分供应。夏季浇水要在早、晚进行。对于新植的耐荫地被若暴露在烈日下，应搭架遮盖遮阴网，以防灼伤。</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防寒防霜冻：新栽的不耐寒的树种、耐寒力差的树种，在树干部分应包稻草或草绳卷干，自下而上，逐层包扎，包扎的高度一般要达到主干分枝处。不耐寒的灌木、地被，应遮盖稻草、遮荫网防霜，寒流来临前要准备塑料薄膜进行保温。</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防台风：在台风季节来临前，做好树木修剪。风暴后要及时修剪断折、下垂的枝条，将歪斜、倒伏的树木扶正，压实根部土壤，设立支架加固。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卫生</w:t>
            </w:r>
          </w:p>
        </w:tc>
        <w:tc>
          <w:tcPr>
            <w:tcW w:w="358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绿地保持全日整洁，不得有石块、砖块、陈旧纸屑、果壳、塑料袋及其它垃圾，树上无垃圾杂物悬挂，老鼠洞应及时填补。对绿化生产垃圾（如树枝、树叶、草屑等）、绿地内水面杂物，重点地区随产随清，其它地区日产日清，做到巡视保洁。严禁焚烧垃圾。</w:t>
            </w:r>
          </w:p>
        </w:tc>
        <w:tc>
          <w:tcPr>
            <w:tcW w:w="3492"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绿地保持全日整洁，基本无石块、砖块、陈旧纸屑、果壳、塑料袋及其它垃圾，树上基本无垃圾杂物悬挂。对绿化生产垃圾（如树枝、树叶、草屑等）、绿地内水面杂物，重点地区随产随清，其它地区日产日清，做到巡视保洁，严禁焚烧垃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设施维护</w:t>
            </w:r>
          </w:p>
        </w:tc>
        <w:tc>
          <w:tcPr>
            <w:tcW w:w="358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园路、花架、小品、栏杆、桌椅、路灯、井盖和牌示等园林设施完好、安全，无有碍景观的物件悬挂，保持清洁，发现缺损应及时修补、更换。</w:t>
            </w:r>
          </w:p>
        </w:tc>
        <w:tc>
          <w:tcPr>
            <w:tcW w:w="3492"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园路、花架、小品、栏杆、桌椅、路灯、井盖和牌示等园林设施完好、安全，无有碍景观的物件悬挂，保持清洁，发现缺损应及时修补、更换。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安全作业</w:t>
            </w:r>
          </w:p>
        </w:tc>
        <w:tc>
          <w:tcPr>
            <w:tcW w:w="358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修剪、喷药、施肥等作业应设置安全警示，并采取相应的防护措施，保证作业人员及行人安全。</w:t>
            </w:r>
          </w:p>
        </w:tc>
        <w:tc>
          <w:tcPr>
            <w:tcW w:w="3492"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修剪、喷药、施肥等作业应设置安全警示，并采取相应的防护措施，保证作业人员及行人安全。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04"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管理</w:t>
            </w:r>
          </w:p>
        </w:tc>
        <w:tc>
          <w:tcPr>
            <w:tcW w:w="358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绿地管理制度全面落实，档案资料完整、详尽，养护人员统一着装，挂牌上岗。</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绿地完整，无违章占绿、无违法建设。</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秩序良好，无乱堆乱放、晾晒衣物现象。</w:t>
            </w:r>
          </w:p>
        </w:tc>
        <w:tc>
          <w:tcPr>
            <w:tcW w:w="3492"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绿地管理制度全面落实，档案资料完整、详尽，养护人员统一着装，挂牌上岗。</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绿地完整，无违章占绿、无违法建设。</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秩序良好，无乱堆乱放、晾晒衣物现象。</w:t>
            </w:r>
          </w:p>
        </w:tc>
      </w:tr>
    </w:tbl>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（2）莳花养护质量标准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质量要求</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1) 莳花盆径为16-20cm，莳花冠幅不得小于盆径。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2) 莳花出圃质量要求：植株生长健壮、无病虫害；叶形完整，叶色油绿；株形整齐，有茎叶、不缺角、无歪斜倒伏；花枝分布均匀；植株达到满盆；始花期（指出花达30%）方可出圃。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3)莳花应选择生长旺盛、花大色艳的植株品系。要求花型丰满，色彩鲜艳；同一种品种规格大小要一致。花球莳花应选择耐旱、冠幅较大的品种。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4)观叶植物应选择生长健壮，株形完整，无病虫害；叶色正常，无褪色、变色及病斑；叶形完整，无撕裂、折损、穿孔、缺损等损伤；叶片的边缘或先端无枯萎或焦边。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 xml:space="preserve">换花种植要求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1)莳花换花、种植应按明确的既定方案执行，如有改动需经建设单位同意后方可变更。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2)莳花在换花期间要求常年鲜花盛开，花期整齐，无枯萎、凋谢现象、无病虫害，生长势好，景观效果好。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3)莳花种植换花要求位置适当，做到整齐划一，风格统一协调。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4)莳花换花、栽植密度须均匀一致，避免过密过稀；植株紧凑，无缺漏，不露底土，无倒伏。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5)花箱、花坛、花钵、花境和花球莳花要求脱盆栽植莳花，可以适当修剪整齐，使整体莳花保持丰满。莳花需种成圆弧形，冠幅应超出花箱外沿；花球莳花换花时需加土工布进行铺垫，使花球具有良好的景观效果；花境种植，莳花应轮廓清晰，保持良好的弧度、线形。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6)土壤要求：花箱、花坛、花钵土壤应选择使用疏松、透气、富含养分的培养土，不得使用杂物填充。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7)观叶植物应保持叶色鲜艳、健壮、无病虫害、无枯萎、无缺株、无损坏。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 xml:space="preserve">摆放种植要求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1)投标人有莳花摆放、种植应按明确的既定方案执行，如有改动需经公园同意后方可变更。</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2)莳花在摆花期间要求常年鲜花盛开，花期整齐，无枯萎、凋谢现象、无病虫害，生长势好，景观效果好。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3)莳花种植摆放要求位置适当，做到整齐划一，风格统一协调。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4)莳花摆放、栽植密度须均匀一致，避免过密过稀；植株紧凑，无缺漏，不露底土，无缺株倒伏。</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5)花箱、花坛、花钵、花境和花球莳花要求脱盆栽植，可以适当修剪整齐，使整体莳花保持丰满。莳花需种成圆弧形，冠幅应超出花箱外沿；花球莳花摆放时需加土工布进行铺垫，使花球具有良好的景观效果；花境种植莳花应轮廓清晰，保持良好的弧度、线形。 </w:t>
      </w:r>
    </w:p>
    <w:p>
      <w:pPr>
        <w:pStyle w:val="28"/>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 xml:space="preserve">6)土壤要求：花箱、花坛、花钵土壤应选择使用疏松、透气、富含养分的培养土，不得使用杂物填充。 </w:t>
      </w:r>
    </w:p>
    <w:p>
      <w:pPr>
        <w:pStyle w:val="28"/>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color w:val="auto"/>
          <w:sz w:val="24"/>
          <w:highlight w:val="none"/>
        </w:rPr>
        <w:t xml:space="preserve">7)观叶植物应保持叶色鲜艳、健壮、无病虫害、无枯萎、无缺株、无损坏。 </w:t>
      </w:r>
    </w:p>
    <w:p>
      <w:pPr>
        <w:spacing w:line="500" w:lineRule="exact"/>
        <w:ind w:firstLine="480" w:firstLineChars="200"/>
        <w:outlineLvl w:val="2"/>
        <w:rPr>
          <w:rFonts w:ascii="宋体" w:hAnsi="宋体" w:eastAsia="宋体" w:cs="宋体"/>
          <w:bCs/>
          <w:color w:val="auto"/>
          <w:sz w:val="24"/>
          <w:highlight w:val="none"/>
        </w:rPr>
      </w:pPr>
      <w:bookmarkStart w:id="0" w:name="_Hlk126949833"/>
      <w:r>
        <w:rPr>
          <w:rFonts w:hint="eastAsia" w:ascii="宋体" w:hAnsi="宋体" w:eastAsia="宋体" w:cs="宋体"/>
          <w:bCs/>
          <w:color w:val="auto"/>
          <w:sz w:val="24"/>
          <w:highlight w:val="none"/>
        </w:rPr>
        <w:t>4、绿化养护内容</w:t>
      </w:r>
    </w:p>
    <w:p>
      <w:pPr>
        <w:pStyle w:val="25"/>
        <w:widowControl/>
        <w:spacing w:line="500" w:lineRule="exact"/>
        <w:ind w:firstLine="480"/>
        <w:jc w:val="left"/>
        <w:rPr>
          <w:rFonts w:ascii="宋体" w:hAnsi="宋体" w:eastAsia="宋体" w:cs="宋体"/>
          <w:color w:val="auto"/>
          <w:sz w:val="24"/>
          <w:highlight w:val="none"/>
        </w:rPr>
      </w:pPr>
      <w:r>
        <w:rPr>
          <w:rFonts w:hint="eastAsia" w:ascii="宋体" w:hAnsi="宋体" w:eastAsia="宋体" w:cs="宋体"/>
          <w:color w:val="auto"/>
          <w:sz w:val="24"/>
          <w:highlight w:val="none"/>
        </w:rPr>
        <w:t>（1）绿化养护</w:t>
      </w:r>
    </w:p>
    <w:p>
      <w:pPr>
        <w:pStyle w:val="25"/>
        <w:widowControl/>
        <w:spacing w:line="500" w:lineRule="exact"/>
        <w:ind w:firstLine="480"/>
        <w:jc w:val="left"/>
        <w:rPr>
          <w:rFonts w:hint="eastAsia" w:ascii="宋体" w:hAnsi="宋体" w:eastAsia="宋体" w:cs="宋体"/>
          <w:color w:val="auto"/>
          <w:sz w:val="24"/>
          <w:highlight w:val="none"/>
        </w:rPr>
      </w:pPr>
      <w:r>
        <w:rPr>
          <w:rFonts w:hint="eastAsia" w:ascii="宋体" w:hAnsi="宋体" w:eastAsia="宋体" w:cs="宋体"/>
          <w:color w:val="auto"/>
          <w:sz w:val="24"/>
          <w:highlight w:val="none"/>
        </w:rPr>
        <w:t>按照《福州市市管绿化社会化养护管理实施方案》，具体养护内容详见下表：</w:t>
      </w:r>
      <w:bookmarkEnd w:id="0"/>
      <w:bookmarkStart w:id="1" w:name="_Hlk126949898"/>
      <w:bookmarkStart w:id="2" w:name="_Hlk126949873"/>
    </w:p>
    <w:p>
      <w:pPr>
        <w:pStyle w:val="25"/>
        <w:widowControl/>
        <w:spacing w:line="500" w:lineRule="exact"/>
        <w:ind w:firstLine="480"/>
        <w:jc w:val="left"/>
        <w:rPr>
          <w:rFonts w:hint="eastAsia" w:ascii="宋体" w:hAnsi="宋体" w:eastAsia="宋体" w:cs="宋体"/>
          <w:color w:val="auto"/>
          <w:sz w:val="24"/>
          <w:highlight w:val="none"/>
        </w:rPr>
      </w:pPr>
    </w:p>
    <w:bookmarkEnd w:id="1"/>
    <w:tbl>
      <w:tblPr>
        <w:tblStyle w:val="17"/>
        <w:tblW w:w="827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3810"/>
        <w:gridCol w:w="30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1376" w:type="dxa"/>
            <w:vAlign w:val="center"/>
          </w:tcPr>
          <w:p>
            <w:pPr>
              <w:pStyle w:val="30"/>
              <w:jc w:val="center"/>
              <w:rPr>
                <w:rFonts w:ascii="宋体" w:hAnsi="宋体" w:eastAsia="宋体" w:cs="宋体"/>
                <w:b/>
                <w:color w:val="auto"/>
                <w:szCs w:val="21"/>
                <w:highlight w:val="none"/>
              </w:rPr>
            </w:pPr>
            <w:bookmarkStart w:id="3" w:name="_Hlk126949883"/>
            <w:r>
              <w:rPr>
                <w:rFonts w:hint="eastAsia" w:ascii="宋体" w:hAnsi="宋体" w:eastAsia="宋体" w:cs="宋体"/>
                <w:b/>
                <w:color w:val="auto"/>
                <w:szCs w:val="21"/>
                <w:highlight w:val="none"/>
              </w:rPr>
              <w:t>绿化养护</w:t>
            </w:r>
          </w:p>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内容</w:t>
            </w:r>
          </w:p>
        </w:tc>
        <w:tc>
          <w:tcPr>
            <w:tcW w:w="3810" w:type="dxa"/>
            <w:vAlign w:val="center"/>
          </w:tcPr>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一级养护标准</w:t>
            </w:r>
          </w:p>
        </w:tc>
        <w:tc>
          <w:tcPr>
            <w:tcW w:w="3090" w:type="dxa"/>
            <w:vAlign w:val="center"/>
          </w:tcPr>
          <w:p>
            <w:pPr>
              <w:pStyle w:val="30"/>
              <w:jc w:val="center"/>
              <w:rPr>
                <w:rFonts w:ascii="宋体" w:hAnsi="宋体" w:eastAsia="宋体" w:cs="宋体"/>
                <w:b/>
                <w:color w:val="auto"/>
                <w:szCs w:val="21"/>
                <w:highlight w:val="none"/>
                <w:lang w:val="en-US"/>
              </w:rPr>
            </w:pPr>
            <w:r>
              <w:rPr>
                <w:rFonts w:hint="eastAsia" w:ascii="宋体" w:hAnsi="宋体" w:eastAsia="宋体" w:cs="宋体"/>
                <w:b/>
                <w:color w:val="auto"/>
                <w:szCs w:val="21"/>
                <w:highlight w:val="none"/>
                <w:lang w:val="en-US"/>
              </w:rPr>
              <w:t>三级养护标准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修剪</w:t>
            </w:r>
          </w:p>
        </w:tc>
        <w:tc>
          <w:tcPr>
            <w:tcW w:w="38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行道树及其它乔木，一般在春秋季花芽和花芽分化前进行修剪，台风季节前再做一次检测和修整，主要实施老弱枝、过密枝条等促进植物生长的修剪措施，及修剪下缘线、冠型等整型修剪措施，每年至少修剪4次；</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其他乔灌木和地被的修剪和整型修剪，以促进生长、保持美观为目的，主要进行以下几方面的修剪：根据季节和开花期的特点进行主动控花修剪；根据观赏角度和植物搭配形状的特点进行艺术整型修剪，每年至少修剪4次；生长旺盛期，定期进行疏枝、整型等养护措施。</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草坪以定期修剪平整为主，结合季节生长特性进行定期修剪，每年至少修剪4次。</w:t>
            </w:r>
          </w:p>
        </w:tc>
        <w:tc>
          <w:tcPr>
            <w:tcW w:w="309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1)</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行道树及其它乔木，台风季节前做一次检测和修整，主要实施老弱枝、过密枝条等促进植物生长的修剪措施；</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2)</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其他乔灌木和地被的修剪和整型修剪，以促进生长、保持美观为目的，在生长旺盛期，定期进行疏枝、整型等养护措施。</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3)</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草坪以定期修剪平整为主，结合季节生长特性进行定期修剪。</w:t>
            </w:r>
          </w:p>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4)</w:t>
            </w:r>
            <w:r>
              <w:rPr>
                <w:rFonts w:hint="eastAsia" w:ascii="宋体" w:hAnsi="宋体" w:eastAsia="宋体" w:cs="宋体"/>
                <w:color w:val="auto"/>
                <w:szCs w:val="21"/>
                <w:highlight w:val="none"/>
                <w:lang w:val="en-US"/>
              </w:rPr>
              <w:tab/>
            </w:r>
            <w:r>
              <w:rPr>
                <w:rFonts w:hint="eastAsia" w:ascii="宋体" w:hAnsi="宋体" w:eastAsia="宋体" w:cs="宋体"/>
                <w:color w:val="auto"/>
                <w:szCs w:val="21"/>
                <w:highlight w:val="none"/>
                <w:lang w:val="en-US"/>
              </w:rPr>
              <w:t>每年修剪频率不低于2次。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浇水</w:t>
            </w:r>
          </w:p>
        </w:tc>
        <w:tc>
          <w:tcPr>
            <w:tcW w:w="38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根据不同的生长季节、天气情况、植物种类、树龄进行适当浇水，在雨水缺少的季节，要求定期进行全面浇水，每周至少浇透两次；浇水时应尽量避免污染路面和避开人流量高峰期。</w:t>
            </w:r>
          </w:p>
        </w:tc>
        <w:tc>
          <w:tcPr>
            <w:tcW w:w="309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根据不同的生长季节、天气情况、植物种类、树龄进行适当浇水；浇水时应尽量避免污染路面和避开交通高峰期。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施肥</w:t>
            </w:r>
          </w:p>
        </w:tc>
        <w:tc>
          <w:tcPr>
            <w:tcW w:w="38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每年至少施肥2次。</w:t>
            </w:r>
          </w:p>
        </w:tc>
        <w:tc>
          <w:tcPr>
            <w:tcW w:w="309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根据土肥情况进行施肥。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除杂、松土</w:t>
            </w:r>
          </w:p>
        </w:tc>
        <w:tc>
          <w:tcPr>
            <w:tcW w:w="38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应定期除草、松土、除杂，保持土壤松散易透水，除杂松土时要保护根系；草坪除杂保持杂草率≤15%，覆盖率达95%以上。</w:t>
            </w:r>
          </w:p>
        </w:tc>
        <w:tc>
          <w:tcPr>
            <w:tcW w:w="309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应定期除草、松土、除杂，保持土壤松散易透水，除杂松土时要保护根系。草坪除杂保持杂草率≤35%，覆盖率达85%以上。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补植、改植</w:t>
            </w:r>
          </w:p>
        </w:tc>
        <w:tc>
          <w:tcPr>
            <w:tcW w:w="38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要求对苗木缺株情况及时核查和补植，补植规格尽可能与原规格一致和协调，行道树分枝点高度与同路段取齐，冠幅饱满。对已呈老化或明显与周围环境景观不协调的树木应及时进行改植。</w:t>
            </w:r>
          </w:p>
        </w:tc>
        <w:tc>
          <w:tcPr>
            <w:tcW w:w="309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及时清理死苗，必要时进行补植。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病虫害</w:t>
            </w:r>
          </w:p>
        </w:tc>
        <w:tc>
          <w:tcPr>
            <w:tcW w:w="38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预防为主，科学防控。结合养护，做好常态化巡查工作，针对危险性入侵有害生物如红棕象甲、椰心叶甲、</w:t>
            </w:r>
            <w:r>
              <w:rPr>
                <w:rFonts w:hint="eastAsia" w:ascii="宋体" w:hAnsi="宋体" w:eastAsia="宋体" w:cs="宋体"/>
                <w:color w:val="auto"/>
                <w:sz w:val="21"/>
                <w:szCs w:val="21"/>
                <w:highlight w:val="none"/>
                <w:lang w:val="en-US"/>
              </w:rPr>
              <w:t>白蚂蚁、</w:t>
            </w:r>
            <w:r>
              <w:rPr>
                <w:rFonts w:hint="eastAsia" w:ascii="宋体" w:hAnsi="宋体" w:eastAsia="宋体" w:cs="宋体"/>
                <w:color w:val="auto"/>
                <w:szCs w:val="21"/>
                <w:highlight w:val="none"/>
                <w:lang w:val="en-US"/>
              </w:rPr>
              <w:t>红火蚁等及常发性食叶性害虫、刺吸性害虫加大监测力度；实行“谁养护，谁防治”、限期防治及联防联控的制度，中标单位需配备必要的防控药剂药械，适时用药，在幼虫低龄期和病害始发期使用从正规商家购买、具有农药登记证的高效、低毒、低残留农药，保证用药安全，确保第一时间发现并组织防治，做到“治早、治小、治了”。</w:t>
            </w:r>
          </w:p>
        </w:tc>
        <w:tc>
          <w:tcPr>
            <w:tcW w:w="309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预防为主，科学防控。结合养护，做好常态化巡查工作，针对危险性入侵有害生物如红棕象甲、椰心叶甲、</w:t>
            </w:r>
            <w:r>
              <w:rPr>
                <w:rFonts w:hint="eastAsia" w:ascii="宋体" w:hAnsi="宋体" w:eastAsia="宋体" w:cs="宋体"/>
                <w:color w:val="auto"/>
                <w:sz w:val="21"/>
                <w:szCs w:val="21"/>
                <w:highlight w:val="none"/>
                <w:lang w:val="en-US"/>
              </w:rPr>
              <w:t>白蚂蚁、</w:t>
            </w:r>
            <w:r>
              <w:rPr>
                <w:rFonts w:hint="eastAsia" w:ascii="宋体" w:hAnsi="宋体" w:eastAsia="宋体" w:cs="宋体"/>
                <w:color w:val="auto"/>
                <w:szCs w:val="21"/>
                <w:highlight w:val="none"/>
                <w:lang w:val="en-US"/>
              </w:rPr>
              <w:t>红火蚁等及常发性食叶性害虫、刺吸性害虫加大监测力度；实行“谁养护，谁防治”、限期防治及联防联控的制度，中标单位需配备必要的防控药剂药械，适时用药，在幼虫低龄期和病害始发期使用从正规商家购买、具有农药登记证的高效、低毒、低残留农药，保证用药安全，确保第一时间发现并组织防治，做到“治早、治小、治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莳花更换</w:t>
            </w:r>
          </w:p>
        </w:tc>
        <w:tc>
          <w:tcPr>
            <w:tcW w:w="38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莳花每年至少更换5次，及时更换，适时开花。莳花养护费用不另计，包含于绿化养护费用中。</w:t>
            </w:r>
          </w:p>
        </w:tc>
        <w:tc>
          <w:tcPr>
            <w:tcW w:w="309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莳花每年至少更换5次，及时更换，适时开花。莳花养护费用不另计，包含于绿化养护费用中。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防台风</w:t>
            </w:r>
          </w:p>
        </w:tc>
        <w:tc>
          <w:tcPr>
            <w:tcW w:w="38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台风前加强防御措施，合理修剪，加固护树设施，以增强抵御台风的能力。台风后迅速清理倒树断枝、落叶、垃圾等，疏通道路，及时进行扶树、护树、补缺使绿化景观尽快恢复。若遇交通意外及其它自然灾害使树木歪斜或倒树断枝，应立即处理，疏通道路。</w:t>
            </w:r>
          </w:p>
        </w:tc>
        <w:tc>
          <w:tcPr>
            <w:tcW w:w="309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台风前加强防御措施，合理修剪，加固护树设施，以增强抵御台风的能力。台风后迅速清理倒树断枝、落叶、垃圾等，疏通道路，及时进行扶树、护树、补缺使绿化景观尽快恢复。若遇交通意外及其它自然灾害使树木歪斜或倒树断枝，应立即处理，疏通道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1376" w:type="dxa"/>
            <w:vAlign w:val="center"/>
          </w:tcPr>
          <w:p>
            <w:pPr>
              <w:pStyle w:val="30"/>
              <w:jc w:val="center"/>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应急抢险</w:t>
            </w:r>
          </w:p>
        </w:tc>
        <w:tc>
          <w:tcPr>
            <w:tcW w:w="381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参照鼓楼区道路绿化养护防台风应急机制，根据鼓楼区防汛指挥部发布的台风、暴雨等应急响应级别，启动III、IV级响应机制时，由中标单位负责维护,不再单独计算费用，启动I、II级响应机制时，抢险产生的费用另行按实结算。</w:t>
            </w:r>
          </w:p>
        </w:tc>
        <w:tc>
          <w:tcPr>
            <w:tcW w:w="3090" w:type="dxa"/>
          </w:tcPr>
          <w:p>
            <w:pPr>
              <w:pStyle w:val="30"/>
              <w:rPr>
                <w:rFonts w:ascii="宋体" w:hAnsi="宋体" w:eastAsia="宋体" w:cs="宋体"/>
                <w:color w:val="auto"/>
                <w:szCs w:val="21"/>
                <w:highlight w:val="none"/>
                <w:lang w:val="en-US"/>
              </w:rPr>
            </w:pPr>
            <w:r>
              <w:rPr>
                <w:rFonts w:hint="eastAsia" w:ascii="宋体" w:hAnsi="宋体" w:eastAsia="宋体" w:cs="宋体"/>
                <w:color w:val="auto"/>
                <w:szCs w:val="21"/>
                <w:highlight w:val="none"/>
                <w:lang w:val="en-US"/>
              </w:rPr>
              <w:t>参照鼓楼区道路绿化养护防台风应急机制，根据鼓楼区防汛指挥部发布的台风、暴雨等应急响应级别，启动III、IV级响应机制时，由中标单位负责维护,不再单独计算费用，启动I、II级响应机制时，抢险产生的费用另行按实结算。</w:t>
            </w:r>
          </w:p>
        </w:tc>
      </w:tr>
      <w:bookmarkEnd w:id="2"/>
      <w:bookmarkEnd w:id="3"/>
    </w:tbl>
    <w:p>
      <w:pPr>
        <w:pStyle w:val="28"/>
        <w:spacing w:line="560" w:lineRule="exact"/>
        <w:ind w:firstLine="640"/>
        <w:rPr>
          <w:rFonts w:ascii="宋体" w:hAnsi="宋体" w:eastAsia="宋体" w:cs="宋体"/>
          <w:color w:val="auto"/>
          <w:sz w:val="24"/>
          <w:highlight w:val="none"/>
        </w:rPr>
      </w:pPr>
      <w:r>
        <w:rPr>
          <w:rFonts w:hint="eastAsia" w:ascii="宋体" w:hAnsi="宋体" w:eastAsia="宋体" w:cs="宋体"/>
          <w:color w:val="auto"/>
          <w:sz w:val="24"/>
          <w:highlight w:val="none"/>
        </w:rPr>
        <w:t>（2）环境卫生</w:t>
      </w:r>
    </w:p>
    <w:p>
      <w:pPr>
        <w:pStyle w:val="28"/>
        <w:spacing w:line="560" w:lineRule="exact"/>
        <w:ind w:firstLine="640"/>
        <w:rPr>
          <w:rFonts w:ascii="宋体" w:hAnsi="宋体" w:eastAsia="宋体" w:cs="宋体"/>
          <w:color w:val="auto"/>
          <w:sz w:val="24"/>
          <w:highlight w:val="none"/>
          <w:lang w:val="zh-CN"/>
        </w:rPr>
      </w:pPr>
      <w:r>
        <w:rPr>
          <w:rFonts w:hint="eastAsia" w:ascii="宋体" w:hAnsi="宋体" w:eastAsia="宋体" w:cs="宋体"/>
          <w:color w:val="auto"/>
          <w:sz w:val="24"/>
          <w:highlight w:val="none"/>
        </w:rPr>
        <w:t>绿地整洁，无垃圾杂物（烟头、纸屑等），无石头砖块（景石除外），无干枯枝叶。保洁时间为6：00-18：00（6-10月延长至21：00）。</w:t>
      </w:r>
    </w:p>
    <w:p>
      <w:pPr>
        <w:pStyle w:val="28"/>
        <w:spacing w:line="560" w:lineRule="exact"/>
        <w:ind w:firstLine="640"/>
        <w:rPr>
          <w:rFonts w:ascii="宋体" w:hAnsi="宋体" w:eastAsia="宋体" w:cs="宋体"/>
          <w:color w:val="auto"/>
          <w:sz w:val="24"/>
          <w:highlight w:val="none"/>
        </w:rPr>
      </w:pPr>
      <w:r>
        <w:rPr>
          <w:rFonts w:hint="eastAsia" w:ascii="宋体" w:hAnsi="宋体" w:eastAsia="宋体" w:cs="宋体"/>
          <w:color w:val="auto"/>
          <w:sz w:val="24"/>
          <w:highlight w:val="none"/>
        </w:rPr>
        <w:t>（3）绿地维护</w:t>
      </w:r>
    </w:p>
    <w:p>
      <w:pPr>
        <w:pStyle w:val="28"/>
        <w:spacing w:line="560" w:lineRule="exact"/>
        <w:ind w:firstLine="640"/>
        <w:rPr>
          <w:rFonts w:ascii="宋体" w:hAnsi="宋体" w:eastAsia="宋体" w:cs="宋体"/>
          <w:b/>
          <w:bCs/>
          <w:color w:val="auto"/>
          <w:sz w:val="24"/>
          <w:highlight w:val="none"/>
        </w:rPr>
      </w:pPr>
      <w:r>
        <w:rPr>
          <w:rFonts w:hint="eastAsia" w:ascii="宋体" w:hAnsi="宋体" w:eastAsia="宋体" w:cs="宋体"/>
          <w:color w:val="auto"/>
          <w:sz w:val="24"/>
          <w:highlight w:val="none"/>
        </w:rPr>
        <w:t>绿地不被侵占，保持完整，花草树木不受破坏，无乱摆摊、乱停放。加强日巡查，发现未经审批侵占绿地的必须及时制止、上报并及时修复。</w:t>
      </w:r>
    </w:p>
    <w:p>
      <w:pPr>
        <w:spacing w:line="560" w:lineRule="exact"/>
        <w:ind w:firstLine="480" w:firstLineChars="200"/>
        <w:outlineLvl w:val="2"/>
        <w:rPr>
          <w:rFonts w:ascii="宋体" w:hAnsi="宋体" w:eastAsia="宋体" w:cs="宋体"/>
          <w:bCs/>
          <w:color w:val="auto"/>
          <w:sz w:val="24"/>
          <w:highlight w:val="none"/>
        </w:rPr>
      </w:pPr>
      <w:r>
        <w:rPr>
          <w:rFonts w:hint="eastAsia" w:ascii="宋体" w:hAnsi="宋体" w:eastAsia="宋体" w:cs="宋体"/>
          <w:bCs/>
          <w:color w:val="auto"/>
          <w:sz w:val="24"/>
          <w:highlight w:val="none"/>
        </w:rPr>
        <w:t>5、人员及设备配置</w:t>
      </w:r>
    </w:p>
    <w:p>
      <w:pPr>
        <w:spacing w:line="56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（1）养护人员</w:t>
      </w:r>
    </w:p>
    <w:p>
      <w:pPr>
        <w:spacing w:line="56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按照《福州市市管绿化社会化养护管理实施方案》，具体养护人员见下表。</w:t>
      </w:r>
    </w:p>
    <w:tbl>
      <w:tblPr>
        <w:tblStyle w:val="16"/>
        <w:tblW w:w="68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2268"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b/>
                <w:bCs/>
                <w:color w:val="auto"/>
                <w:kern w:val="0"/>
                <w:szCs w:val="21"/>
                <w:highlight w:val="none"/>
                <w:lang w:bidi="ar"/>
              </w:rPr>
              <w:t>公园名称</w:t>
            </w:r>
          </w:p>
        </w:tc>
        <w:tc>
          <w:tcPr>
            <w:tcW w:w="2268" w:type="dxa"/>
            <w:vAlign w:val="center"/>
          </w:tcPr>
          <w:p>
            <w:pPr>
              <w:widowControl/>
              <w:spacing w:line="560" w:lineRule="exact"/>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bidi="ar"/>
              </w:rPr>
              <w:t>园林专业管理人员</w:t>
            </w:r>
          </w:p>
        </w:tc>
        <w:tc>
          <w:tcPr>
            <w:tcW w:w="2268" w:type="dxa"/>
            <w:vAlign w:val="center"/>
          </w:tcPr>
          <w:p>
            <w:pPr>
              <w:widowControl/>
              <w:spacing w:line="560" w:lineRule="exact"/>
              <w:jc w:val="center"/>
              <w:textAlignment w:val="center"/>
              <w:rPr>
                <w:rFonts w:ascii="宋体" w:hAnsi="宋体" w:eastAsia="宋体" w:cs="宋体"/>
                <w:b/>
                <w:bCs/>
                <w:color w:val="auto"/>
                <w:kern w:val="0"/>
                <w:szCs w:val="21"/>
                <w:highlight w:val="none"/>
                <w:lang w:bidi="ar"/>
              </w:rPr>
            </w:pPr>
            <w:r>
              <w:rPr>
                <w:rFonts w:hint="eastAsia" w:ascii="宋体" w:hAnsi="宋体" w:eastAsia="宋体" w:cs="宋体"/>
                <w:b/>
                <w:bCs/>
                <w:color w:val="auto"/>
                <w:kern w:val="0"/>
                <w:szCs w:val="21"/>
                <w:highlight w:val="none"/>
                <w:lang w:bidi="ar"/>
              </w:rPr>
              <w:t>绿化养护人员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乌山（一期）</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乌山（二期）</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黎明湖公园</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温泉公园</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屏山公园</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冶山公园</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1</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b/>
                <w:bCs/>
                <w:color w:val="auto"/>
                <w:kern w:val="0"/>
                <w:szCs w:val="21"/>
                <w:highlight w:val="none"/>
                <w:lang w:bidi="ar"/>
              </w:rPr>
              <w:t>合计</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6</w:t>
            </w:r>
          </w:p>
        </w:tc>
        <w:tc>
          <w:tcPr>
            <w:tcW w:w="2268" w:type="dxa"/>
            <w:vAlign w:val="center"/>
          </w:tcPr>
          <w:p>
            <w:pPr>
              <w:widowControl/>
              <w:spacing w:line="560" w:lineRule="exact"/>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47</w:t>
            </w:r>
          </w:p>
        </w:tc>
      </w:tr>
    </w:tbl>
    <w:p>
      <w:pPr>
        <w:spacing w:line="56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（2）主要设备、工具配备</w:t>
      </w:r>
    </w:p>
    <w:p>
      <w:pPr>
        <w:spacing w:line="56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各类绿化养护所需设备和工具见下表：</w:t>
      </w:r>
    </w:p>
    <w:tbl>
      <w:tblPr>
        <w:tblStyle w:val="16"/>
        <w:tblW w:w="9021"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18"/>
        <w:gridCol w:w="1138"/>
        <w:gridCol w:w="1415"/>
        <w:gridCol w:w="850"/>
        <w:gridCol w:w="850"/>
        <w:gridCol w:w="850"/>
        <w:gridCol w:w="850"/>
        <w:gridCol w:w="850"/>
        <w:gridCol w:w="850"/>
        <w:gridCol w:w="8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序号</w:t>
            </w:r>
          </w:p>
        </w:tc>
        <w:tc>
          <w:tcPr>
            <w:tcW w:w="1138"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种类</w:t>
            </w:r>
          </w:p>
        </w:tc>
        <w:tc>
          <w:tcPr>
            <w:tcW w:w="1415"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单位</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乌山一期</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乌山二期</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黎明湖公园</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温泉公园</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屏山公园</w:t>
            </w:r>
          </w:p>
        </w:tc>
        <w:tc>
          <w:tcPr>
            <w:tcW w:w="850" w:type="dxa"/>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冶山公园数量</w:t>
            </w:r>
          </w:p>
        </w:tc>
        <w:tc>
          <w:tcPr>
            <w:tcW w:w="850" w:type="dxa"/>
            <w:tcBorders>
              <w:right w:val="single" w:color="000000" w:sz="16" w:space="0"/>
            </w:tcBorders>
            <w:vAlign w:val="center"/>
          </w:tcPr>
          <w:p>
            <w:pPr>
              <w:jc w:val="center"/>
              <w:rPr>
                <w:rFonts w:ascii="宋体" w:hAnsi="宋体" w:eastAsia="宋体" w:cs="宋体"/>
                <w:b/>
                <w:bCs/>
                <w:color w:val="auto"/>
                <w:spacing w:val="-2"/>
                <w:szCs w:val="21"/>
                <w:highlight w:val="none"/>
              </w:rPr>
            </w:pPr>
            <w:r>
              <w:rPr>
                <w:rFonts w:hint="eastAsia" w:ascii="宋体" w:hAnsi="宋体" w:eastAsia="宋体" w:cs="宋体"/>
                <w:b/>
                <w:bCs/>
                <w:color w:val="auto"/>
                <w:spacing w:val="-2"/>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2"/>
                <w:szCs w:val="21"/>
                <w:highlight w:val="none"/>
              </w:rPr>
              <w:t>喷药车</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辆</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2"/>
                <w:szCs w:val="21"/>
                <w:highlight w:val="none"/>
              </w:rPr>
              <w:t>绿篱</w:t>
            </w:r>
            <w:r>
              <w:rPr>
                <w:rFonts w:hint="eastAsia" w:ascii="宋体" w:hAnsi="宋体" w:eastAsia="宋体" w:cs="宋体"/>
                <w:color w:val="auto"/>
                <w:spacing w:val="-1"/>
                <w:szCs w:val="21"/>
                <w:highlight w:val="none"/>
              </w:rPr>
              <w:t>机</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3</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5"/>
                <w:szCs w:val="21"/>
                <w:highlight w:val="none"/>
              </w:rPr>
              <w:t>油锯</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4"/>
                <w:szCs w:val="21"/>
                <w:highlight w:val="none"/>
              </w:rPr>
              <w:t>吹</w:t>
            </w:r>
            <w:r>
              <w:rPr>
                <w:rFonts w:hint="eastAsia" w:ascii="宋体" w:hAnsi="宋体" w:eastAsia="宋体" w:cs="宋体"/>
                <w:color w:val="auto"/>
                <w:spacing w:val="-3"/>
                <w:szCs w:val="21"/>
                <w:highlight w:val="none"/>
              </w:rPr>
              <w:t>风机</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3"/>
                <w:szCs w:val="21"/>
                <w:highlight w:val="none"/>
              </w:rPr>
              <w:t>草</w:t>
            </w:r>
            <w:r>
              <w:rPr>
                <w:rFonts w:hint="eastAsia" w:ascii="宋体" w:hAnsi="宋体" w:eastAsia="宋体" w:cs="宋体"/>
                <w:color w:val="auto"/>
                <w:spacing w:val="-2"/>
                <w:szCs w:val="21"/>
                <w:highlight w:val="none"/>
              </w:rPr>
              <w:t>坪割灌车</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3"/>
                <w:szCs w:val="21"/>
                <w:highlight w:val="none"/>
              </w:rPr>
              <w:t>背</w:t>
            </w:r>
            <w:r>
              <w:rPr>
                <w:rFonts w:hint="eastAsia" w:ascii="宋体" w:hAnsi="宋体" w:eastAsia="宋体" w:cs="宋体"/>
                <w:color w:val="auto"/>
                <w:spacing w:val="-2"/>
                <w:szCs w:val="21"/>
                <w:highlight w:val="none"/>
              </w:rPr>
              <w:t>负式喷药机</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7</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6"/>
                <w:szCs w:val="21"/>
                <w:highlight w:val="none"/>
              </w:rPr>
              <w:t>高</w:t>
            </w:r>
            <w:r>
              <w:rPr>
                <w:rFonts w:hint="eastAsia" w:ascii="宋体" w:hAnsi="宋体" w:eastAsia="宋体" w:cs="宋体"/>
                <w:color w:val="auto"/>
                <w:spacing w:val="-5"/>
                <w:szCs w:val="21"/>
                <w:highlight w:val="none"/>
              </w:rPr>
              <w:t>空锯</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把</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6"/>
                <w:szCs w:val="21"/>
                <w:highlight w:val="none"/>
              </w:rPr>
              <w:t>高</w:t>
            </w:r>
            <w:r>
              <w:rPr>
                <w:rFonts w:hint="eastAsia" w:ascii="宋体" w:hAnsi="宋体" w:eastAsia="宋体" w:cs="宋体"/>
                <w:color w:val="auto"/>
                <w:spacing w:val="-5"/>
                <w:szCs w:val="21"/>
                <w:highlight w:val="none"/>
              </w:rPr>
              <w:t>空剪</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把</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4"/>
                <w:szCs w:val="21"/>
                <w:highlight w:val="none"/>
              </w:rPr>
              <w:t>水</w:t>
            </w:r>
            <w:r>
              <w:rPr>
                <w:rFonts w:hint="eastAsia" w:ascii="宋体" w:hAnsi="宋体" w:eastAsia="宋体" w:cs="宋体"/>
                <w:color w:val="auto"/>
                <w:spacing w:val="-2"/>
                <w:szCs w:val="21"/>
                <w:highlight w:val="none"/>
              </w:rPr>
              <w:t>泵</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12"/>
                <w:szCs w:val="21"/>
                <w:highlight w:val="none"/>
              </w:rPr>
              <w:t>台</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850" w:type="dxa"/>
            <w:vAlign w:val="center"/>
          </w:tcPr>
          <w:p>
            <w:pPr>
              <w:jc w:val="center"/>
              <w:rPr>
                <w:rFonts w:ascii="宋体" w:hAnsi="宋体" w:eastAsia="宋体" w:cs="宋体"/>
                <w:color w:val="auto"/>
                <w:spacing w:val="12"/>
                <w:szCs w:val="21"/>
                <w:highlight w:val="none"/>
              </w:rPr>
            </w:pPr>
            <w:r>
              <w:rPr>
                <w:rFonts w:hint="eastAsia" w:ascii="宋体" w:hAnsi="宋体" w:eastAsia="宋体" w:cs="宋体"/>
                <w:color w:val="auto"/>
                <w:spacing w:val="12"/>
                <w:szCs w:val="21"/>
                <w:highlight w:val="none"/>
              </w:rPr>
              <w:t>2</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5"/>
                <w:szCs w:val="21"/>
                <w:highlight w:val="none"/>
              </w:rPr>
              <w:t>1</w:t>
            </w:r>
            <w:r>
              <w:rPr>
                <w:rFonts w:hint="eastAsia" w:ascii="宋体" w:hAnsi="宋体" w:eastAsia="宋体" w:cs="宋体"/>
                <w:color w:val="auto"/>
                <w:spacing w:val="-4"/>
                <w:szCs w:val="21"/>
                <w:highlight w:val="none"/>
              </w:rPr>
              <w:t>0</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6"/>
                <w:szCs w:val="21"/>
                <w:highlight w:val="none"/>
              </w:rPr>
              <w:t>消</w:t>
            </w:r>
            <w:r>
              <w:rPr>
                <w:rFonts w:hint="eastAsia" w:ascii="宋体" w:hAnsi="宋体" w:eastAsia="宋体" w:cs="宋体"/>
                <w:color w:val="auto"/>
                <w:spacing w:val="-4"/>
                <w:szCs w:val="21"/>
                <w:highlight w:val="none"/>
              </w:rPr>
              <w:t>防水带</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3"/>
                <w:szCs w:val="21"/>
                <w:highlight w:val="none"/>
              </w:rPr>
              <w:t>(20米/条)</w:t>
            </w:r>
            <w:r>
              <w:rPr>
                <w:rFonts w:hint="eastAsia" w:ascii="宋体" w:hAnsi="宋体" w:eastAsia="宋体" w:cs="宋体"/>
                <w:color w:val="auto"/>
                <w:szCs w:val="21"/>
                <w:highlight w:val="none"/>
              </w:rPr>
              <w:t>条</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15</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20</w:t>
            </w:r>
          </w:p>
        </w:tc>
        <w:tc>
          <w:tcPr>
            <w:tcW w:w="850" w:type="dxa"/>
            <w:vAlign w:val="center"/>
          </w:tcPr>
          <w:p>
            <w:pPr>
              <w:jc w:val="center"/>
              <w:rPr>
                <w:rFonts w:ascii="宋体" w:hAnsi="宋体" w:eastAsia="宋体" w:cs="宋体"/>
                <w:color w:val="auto"/>
                <w:spacing w:val="3"/>
                <w:szCs w:val="21"/>
                <w:highlight w:val="none"/>
              </w:rPr>
            </w:pPr>
            <w:r>
              <w:rPr>
                <w:rFonts w:hint="eastAsia" w:ascii="宋体" w:hAnsi="宋体" w:eastAsia="宋体" w:cs="宋体"/>
                <w:color w:val="auto"/>
                <w:spacing w:val="12"/>
                <w:szCs w:val="21"/>
                <w:highlight w:val="none"/>
              </w:rPr>
              <w:t>2</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5"/>
                <w:szCs w:val="21"/>
                <w:highlight w:val="none"/>
              </w:rPr>
              <w:t>1</w:t>
            </w:r>
            <w:r>
              <w:rPr>
                <w:rFonts w:hint="eastAsia" w:ascii="宋体" w:hAnsi="宋体" w:eastAsia="宋体" w:cs="宋体"/>
                <w:color w:val="auto"/>
                <w:spacing w:val="-4"/>
                <w:szCs w:val="21"/>
                <w:highlight w:val="none"/>
              </w:rPr>
              <w:t>1</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7"/>
                <w:szCs w:val="21"/>
                <w:highlight w:val="none"/>
              </w:rPr>
              <w:t>大</w:t>
            </w:r>
            <w:r>
              <w:rPr>
                <w:rFonts w:hint="eastAsia" w:ascii="宋体" w:hAnsi="宋体" w:eastAsia="宋体" w:cs="宋体"/>
                <w:color w:val="auto"/>
                <w:spacing w:val="-5"/>
                <w:szCs w:val="21"/>
                <w:highlight w:val="none"/>
              </w:rPr>
              <w:t>修枝剪</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把</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5</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12"/>
                <w:szCs w:val="21"/>
                <w:highlight w:val="none"/>
              </w:rPr>
              <w:t>2</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5"/>
                <w:szCs w:val="21"/>
                <w:highlight w:val="none"/>
              </w:rPr>
              <w:t>1</w:t>
            </w:r>
            <w:r>
              <w:rPr>
                <w:rFonts w:hint="eastAsia" w:ascii="宋体" w:hAnsi="宋体" w:eastAsia="宋体" w:cs="宋体"/>
                <w:color w:val="auto"/>
                <w:spacing w:val="-4"/>
                <w:szCs w:val="21"/>
                <w:highlight w:val="none"/>
              </w:rPr>
              <w:t>2</w:t>
            </w:r>
          </w:p>
        </w:tc>
        <w:tc>
          <w:tcPr>
            <w:tcW w:w="113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7"/>
                <w:szCs w:val="21"/>
                <w:highlight w:val="none"/>
              </w:rPr>
              <w:t>小</w:t>
            </w:r>
            <w:r>
              <w:rPr>
                <w:rFonts w:hint="eastAsia" w:ascii="宋体" w:hAnsi="宋体" w:eastAsia="宋体" w:cs="宋体"/>
                <w:color w:val="auto"/>
                <w:spacing w:val="-5"/>
                <w:szCs w:val="21"/>
                <w:highlight w:val="none"/>
              </w:rPr>
              <w:t>修枝剪</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把</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vAlign w:val="center"/>
          </w:tcPr>
          <w:p>
            <w:pPr>
              <w:widowControl/>
              <w:jc w:val="center"/>
              <w:textAlignment w:val="center"/>
              <w:rPr>
                <w:rFonts w:ascii="宋体" w:hAnsi="宋体" w:eastAsia="宋体" w:cs="宋体"/>
                <w:color w:val="auto"/>
                <w:szCs w:val="21"/>
                <w:highlight w:val="none"/>
              </w:rPr>
            </w:pPr>
            <w:r>
              <w:rPr>
                <w:rFonts w:hint="eastAsia" w:ascii="宋体" w:hAnsi="宋体" w:eastAsia="宋体" w:cs="宋体"/>
                <w:color w:val="auto"/>
                <w:kern w:val="0"/>
                <w:szCs w:val="21"/>
                <w:highlight w:val="none"/>
                <w:lang w:bidi="ar"/>
              </w:rPr>
              <w:t>2</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12"/>
                <w:szCs w:val="21"/>
                <w:highlight w:val="none"/>
              </w:rPr>
              <w:t>2</w:t>
            </w:r>
          </w:p>
        </w:tc>
        <w:tc>
          <w:tcPr>
            <w:tcW w:w="850" w:type="dxa"/>
            <w:tcBorders>
              <w:right w:val="single" w:color="000000" w:sz="16" w:space="0"/>
            </w:tcBorders>
            <w:vAlign w:val="center"/>
          </w:tcPr>
          <w:p>
            <w:pPr>
              <w:jc w:val="center"/>
              <w:rPr>
                <w:rFonts w:ascii="宋体" w:hAnsi="宋体" w:eastAsia="宋体" w:cs="宋体"/>
                <w:color w:val="auto"/>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13</w:t>
            </w:r>
          </w:p>
        </w:tc>
        <w:tc>
          <w:tcPr>
            <w:tcW w:w="1138" w:type="dxa"/>
            <w:vAlign w:val="center"/>
          </w:tcPr>
          <w:p>
            <w:pPr>
              <w:jc w:val="center"/>
              <w:rPr>
                <w:rFonts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背式割草机</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2</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Borders>
              <w:right w:val="single" w:color="000000" w:sz="16" w:space="0"/>
            </w:tcBorders>
            <w:vAlign w:val="center"/>
          </w:tcPr>
          <w:p>
            <w:pPr>
              <w:jc w:val="center"/>
              <w:rPr>
                <w:rFonts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vAlign w:val="center"/>
          </w:tcPr>
          <w:p>
            <w:pPr>
              <w:jc w:val="center"/>
              <w:rPr>
                <w:rFonts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14</w:t>
            </w:r>
          </w:p>
        </w:tc>
        <w:tc>
          <w:tcPr>
            <w:tcW w:w="1138" w:type="dxa"/>
            <w:vAlign w:val="center"/>
          </w:tcPr>
          <w:p>
            <w:pPr>
              <w:jc w:val="center"/>
              <w:rPr>
                <w:rFonts w:ascii="宋体" w:hAnsi="宋体" w:eastAsia="宋体" w:cs="宋体"/>
                <w:color w:val="auto"/>
                <w:spacing w:val="-2"/>
                <w:szCs w:val="21"/>
                <w:highlight w:val="none"/>
              </w:rPr>
            </w:pPr>
            <w:r>
              <w:rPr>
                <w:rFonts w:hint="eastAsia" w:ascii="宋体" w:hAnsi="宋体" w:eastAsia="宋体" w:cs="宋体"/>
                <w:color w:val="auto"/>
                <w:spacing w:val="-2"/>
                <w:szCs w:val="21"/>
                <w:highlight w:val="none"/>
              </w:rPr>
              <w:t>粉碎机</w:t>
            </w:r>
          </w:p>
        </w:tc>
        <w:tc>
          <w:tcPr>
            <w:tcW w:w="14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台</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vAlign w:val="center"/>
          </w:tcPr>
          <w:p>
            <w:pPr>
              <w:widowControl/>
              <w:jc w:val="center"/>
              <w:textAlignment w:val="center"/>
              <w:rPr>
                <w:rFonts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0</w:t>
            </w:r>
          </w:p>
        </w:tc>
        <w:tc>
          <w:tcPr>
            <w:tcW w:w="850"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850" w:type="dxa"/>
            <w:tcBorders>
              <w:right w:val="single" w:color="000000" w:sz="16" w:space="0"/>
            </w:tcBorders>
            <w:vAlign w:val="center"/>
          </w:tcPr>
          <w:p>
            <w:pPr>
              <w:jc w:val="center"/>
              <w:rPr>
                <w:rFonts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园区专用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4" w:hRule="atLeast"/>
          <w:jc w:val="center"/>
        </w:trPr>
        <w:tc>
          <w:tcPr>
            <w:tcW w:w="518" w:type="dxa"/>
            <w:tcBorders>
              <w:left w:val="single" w:color="000000" w:sz="16" w:space="0"/>
            </w:tcBorders>
          </w:tcPr>
          <w:p>
            <w:pPr>
              <w:jc w:val="center"/>
              <w:rPr>
                <w:rFonts w:ascii="宋体" w:hAnsi="宋体" w:eastAsia="宋体" w:cs="宋体"/>
                <w:color w:val="auto"/>
                <w:spacing w:val="-5"/>
                <w:szCs w:val="21"/>
                <w:highlight w:val="none"/>
              </w:rPr>
            </w:pPr>
            <w:r>
              <w:rPr>
                <w:rFonts w:hint="eastAsia" w:ascii="宋体" w:hAnsi="宋体" w:eastAsia="宋体" w:cs="宋体"/>
                <w:color w:val="auto"/>
                <w:spacing w:val="-5"/>
                <w:szCs w:val="21"/>
                <w:highlight w:val="none"/>
              </w:rPr>
              <w:t>15</w:t>
            </w:r>
          </w:p>
        </w:tc>
        <w:tc>
          <w:tcPr>
            <w:tcW w:w="7653" w:type="dxa"/>
            <w:gridSpan w:val="8"/>
          </w:tcPr>
          <w:p>
            <w:pPr>
              <w:jc w:val="left"/>
              <w:rPr>
                <w:rFonts w:ascii="宋体" w:hAnsi="宋体" w:eastAsia="宋体" w:cs="宋体"/>
                <w:color w:val="auto"/>
                <w:szCs w:val="21"/>
                <w:highlight w:val="none"/>
              </w:rPr>
            </w:pPr>
            <w:r>
              <w:rPr>
                <w:rFonts w:hint="eastAsia" w:ascii="宋体" w:hAnsi="宋体" w:eastAsia="宋体" w:cs="宋体"/>
                <w:color w:val="auto"/>
                <w:spacing w:val="-2"/>
                <w:szCs w:val="21"/>
                <w:highlight w:val="none"/>
              </w:rPr>
              <w:t>养护过程中需要使用的大小锄头、铁铲、水管、耙子、箩筐、柴刀、扫把、老虎钳、洋稿、畚斗、斗车等工具根据现场情况配备</w:t>
            </w:r>
          </w:p>
        </w:tc>
        <w:tc>
          <w:tcPr>
            <w:tcW w:w="850" w:type="dxa"/>
            <w:tcBorders>
              <w:right w:val="single" w:color="000000" w:sz="16" w:space="0"/>
            </w:tcBorders>
          </w:tcPr>
          <w:p>
            <w:pPr>
              <w:jc w:val="center"/>
              <w:rPr>
                <w:rFonts w:ascii="宋体" w:hAnsi="宋体" w:eastAsia="宋体" w:cs="宋体"/>
                <w:color w:val="auto"/>
                <w:spacing w:val="-8"/>
                <w:szCs w:val="21"/>
                <w:highlight w:val="none"/>
              </w:rPr>
            </w:pPr>
            <w:r>
              <w:rPr>
                <w:rFonts w:hint="eastAsia" w:ascii="宋体" w:hAnsi="宋体" w:eastAsia="宋体" w:cs="宋体"/>
                <w:color w:val="auto"/>
                <w:spacing w:val="-8"/>
                <w:szCs w:val="21"/>
                <w:highlight w:val="none"/>
              </w:rPr>
              <w:t>园区专用</w:t>
            </w:r>
          </w:p>
        </w:tc>
      </w:tr>
    </w:tbl>
    <w:p>
      <w:pPr>
        <w:spacing w:line="560" w:lineRule="exact"/>
        <w:rPr>
          <w:rFonts w:ascii="宋体" w:hAnsi="宋体" w:eastAsia="宋体" w:cs="宋体"/>
          <w:b/>
          <w:bCs/>
          <w:color w:val="auto"/>
          <w:sz w:val="24"/>
          <w:highlight w:val="none"/>
          <w:u w:val="single"/>
        </w:rPr>
      </w:pPr>
      <w:r>
        <w:rPr>
          <w:rFonts w:hint="eastAsia" w:ascii="宋体" w:hAnsi="宋体" w:eastAsia="宋体" w:cs="宋体"/>
          <w:color w:val="auto"/>
          <w:sz w:val="24"/>
          <w:highlight w:val="none"/>
        </w:rPr>
        <w:t>注：</w:t>
      </w:r>
      <w:r>
        <w:rPr>
          <w:rFonts w:hint="eastAsia" w:ascii="宋体" w:hAnsi="宋体" w:eastAsia="宋体" w:cs="宋体"/>
          <w:color w:val="auto"/>
          <w:sz w:val="24"/>
          <w:highlight w:val="none"/>
          <w:u w:val="single"/>
        </w:rPr>
        <w:t>中标人必须按实施单位的要求提供以上品种、数量和完好能正常使用的设备，且存储在园区规定仓库内或点位上。</w:t>
      </w:r>
    </w:p>
    <w:p>
      <w:pPr>
        <w:spacing w:line="560" w:lineRule="exact"/>
        <w:ind w:firstLine="480" w:firstLineChars="200"/>
        <w:outlineLvl w:val="1"/>
        <w:rPr>
          <w:rFonts w:ascii="宋体" w:hAnsi="宋体" w:eastAsia="宋体" w:cs="宋体"/>
          <w:color w:val="auto"/>
          <w:sz w:val="24"/>
          <w:highlight w:val="none"/>
        </w:rPr>
      </w:pPr>
      <w:r>
        <w:rPr>
          <w:rFonts w:hint="eastAsia" w:ascii="宋体" w:hAnsi="宋体" w:eastAsia="宋体" w:cs="宋体"/>
          <w:color w:val="auto"/>
          <w:sz w:val="24"/>
          <w:highlight w:val="none"/>
        </w:rPr>
        <w:t>（四）、安保</w:t>
      </w:r>
    </w:p>
    <w:p>
      <w:pPr>
        <w:pStyle w:val="31"/>
        <w:spacing w:line="560" w:lineRule="exact"/>
        <w:ind w:firstLine="482" w:firstLineChars="200"/>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1、工作模式、人员和工具要求</w:t>
      </w:r>
    </w:p>
    <w:p>
      <w:pPr>
        <w:pStyle w:val="31"/>
        <w:spacing w:line="56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（1）温泉公园工作模式和人员要求</w:t>
      </w:r>
    </w:p>
    <w:p>
      <w:pPr>
        <w:spacing w:line="560" w:lineRule="exact"/>
        <w:ind w:firstLine="420"/>
        <w:rPr>
          <w:rFonts w:ascii="宋体" w:hAnsi="宋体" w:eastAsia="宋体" w:cs="宋体"/>
          <w:color w:val="auto"/>
          <w:sz w:val="24"/>
          <w:highlight w:val="none"/>
        </w:rPr>
      </w:pPr>
      <w:r>
        <w:rPr>
          <w:rFonts w:hint="eastAsia" w:ascii="宋体" w:hAnsi="宋体" w:eastAsia="宋体" w:cs="宋体"/>
          <w:color w:val="auto"/>
          <w:spacing w:val="-18"/>
          <w:sz w:val="24"/>
          <w:highlight w:val="none"/>
        </w:rPr>
        <w:t>安</w:t>
      </w:r>
      <w:r>
        <w:rPr>
          <w:rFonts w:hint="eastAsia" w:ascii="宋体" w:hAnsi="宋体" w:eastAsia="宋体" w:cs="宋体"/>
          <w:color w:val="auto"/>
          <w:spacing w:val="-15"/>
          <w:sz w:val="24"/>
          <w:highlight w:val="none"/>
        </w:rPr>
        <w:t>保工作分为监控岗、门卫岗及巡逻岗，其中监控岗1处，配置1名安保人</w:t>
      </w:r>
      <w:r>
        <w:rPr>
          <w:rFonts w:hint="eastAsia" w:ascii="宋体" w:hAnsi="宋体" w:eastAsia="宋体" w:cs="宋体"/>
          <w:color w:val="auto"/>
          <w:spacing w:val="-28"/>
          <w:sz w:val="24"/>
          <w:highlight w:val="none"/>
        </w:rPr>
        <w:t>员</w:t>
      </w:r>
      <w:r>
        <w:rPr>
          <w:rFonts w:hint="eastAsia" w:ascii="宋体" w:hAnsi="宋体" w:eastAsia="宋体" w:cs="宋体"/>
          <w:color w:val="auto"/>
          <w:spacing w:val="-17"/>
          <w:sz w:val="24"/>
          <w:highlight w:val="none"/>
        </w:rPr>
        <w:t>，</w:t>
      </w:r>
      <w:r>
        <w:rPr>
          <w:rFonts w:hint="eastAsia" w:ascii="宋体" w:hAnsi="宋体" w:eastAsia="宋体" w:cs="宋体"/>
          <w:color w:val="auto"/>
          <w:spacing w:val="-14"/>
          <w:sz w:val="24"/>
          <w:highlight w:val="none"/>
        </w:rPr>
        <w:t>开展24小时执勤，每日安排3班作业，共需安保人员3名。门卫岗4处，</w:t>
      </w:r>
      <w:r>
        <w:rPr>
          <w:rFonts w:hint="eastAsia" w:ascii="宋体" w:hAnsi="宋体" w:eastAsia="宋体" w:cs="宋体"/>
          <w:color w:val="auto"/>
          <w:spacing w:val="-10"/>
          <w:sz w:val="24"/>
          <w:highlight w:val="none"/>
        </w:rPr>
        <w:t>包括：公</w:t>
      </w:r>
      <w:r>
        <w:rPr>
          <w:rFonts w:hint="eastAsia" w:ascii="宋体" w:hAnsi="宋体" w:eastAsia="宋体" w:cs="宋体"/>
          <w:color w:val="auto"/>
          <w:spacing w:val="-9"/>
          <w:sz w:val="24"/>
          <w:highlight w:val="none"/>
        </w:rPr>
        <w:t>园</w:t>
      </w:r>
      <w:r>
        <w:rPr>
          <w:rFonts w:hint="eastAsia" w:ascii="宋体" w:hAnsi="宋体" w:eastAsia="宋体" w:cs="宋体"/>
          <w:color w:val="auto"/>
          <w:spacing w:val="-5"/>
          <w:sz w:val="24"/>
          <w:highlight w:val="none"/>
        </w:rPr>
        <w:t>北门、西门、南门、2号岗，每个岗位配置1名安保人员，开展16</w:t>
      </w:r>
      <w:r>
        <w:rPr>
          <w:rFonts w:hint="eastAsia" w:ascii="宋体" w:hAnsi="宋体" w:eastAsia="宋体" w:cs="宋体"/>
          <w:color w:val="auto"/>
          <w:spacing w:val="-12"/>
          <w:sz w:val="24"/>
          <w:highlight w:val="none"/>
        </w:rPr>
        <w:t>小时执勤，每日安排2班作业，共需安保人员8名。</w:t>
      </w:r>
      <w:r>
        <w:rPr>
          <w:rFonts w:hint="eastAsia" w:ascii="宋体" w:hAnsi="宋体" w:eastAsia="宋体" w:cs="宋体"/>
          <w:color w:val="auto"/>
          <w:spacing w:val="-30"/>
          <w:sz w:val="24"/>
          <w:highlight w:val="none"/>
        </w:rPr>
        <w:t>开</w:t>
      </w:r>
      <w:r>
        <w:rPr>
          <w:rFonts w:hint="eastAsia" w:ascii="宋体" w:hAnsi="宋体" w:eastAsia="宋体" w:cs="宋体"/>
          <w:color w:val="auto"/>
          <w:spacing w:val="-18"/>
          <w:sz w:val="24"/>
          <w:highlight w:val="none"/>
        </w:rPr>
        <w:t>展24小时巡逻执勤，每日安排3班作业，共需配置安保人员12名，结合公园实际情况，</w:t>
      </w:r>
      <w:r>
        <w:rPr>
          <w:rFonts w:hint="eastAsia" w:ascii="宋体" w:hAnsi="宋体" w:eastAsia="宋体" w:cs="宋体"/>
          <w:color w:val="auto"/>
          <w:spacing w:val="-9"/>
          <w:sz w:val="24"/>
          <w:highlight w:val="none"/>
        </w:rPr>
        <w:t>夜间(22:00-06:00)增加巡逻人员2名，巡逻安保共14名。同时需配置</w:t>
      </w:r>
      <w:r>
        <w:rPr>
          <w:rFonts w:hint="eastAsia" w:ascii="宋体" w:hAnsi="宋体" w:eastAsia="宋体" w:cs="宋体"/>
          <w:color w:val="auto"/>
          <w:spacing w:val="-24"/>
          <w:sz w:val="24"/>
          <w:highlight w:val="none"/>
        </w:rPr>
        <w:t>安</w:t>
      </w:r>
      <w:r>
        <w:rPr>
          <w:rFonts w:hint="eastAsia" w:ascii="宋体" w:hAnsi="宋体" w:eastAsia="宋体" w:cs="宋体"/>
          <w:color w:val="auto"/>
          <w:spacing w:val="-14"/>
          <w:sz w:val="24"/>
          <w:highlight w:val="none"/>
        </w:rPr>
        <w:t>保队长2名，统筹管理安保工作。</w:t>
      </w:r>
    </w:p>
    <w:p>
      <w:pPr>
        <w:pStyle w:val="31"/>
        <w:spacing w:line="56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（2）屏山公园工作模式和人员要求</w:t>
      </w:r>
    </w:p>
    <w:p>
      <w:pPr>
        <w:spacing w:line="560" w:lineRule="exact"/>
        <w:ind w:firstLine="640"/>
        <w:rPr>
          <w:rFonts w:ascii="宋体" w:hAnsi="宋体" w:eastAsia="宋体" w:cs="宋体"/>
          <w:bCs/>
          <w:color w:val="auto"/>
          <w:sz w:val="24"/>
          <w:highlight w:val="none"/>
        </w:rPr>
      </w:pPr>
      <w:r>
        <w:rPr>
          <w:rFonts w:hint="eastAsia" w:ascii="宋体" w:hAnsi="宋体" w:eastAsia="宋体" w:cs="宋体"/>
          <w:bCs/>
          <w:color w:val="auto"/>
          <w:sz w:val="24"/>
          <w:highlight w:val="none"/>
        </w:rPr>
        <w:t>安保工作分为监控岗、门卫岗及巡逻岗，其中监控岗1处，配置1名安保人员，开展24小时执勤，每日安排3班作业，共需安保人员3名。固定岗3处，每个岗位配置1名安保人员，开展16小时执勤，每日安排2班作业，共需安保人员6名。巡逻岗配置1名安保人员，开展24小时执勤，每日安排3班作业，共需配置安保人员3名，结合公园实际情况，夜间（22:00-06:00）巡逻增加1名安保人员，巡逻安保共4名。同时需配置安保队长2名，白班晚班各1人，统筹管理安保工作。并配备安保设备。</w:t>
      </w:r>
    </w:p>
    <w:p>
      <w:pPr>
        <w:pStyle w:val="31"/>
        <w:spacing w:line="560" w:lineRule="exact"/>
        <w:ind w:firstLine="480" w:firstLineChars="200"/>
        <w:rPr>
          <w:rFonts w:ascii="宋体" w:hAnsi="宋体" w:eastAsia="宋体" w:cs="宋体"/>
          <w:bCs/>
          <w:color w:val="auto"/>
          <w:sz w:val="24"/>
          <w:highlight w:val="none"/>
        </w:rPr>
      </w:pPr>
      <w:r>
        <w:rPr>
          <w:rFonts w:hint="eastAsia" w:ascii="宋体" w:hAnsi="宋体" w:eastAsia="宋体" w:cs="宋体"/>
          <w:color w:val="auto"/>
          <w:sz w:val="24"/>
          <w:highlight w:val="none"/>
        </w:rPr>
        <w:t>（3</w:t>
      </w:r>
      <w:r>
        <w:rPr>
          <w:rFonts w:hint="eastAsia" w:ascii="宋体" w:hAnsi="宋体" w:eastAsia="宋体" w:cs="宋体"/>
          <w:bCs/>
          <w:color w:val="auto"/>
          <w:sz w:val="24"/>
          <w:highlight w:val="none"/>
        </w:rPr>
        <w:t>）冶山公园工作模式和人员要求</w:t>
      </w:r>
    </w:p>
    <w:p>
      <w:pPr>
        <w:spacing w:line="560" w:lineRule="exact"/>
        <w:ind w:firstLine="640"/>
        <w:rPr>
          <w:rFonts w:ascii="宋体" w:hAnsi="宋体" w:eastAsia="宋体" w:cs="宋体"/>
          <w:color w:val="auto"/>
          <w:sz w:val="24"/>
          <w:highlight w:val="none"/>
        </w:rPr>
      </w:pPr>
      <w:r>
        <w:rPr>
          <w:rFonts w:hint="eastAsia" w:ascii="宋体" w:hAnsi="宋体" w:eastAsia="宋体" w:cs="宋体"/>
          <w:color w:val="auto"/>
          <w:sz w:val="24"/>
          <w:highlight w:val="none"/>
        </w:rPr>
        <w:t>安保工作分为监控岗、门卫岗及巡逻岗，其中监控岗 1 处，配置1名安保人员，开展24小时执勤，每日安排3班作业，共需安保人员3名。门卫固定岗1处，配置1名安保人员，开展16小时执勤，每日安排2班作业，共需安保人2员名。开展24小时巡逻执勤，每日安排3班作业，共需配置安保人员3名，结合公园实际情况，夜间（22:00-06:00）1名巡逻安保人员，巡逻安保共3名。同时需配置安保队长1名，统筹管理安保工作。</w:t>
      </w:r>
    </w:p>
    <w:p>
      <w:pPr>
        <w:widowControl/>
        <w:spacing w:line="56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（4</w:t>
      </w:r>
      <w:r>
        <w:rPr>
          <w:rFonts w:hint="eastAsia" w:ascii="宋体" w:hAnsi="宋体" w:eastAsia="宋体" w:cs="宋体"/>
          <w:bCs/>
          <w:color w:val="auto"/>
          <w:sz w:val="24"/>
          <w:highlight w:val="none"/>
        </w:rPr>
        <w:t>）</w:t>
      </w:r>
      <w:r>
        <w:rPr>
          <w:rFonts w:hint="eastAsia" w:ascii="宋体" w:hAnsi="宋体" w:eastAsia="宋体" w:cs="宋体"/>
          <w:color w:val="auto"/>
          <w:sz w:val="24"/>
          <w:highlight w:val="none"/>
        </w:rPr>
        <w:t>乌山(一期）工作模式和人员要求</w:t>
      </w:r>
    </w:p>
    <w:p>
      <w:pPr>
        <w:widowControl/>
        <w:spacing w:line="560" w:lineRule="exact"/>
        <w:ind w:firstLine="640"/>
        <w:jc w:val="left"/>
        <w:rPr>
          <w:rFonts w:ascii="宋体" w:hAnsi="宋体" w:eastAsia="宋体" w:cs="宋体"/>
          <w:color w:val="auto"/>
          <w:sz w:val="24"/>
          <w:highlight w:val="none"/>
        </w:rPr>
      </w:pPr>
      <w:r>
        <w:rPr>
          <w:rFonts w:hint="eastAsia" w:ascii="宋体" w:hAnsi="宋体" w:eastAsia="宋体" w:cs="宋体"/>
          <w:color w:val="auto"/>
          <w:sz w:val="24"/>
          <w:highlight w:val="none"/>
        </w:rPr>
        <w:t>安保工作分为监控岗、门卫岗及巡逻岗，其中监控岗 1 处，配置1名安保人员，开展24小时执勤，每日安排3班作业，共需安保人员3名。门卫岗6处，每个岗位配置1名安保人员，开展16小时执勤，每日安排2班作业，共需安保人员12名。巡逻岗3个，开展24小时执勤，每日安排3班作业，共需配置安保人员9名，结合公园实际情况，夜间（22:00-06:00）增加巡逻人员3名，巡逻安保共12名。同时需配置安保队长2名，统筹管理安保工作。安保作业安排表：</w:t>
      </w:r>
    </w:p>
    <w:p>
      <w:pPr>
        <w:widowControl/>
        <w:spacing w:line="560" w:lineRule="exact"/>
        <w:ind w:firstLine="641"/>
        <w:jc w:val="left"/>
        <w:rPr>
          <w:rFonts w:ascii="宋体" w:hAnsi="宋体" w:eastAsia="宋体" w:cs="宋体"/>
          <w:color w:val="auto"/>
          <w:sz w:val="24"/>
          <w:highlight w:val="none"/>
        </w:rPr>
      </w:pPr>
      <w:r>
        <w:rPr>
          <w:rFonts w:hint="eastAsia" w:ascii="宋体" w:hAnsi="宋体" w:eastAsia="宋体" w:cs="宋体"/>
          <w:color w:val="auto"/>
          <w:sz w:val="24"/>
          <w:highlight w:val="none"/>
        </w:rPr>
        <w:t>（5）乌山(二期）公园工作模式</w:t>
      </w:r>
      <w:r>
        <w:rPr>
          <w:rFonts w:hint="eastAsia" w:ascii="宋体" w:hAnsi="宋体" w:eastAsia="宋体" w:cs="宋体"/>
          <w:bCs/>
          <w:color w:val="auto"/>
          <w:sz w:val="24"/>
          <w:highlight w:val="none"/>
        </w:rPr>
        <w:t>和人员要求</w:t>
      </w:r>
    </w:p>
    <w:p>
      <w:pPr>
        <w:widowControl/>
        <w:spacing w:line="560" w:lineRule="exact"/>
        <w:ind w:firstLine="640"/>
        <w:jc w:val="left"/>
        <w:rPr>
          <w:rFonts w:ascii="宋体" w:hAnsi="宋体" w:eastAsia="宋体" w:cs="宋体"/>
          <w:color w:val="auto"/>
          <w:sz w:val="24"/>
          <w:highlight w:val="none"/>
        </w:rPr>
      </w:pPr>
      <w:r>
        <w:rPr>
          <w:rFonts w:hint="eastAsia" w:ascii="宋体" w:hAnsi="宋体" w:eastAsia="宋体" w:cs="宋体"/>
          <w:color w:val="auto"/>
          <w:sz w:val="24"/>
          <w:highlight w:val="none"/>
        </w:rPr>
        <w:t>安保工作分为监控岗、门卫岗及巡逻岗，其中监控岗1处，配置1名安保人员，开展24小时执勤，每日安排3班作业，共需安保人员3名。门卫岗4处，每个岗位配置1名安保人员，开展16小时执勤，每日安排2班作业，共需安保人员8名。夜间固定岗2处，开展8小时执勤，共需安保人员2人，全园开展24小时巡逻执勤，每日安排3班作业，共需配置安保人员4名。同时需配置安保队长1名，统筹管理安保工作。</w:t>
      </w:r>
    </w:p>
    <w:p>
      <w:pPr>
        <w:pStyle w:val="28"/>
        <w:spacing w:line="560" w:lineRule="exact"/>
        <w:ind w:left="641" w:firstLine="0"/>
        <w:rPr>
          <w:rFonts w:ascii="宋体" w:hAnsi="宋体" w:eastAsia="宋体" w:cs="宋体"/>
          <w:bCs/>
          <w:color w:val="auto"/>
          <w:sz w:val="24"/>
          <w:highlight w:val="none"/>
        </w:rPr>
      </w:pPr>
      <w:r>
        <w:rPr>
          <w:rFonts w:hint="eastAsia" w:ascii="宋体" w:hAnsi="宋体" w:eastAsia="宋体" w:cs="宋体"/>
          <w:bCs/>
          <w:color w:val="auto"/>
          <w:sz w:val="24"/>
          <w:highlight w:val="none"/>
        </w:rPr>
        <w:t>（6）黎明湖公园</w:t>
      </w:r>
      <w:r>
        <w:rPr>
          <w:rFonts w:hint="eastAsia" w:ascii="宋体" w:hAnsi="宋体" w:eastAsia="宋体" w:cs="宋体"/>
          <w:color w:val="auto"/>
          <w:sz w:val="24"/>
          <w:highlight w:val="none"/>
        </w:rPr>
        <w:t>工作模式</w:t>
      </w:r>
      <w:r>
        <w:rPr>
          <w:rFonts w:hint="eastAsia" w:ascii="宋体" w:hAnsi="宋体" w:eastAsia="宋体" w:cs="宋体"/>
          <w:bCs/>
          <w:color w:val="auto"/>
          <w:sz w:val="24"/>
          <w:highlight w:val="none"/>
        </w:rPr>
        <w:t>和人员要求</w:t>
      </w:r>
    </w:p>
    <w:p>
      <w:pPr>
        <w:pStyle w:val="28"/>
        <w:spacing w:line="560" w:lineRule="exact"/>
        <w:ind w:firstLine="640"/>
        <w:rPr>
          <w:rFonts w:ascii="宋体" w:hAnsi="宋体" w:eastAsia="宋体" w:cs="宋体"/>
          <w:color w:val="auto"/>
          <w:sz w:val="24"/>
          <w:highlight w:val="none"/>
        </w:rPr>
      </w:pPr>
      <w:r>
        <w:rPr>
          <w:rFonts w:hint="eastAsia" w:ascii="宋体" w:hAnsi="宋体" w:eastAsia="宋体" w:cs="宋体"/>
          <w:color w:val="auto"/>
          <w:sz w:val="24"/>
          <w:highlight w:val="none"/>
        </w:rPr>
        <w:t>安保工作分为监控岗、门卫岗及巡逻岗，其中监控岗1处，配置1名安保人员，开展24小时执勤，每日安排3班作业，共需安保人员3名。门卫岗3处，每个岗位配置1名安保人员，开展16小时执勤，每日安排2班作业，共需安保人员6名。开展24小时执勤，每日安排3班作业，共需配置安保人员9名。同时需配置安保队长2名，统筹管理安保工作。</w:t>
      </w:r>
    </w:p>
    <w:p>
      <w:pPr>
        <w:pStyle w:val="28"/>
        <w:spacing w:line="560" w:lineRule="exact"/>
        <w:ind w:firstLine="640"/>
        <w:jc w:val="center"/>
        <w:rPr>
          <w:rFonts w:ascii="宋体" w:hAnsi="宋体" w:eastAsia="宋体" w:cs="宋体"/>
          <w:bCs/>
          <w:color w:val="auto"/>
          <w:sz w:val="24"/>
          <w:highlight w:val="none"/>
        </w:rPr>
      </w:pPr>
      <w:r>
        <w:rPr>
          <w:rFonts w:hint="eastAsia" w:ascii="宋体" w:hAnsi="宋体" w:eastAsia="宋体" w:cs="宋体"/>
          <w:color w:val="auto"/>
          <w:sz w:val="24"/>
          <w:highlight w:val="none"/>
        </w:rPr>
        <w:t>各公园保安人员数量表</w:t>
      </w:r>
    </w:p>
    <w:tbl>
      <w:tblPr>
        <w:tblStyle w:val="16"/>
        <w:tblW w:w="852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534"/>
        <w:gridCol w:w="737"/>
        <w:gridCol w:w="737"/>
        <w:gridCol w:w="1417"/>
        <w:gridCol w:w="850"/>
        <w:gridCol w:w="850"/>
        <w:gridCol w:w="850"/>
        <w:gridCol w:w="850"/>
        <w:gridCol w:w="850"/>
        <w:gridCol w:w="85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作业</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内容</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作业频次</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时间安排</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乌山一期（人）</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乌山二期（人）</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黎明湖公园（人）</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温泉公园（人）</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冶山公园（人）</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屏山公园（人）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监控</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室安保</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24 小时/日</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06:00-14:00</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14:00-22:00</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22:00-06:00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门卫</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安保</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16 小时/日</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06:00-14:00</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14:00-22:00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巡逻</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安保</w:t>
            </w:r>
          </w:p>
        </w:tc>
        <w:tc>
          <w:tcPr>
            <w:tcW w:w="73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24 小时/日</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06:00-14:00</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14:00-22:00</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22:00-06:00</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9</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14</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8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737"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安保</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队长</w:t>
            </w:r>
          </w:p>
        </w:tc>
        <w:tc>
          <w:tcPr>
            <w:tcW w:w="737"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16 小时/日</w:t>
            </w:r>
          </w:p>
        </w:tc>
        <w:tc>
          <w:tcPr>
            <w:tcW w:w="1417"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06:00-14:00</w:t>
            </w:r>
          </w:p>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14:00-22:00</w:t>
            </w:r>
          </w:p>
        </w:tc>
        <w:tc>
          <w:tcPr>
            <w:tcW w:w="85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85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53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合计</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73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19</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27</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10</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15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36" w:hRule="atLeast"/>
          <w:jc w:val="center"/>
        </w:trPr>
        <w:tc>
          <w:tcPr>
            <w:tcW w:w="8525" w:type="dxa"/>
            <w:gridSpan w:val="10"/>
            <w:tcBorders>
              <w:top w:val="single" w:color="auto" w:sz="4" w:space="0"/>
              <w:left w:val="nil"/>
              <w:bottom w:val="nil"/>
              <w:right w:val="nil"/>
            </w:tcBorders>
            <w:vAlign w:val="center"/>
          </w:tcPr>
          <w:p>
            <w:pPr>
              <w:keepNext w:val="0"/>
              <w:keepLines w:val="0"/>
              <w:pageBreakBefore w:val="0"/>
              <w:widowControl/>
              <w:kinsoku/>
              <w:wordWrap/>
              <w:overflowPunct/>
              <w:topLinePunct w:val="0"/>
              <w:autoSpaceDE/>
              <w:autoSpaceDN/>
              <w:bidi w:val="0"/>
              <w:adjustRightInd/>
              <w:snapToGrid/>
              <w:spacing w:line="500" w:lineRule="exact"/>
              <w:textAlignment w:val="auto"/>
              <w:rPr>
                <w:rFonts w:ascii="宋体" w:hAnsi="宋体" w:eastAsia="宋体" w:cs="宋体"/>
                <w:color w:val="auto"/>
                <w:sz w:val="24"/>
                <w:szCs w:val="24"/>
                <w:highlight w:val="none"/>
              </w:rPr>
            </w:pPr>
          </w:p>
        </w:tc>
      </w:tr>
    </w:tbl>
    <w:p>
      <w:pPr>
        <w:spacing w:line="560" w:lineRule="exact"/>
        <w:ind w:firstLine="452" w:firstLineChars="200"/>
        <w:rPr>
          <w:rFonts w:ascii="宋体" w:hAnsi="宋体" w:eastAsia="宋体" w:cs="宋体"/>
          <w:color w:val="auto"/>
          <w:spacing w:val="-7"/>
          <w:sz w:val="24"/>
          <w:highlight w:val="none"/>
        </w:rPr>
      </w:pPr>
      <w:r>
        <w:rPr>
          <w:rFonts w:hint="eastAsia" w:ascii="宋体" w:hAnsi="宋体" w:eastAsia="宋体" w:cs="宋体"/>
          <w:color w:val="auto"/>
          <w:spacing w:val="-7"/>
          <w:sz w:val="24"/>
          <w:highlight w:val="none"/>
        </w:rPr>
        <w:t>（7）各公园安保作业应按需配置对讲机、巡逻车等工具。</w:t>
      </w:r>
    </w:p>
    <w:tbl>
      <w:tblPr>
        <w:tblStyle w:val="17"/>
        <w:tblW w:w="88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357"/>
        <w:gridCol w:w="1214"/>
        <w:gridCol w:w="1187"/>
        <w:gridCol w:w="1018"/>
        <w:gridCol w:w="1115"/>
        <w:gridCol w:w="112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序号</w:t>
            </w:r>
          </w:p>
        </w:tc>
        <w:tc>
          <w:tcPr>
            <w:tcW w:w="135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工具名称</w:t>
            </w:r>
          </w:p>
        </w:tc>
        <w:tc>
          <w:tcPr>
            <w:tcW w:w="1214" w:type="dxa"/>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乌山一期</w:t>
            </w:r>
          </w:p>
        </w:tc>
        <w:tc>
          <w:tcPr>
            <w:tcW w:w="1187" w:type="dxa"/>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乌山二期</w:t>
            </w:r>
          </w:p>
        </w:tc>
        <w:tc>
          <w:tcPr>
            <w:tcW w:w="1018" w:type="dxa"/>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黎明湖公园</w:t>
            </w:r>
          </w:p>
        </w:tc>
        <w:tc>
          <w:tcPr>
            <w:tcW w:w="1115" w:type="dxa"/>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温泉公园</w:t>
            </w:r>
          </w:p>
        </w:tc>
        <w:tc>
          <w:tcPr>
            <w:tcW w:w="1125" w:type="dxa"/>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冶山公园</w:t>
            </w:r>
          </w:p>
        </w:tc>
        <w:tc>
          <w:tcPr>
            <w:tcW w:w="1091" w:type="dxa"/>
            <w:vAlign w:val="center"/>
          </w:tcPr>
          <w:p>
            <w:pPr>
              <w:widowControl/>
              <w:jc w:val="center"/>
              <w:rPr>
                <w:rFonts w:ascii="宋体" w:hAnsi="宋体" w:eastAsia="宋体" w:cs="宋体"/>
                <w:color w:val="auto"/>
                <w:szCs w:val="21"/>
                <w:highlight w:val="none"/>
              </w:rPr>
            </w:pPr>
            <w:r>
              <w:rPr>
                <w:rFonts w:hint="eastAsia" w:ascii="宋体" w:hAnsi="宋体" w:eastAsia="宋体" w:cs="宋体"/>
                <w:color w:val="auto"/>
                <w:szCs w:val="21"/>
                <w:highlight w:val="none"/>
              </w:rPr>
              <w:t>屏山公园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35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对讲机（部）</w:t>
            </w:r>
          </w:p>
        </w:tc>
        <w:tc>
          <w:tcPr>
            <w:tcW w:w="1214"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12</w:t>
            </w:r>
          </w:p>
        </w:tc>
        <w:tc>
          <w:tcPr>
            <w:tcW w:w="118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01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8</w:t>
            </w:r>
          </w:p>
        </w:tc>
        <w:tc>
          <w:tcPr>
            <w:tcW w:w="11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13</w:t>
            </w:r>
          </w:p>
        </w:tc>
        <w:tc>
          <w:tcPr>
            <w:tcW w:w="112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09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35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四轮电动</w:t>
            </w:r>
          </w:p>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巡逻车</w:t>
            </w:r>
          </w:p>
        </w:tc>
        <w:tc>
          <w:tcPr>
            <w:tcW w:w="1214"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118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101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11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公园自有</w:t>
            </w:r>
          </w:p>
        </w:tc>
        <w:tc>
          <w:tcPr>
            <w:tcW w:w="112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109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0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35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2轮电动巡逻车</w:t>
            </w:r>
          </w:p>
        </w:tc>
        <w:tc>
          <w:tcPr>
            <w:tcW w:w="1214"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118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101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c>
          <w:tcPr>
            <w:tcW w:w="11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2</w:t>
            </w:r>
          </w:p>
        </w:tc>
        <w:tc>
          <w:tcPr>
            <w:tcW w:w="112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0</w:t>
            </w:r>
          </w:p>
        </w:tc>
        <w:tc>
          <w:tcPr>
            <w:tcW w:w="109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35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执法记录仪</w:t>
            </w:r>
          </w:p>
        </w:tc>
        <w:tc>
          <w:tcPr>
            <w:tcW w:w="1214"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6</w:t>
            </w:r>
          </w:p>
        </w:tc>
        <w:tc>
          <w:tcPr>
            <w:tcW w:w="118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01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1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c>
          <w:tcPr>
            <w:tcW w:w="112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3</w:t>
            </w:r>
          </w:p>
        </w:tc>
        <w:tc>
          <w:tcPr>
            <w:tcW w:w="109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5</w:t>
            </w:r>
          </w:p>
        </w:tc>
        <w:tc>
          <w:tcPr>
            <w:tcW w:w="135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巡更系统</w:t>
            </w:r>
          </w:p>
        </w:tc>
        <w:tc>
          <w:tcPr>
            <w:tcW w:w="1214"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一套</w:t>
            </w:r>
          </w:p>
        </w:tc>
        <w:tc>
          <w:tcPr>
            <w:tcW w:w="1187"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一套</w:t>
            </w:r>
          </w:p>
        </w:tc>
        <w:tc>
          <w:tcPr>
            <w:tcW w:w="1018"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一套</w:t>
            </w:r>
          </w:p>
        </w:tc>
        <w:tc>
          <w:tcPr>
            <w:tcW w:w="111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一套</w:t>
            </w:r>
          </w:p>
        </w:tc>
        <w:tc>
          <w:tcPr>
            <w:tcW w:w="1125"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一套</w:t>
            </w:r>
          </w:p>
        </w:tc>
        <w:tc>
          <w:tcPr>
            <w:tcW w:w="1091" w:type="dxa"/>
            <w:vAlign w:val="center"/>
          </w:tcPr>
          <w:p>
            <w:pPr>
              <w:jc w:val="center"/>
              <w:rPr>
                <w:rFonts w:ascii="宋体" w:hAnsi="宋体" w:eastAsia="宋体" w:cs="宋体"/>
                <w:color w:val="auto"/>
                <w:szCs w:val="21"/>
                <w:highlight w:val="none"/>
              </w:rPr>
            </w:pPr>
            <w:r>
              <w:rPr>
                <w:rFonts w:hint="eastAsia" w:ascii="宋体" w:hAnsi="宋体" w:eastAsia="宋体" w:cs="宋体"/>
                <w:color w:val="auto"/>
                <w:szCs w:val="21"/>
                <w:highlight w:val="none"/>
              </w:rPr>
              <w:t>一套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8" w:type="dxa"/>
            <w:gridSpan w:val="8"/>
          </w:tcPr>
          <w:p>
            <w:pPr>
              <w:jc w:val="left"/>
              <w:rPr>
                <w:rFonts w:ascii="宋体" w:hAnsi="宋体" w:eastAsia="宋体" w:cs="宋体"/>
                <w:color w:val="auto"/>
                <w:szCs w:val="21"/>
                <w:highlight w:val="none"/>
              </w:rPr>
            </w:pPr>
            <w:r>
              <w:rPr>
                <w:rFonts w:hint="eastAsia" w:ascii="宋体" w:hAnsi="宋体" w:eastAsia="宋体" w:cs="宋体"/>
                <w:color w:val="auto"/>
                <w:szCs w:val="21"/>
                <w:highlight w:val="none"/>
              </w:rPr>
              <w:t>备注：根据各公园实际情况配备头盔、盾牌、棍子、防暴叉、led夜光姓名牌，救生衣、救生圈、</w:t>
            </w:r>
            <w:r>
              <w:rPr>
                <w:rFonts w:hint="eastAsia" w:ascii="宋体" w:hAnsi="宋体" w:eastAsia="宋体" w:cs="宋体"/>
                <w:color w:val="auto"/>
                <w:szCs w:val="21"/>
                <w:highlight w:val="none"/>
                <w:lang w:val="en-US" w:eastAsia="zh-CN"/>
              </w:rPr>
              <w:t>消防水带、</w:t>
            </w:r>
            <w:r>
              <w:rPr>
                <w:rFonts w:hint="eastAsia" w:ascii="宋体" w:hAnsi="宋体" w:eastAsia="宋体" w:cs="宋体"/>
                <w:color w:val="auto"/>
                <w:szCs w:val="21"/>
                <w:highlight w:val="none"/>
              </w:rPr>
              <w:t>灭火器；</w:t>
            </w:r>
            <w:r>
              <w:rPr>
                <w:rFonts w:hint="eastAsia" w:ascii="宋体" w:hAnsi="宋体" w:eastAsia="宋体" w:cs="宋体"/>
                <w:color w:val="auto"/>
                <w:spacing w:val="-8"/>
                <w:szCs w:val="21"/>
                <w:highlight w:val="none"/>
              </w:rPr>
              <w:t>如公园已有该设备，则由中标单位负责日常维护、修理，包含更换。</w:t>
            </w:r>
          </w:p>
        </w:tc>
      </w:tr>
    </w:tbl>
    <w:p>
      <w:pPr>
        <w:pStyle w:val="31"/>
        <w:spacing w:line="500" w:lineRule="exact"/>
        <w:ind w:firstLine="482" w:firstLineChars="200"/>
        <w:outlineLvl w:val="2"/>
        <w:rPr>
          <w:rFonts w:hint="eastAsia" w:ascii="宋体" w:hAnsi="宋体" w:eastAsia="宋体" w:cs="宋体"/>
          <w:b w:val="0"/>
          <w:color w:val="auto"/>
          <w:spacing w:val="-7"/>
          <w:sz w:val="24"/>
          <w:highlight w:val="none"/>
          <w:lang w:eastAsia="zh-CN"/>
        </w:rPr>
      </w:pPr>
      <w:r>
        <w:rPr>
          <w:rFonts w:hint="eastAsia" w:ascii="宋体" w:hAnsi="宋体" w:eastAsia="宋体" w:cs="宋体"/>
          <w:b/>
          <w:color w:val="auto"/>
          <w:sz w:val="24"/>
          <w:highlight w:val="none"/>
          <w:lang w:eastAsia="zh-CN"/>
        </w:rPr>
        <w:t>（</w:t>
      </w:r>
      <w:r>
        <w:rPr>
          <w:rFonts w:hint="eastAsia" w:ascii="宋体" w:hAnsi="宋体" w:eastAsia="宋体" w:cs="宋体"/>
          <w:b/>
          <w:color w:val="auto"/>
          <w:sz w:val="24"/>
          <w:highlight w:val="none"/>
          <w:lang w:val="en-US" w:eastAsia="zh-CN"/>
        </w:rPr>
        <w:t>8</w:t>
      </w:r>
      <w:r>
        <w:rPr>
          <w:rFonts w:hint="eastAsia" w:ascii="宋体" w:hAnsi="宋体" w:eastAsia="宋体" w:cs="宋体"/>
          <w:b/>
          <w:color w:val="auto"/>
          <w:sz w:val="24"/>
          <w:highlight w:val="none"/>
          <w:lang w:eastAsia="zh-CN"/>
        </w:rPr>
        <w:t>）</w:t>
      </w:r>
      <w:r>
        <w:rPr>
          <w:rFonts w:hint="eastAsia" w:ascii="宋体" w:hAnsi="宋体" w:eastAsia="宋体" w:cs="宋体"/>
          <w:b w:val="0"/>
          <w:bCs w:val="0"/>
          <w:color w:val="auto"/>
          <w:spacing w:val="-7"/>
          <w:w w:val="100"/>
          <w:sz w:val="24"/>
          <w:szCs w:val="24"/>
          <w:highlight w:val="none"/>
          <w:lang w:val="en-US" w:eastAsia="zh-CN"/>
        </w:rPr>
        <w:t>乌山和</w:t>
      </w:r>
      <w:r>
        <w:rPr>
          <w:rFonts w:hint="eastAsia" w:ascii="宋体" w:hAnsi="宋体" w:eastAsia="宋体" w:cs="宋体"/>
          <w:b w:val="0"/>
          <w:bCs w:val="0"/>
          <w:color w:val="auto"/>
          <w:spacing w:val="-7"/>
          <w:w w:val="100"/>
          <w:sz w:val="24"/>
          <w:szCs w:val="24"/>
          <w:highlight w:val="none"/>
        </w:rPr>
        <w:t>屏山公园</w:t>
      </w:r>
      <w:r>
        <w:rPr>
          <w:rFonts w:hint="eastAsia" w:ascii="宋体" w:hAnsi="宋体" w:eastAsia="宋体" w:cs="宋体"/>
          <w:b w:val="0"/>
          <w:bCs w:val="0"/>
          <w:color w:val="auto"/>
          <w:spacing w:val="-7"/>
          <w:w w:val="100"/>
          <w:sz w:val="24"/>
          <w:szCs w:val="24"/>
          <w:highlight w:val="none"/>
          <w:lang w:val="en-US" w:eastAsia="zh-CN"/>
        </w:rPr>
        <w:t>应配备森林防火</w:t>
      </w:r>
      <w:r>
        <w:rPr>
          <w:rFonts w:hint="eastAsia" w:ascii="宋体" w:hAnsi="宋体" w:eastAsia="宋体" w:cs="宋体"/>
          <w:b w:val="0"/>
          <w:bCs w:val="0"/>
          <w:color w:val="auto"/>
          <w:spacing w:val="-7"/>
          <w:w w:val="100"/>
          <w:sz w:val="24"/>
          <w:szCs w:val="24"/>
          <w:highlight w:val="none"/>
        </w:rPr>
        <w:t>物资</w:t>
      </w:r>
      <w:r>
        <w:rPr>
          <w:rFonts w:hint="eastAsia" w:ascii="宋体" w:hAnsi="宋体" w:eastAsia="宋体" w:cs="宋体"/>
          <w:b w:val="0"/>
          <w:bCs w:val="0"/>
          <w:color w:val="auto"/>
          <w:spacing w:val="-7"/>
          <w:w w:val="100"/>
          <w:sz w:val="24"/>
          <w:szCs w:val="24"/>
          <w:highlight w:val="none"/>
          <w:lang w:eastAsia="zh-CN"/>
        </w:rPr>
        <w:t>。</w:t>
      </w:r>
    </w:p>
    <w:tbl>
      <w:tblPr>
        <w:tblStyle w:val="17"/>
        <w:tblW w:w="87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2793"/>
        <w:gridCol w:w="1701"/>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 w:type="dxa"/>
            <w:vAlign w:val="center"/>
          </w:tcPr>
          <w:p>
            <w:pPr>
              <w:spacing w:line="36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序号</w:t>
            </w:r>
          </w:p>
        </w:tc>
        <w:tc>
          <w:tcPr>
            <w:tcW w:w="2793" w:type="dxa"/>
            <w:vAlign w:val="center"/>
          </w:tcPr>
          <w:p>
            <w:pPr>
              <w:spacing w:line="36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物资名称</w:t>
            </w:r>
          </w:p>
        </w:tc>
        <w:tc>
          <w:tcPr>
            <w:tcW w:w="1701"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b w:val="0"/>
                <w:bCs w:val="0"/>
                <w:color w:val="auto"/>
                <w:sz w:val="21"/>
                <w:szCs w:val="21"/>
                <w:highlight w:val="none"/>
                <w:lang w:val="en-US" w:eastAsia="zh-CN"/>
              </w:rPr>
              <w:t>单位</w:t>
            </w:r>
          </w:p>
        </w:tc>
        <w:tc>
          <w:tcPr>
            <w:tcW w:w="1701" w:type="dxa"/>
            <w:vAlign w:val="center"/>
          </w:tcPr>
          <w:p>
            <w:pPr>
              <w:spacing w:line="360" w:lineRule="exact"/>
              <w:jc w:val="center"/>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乌山（数量）</w:t>
            </w:r>
          </w:p>
        </w:tc>
        <w:tc>
          <w:tcPr>
            <w:tcW w:w="1701" w:type="dxa"/>
            <w:vAlign w:val="center"/>
          </w:tcPr>
          <w:p>
            <w:pPr>
              <w:spacing w:line="360" w:lineRule="exact"/>
              <w:jc w:val="both"/>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屏山（数量）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w:t>
            </w:r>
          </w:p>
        </w:tc>
        <w:tc>
          <w:tcPr>
            <w:tcW w:w="2793"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铁扫把</w:t>
            </w:r>
          </w:p>
        </w:tc>
        <w:tc>
          <w:tcPr>
            <w:tcW w:w="1701"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val="en-US" w:eastAsia="zh-CN"/>
              </w:rPr>
              <w:t>把</w:t>
            </w:r>
          </w:p>
        </w:tc>
        <w:tc>
          <w:tcPr>
            <w:tcW w:w="1701"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1701"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2793"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消防铲</w:t>
            </w:r>
          </w:p>
        </w:tc>
        <w:tc>
          <w:tcPr>
            <w:tcW w:w="1701"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val="en-US" w:eastAsia="zh-CN"/>
              </w:rPr>
              <w:t>把</w:t>
            </w:r>
          </w:p>
        </w:tc>
        <w:tc>
          <w:tcPr>
            <w:tcW w:w="1701"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701"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3</w:t>
            </w:r>
          </w:p>
        </w:tc>
        <w:tc>
          <w:tcPr>
            <w:tcW w:w="2793"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消防砍刀</w:t>
            </w:r>
          </w:p>
        </w:tc>
        <w:tc>
          <w:tcPr>
            <w:tcW w:w="1701"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val="en-US" w:eastAsia="zh-CN"/>
              </w:rPr>
              <w:t>把</w:t>
            </w:r>
          </w:p>
        </w:tc>
        <w:tc>
          <w:tcPr>
            <w:tcW w:w="1701"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c>
          <w:tcPr>
            <w:tcW w:w="1701"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4</w:t>
            </w:r>
          </w:p>
        </w:tc>
        <w:tc>
          <w:tcPr>
            <w:tcW w:w="2793"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消防扳手</w:t>
            </w:r>
          </w:p>
        </w:tc>
        <w:tc>
          <w:tcPr>
            <w:tcW w:w="1701"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sz w:val="21"/>
                <w:szCs w:val="21"/>
                <w:highlight w:val="none"/>
                <w:lang w:val="en-US" w:eastAsia="zh-CN"/>
              </w:rPr>
              <w:t>把</w:t>
            </w:r>
          </w:p>
        </w:tc>
        <w:tc>
          <w:tcPr>
            <w:tcW w:w="1701"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c>
          <w:tcPr>
            <w:tcW w:w="1701" w:type="dxa"/>
            <w:vAlign w:val="center"/>
          </w:tcPr>
          <w:p>
            <w:pPr>
              <w:spacing w:line="360" w:lineRule="exact"/>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c>
          <w:tcPr>
            <w:tcW w:w="2793"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灭火弹</w:t>
            </w:r>
          </w:p>
        </w:tc>
        <w:tc>
          <w:tcPr>
            <w:tcW w:w="1701"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箱</w:t>
            </w:r>
          </w:p>
        </w:tc>
        <w:tc>
          <w:tcPr>
            <w:tcW w:w="1701"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c>
          <w:tcPr>
            <w:tcW w:w="1701"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6</w:t>
            </w:r>
          </w:p>
        </w:tc>
        <w:tc>
          <w:tcPr>
            <w:tcW w:w="2793"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消防水箱</w:t>
            </w:r>
          </w:p>
        </w:tc>
        <w:tc>
          <w:tcPr>
            <w:tcW w:w="1701"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个</w:t>
            </w:r>
          </w:p>
        </w:tc>
        <w:tc>
          <w:tcPr>
            <w:tcW w:w="1701"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w:t>
            </w:r>
          </w:p>
        </w:tc>
        <w:tc>
          <w:tcPr>
            <w:tcW w:w="1701"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7</w:t>
            </w:r>
          </w:p>
        </w:tc>
        <w:tc>
          <w:tcPr>
            <w:tcW w:w="2793"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消防水带</w:t>
            </w:r>
          </w:p>
        </w:tc>
        <w:tc>
          <w:tcPr>
            <w:tcW w:w="1701"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个</w:t>
            </w:r>
          </w:p>
        </w:tc>
        <w:tc>
          <w:tcPr>
            <w:tcW w:w="1701"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18</w:t>
            </w:r>
          </w:p>
        </w:tc>
        <w:tc>
          <w:tcPr>
            <w:tcW w:w="1701"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9"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8</w:t>
            </w:r>
          </w:p>
        </w:tc>
        <w:tc>
          <w:tcPr>
            <w:tcW w:w="2793"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消防栓</w:t>
            </w:r>
          </w:p>
        </w:tc>
        <w:tc>
          <w:tcPr>
            <w:tcW w:w="1701" w:type="dxa"/>
            <w:vAlign w:val="center"/>
          </w:tcPr>
          <w:p>
            <w:pPr>
              <w:spacing w:line="360" w:lineRule="exact"/>
              <w:jc w:val="center"/>
              <w:rPr>
                <w:rFonts w:hint="eastAsia" w:ascii="宋体" w:hAnsi="宋体" w:eastAsia="宋体" w:cs="宋体"/>
                <w:color w:val="auto"/>
                <w:szCs w:val="21"/>
                <w:highlight w:val="none"/>
              </w:rPr>
            </w:pPr>
            <w:r>
              <w:rPr>
                <w:rFonts w:hint="eastAsia" w:ascii="宋体" w:hAnsi="宋体" w:eastAsia="宋体" w:cs="宋体"/>
                <w:color w:val="auto"/>
                <w:kern w:val="2"/>
                <w:sz w:val="21"/>
                <w:szCs w:val="21"/>
                <w:highlight w:val="none"/>
                <w:lang w:val="en-US" w:eastAsia="zh-CN" w:bidi="ar-SA"/>
              </w:rPr>
              <w:t>个</w:t>
            </w:r>
          </w:p>
        </w:tc>
        <w:tc>
          <w:tcPr>
            <w:tcW w:w="1701"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c>
          <w:tcPr>
            <w:tcW w:w="1701" w:type="dxa"/>
            <w:vAlign w:val="center"/>
          </w:tcPr>
          <w:p>
            <w:pPr>
              <w:spacing w:line="360" w:lineRule="exact"/>
              <w:jc w:val="cente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8775" w:type="dxa"/>
            <w:gridSpan w:val="5"/>
            <w:vAlign w:val="center"/>
          </w:tcPr>
          <w:p>
            <w:pPr>
              <w:spacing w:line="360" w:lineRule="exact"/>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pacing w:val="-8"/>
                <w:szCs w:val="21"/>
                <w:highlight w:val="none"/>
                <w:lang w:val="en-US" w:eastAsia="zh-CN"/>
              </w:rPr>
              <w:t>备注：</w:t>
            </w:r>
            <w:r>
              <w:rPr>
                <w:rFonts w:hint="eastAsia" w:ascii="宋体" w:hAnsi="宋体" w:eastAsia="宋体" w:cs="宋体"/>
                <w:color w:val="auto"/>
                <w:spacing w:val="-8"/>
                <w:szCs w:val="21"/>
                <w:highlight w:val="none"/>
              </w:rPr>
              <w:t>如公园已有该设备</w:t>
            </w:r>
            <w:r>
              <w:rPr>
                <w:rFonts w:hint="eastAsia" w:ascii="宋体" w:hAnsi="宋体" w:eastAsia="宋体" w:cs="宋体"/>
                <w:color w:val="auto"/>
                <w:spacing w:val="-8"/>
                <w:szCs w:val="21"/>
                <w:highlight w:val="none"/>
                <w:lang w:eastAsia="zh-CN"/>
              </w:rPr>
              <w:t>（</w:t>
            </w:r>
            <w:r>
              <w:rPr>
                <w:rFonts w:hint="eastAsia" w:ascii="宋体" w:hAnsi="宋体" w:eastAsia="宋体" w:cs="宋体"/>
                <w:color w:val="auto"/>
                <w:spacing w:val="-8"/>
                <w:szCs w:val="21"/>
                <w:highlight w:val="none"/>
                <w:lang w:val="en-US" w:eastAsia="zh-CN"/>
              </w:rPr>
              <w:t>物资</w:t>
            </w:r>
            <w:r>
              <w:rPr>
                <w:rFonts w:hint="eastAsia" w:ascii="宋体" w:hAnsi="宋体" w:eastAsia="宋体" w:cs="宋体"/>
                <w:color w:val="auto"/>
                <w:spacing w:val="-8"/>
                <w:szCs w:val="21"/>
                <w:highlight w:val="none"/>
                <w:lang w:eastAsia="zh-CN"/>
              </w:rPr>
              <w:t>）</w:t>
            </w:r>
            <w:r>
              <w:rPr>
                <w:rFonts w:hint="eastAsia" w:ascii="宋体" w:hAnsi="宋体" w:eastAsia="宋体" w:cs="宋体"/>
                <w:color w:val="auto"/>
                <w:spacing w:val="-8"/>
                <w:szCs w:val="21"/>
                <w:highlight w:val="none"/>
              </w:rPr>
              <w:t>，则由中标单位负责日常维护、修理，包含更换。</w:t>
            </w:r>
          </w:p>
        </w:tc>
      </w:tr>
    </w:tbl>
    <w:p>
      <w:pPr>
        <w:pStyle w:val="31"/>
        <w:spacing w:line="500" w:lineRule="exact"/>
        <w:ind w:firstLine="482" w:firstLineChars="200"/>
        <w:outlineLvl w:val="2"/>
        <w:rPr>
          <w:rFonts w:hint="eastAsia" w:ascii="宋体" w:hAnsi="宋体" w:eastAsia="宋体" w:cs="宋体"/>
          <w:b/>
          <w:color w:val="auto"/>
          <w:sz w:val="24"/>
          <w:highlight w:val="none"/>
          <w:lang w:eastAsia="zh-CN"/>
        </w:rPr>
      </w:pPr>
    </w:p>
    <w:p>
      <w:pPr>
        <w:pStyle w:val="31"/>
        <w:spacing w:line="500" w:lineRule="exact"/>
        <w:ind w:firstLine="482" w:firstLineChars="200"/>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2、安保工作内容</w:t>
      </w:r>
    </w:p>
    <w:p>
      <w:pPr>
        <w:spacing w:line="500" w:lineRule="exact"/>
        <w:ind w:firstLine="200"/>
        <w:rPr>
          <w:rFonts w:ascii="宋体" w:hAnsi="宋体" w:eastAsia="宋体" w:cs="宋体"/>
          <w:color w:val="auto"/>
          <w:sz w:val="24"/>
          <w:highlight w:val="none"/>
        </w:rPr>
      </w:pPr>
      <w:r>
        <w:rPr>
          <w:rFonts w:hint="eastAsia" w:ascii="宋体" w:hAnsi="宋体" w:eastAsia="宋体" w:cs="宋体"/>
          <w:color w:val="auto"/>
          <w:spacing w:val="-7"/>
          <w:sz w:val="24"/>
          <w:highlight w:val="none"/>
        </w:rPr>
        <w:t>负责辖区域内的安保工作，公园区域内的看护、巡视、安保、</w:t>
      </w:r>
      <w:r>
        <w:rPr>
          <w:rFonts w:hint="eastAsia" w:ascii="宋体" w:hAnsi="宋体" w:eastAsia="宋体" w:cs="宋体"/>
          <w:color w:val="auto"/>
          <w:spacing w:val="1"/>
          <w:sz w:val="24"/>
          <w:highlight w:val="none"/>
        </w:rPr>
        <w:t>森林防火（乌山和屏山公园）、</w:t>
      </w:r>
      <w:r>
        <w:rPr>
          <w:rFonts w:hint="eastAsia" w:ascii="宋体" w:hAnsi="宋体" w:eastAsia="宋体" w:cs="宋体"/>
          <w:color w:val="auto"/>
          <w:spacing w:val="-4"/>
          <w:sz w:val="24"/>
          <w:highlight w:val="none"/>
        </w:rPr>
        <w:t>消</w:t>
      </w:r>
      <w:r>
        <w:rPr>
          <w:rFonts w:hint="eastAsia" w:ascii="宋体" w:hAnsi="宋体" w:eastAsia="宋体" w:cs="宋体"/>
          <w:color w:val="auto"/>
          <w:spacing w:val="-3"/>
          <w:sz w:val="24"/>
          <w:highlight w:val="none"/>
        </w:rPr>
        <w:t>防管理及抗台工作；公园的基础设施、建(构)筑物以及其他附着物等管理</w:t>
      </w:r>
      <w:r>
        <w:rPr>
          <w:rFonts w:hint="eastAsia" w:ascii="宋体" w:hAnsi="宋体" w:eastAsia="宋体" w:cs="宋体"/>
          <w:color w:val="auto"/>
          <w:sz w:val="24"/>
          <w:highlight w:val="none"/>
        </w:rPr>
        <w:t>和保</w:t>
      </w:r>
      <w:r>
        <w:rPr>
          <w:rFonts w:hint="eastAsia" w:ascii="宋体" w:hAnsi="宋体" w:eastAsia="宋体" w:cs="宋体"/>
          <w:color w:val="auto"/>
          <w:spacing w:val="-21"/>
          <w:sz w:val="24"/>
          <w:highlight w:val="none"/>
        </w:rPr>
        <w:t>护</w:t>
      </w:r>
      <w:r>
        <w:rPr>
          <w:rFonts w:hint="eastAsia" w:ascii="宋体" w:hAnsi="宋体" w:eastAsia="宋体" w:cs="宋体"/>
          <w:color w:val="auto"/>
          <w:spacing w:val="-12"/>
          <w:sz w:val="24"/>
          <w:highlight w:val="none"/>
        </w:rPr>
        <w:t>，避免人为偷盗、破坏和污染；公园出入口车辆、人员进出的管理；禁止所有</w:t>
      </w:r>
      <w:r>
        <w:rPr>
          <w:rFonts w:hint="eastAsia" w:ascii="宋体" w:hAnsi="宋体" w:eastAsia="宋体" w:cs="宋体"/>
          <w:color w:val="auto"/>
          <w:spacing w:val="1"/>
          <w:sz w:val="24"/>
          <w:highlight w:val="none"/>
        </w:rPr>
        <w:t>机动车、非机动车(工作用车除外</w:t>
      </w:r>
      <w:r>
        <w:rPr>
          <w:rFonts w:hint="eastAsia" w:ascii="宋体" w:hAnsi="宋体" w:eastAsia="宋体" w:cs="宋体"/>
          <w:color w:val="auto"/>
          <w:sz w:val="24"/>
          <w:highlight w:val="none"/>
        </w:rPr>
        <w:t>)进入管辖区域内部。维护公园区域内的公共</w:t>
      </w:r>
      <w:r>
        <w:rPr>
          <w:rFonts w:hint="eastAsia" w:ascii="宋体" w:hAnsi="宋体" w:eastAsia="宋体" w:cs="宋体"/>
          <w:color w:val="auto"/>
          <w:spacing w:val="-18"/>
          <w:sz w:val="24"/>
          <w:highlight w:val="none"/>
        </w:rPr>
        <w:t>秩</w:t>
      </w:r>
      <w:r>
        <w:rPr>
          <w:rFonts w:hint="eastAsia" w:ascii="宋体" w:hAnsi="宋体" w:eastAsia="宋体" w:cs="宋体"/>
          <w:color w:val="auto"/>
          <w:spacing w:val="-12"/>
          <w:sz w:val="24"/>
          <w:highlight w:val="none"/>
        </w:rPr>
        <w:t>序，对公园区域内的突发事件及时预警，并协助相关部门进行处理；对游客不</w:t>
      </w:r>
      <w:r>
        <w:rPr>
          <w:rFonts w:hint="eastAsia" w:ascii="宋体" w:hAnsi="宋体" w:eastAsia="宋体" w:cs="宋体"/>
          <w:color w:val="auto"/>
          <w:spacing w:val="-26"/>
          <w:sz w:val="24"/>
          <w:highlight w:val="none"/>
        </w:rPr>
        <w:t>文</w:t>
      </w:r>
      <w:r>
        <w:rPr>
          <w:rFonts w:hint="eastAsia" w:ascii="宋体" w:hAnsi="宋体" w:eastAsia="宋体" w:cs="宋体"/>
          <w:color w:val="auto"/>
          <w:spacing w:val="-14"/>
          <w:sz w:val="24"/>
          <w:highlight w:val="none"/>
        </w:rPr>
        <w:t>明</w:t>
      </w:r>
      <w:r>
        <w:rPr>
          <w:rFonts w:hint="eastAsia" w:ascii="宋体" w:hAnsi="宋体" w:eastAsia="宋体" w:cs="宋体"/>
          <w:color w:val="auto"/>
          <w:spacing w:val="-13"/>
          <w:sz w:val="24"/>
          <w:highlight w:val="none"/>
        </w:rPr>
        <w:t>行为进行劝阻，严禁烟火，严禁携带宠物进入公园。遵照公园管理各项法规、</w:t>
      </w:r>
      <w:r>
        <w:rPr>
          <w:rFonts w:hint="eastAsia" w:ascii="宋体" w:hAnsi="宋体" w:eastAsia="宋体" w:cs="宋体"/>
          <w:color w:val="auto"/>
          <w:spacing w:val="-2"/>
          <w:sz w:val="24"/>
          <w:highlight w:val="none"/>
        </w:rPr>
        <w:t>制度和预案要求，</w:t>
      </w:r>
      <w:r>
        <w:rPr>
          <w:rFonts w:hint="eastAsia" w:ascii="宋体" w:hAnsi="宋体" w:eastAsia="宋体" w:cs="宋体"/>
          <w:color w:val="auto"/>
          <w:spacing w:val="-1"/>
          <w:sz w:val="24"/>
          <w:highlight w:val="none"/>
        </w:rPr>
        <w:t>完成公园花展等活动的安保工作及其他突发事件处置工作。</w:t>
      </w:r>
    </w:p>
    <w:p>
      <w:pPr>
        <w:spacing w:line="500" w:lineRule="exact"/>
        <w:ind w:firstLine="200"/>
        <w:rPr>
          <w:rFonts w:ascii="宋体" w:hAnsi="宋体" w:eastAsia="宋体" w:cs="宋体"/>
          <w:color w:val="auto"/>
          <w:sz w:val="24"/>
          <w:highlight w:val="none"/>
        </w:rPr>
      </w:pPr>
      <w:r>
        <w:rPr>
          <w:rFonts w:hint="eastAsia" w:ascii="宋体" w:hAnsi="宋体" w:eastAsia="宋体" w:cs="宋体"/>
          <w:color w:val="auto"/>
          <w:spacing w:val="-12"/>
          <w:sz w:val="24"/>
          <w:highlight w:val="none"/>
        </w:rPr>
        <w:t>具</w:t>
      </w:r>
      <w:r>
        <w:rPr>
          <w:rFonts w:hint="eastAsia" w:ascii="宋体" w:hAnsi="宋体" w:eastAsia="宋体" w:cs="宋体"/>
          <w:color w:val="auto"/>
          <w:spacing w:val="-11"/>
          <w:sz w:val="24"/>
          <w:highlight w:val="none"/>
        </w:rPr>
        <w:t>体包括：</w:t>
      </w:r>
    </w:p>
    <w:p>
      <w:pPr>
        <w:spacing w:line="500" w:lineRule="exact"/>
        <w:ind w:firstLine="200"/>
        <w:rPr>
          <w:rFonts w:ascii="宋体" w:hAnsi="宋体" w:eastAsia="宋体" w:cs="宋体"/>
          <w:color w:val="auto"/>
          <w:sz w:val="24"/>
          <w:highlight w:val="none"/>
        </w:rPr>
      </w:pPr>
      <w:r>
        <w:rPr>
          <w:rFonts w:hint="eastAsia" w:ascii="宋体" w:hAnsi="宋体" w:eastAsia="宋体" w:cs="宋体"/>
          <w:color w:val="auto"/>
          <w:spacing w:val="10"/>
          <w:sz w:val="24"/>
          <w:highlight w:val="none"/>
        </w:rPr>
        <w:t>(</w:t>
      </w:r>
      <w:r>
        <w:rPr>
          <w:rFonts w:hint="eastAsia" w:ascii="宋体" w:hAnsi="宋体" w:eastAsia="宋体" w:cs="宋体"/>
          <w:color w:val="auto"/>
          <w:spacing w:val="7"/>
          <w:sz w:val="24"/>
          <w:highlight w:val="none"/>
        </w:rPr>
        <w:t>1</w:t>
      </w:r>
      <w:r>
        <w:rPr>
          <w:rFonts w:hint="eastAsia" w:ascii="宋体" w:hAnsi="宋体" w:eastAsia="宋体" w:cs="宋体"/>
          <w:color w:val="auto"/>
          <w:spacing w:val="5"/>
          <w:sz w:val="24"/>
          <w:highlight w:val="none"/>
        </w:rPr>
        <w:t>)公园区域的的看护、巡视、安保及消防管理。</w:t>
      </w:r>
    </w:p>
    <w:p>
      <w:pPr>
        <w:spacing w:line="500" w:lineRule="exact"/>
        <w:ind w:firstLine="200"/>
        <w:rPr>
          <w:rFonts w:ascii="宋体" w:hAnsi="宋体" w:eastAsia="宋体" w:cs="宋体"/>
          <w:color w:val="auto"/>
          <w:sz w:val="24"/>
          <w:highlight w:val="none"/>
        </w:rPr>
      </w:pPr>
      <w:r>
        <w:rPr>
          <w:rFonts w:hint="eastAsia" w:ascii="宋体" w:hAnsi="宋体" w:eastAsia="宋体" w:cs="宋体"/>
          <w:color w:val="auto"/>
          <w:spacing w:val="8"/>
          <w:sz w:val="24"/>
          <w:highlight w:val="none"/>
        </w:rPr>
        <w:t>(2)公</w:t>
      </w:r>
      <w:r>
        <w:rPr>
          <w:rFonts w:hint="eastAsia" w:ascii="宋体" w:hAnsi="宋体" w:eastAsia="宋体" w:cs="宋体"/>
          <w:color w:val="auto"/>
          <w:spacing w:val="4"/>
          <w:sz w:val="24"/>
          <w:highlight w:val="none"/>
        </w:rPr>
        <w:t>园的基础设施、建(构)筑物以及其他附着物等管理和保护，避免</w:t>
      </w:r>
      <w:r>
        <w:rPr>
          <w:rFonts w:hint="eastAsia" w:ascii="宋体" w:hAnsi="宋体" w:eastAsia="宋体" w:cs="宋体"/>
          <w:color w:val="auto"/>
          <w:spacing w:val="-6"/>
          <w:sz w:val="24"/>
          <w:highlight w:val="none"/>
        </w:rPr>
        <w:t>人为偷</w:t>
      </w:r>
      <w:r>
        <w:rPr>
          <w:rFonts w:hint="eastAsia" w:ascii="宋体" w:hAnsi="宋体" w:eastAsia="宋体" w:cs="宋体"/>
          <w:color w:val="auto"/>
          <w:spacing w:val="-3"/>
          <w:sz w:val="24"/>
          <w:highlight w:val="none"/>
        </w:rPr>
        <w:t>盗、破坏和污染。</w:t>
      </w:r>
    </w:p>
    <w:p>
      <w:pPr>
        <w:spacing w:line="500" w:lineRule="exact"/>
        <w:ind w:firstLine="200"/>
        <w:rPr>
          <w:rFonts w:ascii="宋体" w:hAnsi="宋体" w:eastAsia="宋体" w:cs="宋体"/>
          <w:color w:val="auto"/>
          <w:sz w:val="24"/>
          <w:highlight w:val="none"/>
        </w:rPr>
      </w:pPr>
      <w:r>
        <w:rPr>
          <w:rFonts w:hint="eastAsia" w:ascii="宋体" w:hAnsi="宋体" w:eastAsia="宋体" w:cs="宋体"/>
          <w:color w:val="auto"/>
          <w:spacing w:val="6"/>
          <w:sz w:val="24"/>
          <w:highlight w:val="none"/>
        </w:rPr>
        <w:t>(3)公园</w:t>
      </w:r>
      <w:r>
        <w:rPr>
          <w:rFonts w:hint="eastAsia" w:ascii="宋体" w:hAnsi="宋体" w:eastAsia="宋体" w:cs="宋体"/>
          <w:color w:val="auto"/>
          <w:spacing w:val="5"/>
          <w:sz w:val="24"/>
          <w:highlight w:val="none"/>
        </w:rPr>
        <w:t>出</w:t>
      </w:r>
      <w:r>
        <w:rPr>
          <w:rFonts w:hint="eastAsia" w:ascii="宋体" w:hAnsi="宋体" w:eastAsia="宋体" w:cs="宋体"/>
          <w:color w:val="auto"/>
          <w:spacing w:val="3"/>
          <w:sz w:val="24"/>
          <w:highlight w:val="none"/>
        </w:rPr>
        <w:t>入口车辆、人员进出的管理。禁止所有机动车、非机动车(工</w:t>
      </w:r>
      <w:r>
        <w:rPr>
          <w:rFonts w:hint="eastAsia" w:ascii="宋体" w:hAnsi="宋体" w:eastAsia="宋体" w:cs="宋体"/>
          <w:color w:val="auto"/>
          <w:spacing w:val="-4"/>
          <w:sz w:val="24"/>
          <w:highlight w:val="none"/>
        </w:rPr>
        <w:t>作用车除外</w:t>
      </w:r>
      <w:r>
        <w:rPr>
          <w:rFonts w:hint="eastAsia" w:ascii="宋体" w:hAnsi="宋体" w:eastAsia="宋体" w:cs="宋体"/>
          <w:color w:val="auto"/>
          <w:spacing w:val="-3"/>
          <w:sz w:val="24"/>
          <w:highlight w:val="none"/>
        </w:rPr>
        <w:t>)</w:t>
      </w:r>
      <w:r>
        <w:rPr>
          <w:rFonts w:hint="eastAsia" w:ascii="宋体" w:hAnsi="宋体" w:eastAsia="宋体" w:cs="宋体"/>
          <w:color w:val="auto"/>
          <w:spacing w:val="-2"/>
          <w:sz w:val="24"/>
          <w:highlight w:val="none"/>
        </w:rPr>
        <w:t>进入管辖区域内部。</w:t>
      </w:r>
    </w:p>
    <w:p>
      <w:pPr>
        <w:spacing w:line="500" w:lineRule="exact"/>
        <w:ind w:firstLine="200"/>
        <w:rPr>
          <w:rFonts w:ascii="宋体" w:hAnsi="宋体" w:eastAsia="宋体" w:cs="宋体"/>
          <w:color w:val="auto"/>
          <w:sz w:val="24"/>
          <w:highlight w:val="none"/>
        </w:rPr>
      </w:pPr>
      <w:r>
        <w:rPr>
          <w:rFonts w:hint="eastAsia" w:ascii="宋体" w:hAnsi="宋体" w:eastAsia="宋体" w:cs="宋体"/>
          <w:color w:val="auto"/>
          <w:spacing w:val="5"/>
          <w:sz w:val="24"/>
          <w:highlight w:val="none"/>
        </w:rPr>
        <w:t>(4)维护公园区域内的公共秩序，对游客落实文明告知、文明提醒</w:t>
      </w:r>
      <w:r>
        <w:rPr>
          <w:rFonts w:hint="eastAsia" w:ascii="宋体" w:hAnsi="宋体" w:eastAsia="宋体" w:cs="宋体"/>
          <w:color w:val="auto"/>
          <w:spacing w:val="4"/>
          <w:sz w:val="24"/>
          <w:highlight w:val="none"/>
        </w:rPr>
        <w:t>、</w:t>
      </w:r>
      <w:r>
        <w:rPr>
          <w:rFonts w:hint="eastAsia" w:ascii="宋体" w:hAnsi="宋体" w:eastAsia="宋体" w:cs="宋体"/>
          <w:color w:val="auto"/>
          <w:sz w:val="24"/>
          <w:highlight w:val="none"/>
        </w:rPr>
        <w:t>文</w:t>
      </w:r>
      <w:r>
        <w:rPr>
          <w:rFonts w:hint="eastAsia" w:ascii="宋体" w:hAnsi="宋体" w:eastAsia="宋体" w:cs="宋体"/>
          <w:color w:val="auto"/>
          <w:spacing w:val="-12"/>
          <w:sz w:val="24"/>
          <w:highlight w:val="none"/>
        </w:rPr>
        <w:t>明</w:t>
      </w:r>
      <w:r>
        <w:rPr>
          <w:rFonts w:hint="eastAsia" w:ascii="宋体" w:hAnsi="宋体" w:eastAsia="宋体" w:cs="宋体"/>
          <w:color w:val="auto"/>
          <w:spacing w:val="-8"/>
          <w:sz w:val="24"/>
          <w:highlight w:val="none"/>
        </w:rPr>
        <w:t>规</w:t>
      </w:r>
      <w:r>
        <w:rPr>
          <w:rFonts w:hint="eastAsia" w:ascii="宋体" w:hAnsi="宋体" w:eastAsia="宋体" w:cs="宋体"/>
          <w:color w:val="auto"/>
          <w:spacing w:val="-6"/>
          <w:sz w:val="24"/>
          <w:highlight w:val="none"/>
        </w:rPr>
        <w:t>劝的工作要求；对乱扔杂物随地吐痰、随地便溺、打喷嚏咳嗽不掩口鼻损坏</w:t>
      </w:r>
      <w:r>
        <w:rPr>
          <w:rFonts w:hint="eastAsia" w:ascii="宋体" w:hAnsi="宋体" w:eastAsia="宋体" w:cs="宋体"/>
          <w:color w:val="auto"/>
          <w:spacing w:val="-1"/>
          <w:sz w:val="24"/>
          <w:highlight w:val="none"/>
        </w:rPr>
        <w:t>花草树木，争吵漫骂，无躺卧座椅，遛狗不牵狗</w:t>
      </w:r>
      <w:r>
        <w:rPr>
          <w:rFonts w:hint="eastAsia" w:ascii="宋体" w:hAnsi="宋体" w:eastAsia="宋体" w:cs="宋体"/>
          <w:color w:val="auto"/>
          <w:sz w:val="24"/>
          <w:highlight w:val="none"/>
        </w:rPr>
        <w:t>绳等不文明现象进行及时制止。</w:t>
      </w:r>
    </w:p>
    <w:p>
      <w:pPr>
        <w:spacing w:line="500" w:lineRule="exact"/>
        <w:ind w:firstLine="200"/>
        <w:rPr>
          <w:rFonts w:ascii="宋体" w:hAnsi="宋体" w:eastAsia="宋体" w:cs="宋体"/>
          <w:color w:val="auto"/>
          <w:sz w:val="24"/>
          <w:highlight w:val="none"/>
        </w:rPr>
      </w:pPr>
      <w:r>
        <w:rPr>
          <w:rFonts w:hint="eastAsia" w:ascii="宋体" w:hAnsi="宋体" w:eastAsia="宋体" w:cs="宋体"/>
          <w:color w:val="auto"/>
          <w:spacing w:val="4"/>
          <w:sz w:val="24"/>
          <w:highlight w:val="none"/>
        </w:rPr>
        <w:t>(5)对公园区域内的突发事件及时预警，并协助相关部门进行处理</w:t>
      </w:r>
      <w:r>
        <w:rPr>
          <w:rFonts w:hint="eastAsia" w:ascii="宋体" w:hAnsi="宋体" w:eastAsia="宋体" w:cs="宋体"/>
          <w:color w:val="auto"/>
          <w:spacing w:val="3"/>
          <w:sz w:val="24"/>
          <w:highlight w:val="none"/>
        </w:rPr>
        <w:t>。</w:t>
      </w:r>
    </w:p>
    <w:p>
      <w:pPr>
        <w:spacing w:line="500" w:lineRule="exact"/>
        <w:ind w:firstLine="200"/>
        <w:rPr>
          <w:rFonts w:ascii="宋体" w:hAnsi="宋体" w:eastAsia="宋体" w:cs="宋体"/>
          <w:color w:val="auto"/>
          <w:sz w:val="24"/>
          <w:highlight w:val="none"/>
        </w:rPr>
      </w:pPr>
      <w:r>
        <w:rPr>
          <w:rFonts w:hint="eastAsia" w:ascii="宋体" w:hAnsi="宋体" w:eastAsia="宋体" w:cs="宋体"/>
          <w:color w:val="auto"/>
          <w:spacing w:val="-5"/>
          <w:sz w:val="24"/>
          <w:highlight w:val="none"/>
        </w:rPr>
        <w:t>(</w:t>
      </w:r>
      <w:r>
        <w:rPr>
          <w:rFonts w:hint="eastAsia" w:ascii="宋体" w:hAnsi="宋体" w:eastAsia="宋体" w:cs="宋体"/>
          <w:color w:val="auto"/>
          <w:spacing w:val="-4"/>
          <w:sz w:val="24"/>
          <w:highlight w:val="none"/>
        </w:rPr>
        <w:t>6)遵照公园管理各项法规、制度和预案要求，完成实施单位委托的花展、</w:t>
      </w:r>
      <w:r>
        <w:rPr>
          <w:rFonts w:hint="eastAsia" w:ascii="宋体" w:hAnsi="宋体" w:eastAsia="宋体" w:cs="宋体"/>
          <w:color w:val="auto"/>
          <w:spacing w:val="-5"/>
          <w:sz w:val="24"/>
          <w:highlight w:val="none"/>
        </w:rPr>
        <w:t>活</w:t>
      </w:r>
      <w:r>
        <w:rPr>
          <w:rFonts w:hint="eastAsia" w:ascii="宋体" w:hAnsi="宋体" w:eastAsia="宋体" w:cs="宋体"/>
          <w:color w:val="auto"/>
          <w:spacing w:val="-3"/>
          <w:sz w:val="24"/>
          <w:highlight w:val="none"/>
        </w:rPr>
        <w:t>动及其他突发事件处置工作。</w:t>
      </w:r>
    </w:p>
    <w:p>
      <w:pPr>
        <w:spacing w:line="500" w:lineRule="exact"/>
        <w:ind w:firstLine="200"/>
        <w:rPr>
          <w:rFonts w:ascii="宋体" w:hAnsi="宋体" w:eastAsia="宋体" w:cs="宋体"/>
          <w:color w:val="auto"/>
          <w:sz w:val="24"/>
          <w:highlight w:val="none"/>
        </w:rPr>
      </w:pPr>
      <w:r>
        <w:rPr>
          <w:rFonts w:hint="eastAsia" w:ascii="宋体" w:hAnsi="宋体" w:eastAsia="宋体" w:cs="宋体"/>
          <w:color w:val="auto"/>
          <w:spacing w:val="10"/>
          <w:sz w:val="24"/>
          <w:highlight w:val="none"/>
        </w:rPr>
        <w:t>(</w:t>
      </w:r>
      <w:r>
        <w:rPr>
          <w:rFonts w:hint="eastAsia" w:ascii="宋体" w:hAnsi="宋体" w:eastAsia="宋体" w:cs="宋体"/>
          <w:color w:val="auto"/>
          <w:spacing w:val="7"/>
          <w:sz w:val="24"/>
          <w:highlight w:val="none"/>
        </w:rPr>
        <w:t>7</w:t>
      </w:r>
      <w:r>
        <w:rPr>
          <w:rFonts w:hint="eastAsia" w:ascii="宋体" w:hAnsi="宋体" w:eastAsia="宋体" w:cs="宋体"/>
          <w:color w:val="auto"/>
          <w:spacing w:val="5"/>
          <w:sz w:val="24"/>
          <w:highlight w:val="none"/>
        </w:rPr>
        <w:t>)对沿线非法入湖、河游泳者或钓鱼进行劝导。</w:t>
      </w:r>
    </w:p>
    <w:p>
      <w:p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（8）如遇蛇类在栈道周边出没，立即在确保安全的前提下采用专业工具驱赶，并警示过往游客避让。 </w:t>
      </w:r>
    </w:p>
    <w:p>
      <w:p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（9）乌山和屏山公园的森林防火工作，具体内容包括： </w:t>
      </w:r>
    </w:p>
    <w:p>
      <w:p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1）每日进行森林防火巡查。每月至少进行一次森林防火演练。 </w:t>
      </w:r>
    </w:p>
    <w:p>
      <w:p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2）对公园区域内的火灾隐患及时预警，并协助相关部门进行处理。</w:t>
      </w:r>
    </w:p>
    <w:p>
      <w:p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3）制止易燃易爆物品及明火火源进入公园。</w:t>
      </w:r>
    </w:p>
    <w:p>
      <w:p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4）每日检查重点防火部位，检查消防设施设备是否在位，完好，有效，建立消防日检表。 </w:t>
      </w:r>
    </w:p>
    <w:p>
      <w:p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5）24 小时值守森林防火监控探头情况。 </w:t>
      </w:r>
    </w:p>
    <w:p>
      <w:pPr>
        <w:numPr>
          <w:ilvl w:val="0"/>
          <w:numId w:val="3"/>
        </w:num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定期配合相关部门进行消防演习，对消防安全隐患，违章违规行为进行 </w:t>
      </w:r>
    </w:p>
    <w:p>
      <w:pPr>
        <w:numPr>
          <w:ilvl w:val="0"/>
          <w:numId w:val="3"/>
        </w:num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报告和处理。 </w:t>
      </w:r>
    </w:p>
    <w:p>
      <w:pPr>
        <w:numPr>
          <w:ilvl w:val="0"/>
          <w:numId w:val="3"/>
        </w:num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制定火灾应急预案，遇突发事件及火灾，应在第一时间上报采购人，且 迅速组织安保、消防、医疗救助人员进行疏散、抢救，将事故控制在萌芽状态。 </w:t>
      </w:r>
    </w:p>
    <w:p>
      <w:pPr>
        <w:numPr>
          <w:ilvl w:val="0"/>
          <w:numId w:val="3"/>
        </w:num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一旦发现火灾隐患，应立即采取措施并报告。 </w:t>
      </w:r>
    </w:p>
    <w:p>
      <w:pPr>
        <w:numPr>
          <w:ilvl w:val="0"/>
          <w:numId w:val="3"/>
        </w:numPr>
        <w:spacing w:line="500" w:lineRule="exact"/>
        <w:ind w:firstLine="200"/>
        <w:rPr>
          <w:rFonts w:ascii="宋体" w:hAnsi="宋体" w:eastAsia="宋体" w:cs="宋体"/>
          <w:bCs/>
          <w:color w:val="auto"/>
          <w:sz w:val="24"/>
          <w:highlight w:val="none"/>
        </w:rPr>
      </w:pPr>
      <w:r>
        <w:rPr>
          <w:rFonts w:hint="eastAsia" w:ascii="宋体" w:hAnsi="宋体" w:eastAsia="宋体" w:cs="宋体"/>
          <w:bCs/>
          <w:color w:val="auto"/>
          <w:sz w:val="24"/>
          <w:highlight w:val="none"/>
        </w:rPr>
        <w:t xml:space="preserve">做好森林防火器材储备库的维护工作，定期检查、及时更换。 </w:t>
      </w:r>
    </w:p>
    <w:p>
      <w:pPr>
        <w:numPr>
          <w:ilvl w:val="0"/>
          <w:numId w:val="3"/>
        </w:numPr>
        <w:spacing w:line="500" w:lineRule="exact"/>
        <w:ind w:firstLine="200"/>
        <w:rPr>
          <w:rFonts w:ascii="宋体" w:hAnsi="宋体" w:eastAsia="宋体" w:cs="宋体"/>
          <w:color w:val="auto"/>
          <w:spacing w:val="-7"/>
          <w:sz w:val="24"/>
          <w:highlight w:val="none"/>
        </w:rPr>
      </w:pPr>
      <w:r>
        <w:rPr>
          <w:rFonts w:hint="eastAsia" w:ascii="宋体" w:hAnsi="宋体" w:eastAsia="宋体" w:cs="宋体"/>
          <w:bCs/>
          <w:color w:val="auto"/>
          <w:sz w:val="24"/>
          <w:highlight w:val="none"/>
        </w:rPr>
        <w:t>遇森林防火预警信号时，组织人员进行栈道周边全线喷淋降险。</w:t>
      </w:r>
    </w:p>
    <w:p>
      <w:pPr>
        <w:pStyle w:val="31"/>
        <w:spacing w:line="500" w:lineRule="exact"/>
        <w:ind w:firstLine="482" w:firstLineChars="200"/>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3、工作要求</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保安人员应维护公园内治安，维持广场、园内园路秩序，禁止园内车辆停放，重点保护公园广场、园内单体建筑物、公共设施、园内景区等重要场所的安全秩序和环境卫生，确保公园内治安及秩序正常。当工作人员或公众生命财产受到威胁，保安人员要立即到达现场，并采取积极措施及时处理并上报有关领导部门。</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（2）保安人员在执勤中遇到游客求助、求救，要采取一切办法立即开展救助工作，不得以任何借口拖延。</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保安人员应按照相关规定做好公园区域内的防火、防盗、防爆炸、防治安灾害事故等安全防范工作，保安人员负责日常的消防安全检查，每日应对全园区的消防设施、消防隐患进行安全检查，配合制定火灾紧急处置预案，发现火灾隐患及时提出整改意见，确保消防系统畅通，预防、处理突发消防事故。对发生的火警应及时组织人员扑救，同时应立即疏散游客，防止发生群死群伤的安全事故。</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（4）保安人员做好园区内水域安全保障工作，每日应对园区内水域进行不间断巡查，对于防落水工作要特别重视，对发生落水事件应及时组织人员进行救护，防止发生安全事故。</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（5）保安人员每日应对园内各种设施进行安全检查，发现有安全隐患，应立即采取妥当措施及时设置警示标志，并在第一时间以书面形式上报公园。</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（6）保安人员应维持全园正常游园秩序，对于各类不文明的游园行为应及时制止。</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（7）应定期组织保安员参加各种安全教育和法律法规学习，提高保安人员的安全意识和法律意识。</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（8）保安人员应自觉配合公园管理人员的日常管理。</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9）保安着装及随身配置要求：执勤保安应着新式保安服、脚穿作战靴、扎武装腰带，按季节变化及时进行换装，保安服不得与便服混穿，不同季节的保安服也不得混穿；执勤保安应配置对讲机、警棍、辣椒水、强光手电、每个岗亭一支防暴钢叉、雨衣雨鞋等。</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（10）保安人员应开展 24 小时全区域巡查（严禁湖区周边钓鱼或其他方式的捕鱼行为、未经允许的无人机飞行）。保安人员每周学习至少 1 次，主要是学习法律法规和规章制度，做到执勤人员先懂法守法。半年组织一次消防学习及演练，定时组织保安人员进行队列和体能训练。对违反治安管理行为的人有权劝阻、制止、批评、教育。对可疑人员、鬼鬼祟祟的人员进行检查、盘查（不得打骂和污辱人格）、监视，掌握事态发展，不轻易采取行动，以免打草惊蛇，并报当地公安部门处理。</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11）发生各类案件或重大事故现象,可报110报警，配合公安部门押送犯罪分子或监视盘查,无拘留、关押、罚款、审讯、审查、侦查和处理的权力。有抢救伤员和保护现场的权力，但没有勘察现场的权力。如有紧急情况应从速报警，保护现场并禁止闲杂人员进入。</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12）员工上下班必须在指定地方打卡签到，不准迟到、早退、旷工。在指定的岗位或范围内当值。禁止未经许可的人士进入指定的岗位或范围内。处理一切当值岗位发生的事件及报告上级。执行上级所指定的任务。</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（13）如遇重大活动或解决重大事故、险情，所属保安员应延时工作。特殊情况下，休息的保安员应无条件按公园要求接受加班，直至圆满完成。</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（14）保安岗位工作重点要求，应对保安工作中以下要点，予以正确、及时、完善之处理，并有系统记录：</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1）检查重点防火部位，检查消防设施设备是否在位，完好，有效，建立消防日检表。</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2）检查巡更点所到之处设施、绿化是否完好。</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3）检查箱式变压器、电房外围安全情况。</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4）针对进场的二次施工进行有效监控，把好施工安全。</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5）防止外来车辆、人员未经许可进入公园所属办公区域，熟悉来园人员情况，有效判断进出人员状况。</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6）晚间巡更应仔细遵循“认真、勤奋、机警”的宗旨，如发现异常情况，立即上报。</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7）检查各配电房、泵房、仓库设施等是否保持常闭，上锁。禁止无关人员入内。</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8）熟悉所有燃气及水力应急阀门、电力总闸、各种手动消防设备和其他所有紧急开关的位置和使用功能，并铭记在心，仔细查看，消除隐患。</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9）监控中心由中标人自行按排员工值班。</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10）对于监控中心的所有备用钥匙应严格管理和控制。</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11）配合工程人员对监控设施的检查维修。</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12）所有物品出入园区必须严格按物资进出制度执行。</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13）管控无烟区范围内任何时间不允许吸烟。</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14）维护交通秩序，指挥和疏导进出工作车辆，非机动车和行人。</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15）定时定点巡视公园指定区域各楼面、通道、车库、广场四周等。</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16）定期配合相关部门进行消防演习，对消防安全隐患，违章违规行为进行报告和处理。</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17）制定突发事件及火灾应急预案，遇突发事件及火灾，应在第一时间上报甲方，且迅速组织安保、消防、医疗救助人员进行疏散、抢救，将事故控制在萌芽状态。</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18）一旦发现盗窃破坏行为，立即报告/追查。</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19）不得擅入园内租户经营区域，收银柜台及办公区域(安全检查例外)。如在夜间发现门未锁现象或紧急情况，应由班长陪同或当班保安 2 人以上进入检查并处置，同时书面报告给上司及租户指定联系人。</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20）做好公园指定区域清场工作，避免清园时间游客或无关人员逗留危险区域。</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21）建立岗位工作日志，作好记录，根据情况做书面报告。</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22）保安员每周不少于 2 小时的培训，每周不少于 1 次班务会，每月不少于 2 次部门会议。</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23）对工作的讲评，会议纪要应逐级上报，并抄送公园安保科。</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（15）为获得最高效率的工作，身为保安员必须保持良好的操作，以礼待人，以理服人，遵章守纪。安保岗位纪律要求：</w:t>
      </w:r>
    </w:p>
    <w:p>
      <w:pPr>
        <w:widowControl/>
        <w:tabs>
          <w:tab w:val="left" w:pos="1200"/>
        </w:tabs>
        <w:spacing w:line="500" w:lineRule="exact"/>
        <w:ind w:left="480"/>
        <w:jc w:val="left"/>
        <w:rPr>
          <w:rFonts w:ascii="宋体" w:hAnsi="宋体" w:eastAsia="宋体" w:cs="宋体"/>
          <w:color w:val="auto"/>
          <w:sz w:val="24"/>
          <w:highlight w:val="none"/>
        </w:rPr>
      </w:pPr>
      <w:r>
        <w:rPr>
          <w:rFonts w:hint="eastAsia" w:ascii="宋体" w:hAnsi="宋体" w:eastAsia="宋体" w:cs="宋体"/>
          <w:color w:val="auto"/>
          <w:sz w:val="24"/>
          <w:highlight w:val="none"/>
        </w:rPr>
        <w:t>1）不得迟到、早退。</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2）员工上下班必须由指定路线进出管理中心和后勤区，不得随意驾车进出。</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3）当值时必须穿着制服，佩戴铭牌和证件，着装不得佩戴任何饰物。</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4）不得擅离职守。</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5）不得当值时在岗位内睡觉。</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6）不得在岗位吸烟。休息时不得在岗位吸烟，下班后不得着装制服在公园范围内(非后勤区)逗留。</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7)不得当值前或当值时饮用含酒精类的饮品。</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8)不得在岗位内以任何形式赌博。</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9)不得发表对公司或甲方不利的论调。</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10)不得擅自向外人泄露办公机密和内部控制详情。</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11)在任何情况下严禁和公园工作人员、游客、园内租户（经营者）发生争执。</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12)在任何区域发现游客遗留物品应即时上交登记。</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13)严禁向租户(经营者)、游客以各种形式勒索财物。</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14)在任何岗位不准看书报、听音乐、玩弄手机、长时间打私人电话等。</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15)上班期间，不准接待亲友，如需必要，应先告知上级，并请其安排事宜。</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16)接听值守电话、对讲机应保持文明礼貌。</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17)应保持通讯畅通，下级避让上级。一般情况避让紧急情况。</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18)保安人员如犯有任何罪案，立即交警方处理，如违反规章制度，则应接受处分、警告、直到除名。</w:t>
      </w:r>
    </w:p>
    <w:p>
      <w:pPr>
        <w:widowControl/>
        <w:tabs>
          <w:tab w:val="left" w:pos="1200"/>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19)上岗之前必须列队召开班前例会。下岗后，必须列队召开班后会。由班长总结一天的工作，提出批评和表扬以及交接事宜。主管人员必须不定期、不定时进行夜间抽查，夜查次数每周不少于 3 晚，并作出书面检查记录，将检查状况逐级上报。</w:t>
      </w:r>
    </w:p>
    <w:p>
      <w:pPr>
        <w:widowControl/>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20)员工必须保持良好形象，微笑服务。如被发现有不合标准之处，甲方有权责令其改正，并记录在案，汇入月底考评记录中。</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21）安保人员形象应达到：保安男身高 1.68 米及以上，女身高 1.60 及以上，男年龄周岁 18～55 岁，女年龄周岁18～45 岁，文化程度初中及以上。</w:t>
      </w:r>
    </w:p>
    <w:p>
      <w:pPr>
        <w:spacing w:line="500" w:lineRule="exact"/>
        <w:ind w:firstLine="452" w:firstLineChars="200"/>
        <w:outlineLvl w:val="2"/>
        <w:rPr>
          <w:rFonts w:ascii="宋体" w:hAnsi="宋体" w:eastAsia="宋体" w:cs="宋体"/>
          <w:color w:val="auto"/>
          <w:spacing w:val="-7"/>
          <w:sz w:val="24"/>
          <w:highlight w:val="none"/>
        </w:rPr>
      </w:pPr>
      <w:r>
        <w:rPr>
          <w:rFonts w:hint="eastAsia" w:ascii="宋体" w:hAnsi="宋体" w:eastAsia="宋体" w:cs="宋体"/>
          <w:color w:val="auto"/>
          <w:spacing w:val="-7"/>
          <w:sz w:val="24"/>
          <w:highlight w:val="none"/>
        </w:rPr>
        <w:t>4、安保礼仪</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保安员仪容仪表：</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1)所有保安人员的制服应保持干净。</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2)在班前例会上班长应检查每位所属员工的仪表仪容。</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3)发型：头发梳理整齐，头发不过领，不许留鬓须。</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4)着装：按规定穿着制服整齐划一，铭牌/工作证应佩带在指定位置。</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5)穿鞋：统一黑颜色，鞋面保持光亮，无污垢、污渍。</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6)站姿：保持两腿与双肩同宽，两手自然下垂，或双手交叉放于身后或前胸下，收腹、挺胸，不得大稍息。</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7)坐姿：不趴桌，不翘腿，双眼正视前方，姿势端正。</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8)精神面貌：行走有力，挺拔，精神饱满，目视前方，富有朝气。</w:t>
      </w:r>
    </w:p>
    <w:p>
      <w:pPr>
        <w:tabs>
          <w:tab w:val="left" w:pos="1125"/>
        </w:tabs>
        <w:spacing w:line="50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w:t>
      </w:r>
      <w:r>
        <w:rPr>
          <w:rFonts w:hint="eastAsia" w:ascii="宋体" w:hAnsi="宋体" w:eastAsia="宋体" w:cs="宋体"/>
          <w:color w:val="auto"/>
          <w:sz w:val="24"/>
          <w:highlight w:val="none"/>
        </w:rPr>
        <w:tab/>
      </w:r>
      <w:r>
        <w:rPr>
          <w:rFonts w:hint="eastAsia" w:ascii="宋体" w:hAnsi="宋体" w:eastAsia="宋体" w:cs="宋体"/>
          <w:color w:val="auto"/>
          <w:sz w:val="24"/>
          <w:highlight w:val="none"/>
        </w:rPr>
        <w:t>保安人员用语要求：</w:t>
      </w:r>
    </w:p>
    <w:p>
      <w:pPr>
        <w:widowControl/>
        <w:tabs>
          <w:tab w:val="left" w:pos="1200"/>
        </w:tabs>
        <w:spacing w:line="500" w:lineRule="exact"/>
        <w:ind w:left="480"/>
        <w:jc w:val="left"/>
        <w:rPr>
          <w:rFonts w:ascii="宋体" w:hAnsi="宋体" w:eastAsia="宋体" w:cs="宋体"/>
          <w:color w:val="auto"/>
          <w:sz w:val="24"/>
          <w:highlight w:val="none"/>
        </w:rPr>
      </w:pPr>
      <w:r>
        <w:rPr>
          <w:rFonts w:hint="eastAsia" w:ascii="宋体" w:hAnsi="宋体" w:eastAsia="宋体" w:cs="宋体"/>
          <w:color w:val="auto"/>
          <w:sz w:val="24"/>
          <w:highlight w:val="none"/>
        </w:rPr>
        <w:t>1)语气热情诚恳，面带微笑，身体端正，目视客人。</w:t>
      </w:r>
    </w:p>
    <w:p>
      <w:pPr>
        <w:widowControl/>
        <w:tabs>
          <w:tab w:val="left" w:pos="1200"/>
        </w:tabs>
        <w:spacing w:line="500" w:lineRule="exact"/>
        <w:ind w:left="480"/>
        <w:jc w:val="left"/>
        <w:rPr>
          <w:rFonts w:ascii="宋体" w:hAnsi="宋体" w:eastAsia="宋体" w:cs="宋体"/>
          <w:color w:val="auto"/>
          <w:sz w:val="24"/>
          <w:highlight w:val="none"/>
        </w:rPr>
      </w:pPr>
      <w:r>
        <w:rPr>
          <w:rFonts w:hint="eastAsia" w:ascii="宋体" w:hAnsi="宋体" w:eastAsia="宋体" w:cs="宋体"/>
          <w:color w:val="auto"/>
          <w:sz w:val="24"/>
          <w:highlight w:val="none"/>
        </w:rPr>
        <w:t>2)态度和蔼，不失严肃，语言简洁达意而不委婉客气，仪态大方。</w:t>
      </w:r>
    </w:p>
    <w:p>
      <w:pPr>
        <w:widowControl/>
        <w:tabs>
          <w:tab w:val="left" w:pos="1200"/>
        </w:tabs>
        <w:spacing w:line="500" w:lineRule="exact"/>
        <w:ind w:left="480"/>
        <w:jc w:val="left"/>
        <w:rPr>
          <w:rFonts w:ascii="宋体" w:hAnsi="宋体" w:eastAsia="宋体" w:cs="宋体"/>
          <w:color w:val="auto"/>
          <w:sz w:val="24"/>
          <w:highlight w:val="none"/>
        </w:rPr>
      </w:pPr>
      <w:r>
        <w:rPr>
          <w:rFonts w:hint="eastAsia" w:ascii="宋体" w:hAnsi="宋体" w:eastAsia="宋体" w:cs="宋体"/>
          <w:color w:val="auto"/>
          <w:sz w:val="24"/>
          <w:highlight w:val="none"/>
        </w:rPr>
        <w:t>3)语言诚恳，不得带有厌烦情绪，目光专一，站姿端正。</w:t>
      </w:r>
    </w:p>
    <w:p>
      <w:pPr>
        <w:widowControl/>
        <w:numPr>
          <w:ilvl w:val="0"/>
          <w:numId w:val="4"/>
        </w:numPr>
        <w:tabs>
          <w:tab w:val="left" w:pos="1200"/>
        </w:tabs>
        <w:spacing w:line="500" w:lineRule="exact"/>
        <w:ind w:firstLine="480" w:firstLineChars="200"/>
        <w:jc w:val="left"/>
        <w:rPr>
          <w:rFonts w:ascii="宋体" w:hAnsi="宋体" w:eastAsia="宋体" w:cs="宋体"/>
          <w:color w:val="auto"/>
          <w:sz w:val="24"/>
          <w:highlight w:val="none"/>
        </w:rPr>
      </w:pPr>
      <w:r>
        <w:rPr>
          <w:rFonts w:hint="eastAsia" w:ascii="宋体" w:hAnsi="宋体" w:eastAsia="宋体" w:cs="宋体"/>
          <w:color w:val="auto"/>
          <w:sz w:val="24"/>
          <w:highlight w:val="none"/>
        </w:rPr>
        <w:t>文明用语。保安人员交谈的过程中，一定要态度和蔼，保持微笑，语气和蔼，说话得体。比如保安在检查核实时要说“请出示证件”；如果对方不友好，说“请不要生气，有话好好说”；对方表示感谢时，应说“不客气，这是我们应该做的”等。</w:t>
      </w:r>
    </w:p>
    <w:p>
      <w:pPr>
        <w:spacing w:line="560" w:lineRule="exact"/>
        <w:ind w:firstLine="480" w:firstLineChars="200"/>
        <w:outlineLvl w:val="1"/>
        <w:rPr>
          <w:rFonts w:ascii="宋体" w:hAnsi="宋体" w:eastAsia="宋体" w:cs="宋体"/>
          <w:color w:val="auto"/>
          <w:sz w:val="24"/>
          <w:highlight w:val="none"/>
        </w:rPr>
      </w:pPr>
      <w:r>
        <w:rPr>
          <w:rFonts w:hint="eastAsia" w:ascii="宋体" w:hAnsi="宋体" w:eastAsia="宋体" w:cs="宋体"/>
          <w:color w:val="auto"/>
          <w:sz w:val="24"/>
          <w:highlight w:val="none"/>
        </w:rPr>
        <w:t>（五）、设备设施管理维护</w:t>
      </w:r>
    </w:p>
    <w:p>
      <w:pPr>
        <w:spacing w:line="500" w:lineRule="exact"/>
        <w:ind w:firstLine="482" w:firstLineChars="200"/>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1、工作内容</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负责公园内全部构筑物、设施和设备的维护：包括道路、广场、亭台楼阁、景观桥、围墙、木平台、办公室和配套用房</w:t>
      </w:r>
      <w:r>
        <w:rPr>
          <w:rFonts w:hint="eastAsia" w:ascii="宋体" w:hAnsi="宋体" w:eastAsia="宋体" w:cs="宋体"/>
          <w:bCs/>
          <w:color w:val="auto"/>
          <w:sz w:val="24"/>
          <w:highlight w:val="none"/>
          <w:lang w:eastAsia="zh-CN"/>
        </w:rPr>
        <w:t>、</w:t>
      </w:r>
      <w:r>
        <w:rPr>
          <w:rFonts w:hint="eastAsia" w:ascii="宋体" w:hAnsi="宋体" w:eastAsia="宋体" w:cs="宋体"/>
          <w:bCs/>
          <w:color w:val="auto"/>
          <w:sz w:val="24"/>
          <w:highlight w:val="none"/>
        </w:rPr>
        <w:t>电路系统及设备、体验区温泉系统（温泉公园）、广播监控系统、雾喷及水循环系统（冶山春秋园）、消防系统、巡逻车、水电管线、灯具、照明、垃圾桶、座椅、大门、公园围栏、花坛、绿篱、挡墙驳岸、标识牌警示牌、给排水、强电弱电管沟、仓库、配电用房、泵房、户外配电箱等构筑物及电气设备，下水道系统等各类设施设备日常及安全维护，定期组织安全生产检查并配备铧铲、水枪、警示牌、救生圈、工作小船、探照灯等工具，不包括管理中心办公室办公用品维修。负责公园辖区内水电设施的日常巡查、维护维修及公园老旧设施改造工作、便民设施维护（饮水机)、软硬件维护维修、游客中心监控以及公园所属电房的运行管理。</w:t>
      </w:r>
      <w:r>
        <w:rPr>
          <w:rFonts w:hint="eastAsia" w:ascii="宋体" w:hAnsi="宋体" w:eastAsia="宋体" w:cs="宋体"/>
          <w:b/>
          <w:color w:val="auto"/>
          <w:sz w:val="24"/>
          <w:highlight w:val="none"/>
        </w:rPr>
        <w:t>最高限价已包括上述内容的维护维修人员费用和耗材费用，单项设备设施维护项目不超过1万元的费用，由中标单位自行承担。</w:t>
      </w:r>
    </w:p>
    <w:p>
      <w:pPr>
        <w:spacing w:line="500" w:lineRule="exact"/>
        <w:ind w:firstLine="482" w:firstLineChars="200"/>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2、工作模式</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设备设施管理维护每日安排1班作业，并配备24小时值班电话，在接到报障电话后，必须在五分钟之内响应，三十分钟之内到达抢修现场及时处理（地面故障处理、安全处理）；一般故障2小时内修复，排除线路故障4小时内修复，时间超过22:30发生的故障及电缆烧毁、被盗等事故，应及时到达现场采取应急措施，经公园同意办理相关手续后可12小时内修复。每个公园配置设施管理维护人员1名，5个区属公园共安排5名，应具备特种作业操作证（电工）低压电工操作和高压电工操作证。5名维护人员可在5个公园内统筹使用，分别常驻在温泉公园和乌山历史风貌区。</w:t>
      </w:r>
    </w:p>
    <w:p>
      <w:pPr>
        <w:spacing w:line="500" w:lineRule="exact"/>
        <w:ind w:firstLine="482" w:firstLineChars="200"/>
        <w:outlineLvl w:val="2"/>
        <w:rPr>
          <w:rFonts w:ascii="宋体" w:hAnsi="宋体" w:eastAsia="宋体" w:cs="宋体"/>
          <w:b/>
          <w:color w:val="auto"/>
          <w:sz w:val="24"/>
          <w:highlight w:val="none"/>
        </w:rPr>
      </w:pPr>
      <w:r>
        <w:rPr>
          <w:rFonts w:hint="eastAsia" w:ascii="宋体" w:hAnsi="宋体" w:eastAsia="宋体" w:cs="宋体"/>
          <w:b/>
          <w:color w:val="auto"/>
          <w:sz w:val="24"/>
          <w:highlight w:val="none"/>
        </w:rPr>
        <w:t>3、工作要求</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（1）设立每日巡查、维修制度，并在指 定时间开关路灯、喷泉、水景 系统、游客服务中心、温泉体验区系统（仅温泉公园）（其它节假日、领导视察、接待任务等情况另行通知），对园灯及景观照明等设施、广播音响设施、监控和智能化控制系统用电部分，瀑布叠水和雾喷系统用电部分，管理房等建筑物、构筑物水电设施、公园电气设施、音乐喷泉、水泵设施、给排水设施、高低压配电设施进行巡查，及时发现潜在故障，并迅速组织 维修，保证安全。</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2）自觉接受公园及有关部门的监督管理，每逢法定节日（含元旦、春节、五一、国庆等）、领导视察、接待任务等日子，必须无条件服从公园组织的突击性任务及迎检活动，按时、按标准、按要求完成公园所分配的工作，如在迎检活动中，由于维护工作不到位造成迎检所在项目不合格的，公园有权单方面终止维护合同，并予以处罚。</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（3）每逢法定节日（含元旦、春节、五一、国庆等）以及领导视察、行政接待、庆典活动、元宵灯展等重要日子，需要在主要入口、路段安装的灯饰，应积极配合并按公园要求施工。</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（4）在遭遇突发事件、重大灾害（台风、洪水等）等特殊情况下需保证人员在岗，维持必要的公园巡查和维护维修，期间如遇到重大安全隐患或事故 需做出必要的应急处置，保证公园设备、人员的安全。</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（5）做好与公园原水电工程维护班组的交接工作，编制设施设备户籍手册，要做到每个设施、线路或系统都要有档案记录，记录需清楚明白，方便取用。</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（6）应设维护维修的维护项目负责人，负责日常管理与协调工作。</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7）水电设施维护人员，必须持有国家电力部分颁发的高、低压电工进网作业许可证，必做好证件复审和必要的技能学习培训。并保证提供的维护人员由于辞退、离职等原因导致缺编时，需及时安排人员无缝对接。</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（8）不得无故停止工作。</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（9）必须落实安全生产措施，且应按要求，为上岗工人配置统一的工作 服和反光袖套、安全带、安全帽、绝缘靴、绝缘手套等有关劳保用品，自行解决安全作业问题。在进行维护作业时必须认真负责，并遵守有关安全操作规范，如发生任何意外，负责事故处理及一切费用，概与公园无关。</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（10）应提供的项目维护维修所需的常用工具和耗材（电工胶布、钻头等），并做好工具的维护保养工作。</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11）组织维护人员文明作业，严格遵守市政、环卫、绿化、城管、治安、交通、水、电、公安部门关于城市管理相关的规定，作业噪音、环境卫生、排水、排污、占道等应符合规定的要求，并自觉办理相关的作业许可证及承担相应的费用。在维护作业过程中安装人员产生的纠纷自行负责解决，涉及相关费用自行承担。</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（12）在维护期间的春秋和五个重大节假日组织安全检查，及时发现潜在的安全隐患，并将检查报告交管理处备案。</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13）在维护期间要确保园灯及景观照明设施、广播音响设施、监控和智能化控制系统用电部分，喷泉、高低压配电设施完好和达到原设计要求。其中园灯照明设施应在规定的亮灯时间内，冶山公园内水循环和喷雾系统保证公园开发期间正常运行。</w:t>
      </w:r>
    </w:p>
    <w:p>
      <w:pPr>
        <w:spacing w:line="500" w:lineRule="exact"/>
        <w:ind w:firstLine="480" w:firstLineChars="200"/>
        <w:rPr>
          <w:rFonts w:ascii="宋体" w:hAnsi="宋体" w:eastAsia="宋体" w:cs="宋体"/>
          <w:bCs/>
          <w:color w:val="auto"/>
          <w:sz w:val="24"/>
          <w:highlight w:val="none"/>
        </w:rPr>
      </w:pPr>
      <w:r>
        <w:rPr>
          <w:rFonts w:hint="eastAsia" w:ascii="宋体" w:hAnsi="宋体" w:eastAsia="宋体" w:cs="宋体"/>
          <w:bCs/>
          <w:color w:val="auto"/>
          <w:sz w:val="24"/>
          <w:highlight w:val="none"/>
        </w:rPr>
        <w:t>（14）所有的维护设施不得发生漏电事故，否则一切责任及造成的损失由中标人负责；灯杆、灯罩、电箱等园灯照明设施要及时清除蛛网、蚊虫、灰尘、污物，及时清除乱张贴、乱写画，设施表面脱漆、颜色褪变、等要及时翻新，保持设施的整洁美观。</w:t>
      </w:r>
    </w:p>
    <w:p>
      <w:pPr>
        <w:spacing w:line="500" w:lineRule="exact"/>
        <w:ind w:firstLine="480" w:firstLineChars="200"/>
        <w:rPr>
          <w:rFonts w:ascii="宋体" w:hAnsi="宋体" w:eastAsia="宋体" w:cs="宋体"/>
          <w:color w:val="auto"/>
          <w:sz w:val="24"/>
          <w:highlight w:val="none"/>
        </w:rPr>
      </w:pPr>
      <w:r>
        <w:rPr>
          <w:rFonts w:hint="eastAsia" w:ascii="宋体" w:hAnsi="宋体" w:eastAsia="宋体" w:cs="宋体"/>
          <w:bCs/>
          <w:color w:val="auto"/>
          <w:sz w:val="24"/>
          <w:highlight w:val="none"/>
        </w:rPr>
        <w:t>（15）其他用电设施如广告、灯饰、公园临时活动及其他非用于园灯照明设施的用电未经公园同意，不得擅自接驳线路。</w:t>
      </w:r>
    </w:p>
    <w:p>
      <w:pPr>
        <w:spacing w:line="500" w:lineRule="exact"/>
        <w:ind w:firstLine="480" w:firstLineChars="200"/>
        <w:outlineLvl w:val="1"/>
        <w:rPr>
          <w:rFonts w:ascii="宋体" w:hAnsi="宋体" w:eastAsia="宋体" w:cs="宋体"/>
          <w:color w:val="auto"/>
          <w:sz w:val="24"/>
          <w:highlight w:val="none"/>
        </w:rPr>
      </w:pPr>
      <w:r>
        <w:rPr>
          <w:rFonts w:hint="eastAsia" w:ascii="宋体" w:hAnsi="宋体" w:eastAsia="宋体" w:cs="宋体"/>
          <w:color w:val="auto"/>
          <w:sz w:val="24"/>
          <w:highlight w:val="none"/>
        </w:rPr>
        <w:t>（六）、其他养护内容</w:t>
      </w:r>
    </w:p>
    <w:p>
      <w:pPr>
        <w:spacing w:line="500" w:lineRule="exact"/>
        <w:ind w:firstLine="452" w:firstLineChars="200"/>
        <w:rPr>
          <w:rFonts w:ascii="宋体" w:hAnsi="宋体" w:eastAsia="宋体" w:cs="宋体"/>
          <w:color w:val="auto"/>
          <w:sz w:val="24"/>
          <w:highlight w:val="none"/>
        </w:rPr>
      </w:pPr>
      <w:r>
        <w:rPr>
          <w:rFonts w:hint="eastAsia" w:ascii="宋体" w:hAnsi="宋体" w:eastAsia="宋体" w:cs="宋体"/>
          <w:color w:val="auto"/>
          <w:spacing w:val="-7"/>
          <w:sz w:val="24"/>
          <w:highlight w:val="none"/>
        </w:rPr>
        <w:t>1、</w:t>
      </w:r>
      <w:r>
        <w:rPr>
          <w:rFonts w:hint="eastAsia" w:ascii="宋体" w:hAnsi="宋体" w:eastAsia="宋体" w:cs="宋体"/>
          <w:bCs/>
          <w:color w:val="auto"/>
          <w:sz w:val="24"/>
          <w:highlight w:val="none"/>
        </w:rPr>
        <w:t>制定公园管理应急预案包括：针对公园内可能发生的突发事件进行的预防、监测与预警、应急处置与救援、恢复与重建、准备与支持等应对活动预案。包括游客突发疾病、意外受伤应急方案、打架斗殴事件应急方案、台风暴雨等应急抢险预案、高低温天气和抗旱应急预案、安全事故应急预案、火灾应急方案、重大节假日、重要活动、上级领导检查、文明检查等应急处理方案等内容。</w:t>
      </w:r>
    </w:p>
    <w:p>
      <w:pPr>
        <w:spacing w:line="500" w:lineRule="exact"/>
        <w:ind w:firstLine="480" w:firstLineChars="200"/>
        <w:rPr>
          <w:rFonts w:ascii="宋体" w:hAnsi="宋体" w:eastAsia="宋体" w:cs="宋体"/>
          <w:color w:val="auto"/>
          <w:spacing w:val="-7"/>
          <w:sz w:val="24"/>
          <w:highlight w:val="none"/>
        </w:rPr>
      </w:pPr>
      <w:r>
        <w:rPr>
          <w:rFonts w:hint="eastAsia" w:ascii="宋体" w:hAnsi="宋体" w:eastAsia="宋体" w:cs="宋体"/>
          <w:bCs/>
          <w:color w:val="auto"/>
          <w:sz w:val="24"/>
          <w:highlight w:val="none"/>
        </w:rPr>
        <w:t>2</w:t>
      </w:r>
      <w:r>
        <w:rPr>
          <w:rFonts w:hint="eastAsia" w:ascii="宋体" w:hAnsi="宋体" w:eastAsia="宋体" w:cs="宋体"/>
          <w:color w:val="auto"/>
          <w:spacing w:val="-7"/>
          <w:sz w:val="24"/>
          <w:highlight w:val="none"/>
        </w:rPr>
        <w:t>、五个区属公园配备项目经理</w:t>
      </w:r>
      <w:r>
        <w:rPr>
          <w:rFonts w:hint="eastAsia" w:ascii="宋体" w:hAnsi="宋体" w:eastAsia="宋体" w:cs="宋体"/>
          <w:color w:val="auto"/>
          <w:spacing w:val="-7"/>
          <w:sz w:val="24"/>
          <w:highlight w:val="none"/>
          <w:lang w:val="en-US" w:eastAsia="zh-CN"/>
        </w:rPr>
        <w:t>1</w:t>
      </w:r>
      <w:r>
        <w:rPr>
          <w:rFonts w:hint="eastAsia" w:ascii="宋体" w:hAnsi="宋体" w:eastAsia="宋体" w:cs="宋体"/>
          <w:color w:val="auto"/>
          <w:spacing w:val="-7"/>
          <w:sz w:val="24"/>
          <w:highlight w:val="none"/>
        </w:rPr>
        <w:t>名，</w:t>
      </w:r>
      <w:r>
        <w:rPr>
          <w:rFonts w:hint="eastAsia" w:ascii="宋体" w:hAnsi="宋体" w:eastAsia="宋体" w:cs="宋体"/>
          <w:color w:val="auto"/>
          <w:spacing w:val="-7"/>
          <w:sz w:val="24"/>
          <w:highlight w:val="none"/>
          <w:lang w:val="en-US" w:eastAsia="zh-CN"/>
        </w:rPr>
        <w:t>设立保洁、绿化、安保</w:t>
      </w:r>
      <w:r>
        <w:rPr>
          <w:rFonts w:hint="eastAsia" w:ascii="宋体" w:hAnsi="宋体" w:eastAsia="宋体" w:cs="宋体"/>
          <w:color w:val="auto"/>
          <w:spacing w:val="-7"/>
          <w:sz w:val="24"/>
          <w:highlight w:val="none"/>
        </w:rPr>
        <w:t>主管人选</w:t>
      </w:r>
      <w:r>
        <w:rPr>
          <w:rFonts w:hint="eastAsia" w:ascii="宋体" w:hAnsi="宋体" w:eastAsia="宋体" w:cs="宋体"/>
          <w:color w:val="auto"/>
          <w:spacing w:val="-7"/>
          <w:sz w:val="24"/>
          <w:highlight w:val="none"/>
          <w:lang w:val="en-US" w:eastAsia="zh-CN"/>
        </w:rPr>
        <w:t>各1名（</w:t>
      </w:r>
      <w:r>
        <w:rPr>
          <w:rFonts w:hint="eastAsia" w:ascii="宋体" w:hAnsi="宋体" w:eastAsia="宋体" w:cs="宋体"/>
          <w:color w:val="auto"/>
          <w:spacing w:val="-7"/>
          <w:sz w:val="24"/>
          <w:highlight w:val="none"/>
        </w:rPr>
        <w:t>可由各专业队长兼任）。</w:t>
      </w:r>
      <w:r>
        <w:rPr>
          <w:rFonts w:hint="eastAsia" w:ascii="宋体" w:hAnsi="宋体" w:eastAsia="宋体" w:cs="宋体"/>
          <w:color w:val="auto"/>
          <w:spacing w:val="-7"/>
          <w:sz w:val="24"/>
          <w:highlight w:val="none"/>
          <w:lang w:val="en-US" w:eastAsia="zh-CN"/>
        </w:rPr>
        <w:t>为提高劳动效率，允许绿化、保洁人员统筹使用。</w:t>
      </w:r>
    </w:p>
    <w:p>
      <w:pPr>
        <w:spacing w:line="500" w:lineRule="exact"/>
        <w:ind w:firstLine="452" w:firstLineChars="200"/>
        <w:rPr>
          <w:rFonts w:hint="eastAsia" w:ascii="宋体" w:hAnsi="宋体" w:eastAsia="宋体" w:cs="宋体"/>
          <w:color w:val="auto"/>
          <w:spacing w:val="-7"/>
          <w:sz w:val="24"/>
          <w:highlight w:val="none"/>
        </w:rPr>
      </w:pPr>
      <w:r>
        <w:rPr>
          <w:rFonts w:hint="eastAsia" w:ascii="宋体" w:hAnsi="宋体" w:eastAsia="宋体" w:cs="宋体"/>
          <w:color w:val="auto"/>
          <w:spacing w:val="-7"/>
          <w:sz w:val="24"/>
          <w:highlight w:val="none"/>
        </w:rPr>
        <w:t>3、购买五个公园管养各范围内保额不低于1000万公共责任险一份，如发生公共责任事故，保险公司赔付后不足部分金额由养护单位承担。</w:t>
      </w:r>
    </w:p>
    <w:p>
      <w:pPr>
        <w:spacing w:line="500" w:lineRule="exact"/>
        <w:ind w:firstLine="452" w:firstLineChars="200"/>
        <w:rPr>
          <w:color w:val="auto"/>
          <w:highlight w:val="none"/>
        </w:rPr>
      </w:pPr>
      <w:r>
        <w:rPr>
          <w:rFonts w:hint="eastAsia" w:ascii="宋体" w:hAnsi="宋体" w:eastAsia="宋体" w:cs="宋体"/>
          <w:color w:val="auto"/>
          <w:spacing w:val="-7"/>
          <w:sz w:val="24"/>
          <w:highlight w:val="none"/>
          <w:lang w:val="en-US" w:eastAsia="zh-CN"/>
        </w:rPr>
        <w:t>4</w:t>
      </w:r>
      <w:r>
        <w:rPr>
          <w:rFonts w:hint="eastAsia" w:ascii="宋体" w:hAnsi="宋体" w:eastAsia="宋体" w:cs="宋体"/>
          <w:color w:val="auto"/>
          <w:spacing w:val="-7"/>
          <w:sz w:val="24"/>
          <w:highlight w:val="none"/>
        </w:rPr>
        <w:t>、</w:t>
      </w:r>
      <w:r>
        <w:rPr>
          <w:rFonts w:hint="eastAsia" w:ascii="宋体" w:hAnsi="宋体" w:eastAsia="宋体" w:cs="宋体"/>
          <w:color w:val="auto"/>
          <w:spacing w:val="-7"/>
          <w:sz w:val="24"/>
          <w:highlight w:val="none"/>
          <w:lang w:val="en-US" w:eastAsia="zh-CN"/>
        </w:rPr>
        <w:t>摩崖石刻养护包括清洁及描红等</w:t>
      </w:r>
      <w:r>
        <w:rPr>
          <w:rFonts w:hint="eastAsia" w:ascii="宋体" w:hAnsi="宋体" w:eastAsia="宋体" w:cs="宋体"/>
          <w:color w:val="auto"/>
          <w:spacing w:val="-7"/>
          <w:sz w:val="24"/>
          <w:highlight w:val="none"/>
        </w:rPr>
        <w:t>。</w:t>
      </w:r>
    </w:p>
    <w:p>
      <w:pPr>
        <w:pStyle w:val="22"/>
        <w:spacing w:line="446" w:lineRule="exact"/>
        <w:ind w:firstLine="482"/>
        <w:jc w:val="both"/>
        <w:outlineLvl w:val="1"/>
        <w:rPr>
          <w:rFonts w:hint="default"/>
          <w:b/>
          <w:color w:val="auto"/>
          <w:sz w:val="24"/>
          <w:szCs w:val="24"/>
          <w:highlight w:val="none"/>
        </w:rPr>
      </w:pPr>
      <w:r>
        <w:rPr>
          <w:b/>
          <w:color w:val="auto"/>
          <w:sz w:val="24"/>
          <w:szCs w:val="24"/>
          <w:highlight w:val="none"/>
        </w:rPr>
        <w:t>三、商务要求（以“★”标示的内容为不允许负偏离的实质性要求）</w:t>
      </w:r>
    </w:p>
    <w:p>
      <w:pPr>
        <w:pStyle w:val="22"/>
        <w:jc w:val="both"/>
        <w:rPr>
          <w:rFonts w:hint="default"/>
          <w:color w:val="auto"/>
          <w:highlight w:val="none"/>
        </w:rPr>
      </w:pPr>
      <w:r>
        <w:rPr>
          <w:b/>
          <w:color w:val="auto"/>
          <w:highlight w:val="none"/>
        </w:rPr>
        <w:t>采购包1：</w:t>
      </w:r>
    </w:p>
    <w:tbl>
      <w:tblPr>
        <w:tblStyle w:val="16"/>
        <w:tblW w:w="8472"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798"/>
        <w:gridCol w:w="1153"/>
        <w:gridCol w:w="1276"/>
        <w:gridCol w:w="524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22"/>
              <w:jc w:val="both"/>
              <w:rPr>
                <w:rFonts w:hint="default"/>
                <w:color w:val="auto"/>
                <w:highlight w:val="none"/>
              </w:rPr>
            </w:pPr>
            <w:r>
              <w:rPr>
                <w:color w:val="auto"/>
                <w:highlight w:val="none"/>
              </w:rPr>
              <w:t>序号</w:t>
            </w:r>
          </w:p>
        </w:tc>
        <w:tc>
          <w:tcPr>
            <w:tcW w:w="1153" w:type="dxa"/>
          </w:tcPr>
          <w:p>
            <w:pPr>
              <w:pStyle w:val="22"/>
              <w:jc w:val="both"/>
              <w:rPr>
                <w:rFonts w:hint="default"/>
                <w:color w:val="auto"/>
                <w:highlight w:val="none"/>
              </w:rPr>
            </w:pPr>
            <w:r>
              <w:rPr>
                <w:color w:val="auto"/>
                <w:highlight w:val="none"/>
              </w:rPr>
              <w:t>参数性质</w:t>
            </w:r>
          </w:p>
        </w:tc>
        <w:tc>
          <w:tcPr>
            <w:tcW w:w="1276" w:type="dxa"/>
          </w:tcPr>
          <w:p>
            <w:pPr>
              <w:pStyle w:val="22"/>
              <w:jc w:val="both"/>
              <w:rPr>
                <w:rFonts w:hint="default"/>
                <w:color w:val="auto"/>
                <w:highlight w:val="none"/>
              </w:rPr>
            </w:pPr>
            <w:r>
              <w:rPr>
                <w:color w:val="auto"/>
                <w:highlight w:val="none"/>
              </w:rPr>
              <w:t>类型</w:t>
            </w:r>
          </w:p>
        </w:tc>
        <w:tc>
          <w:tcPr>
            <w:tcW w:w="5245" w:type="dxa"/>
          </w:tcPr>
          <w:p>
            <w:pPr>
              <w:pStyle w:val="22"/>
              <w:jc w:val="both"/>
              <w:rPr>
                <w:rFonts w:hint="default"/>
                <w:color w:val="auto"/>
                <w:highlight w:val="none"/>
              </w:rPr>
            </w:pPr>
            <w:r>
              <w:rPr>
                <w:color w:val="auto"/>
                <w:highlight w:val="none"/>
              </w:rPr>
              <w:t>要求</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22"/>
              <w:jc w:val="both"/>
              <w:rPr>
                <w:rFonts w:hint="default"/>
                <w:color w:val="auto"/>
                <w:highlight w:val="none"/>
              </w:rPr>
            </w:pPr>
            <w:r>
              <w:rPr>
                <w:color w:val="auto"/>
                <w:highlight w:val="none"/>
              </w:rPr>
              <w:t>1</w:t>
            </w:r>
          </w:p>
        </w:tc>
        <w:tc>
          <w:tcPr>
            <w:tcW w:w="1153" w:type="dxa"/>
          </w:tcPr>
          <w:p>
            <w:pPr>
              <w:pStyle w:val="22"/>
              <w:jc w:val="both"/>
              <w:rPr>
                <w:rFonts w:hint="default"/>
                <w:color w:val="auto"/>
                <w:highlight w:val="none"/>
              </w:rPr>
            </w:pPr>
            <w:r>
              <w:rPr>
                <w:color w:val="auto"/>
                <w:highlight w:val="none"/>
              </w:rPr>
              <w:t>★</w:t>
            </w:r>
          </w:p>
        </w:tc>
        <w:tc>
          <w:tcPr>
            <w:tcW w:w="1276" w:type="dxa"/>
          </w:tcPr>
          <w:p>
            <w:pPr>
              <w:pStyle w:val="22"/>
              <w:jc w:val="both"/>
              <w:rPr>
                <w:rFonts w:hint="default"/>
                <w:color w:val="auto"/>
                <w:highlight w:val="none"/>
              </w:rPr>
            </w:pPr>
            <w:r>
              <w:rPr>
                <w:color w:val="auto"/>
                <w:highlight w:val="none"/>
              </w:rPr>
              <w:t>交货地点</w:t>
            </w:r>
          </w:p>
        </w:tc>
        <w:tc>
          <w:tcPr>
            <w:tcW w:w="5245" w:type="dxa"/>
          </w:tcPr>
          <w:p>
            <w:pPr>
              <w:pStyle w:val="22"/>
              <w:jc w:val="both"/>
              <w:rPr>
                <w:rFonts w:hint="default"/>
                <w:color w:val="auto"/>
                <w:highlight w:val="none"/>
                <w:lang w:eastAsia="zh-CN"/>
              </w:rPr>
            </w:pPr>
            <w:r>
              <w:rPr>
                <w:color w:val="auto"/>
                <w:highlight w:val="none"/>
                <w:lang w:eastAsia="zh-CN"/>
              </w:rPr>
              <w:t>各公园所在地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22"/>
              <w:jc w:val="both"/>
              <w:rPr>
                <w:rFonts w:hint="default"/>
                <w:color w:val="auto"/>
                <w:highlight w:val="none"/>
              </w:rPr>
            </w:pPr>
            <w:r>
              <w:rPr>
                <w:color w:val="auto"/>
                <w:highlight w:val="none"/>
              </w:rPr>
              <w:t>2</w:t>
            </w:r>
          </w:p>
        </w:tc>
        <w:tc>
          <w:tcPr>
            <w:tcW w:w="1153" w:type="dxa"/>
          </w:tcPr>
          <w:p>
            <w:pPr>
              <w:pStyle w:val="22"/>
              <w:jc w:val="both"/>
              <w:rPr>
                <w:rFonts w:hint="default"/>
                <w:color w:val="auto"/>
                <w:highlight w:val="none"/>
              </w:rPr>
            </w:pPr>
            <w:r>
              <w:rPr>
                <w:color w:val="auto"/>
                <w:highlight w:val="none"/>
              </w:rPr>
              <w:t>★</w:t>
            </w:r>
          </w:p>
        </w:tc>
        <w:tc>
          <w:tcPr>
            <w:tcW w:w="1276" w:type="dxa"/>
          </w:tcPr>
          <w:p>
            <w:pPr>
              <w:pStyle w:val="22"/>
              <w:jc w:val="both"/>
              <w:rPr>
                <w:rFonts w:hint="default"/>
                <w:color w:val="auto"/>
                <w:highlight w:val="none"/>
              </w:rPr>
            </w:pPr>
            <w:r>
              <w:rPr>
                <w:color w:val="auto"/>
                <w:highlight w:val="none"/>
              </w:rPr>
              <w:t>交货时间</w:t>
            </w:r>
          </w:p>
        </w:tc>
        <w:tc>
          <w:tcPr>
            <w:tcW w:w="5245" w:type="dxa"/>
          </w:tcPr>
          <w:p>
            <w:pPr>
              <w:pStyle w:val="22"/>
              <w:jc w:val="both"/>
              <w:rPr>
                <w:rFonts w:hint="default"/>
                <w:color w:val="auto"/>
                <w:highlight w:val="none"/>
              </w:rPr>
            </w:pPr>
            <w:r>
              <w:rPr>
                <w:color w:val="auto"/>
                <w:highlight w:val="none"/>
              </w:rPr>
              <w:t>自合同签订之日起</w:t>
            </w:r>
            <w:r>
              <w:rPr>
                <w:color w:val="auto"/>
                <w:highlight w:val="none"/>
                <w:lang w:eastAsia="zh-CN"/>
              </w:rPr>
              <w:t>365</w:t>
            </w:r>
            <w:r>
              <w:rPr>
                <w:color w:val="auto"/>
                <w:highlight w:val="none"/>
              </w:rPr>
              <w:t>日</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22"/>
              <w:jc w:val="both"/>
              <w:rPr>
                <w:rFonts w:hint="default"/>
                <w:color w:val="auto"/>
                <w:highlight w:val="none"/>
              </w:rPr>
            </w:pPr>
            <w:r>
              <w:rPr>
                <w:color w:val="auto"/>
                <w:highlight w:val="none"/>
              </w:rPr>
              <w:t>3</w:t>
            </w:r>
          </w:p>
        </w:tc>
        <w:tc>
          <w:tcPr>
            <w:tcW w:w="1153" w:type="dxa"/>
          </w:tcPr>
          <w:p>
            <w:pPr>
              <w:pStyle w:val="22"/>
              <w:jc w:val="both"/>
              <w:rPr>
                <w:rFonts w:hint="default"/>
                <w:color w:val="auto"/>
                <w:highlight w:val="none"/>
              </w:rPr>
            </w:pPr>
            <w:r>
              <w:rPr>
                <w:color w:val="auto"/>
                <w:highlight w:val="none"/>
              </w:rPr>
              <w:t>★</w:t>
            </w:r>
          </w:p>
        </w:tc>
        <w:tc>
          <w:tcPr>
            <w:tcW w:w="1276" w:type="dxa"/>
          </w:tcPr>
          <w:p>
            <w:pPr>
              <w:pStyle w:val="22"/>
              <w:jc w:val="both"/>
              <w:rPr>
                <w:rFonts w:hint="default"/>
                <w:color w:val="auto"/>
                <w:highlight w:val="none"/>
              </w:rPr>
            </w:pPr>
            <w:r>
              <w:rPr>
                <w:color w:val="auto"/>
                <w:highlight w:val="none"/>
              </w:rPr>
              <w:t>交货条件</w:t>
            </w:r>
          </w:p>
        </w:tc>
        <w:tc>
          <w:tcPr>
            <w:tcW w:w="5245" w:type="dxa"/>
          </w:tcPr>
          <w:p>
            <w:pPr>
              <w:pStyle w:val="22"/>
              <w:jc w:val="both"/>
              <w:rPr>
                <w:rFonts w:hint="default"/>
                <w:color w:val="auto"/>
                <w:highlight w:val="none"/>
              </w:rPr>
            </w:pPr>
            <w:r>
              <w:rPr>
                <w:rFonts w:hint="default"/>
                <w:color w:val="auto"/>
                <w:highlight w:val="none"/>
              </w:rPr>
              <w:t>服务期结束后且无重大违约行为或纠纷。</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22"/>
              <w:jc w:val="both"/>
              <w:rPr>
                <w:rFonts w:hint="default"/>
                <w:color w:val="auto"/>
                <w:highlight w:val="none"/>
              </w:rPr>
            </w:pPr>
            <w:r>
              <w:rPr>
                <w:color w:val="auto"/>
                <w:highlight w:val="none"/>
              </w:rPr>
              <w:t>4</w:t>
            </w:r>
          </w:p>
        </w:tc>
        <w:tc>
          <w:tcPr>
            <w:tcW w:w="1153" w:type="dxa"/>
          </w:tcPr>
          <w:p>
            <w:pPr>
              <w:pStyle w:val="22"/>
              <w:jc w:val="both"/>
              <w:rPr>
                <w:rFonts w:hint="default"/>
                <w:color w:val="auto"/>
                <w:highlight w:val="none"/>
              </w:rPr>
            </w:pPr>
            <w:r>
              <w:rPr>
                <w:color w:val="auto"/>
                <w:highlight w:val="none"/>
              </w:rPr>
              <w:t>★</w:t>
            </w:r>
          </w:p>
        </w:tc>
        <w:tc>
          <w:tcPr>
            <w:tcW w:w="1276" w:type="dxa"/>
          </w:tcPr>
          <w:p>
            <w:pPr>
              <w:pStyle w:val="22"/>
              <w:jc w:val="both"/>
              <w:rPr>
                <w:rFonts w:hint="default"/>
                <w:color w:val="auto"/>
                <w:highlight w:val="none"/>
              </w:rPr>
            </w:pPr>
            <w:r>
              <w:rPr>
                <w:color w:val="auto"/>
                <w:highlight w:val="none"/>
              </w:rPr>
              <w:t>是否邀请投标人验收</w:t>
            </w:r>
          </w:p>
        </w:tc>
        <w:tc>
          <w:tcPr>
            <w:tcW w:w="5245" w:type="dxa"/>
          </w:tcPr>
          <w:p>
            <w:pPr>
              <w:pStyle w:val="22"/>
              <w:jc w:val="both"/>
              <w:rPr>
                <w:rFonts w:hint="default"/>
                <w:color w:val="auto"/>
                <w:highlight w:val="none"/>
              </w:rPr>
            </w:pPr>
            <w:r>
              <w:rPr>
                <w:color w:val="auto"/>
                <w:highlight w:val="none"/>
              </w:rPr>
              <w:t>不邀请投标人验收</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22"/>
              <w:jc w:val="both"/>
              <w:rPr>
                <w:rFonts w:hint="default"/>
                <w:color w:val="auto"/>
                <w:highlight w:val="none"/>
              </w:rPr>
            </w:pPr>
            <w:r>
              <w:rPr>
                <w:color w:val="auto"/>
                <w:highlight w:val="none"/>
              </w:rPr>
              <w:t>5</w:t>
            </w:r>
          </w:p>
        </w:tc>
        <w:tc>
          <w:tcPr>
            <w:tcW w:w="1153" w:type="dxa"/>
          </w:tcPr>
          <w:p>
            <w:pPr>
              <w:pStyle w:val="22"/>
              <w:jc w:val="both"/>
              <w:rPr>
                <w:rFonts w:hint="default"/>
                <w:color w:val="auto"/>
                <w:highlight w:val="none"/>
              </w:rPr>
            </w:pPr>
            <w:r>
              <w:rPr>
                <w:color w:val="auto"/>
                <w:highlight w:val="none"/>
              </w:rPr>
              <w:t>★</w:t>
            </w:r>
          </w:p>
        </w:tc>
        <w:tc>
          <w:tcPr>
            <w:tcW w:w="1276" w:type="dxa"/>
          </w:tcPr>
          <w:p>
            <w:pPr>
              <w:pStyle w:val="22"/>
              <w:jc w:val="both"/>
              <w:rPr>
                <w:rFonts w:hint="default"/>
                <w:color w:val="auto"/>
                <w:highlight w:val="none"/>
              </w:rPr>
            </w:pPr>
            <w:r>
              <w:rPr>
                <w:color w:val="auto"/>
                <w:highlight w:val="none"/>
              </w:rPr>
              <w:t>合同支付方式</w:t>
            </w:r>
          </w:p>
        </w:tc>
        <w:tc>
          <w:tcPr>
            <w:tcW w:w="5245" w:type="dxa"/>
          </w:tcPr>
          <w:p>
            <w:pPr>
              <w:pStyle w:val="22"/>
              <w:jc w:val="both"/>
              <w:rPr>
                <w:rFonts w:hint="default"/>
                <w:color w:val="auto"/>
                <w:highlight w:val="none"/>
              </w:rPr>
            </w:pPr>
            <w:r>
              <w:rPr>
                <w:color w:val="auto"/>
                <w:highlight w:val="none"/>
              </w:rPr>
              <w:t>1、</w:t>
            </w:r>
            <w:r>
              <w:rPr>
                <w:color w:val="auto"/>
                <w:highlight w:val="none"/>
                <w:lang w:eastAsia="zh-CN"/>
              </w:rPr>
              <w:t>因电子平台格式的原因合同支付方式以本表</w:t>
            </w:r>
            <w:r>
              <w:rPr>
                <w:color w:val="auto"/>
                <w:highlight w:val="none"/>
              </w:rPr>
              <w:t>第7条约定</w:t>
            </w:r>
            <w:r>
              <w:rPr>
                <w:color w:val="auto"/>
                <w:highlight w:val="none"/>
                <w:lang w:eastAsia="zh-CN"/>
              </w:rPr>
              <w:t>为准</w:t>
            </w:r>
            <w:r>
              <w:rPr>
                <w:color w:val="auto"/>
                <w:highlight w:val="none"/>
              </w:rPr>
              <w:t>，达到付款条件起30日，支付合同总金额的100.00%</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22"/>
              <w:jc w:val="both"/>
              <w:rPr>
                <w:rFonts w:hint="default"/>
                <w:color w:val="auto"/>
                <w:highlight w:val="none"/>
              </w:rPr>
            </w:pPr>
            <w:r>
              <w:rPr>
                <w:color w:val="auto"/>
                <w:highlight w:val="none"/>
              </w:rPr>
              <w:t>6</w:t>
            </w:r>
          </w:p>
        </w:tc>
        <w:tc>
          <w:tcPr>
            <w:tcW w:w="1153" w:type="dxa"/>
          </w:tcPr>
          <w:p>
            <w:pPr>
              <w:pStyle w:val="22"/>
              <w:jc w:val="both"/>
              <w:rPr>
                <w:rFonts w:hint="default"/>
                <w:color w:val="auto"/>
                <w:highlight w:val="none"/>
              </w:rPr>
            </w:pPr>
            <w:r>
              <w:rPr>
                <w:color w:val="auto"/>
                <w:highlight w:val="none"/>
              </w:rPr>
              <w:t>★</w:t>
            </w:r>
          </w:p>
        </w:tc>
        <w:tc>
          <w:tcPr>
            <w:tcW w:w="1276" w:type="dxa"/>
          </w:tcPr>
          <w:p>
            <w:pPr>
              <w:pStyle w:val="22"/>
              <w:jc w:val="both"/>
              <w:rPr>
                <w:rFonts w:hint="default"/>
                <w:color w:val="auto"/>
                <w:highlight w:val="none"/>
              </w:rPr>
            </w:pPr>
            <w:r>
              <w:rPr>
                <w:color w:val="auto"/>
                <w:highlight w:val="none"/>
              </w:rPr>
              <w:t>履约验收方式</w:t>
            </w:r>
          </w:p>
        </w:tc>
        <w:tc>
          <w:tcPr>
            <w:tcW w:w="5245" w:type="dxa"/>
          </w:tcPr>
          <w:p>
            <w:pPr>
              <w:pStyle w:val="22"/>
              <w:jc w:val="both"/>
              <w:rPr>
                <w:rFonts w:hint="default"/>
                <w:color w:val="auto"/>
                <w:highlight w:val="none"/>
              </w:rPr>
            </w:pPr>
            <w:r>
              <w:rPr>
                <w:color w:val="auto"/>
                <w:highlight w:val="none"/>
              </w:rPr>
              <w:t>1、期次1，说明：根据</w:t>
            </w:r>
            <w:r>
              <w:rPr>
                <w:color w:val="auto"/>
                <w:highlight w:val="none"/>
                <w:lang w:eastAsia="zh-CN"/>
              </w:rPr>
              <w:t>招标</w:t>
            </w:r>
            <w:r>
              <w:rPr>
                <w:color w:val="auto"/>
                <w:highlight w:val="none"/>
              </w:rPr>
              <w:t>文件</w:t>
            </w:r>
            <w:r>
              <w:rPr>
                <w:color w:val="auto"/>
                <w:highlight w:val="none"/>
                <w:lang w:eastAsia="zh-CN"/>
              </w:rPr>
              <w:t>、</w:t>
            </w:r>
            <w:r>
              <w:rPr>
                <w:color w:val="auto"/>
                <w:highlight w:val="none"/>
              </w:rPr>
              <w:t>合同</w:t>
            </w:r>
            <w:r>
              <w:rPr>
                <w:color w:val="auto"/>
                <w:highlight w:val="none"/>
                <w:lang w:eastAsia="zh-CN"/>
              </w:rPr>
              <w:t>及公园考核标准</w:t>
            </w:r>
            <w:r>
              <w:rPr>
                <w:color w:val="auto"/>
                <w:highlight w:val="none"/>
              </w:rPr>
              <w:t>对</w:t>
            </w:r>
            <w:r>
              <w:rPr>
                <w:color w:val="auto"/>
                <w:highlight w:val="none"/>
                <w:lang w:eastAsia="zh-CN"/>
              </w:rPr>
              <w:t>中标单位</w:t>
            </w:r>
            <w:r>
              <w:rPr>
                <w:color w:val="auto"/>
                <w:highlight w:val="none"/>
              </w:rPr>
              <w:t>所提供服务</w:t>
            </w:r>
            <w:r>
              <w:rPr>
                <w:color w:val="auto"/>
                <w:highlight w:val="none"/>
                <w:lang w:eastAsia="zh-CN"/>
              </w:rPr>
              <w:t>从保洁、安保、绿化养护、设备设施管理维护</w:t>
            </w:r>
            <w:r>
              <w:rPr>
                <w:color w:val="auto"/>
                <w:highlight w:val="none"/>
              </w:rPr>
              <w:t>等进行</w:t>
            </w:r>
            <w:r>
              <w:rPr>
                <w:color w:val="auto"/>
                <w:highlight w:val="none"/>
                <w:lang w:eastAsia="zh-CN"/>
              </w:rPr>
              <w:t>验收</w:t>
            </w:r>
            <w:r>
              <w:rPr>
                <w:color w:val="auto"/>
                <w:highlight w:val="none"/>
              </w:rPr>
              <w:t>。</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22"/>
              <w:jc w:val="both"/>
              <w:rPr>
                <w:rFonts w:hint="default"/>
                <w:color w:val="auto"/>
                <w:highlight w:val="none"/>
              </w:rPr>
            </w:pPr>
            <w:r>
              <w:rPr>
                <w:color w:val="auto"/>
                <w:highlight w:val="none"/>
              </w:rPr>
              <w:t>7</w:t>
            </w:r>
          </w:p>
        </w:tc>
        <w:tc>
          <w:tcPr>
            <w:tcW w:w="1153" w:type="dxa"/>
          </w:tcPr>
          <w:p>
            <w:pPr>
              <w:pStyle w:val="22"/>
              <w:jc w:val="both"/>
              <w:rPr>
                <w:rFonts w:hint="default"/>
                <w:color w:val="auto"/>
                <w:highlight w:val="none"/>
              </w:rPr>
            </w:pPr>
            <w:r>
              <w:rPr>
                <w:color w:val="auto"/>
                <w:highlight w:val="none"/>
              </w:rPr>
              <w:t>★</w:t>
            </w:r>
          </w:p>
        </w:tc>
        <w:tc>
          <w:tcPr>
            <w:tcW w:w="1276" w:type="dxa"/>
          </w:tcPr>
          <w:p>
            <w:pPr>
              <w:pStyle w:val="22"/>
              <w:jc w:val="both"/>
              <w:rPr>
                <w:rFonts w:hint="default"/>
                <w:color w:val="auto"/>
                <w:highlight w:val="none"/>
              </w:rPr>
            </w:pPr>
            <w:r>
              <w:rPr>
                <w:color w:val="auto"/>
                <w:highlight w:val="none"/>
              </w:rPr>
              <w:t>其他</w:t>
            </w:r>
          </w:p>
        </w:tc>
        <w:tc>
          <w:tcPr>
            <w:tcW w:w="5245" w:type="dxa"/>
          </w:tcPr>
          <w:p>
            <w:pPr>
              <w:rPr>
                <w:color w:val="auto"/>
                <w:highlight w:val="none"/>
              </w:rPr>
            </w:pPr>
            <w:r>
              <w:rPr>
                <w:color w:val="auto"/>
                <w:highlight w:val="none"/>
              </w:rPr>
              <w:t>合同支付方式（以此为准）：</w:t>
            </w:r>
            <w:r>
              <w:rPr>
                <w:rFonts w:hint="eastAsia"/>
                <w:color w:val="auto"/>
                <w:kern w:val="0"/>
                <w:sz w:val="20"/>
                <w:szCs w:val="20"/>
                <w:highlight w:val="none"/>
                <w:lang w:eastAsia="zh-Hans"/>
              </w:rPr>
              <w:t>1、按月支付。 2、实施单位在每月15日前（如遇节假日顺延至第一个工作日）按每月考核结果进行</w:t>
            </w:r>
            <w:r>
              <w:rPr>
                <w:rFonts w:hint="eastAsia"/>
                <w:color w:val="auto"/>
                <w:kern w:val="0"/>
                <w:sz w:val="20"/>
                <w:szCs w:val="20"/>
                <w:highlight w:val="none"/>
                <w:lang w:eastAsia="zh-CN"/>
              </w:rPr>
              <w:t>上</w:t>
            </w:r>
            <w:r>
              <w:rPr>
                <w:rFonts w:hint="eastAsia"/>
                <w:color w:val="auto"/>
                <w:kern w:val="0"/>
                <w:sz w:val="20"/>
                <w:szCs w:val="20"/>
                <w:highlight w:val="none"/>
                <w:lang w:eastAsia="zh-Hans"/>
              </w:rPr>
              <w:t>月度结算，向中标人支付上月服务费；如中标人提供服务不足一个月时按日计算。付款时中标人提供开户银行信息及等额发票给实施单位，实施单位收到后7个工作日支付当月服务费。</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798" w:type="dxa"/>
          </w:tcPr>
          <w:p>
            <w:pPr>
              <w:pStyle w:val="22"/>
              <w:jc w:val="both"/>
              <w:rPr>
                <w:rFonts w:hint="default"/>
                <w:color w:val="auto"/>
                <w:highlight w:val="none"/>
              </w:rPr>
            </w:pPr>
            <w:r>
              <w:rPr>
                <w:color w:val="auto"/>
                <w:highlight w:val="none"/>
              </w:rPr>
              <w:t>8</w:t>
            </w:r>
          </w:p>
        </w:tc>
        <w:tc>
          <w:tcPr>
            <w:tcW w:w="1153" w:type="dxa"/>
          </w:tcPr>
          <w:p>
            <w:pPr>
              <w:pStyle w:val="22"/>
              <w:jc w:val="both"/>
              <w:rPr>
                <w:rFonts w:hint="default"/>
                <w:color w:val="auto"/>
                <w:highlight w:val="none"/>
              </w:rPr>
            </w:pPr>
            <w:r>
              <w:rPr>
                <w:color w:val="auto"/>
                <w:highlight w:val="none"/>
              </w:rPr>
              <w:t>★</w:t>
            </w:r>
          </w:p>
        </w:tc>
        <w:tc>
          <w:tcPr>
            <w:tcW w:w="1276" w:type="dxa"/>
          </w:tcPr>
          <w:p>
            <w:pPr>
              <w:pStyle w:val="22"/>
              <w:jc w:val="both"/>
              <w:rPr>
                <w:rFonts w:hint="default"/>
                <w:color w:val="auto"/>
                <w:highlight w:val="none"/>
              </w:rPr>
            </w:pPr>
            <w:r>
              <w:rPr>
                <w:color w:val="auto"/>
                <w:highlight w:val="none"/>
              </w:rPr>
              <w:t>其他</w:t>
            </w:r>
          </w:p>
        </w:tc>
        <w:tc>
          <w:tcPr>
            <w:tcW w:w="5245" w:type="dxa"/>
          </w:tcPr>
          <w:p>
            <w:pPr>
              <w:pStyle w:val="22"/>
              <w:jc w:val="both"/>
              <w:rPr>
                <w:rFonts w:hint="default"/>
                <w:color w:val="auto"/>
                <w:highlight w:val="none"/>
              </w:rPr>
            </w:pPr>
            <w:r>
              <w:rPr>
                <w:color w:val="auto"/>
                <w:highlight w:val="none"/>
              </w:rPr>
              <w:t>交付时间（以此为准）：服务期</w:t>
            </w:r>
            <w:r>
              <w:rPr>
                <w:color w:val="auto"/>
                <w:highlight w:val="none"/>
                <w:lang w:eastAsia="zh-CN"/>
              </w:rPr>
              <w:t>3</w:t>
            </w:r>
            <w:r>
              <w:rPr>
                <w:color w:val="auto"/>
                <w:highlight w:val="none"/>
              </w:rPr>
              <w:t>年</w:t>
            </w:r>
            <w:r>
              <w:rPr>
                <w:color w:val="auto"/>
                <w:highlight w:val="none"/>
                <w:lang w:eastAsia="zh-CN"/>
              </w:rPr>
              <w:t>，合同采用一年一签方式（即1＋1+1模式），实施单位与中标人签订合同</w:t>
            </w:r>
            <w:r>
              <w:rPr>
                <w:color w:val="auto"/>
                <w:highlight w:val="none"/>
              </w:rPr>
              <w:t>。</w:t>
            </w:r>
          </w:p>
        </w:tc>
      </w:tr>
    </w:tbl>
    <w:p>
      <w:pPr>
        <w:pStyle w:val="22"/>
        <w:spacing w:line="446" w:lineRule="exact"/>
        <w:ind w:firstLine="480"/>
        <w:rPr>
          <w:rFonts w:hint="default"/>
          <w:color w:val="auto"/>
          <w:sz w:val="24"/>
          <w:szCs w:val="24"/>
          <w:highlight w:val="none"/>
        </w:rPr>
      </w:pPr>
      <w:r>
        <w:rPr>
          <w:color w:val="auto"/>
          <w:sz w:val="24"/>
          <w:szCs w:val="24"/>
          <w:highlight w:val="none"/>
        </w:rPr>
        <w:t>履约保证金</w:t>
      </w:r>
    </w:p>
    <w:p>
      <w:pPr>
        <w:pStyle w:val="22"/>
        <w:spacing w:line="446" w:lineRule="exact"/>
        <w:ind w:firstLine="480" w:firstLineChars="200"/>
        <w:rPr>
          <w:rFonts w:hint="default"/>
          <w:color w:val="auto"/>
          <w:sz w:val="24"/>
          <w:szCs w:val="24"/>
          <w:highlight w:val="none"/>
        </w:rPr>
      </w:pPr>
      <w:r>
        <w:rPr>
          <w:color w:val="auto"/>
          <w:sz w:val="24"/>
          <w:szCs w:val="24"/>
          <w:highlight w:val="none"/>
        </w:rPr>
        <w:t>采购包1：缴纳</w:t>
      </w:r>
    </w:p>
    <w:p>
      <w:pPr>
        <w:snapToGrid w:val="0"/>
        <w:spacing w:line="580" w:lineRule="exact"/>
        <w:ind w:firstLine="640"/>
        <w:rPr>
          <w:color w:val="auto"/>
          <w:sz w:val="24"/>
          <w:highlight w:val="none"/>
        </w:rPr>
      </w:pPr>
      <w:r>
        <w:rPr>
          <w:rFonts w:hint="eastAsia" w:ascii="宋体" w:hAnsi="宋体" w:eastAsia="宋体" w:cs="宋体"/>
          <w:color w:val="auto"/>
          <w:kern w:val="0"/>
          <w:sz w:val="24"/>
          <w:highlight w:val="none"/>
          <w:lang w:eastAsia="zh-Hans"/>
        </w:rPr>
        <w:t>①中标通知书发出后，中标人应分别向实施单位缴纳年中标总价10%的履约保证金；履约保证金将在服务期满且中标人的合同义务已履行完毕后无息退还；②履约保证金可以以支票、汇票、本票、保函等非现金形式缴交。③在合同期内未出现违约情形及实施单位利益受损的情况下，合同到期时无息退还。如中标人违约，不予退还履约保证金，若造成实施单位经济损失的，实施单位有权向中标人追偿。</w:t>
      </w:r>
    </w:p>
    <w:p>
      <w:pPr>
        <w:pStyle w:val="22"/>
        <w:spacing w:line="446" w:lineRule="exact"/>
        <w:ind w:firstLine="480"/>
        <w:rPr>
          <w:rFonts w:hint="default"/>
          <w:color w:val="auto"/>
          <w:sz w:val="24"/>
          <w:szCs w:val="24"/>
          <w:highlight w:val="none"/>
        </w:rPr>
      </w:pPr>
      <w:r>
        <w:rPr>
          <w:color w:val="auto"/>
          <w:sz w:val="24"/>
          <w:szCs w:val="24"/>
          <w:highlight w:val="none"/>
        </w:rPr>
        <w:t>其他商务要求</w:t>
      </w:r>
    </w:p>
    <w:p>
      <w:pPr>
        <w:spacing w:line="560" w:lineRule="exact"/>
        <w:ind w:firstLine="482" w:firstLineChars="200"/>
        <w:rPr>
          <w:rFonts w:ascii="宋体" w:hAnsi="宋体" w:eastAsia="宋体" w:cs="宋体"/>
          <w:b/>
          <w:color w:val="auto"/>
          <w:sz w:val="24"/>
          <w:highlight w:val="none"/>
        </w:rPr>
      </w:pPr>
      <w:r>
        <w:rPr>
          <w:rFonts w:hint="eastAsia" w:ascii="宋体" w:hAnsi="宋体" w:eastAsia="宋体" w:cs="宋体"/>
          <w:b/>
          <w:bCs/>
          <w:color w:val="auto"/>
          <w:sz w:val="24"/>
          <w:highlight w:val="none"/>
        </w:rPr>
        <w:t>（一）、</w:t>
      </w:r>
      <w:r>
        <w:rPr>
          <w:rFonts w:hint="eastAsia" w:ascii="宋体" w:hAnsi="宋体" w:eastAsia="宋体" w:cs="宋体"/>
          <w:bCs/>
          <w:color w:val="auto"/>
          <w:sz w:val="24"/>
          <w:highlight w:val="none"/>
        </w:rPr>
        <w:t>管理机制和</w:t>
      </w:r>
      <w:r>
        <w:rPr>
          <w:rFonts w:hint="eastAsia" w:ascii="宋体" w:hAnsi="宋体" w:eastAsia="宋体" w:cs="宋体"/>
          <w:b/>
          <w:bCs/>
          <w:color w:val="auto"/>
          <w:sz w:val="24"/>
          <w:highlight w:val="none"/>
        </w:rPr>
        <w:t>考核办法</w:t>
      </w:r>
    </w:p>
    <w:p>
      <w:pPr>
        <w:spacing w:line="520" w:lineRule="exact"/>
        <w:ind w:firstLine="480" w:firstLineChars="200"/>
        <w:rPr>
          <w:rFonts w:ascii="宋体" w:hAnsi="宋体" w:eastAsia="宋体" w:cs="宋体"/>
          <w:b/>
          <w:bCs/>
          <w:color w:val="auto"/>
          <w:sz w:val="24"/>
          <w:highlight w:val="none"/>
        </w:rPr>
      </w:pPr>
      <w:r>
        <w:rPr>
          <w:rFonts w:hint="eastAsia" w:ascii="宋体" w:hAnsi="宋体" w:eastAsia="宋体" w:cs="宋体"/>
          <w:color w:val="auto"/>
          <w:sz w:val="24"/>
          <w:highlight w:val="none"/>
        </w:rPr>
        <w:t>1、由各公园服务中心负责日常管理工作，并对社会化养护工作进行检查评分考核。（考核评分表详见附件）</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2、扣分考评</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公园按照考评评分表，对存在的问题进行记录和扣分，考评满分为100分，每月按比例计算出平均扣分，其中绿化养护30%，保洁20%，保安30%，设施设备维护10%，公厕10%。</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考核平均分95分（含）以上的为优秀，不扣作业经费。</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对于当月平均得分在90(含)至95分的为良好，每低于95分，按照扣1分扣当月养护经费1%的标准进行养护经费扣除，(如93.5分，即(95-93.5)*1%*当月养护经费)。</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4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对于当月平均得分在85(含)至90分的，每低于95分，按照扣1分扣当月养护经费1.5%的标准进行养护经费扣除,(如86.5分，即(95-86.5)*1.5%*当月养护经费)。</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5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⑤</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对于当月平均得分在85以下的，每低于95分部分，除按照扣1分扣当月养护经费2%的标准进行养护经费扣除外，再发整改通知书要求限期整改，并通报批评。</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3、重大事项处罚</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1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①</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因工作不到位，受到区园林中心或区文明办通报批评，被区级领导点名或通报批评，区级新闻媒体曝光，区级重大活动保障不力，区级检查失责等问题，凡经查证属实，从当月经费中一次性扣除养护经费0.5万元。</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2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②</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因工作不到位，被市级领导点名或通报批评，市园林中心或市文明办通报批评，市级新闻媒体曝光，市级重大活动保障不力，市级检查失责、市级信访平台投诉等问题，凡经查证属实，从当月经费中一次性扣除养护经费1万元。</w:t>
      </w:r>
      <w:r>
        <w:rPr>
          <w:rFonts w:hint="eastAsia" w:cs="仿宋_GB2312" w:asciiTheme="minorEastAsia" w:hAnsiTheme="minorEastAsia"/>
          <w:bCs/>
          <w:color w:val="auto"/>
          <w:sz w:val="24"/>
          <w:highlight w:val="none"/>
        </w:rPr>
        <w:t>因管理不当发生森林火情，凡经查证属实，每发生一起从当月经费中一次性扣1万元。</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3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③</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因工作不到位被省级领导点名或通报批评、省级新闻媒体曝光、省级重大活动保障不力、省级检查失责、省级信访平台投诉等问题，凡经查证属实，从当月经费中一次性扣除养护经费2万元。</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4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④</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因工作不到位被国家级领导点名或通报批评、国家级新闻媒体曝光、国家级重大活动保障不力、国家级检查失责、国家级信访平台投诉等问题，凡经查证属实，从当月经费中一次性扣除作业经费3万元，并视情况解除本合同。</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fldChar w:fldCharType="begin"/>
      </w:r>
      <w:r>
        <w:rPr>
          <w:rFonts w:hint="eastAsia" w:ascii="宋体" w:hAnsi="宋体" w:eastAsia="宋体" w:cs="宋体"/>
          <w:color w:val="auto"/>
          <w:sz w:val="24"/>
          <w:highlight w:val="none"/>
        </w:rPr>
        <w:instrText xml:space="preserve"> = 5 \* GB3 \* MERGEFORMAT </w:instrText>
      </w:r>
      <w:r>
        <w:rPr>
          <w:rFonts w:hint="eastAsia" w:ascii="宋体" w:hAnsi="宋体" w:eastAsia="宋体" w:cs="宋体"/>
          <w:color w:val="auto"/>
          <w:sz w:val="24"/>
          <w:highlight w:val="none"/>
        </w:rPr>
        <w:fldChar w:fldCharType="separate"/>
      </w:r>
      <w:r>
        <w:rPr>
          <w:rFonts w:hint="eastAsia" w:ascii="宋体" w:hAnsi="宋体" w:eastAsia="宋体" w:cs="宋体"/>
          <w:color w:val="auto"/>
          <w:sz w:val="24"/>
          <w:highlight w:val="none"/>
        </w:rPr>
        <w:t>⑤</w:t>
      </w:r>
      <w:r>
        <w:rPr>
          <w:rFonts w:hint="eastAsia" w:ascii="宋体" w:hAnsi="宋体" w:eastAsia="宋体" w:cs="宋体"/>
          <w:color w:val="auto"/>
          <w:sz w:val="24"/>
          <w:highlight w:val="none"/>
        </w:rPr>
        <w:fldChar w:fldCharType="end"/>
      </w:r>
      <w:r>
        <w:rPr>
          <w:rFonts w:hint="eastAsia" w:ascii="宋体" w:hAnsi="宋体" w:eastAsia="宋体" w:cs="宋体"/>
          <w:color w:val="auto"/>
          <w:sz w:val="24"/>
          <w:highlight w:val="none"/>
        </w:rPr>
        <w:t>解除本合同：一年内月考评分低于85分</w:t>
      </w:r>
      <w:r>
        <w:rPr>
          <w:rFonts w:hint="eastAsia" w:ascii="宋体" w:hAnsi="宋体" w:eastAsia="宋体" w:cs="宋体"/>
          <w:bCs/>
          <w:color w:val="auto"/>
          <w:sz w:val="24"/>
          <w:highlight w:val="none"/>
        </w:rPr>
        <w:t>（不含85分）</w:t>
      </w:r>
      <w:r>
        <w:rPr>
          <w:rFonts w:hint="eastAsia" w:ascii="宋体" w:hAnsi="宋体" w:eastAsia="宋体" w:cs="宋体"/>
          <w:color w:val="auto"/>
          <w:sz w:val="24"/>
          <w:highlight w:val="none"/>
        </w:rPr>
        <w:t>连续两个月或累计3个月的，各公园有权在合同期内单方终止服务合同，中标单位还须赔偿给公园造成的损失。</w:t>
      </w:r>
    </w:p>
    <w:p>
      <w:pPr>
        <w:spacing w:line="560" w:lineRule="exact"/>
        <w:ind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注：合同履行期间，发生安全责任事故的，造成人员死亡的,经核查，事故责任属于中标单位的，公园有权在合同期内单方终止服务合同。所有重大事项经济处罚与考核评分表并行。</w:t>
      </w:r>
    </w:p>
    <w:p>
      <w:pPr>
        <w:pStyle w:val="22"/>
        <w:spacing w:line="446" w:lineRule="exact"/>
        <w:ind w:firstLine="482"/>
        <w:jc w:val="both"/>
        <w:outlineLvl w:val="1"/>
        <w:rPr>
          <w:rFonts w:hint="default"/>
          <w:b/>
          <w:color w:val="auto"/>
          <w:sz w:val="24"/>
          <w:szCs w:val="24"/>
          <w:highlight w:val="none"/>
        </w:rPr>
      </w:pPr>
      <w:r>
        <w:rPr>
          <w:b/>
          <w:color w:val="auto"/>
          <w:sz w:val="24"/>
          <w:szCs w:val="24"/>
          <w:highlight w:val="none"/>
        </w:rPr>
        <w:t>四、其他事项</w:t>
      </w:r>
    </w:p>
    <w:p>
      <w:pPr>
        <w:pStyle w:val="22"/>
        <w:spacing w:line="500" w:lineRule="exact"/>
        <w:ind w:firstLine="480"/>
        <w:jc w:val="both"/>
        <w:rPr>
          <w:rFonts w:hint="default"/>
          <w:color w:val="auto"/>
          <w:sz w:val="24"/>
          <w:szCs w:val="24"/>
          <w:highlight w:val="none"/>
        </w:rPr>
      </w:pPr>
      <w:r>
        <w:rPr>
          <w:color w:val="auto"/>
          <w:sz w:val="24"/>
          <w:szCs w:val="24"/>
          <w:highlight w:val="none"/>
        </w:rPr>
        <w:t>1、除招标文件另有规定外，若出现有关法律、法规和规章有强制性规定但招标文件未列明的情形，则投标人应按照有关法律、法规和规章强制性规定执行。</w:t>
      </w:r>
    </w:p>
    <w:p>
      <w:pPr>
        <w:pStyle w:val="22"/>
        <w:spacing w:line="500" w:lineRule="exact"/>
        <w:ind w:firstLine="480"/>
        <w:jc w:val="both"/>
        <w:rPr>
          <w:rFonts w:hint="default"/>
          <w:color w:val="auto"/>
          <w:sz w:val="24"/>
          <w:szCs w:val="24"/>
          <w:highlight w:val="none"/>
        </w:rPr>
      </w:pPr>
      <w:r>
        <w:rPr>
          <w:color w:val="auto"/>
          <w:sz w:val="24"/>
          <w:szCs w:val="24"/>
          <w:highlight w:val="none"/>
        </w:rPr>
        <w:t>2、其他：</w:t>
      </w:r>
    </w:p>
    <w:p>
      <w:pPr>
        <w:pStyle w:val="22"/>
        <w:spacing w:line="500" w:lineRule="exact"/>
        <w:ind w:firstLine="480" w:firstLineChars="200"/>
        <w:jc w:val="both"/>
        <w:rPr>
          <w:rFonts w:hint="default"/>
          <w:color w:val="auto"/>
          <w:sz w:val="24"/>
          <w:szCs w:val="24"/>
          <w:highlight w:val="none"/>
          <w:lang w:eastAsia="zh-CN"/>
        </w:rPr>
      </w:pPr>
      <w:bookmarkStart w:id="4" w:name="_GoBack"/>
      <w:bookmarkEnd w:id="4"/>
      <w:r>
        <w:rPr>
          <w:rFonts w:hint="eastAsia"/>
          <w:color w:val="auto"/>
          <w:sz w:val="24"/>
          <w:szCs w:val="24"/>
          <w:highlight w:val="none"/>
          <w:lang w:eastAsia="zh-CN"/>
        </w:rPr>
        <w:t>考核评分表详见附件</w:t>
      </w:r>
      <w:r>
        <w:rPr>
          <w:color w:val="auto"/>
          <w:sz w:val="24"/>
          <w:szCs w:val="24"/>
          <w:highlight w:val="none"/>
          <w:lang w:eastAsia="zh-CN"/>
        </w:rPr>
        <w:t>。</w:t>
      </w:r>
    </w:p>
    <w:p>
      <w:pPr>
        <w:rPr>
          <w:rFonts w:hint="default"/>
          <w:color w:val="auto"/>
          <w:highlight w:val="none"/>
        </w:rPr>
      </w:pPr>
    </w:p>
    <w:sectPr>
      <w:headerReference r:id="rId3" w:type="default"/>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楷体_GB2312">
    <w:panose1 w:val="02010609030101010101"/>
    <w:charset w:val="86"/>
    <w:family w:val="roma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1308908"/>
    </w:sdtPr>
    <w:sdtContent>
      <w:p>
        <w:pPr>
          <w:pStyle w:val="10"/>
          <w:jc w:val="center"/>
        </w:pPr>
        <w:r>
          <w:fldChar w:fldCharType="begin"/>
        </w:r>
        <w:r>
          <w:instrText xml:space="preserve">PAGE   \* MERGEFORMAT</w:instrText>
        </w:r>
        <w:r>
          <w:fldChar w:fldCharType="separate"/>
        </w:r>
        <w:r>
          <w:rPr>
            <w:lang w:val="zh-CN"/>
          </w:rPr>
          <w:t>71</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85BA0FB"/>
    <w:multiLevelType w:val="singleLevel"/>
    <w:tmpl w:val="D85BA0FB"/>
    <w:lvl w:ilvl="0" w:tentative="0">
      <w:start w:val="4"/>
      <w:numFmt w:val="decimal"/>
      <w:suff w:val="nothing"/>
      <w:lvlText w:val="%1）"/>
      <w:lvlJc w:val="left"/>
    </w:lvl>
  </w:abstractNum>
  <w:abstractNum w:abstractNumId="1">
    <w:nsid w:val="64770DE8"/>
    <w:multiLevelType w:val="singleLevel"/>
    <w:tmpl w:val="64770DE8"/>
    <w:lvl w:ilvl="0" w:tentative="0">
      <w:start w:val="6"/>
      <w:numFmt w:val="decimal"/>
      <w:suff w:val="nothing"/>
      <w:lvlText w:val="%1）"/>
      <w:lvlJc w:val="left"/>
    </w:lvl>
  </w:abstractNum>
  <w:abstractNum w:abstractNumId="2">
    <w:nsid w:val="648163B6"/>
    <w:multiLevelType w:val="singleLevel"/>
    <w:tmpl w:val="648163B6"/>
    <w:lvl w:ilvl="0" w:tentative="0">
      <w:start w:val="6"/>
      <w:numFmt w:val="decimal"/>
      <w:suff w:val="nothing"/>
      <w:lvlText w:val="%1、"/>
      <w:lvlJc w:val="left"/>
    </w:lvl>
  </w:abstractNum>
  <w:abstractNum w:abstractNumId="3">
    <w:nsid w:val="6C5C50B0"/>
    <w:multiLevelType w:val="singleLevel"/>
    <w:tmpl w:val="6C5C50B0"/>
    <w:lvl w:ilvl="0" w:tentative="0">
      <w:start w:val="5"/>
      <w:numFmt w:val="decimal"/>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0ZjUyZGM0MTIxNmU0NjNjOTgxOGUxZjMxNjI2ZWIifQ=="/>
  </w:docVars>
  <w:rsids>
    <w:rsidRoot w:val="53B52B8D"/>
    <w:rsid w:val="00005884"/>
    <w:rsid w:val="0000595C"/>
    <w:rsid w:val="00011FEF"/>
    <w:rsid w:val="00026560"/>
    <w:rsid w:val="0004416E"/>
    <w:rsid w:val="00047C66"/>
    <w:rsid w:val="000C4168"/>
    <w:rsid w:val="000D0EEF"/>
    <w:rsid w:val="000F7A0D"/>
    <w:rsid w:val="001175A0"/>
    <w:rsid w:val="0012261B"/>
    <w:rsid w:val="001431A0"/>
    <w:rsid w:val="0014378F"/>
    <w:rsid w:val="00240137"/>
    <w:rsid w:val="00246088"/>
    <w:rsid w:val="00285A71"/>
    <w:rsid w:val="002B7EF1"/>
    <w:rsid w:val="002F3144"/>
    <w:rsid w:val="00320FB3"/>
    <w:rsid w:val="00364DF6"/>
    <w:rsid w:val="004066D3"/>
    <w:rsid w:val="00413CBD"/>
    <w:rsid w:val="0045050C"/>
    <w:rsid w:val="00465FD4"/>
    <w:rsid w:val="00472AAF"/>
    <w:rsid w:val="00477EC4"/>
    <w:rsid w:val="00530519"/>
    <w:rsid w:val="005924C8"/>
    <w:rsid w:val="00601EA2"/>
    <w:rsid w:val="00637FE1"/>
    <w:rsid w:val="00642947"/>
    <w:rsid w:val="00645620"/>
    <w:rsid w:val="00656C25"/>
    <w:rsid w:val="00697CFD"/>
    <w:rsid w:val="006A53C1"/>
    <w:rsid w:val="006A5F0B"/>
    <w:rsid w:val="006B5E06"/>
    <w:rsid w:val="006B7CD3"/>
    <w:rsid w:val="006C5320"/>
    <w:rsid w:val="006D376D"/>
    <w:rsid w:val="00761186"/>
    <w:rsid w:val="00761774"/>
    <w:rsid w:val="00765DB2"/>
    <w:rsid w:val="00781B7C"/>
    <w:rsid w:val="00785691"/>
    <w:rsid w:val="00795495"/>
    <w:rsid w:val="007B1D07"/>
    <w:rsid w:val="007E5C82"/>
    <w:rsid w:val="007F3878"/>
    <w:rsid w:val="00817F88"/>
    <w:rsid w:val="00824AA5"/>
    <w:rsid w:val="00862ABD"/>
    <w:rsid w:val="0088766E"/>
    <w:rsid w:val="00890C7E"/>
    <w:rsid w:val="008C76A6"/>
    <w:rsid w:val="009221A3"/>
    <w:rsid w:val="00927074"/>
    <w:rsid w:val="00932EE6"/>
    <w:rsid w:val="00954B13"/>
    <w:rsid w:val="009623FD"/>
    <w:rsid w:val="00967D9E"/>
    <w:rsid w:val="0097503A"/>
    <w:rsid w:val="009C1181"/>
    <w:rsid w:val="009F2F87"/>
    <w:rsid w:val="00A5088C"/>
    <w:rsid w:val="00A92422"/>
    <w:rsid w:val="00AF17F7"/>
    <w:rsid w:val="00B01E5E"/>
    <w:rsid w:val="00B07587"/>
    <w:rsid w:val="00B34226"/>
    <w:rsid w:val="00B43437"/>
    <w:rsid w:val="00B45C69"/>
    <w:rsid w:val="00B55F34"/>
    <w:rsid w:val="00B75010"/>
    <w:rsid w:val="00BB33F3"/>
    <w:rsid w:val="00BE724B"/>
    <w:rsid w:val="00BF5C74"/>
    <w:rsid w:val="00C2630F"/>
    <w:rsid w:val="00C325ED"/>
    <w:rsid w:val="00C87478"/>
    <w:rsid w:val="00C909DF"/>
    <w:rsid w:val="00C94DCA"/>
    <w:rsid w:val="00CE412C"/>
    <w:rsid w:val="00D44D74"/>
    <w:rsid w:val="00D56AB6"/>
    <w:rsid w:val="00DC0E6E"/>
    <w:rsid w:val="00DD3D59"/>
    <w:rsid w:val="00E57661"/>
    <w:rsid w:val="00E77A3A"/>
    <w:rsid w:val="00ED41C3"/>
    <w:rsid w:val="00EE310C"/>
    <w:rsid w:val="00EF4F40"/>
    <w:rsid w:val="00F038B9"/>
    <w:rsid w:val="00F22AB4"/>
    <w:rsid w:val="00F273CE"/>
    <w:rsid w:val="00F44F72"/>
    <w:rsid w:val="00F93EAA"/>
    <w:rsid w:val="00FE3FED"/>
    <w:rsid w:val="0200295E"/>
    <w:rsid w:val="03BF257C"/>
    <w:rsid w:val="043B3B35"/>
    <w:rsid w:val="06D80E87"/>
    <w:rsid w:val="081C00B0"/>
    <w:rsid w:val="085F360E"/>
    <w:rsid w:val="089C216B"/>
    <w:rsid w:val="09332D68"/>
    <w:rsid w:val="0B213960"/>
    <w:rsid w:val="0D394402"/>
    <w:rsid w:val="10C003C4"/>
    <w:rsid w:val="114F6EE0"/>
    <w:rsid w:val="12506F0D"/>
    <w:rsid w:val="12BB58E4"/>
    <w:rsid w:val="143A4F2F"/>
    <w:rsid w:val="14D42C8D"/>
    <w:rsid w:val="15A563D8"/>
    <w:rsid w:val="164F096C"/>
    <w:rsid w:val="177F50ED"/>
    <w:rsid w:val="18CA7D11"/>
    <w:rsid w:val="1A301402"/>
    <w:rsid w:val="1BBA51D0"/>
    <w:rsid w:val="1E8D68C4"/>
    <w:rsid w:val="1F06538D"/>
    <w:rsid w:val="21DB6CBA"/>
    <w:rsid w:val="2414196A"/>
    <w:rsid w:val="24382D07"/>
    <w:rsid w:val="243902C9"/>
    <w:rsid w:val="256104E7"/>
    <w:rsid w:val="27FC41F8"/>
    <w:rsid w:val="28EC1CE1"/>
    <w:rsid w:val="28EF49DA"/>
    <w:rsid w:val="29346369"/>
    <w:rsid w:val="2C897C61"/>
    <w:rsid w:val="2D4C0DDD"/>
    <w:rsid w:val="30D40031"/>
    <w:rsid w:val="31F777F4"/>
    <w:rsid w:val="32633800"/>
    <w:rsid w:val="34B45CE8"/>
    <w:rsid w:val="373F23B4"/>
    <w:rsid w:val="38795C9D"/>
    <w:rsid w:val="394652DB"/>
    <w:rsid w:val="39892DA2"/>
    <w:rsid w:val="3A2F2AFB"/>
    <w:rsid w:val="3B78254D"/>
    <w:rsid w:val="3D654ECF"/>
    <w:rsid w:val="3E085524"/>
    <w:rsid w:val="3E821045"/>
    <w:rsid w:val="46086910"/>
    <w:rsid w:val="496508C7"/>
    <w:rsid w:val="4A1F2F13"/>
    <w:rsid w:val="4E3441C2"/>
    <w:rsid w:val="4F693E9C"/>
    <w:rsid w:val="50502A59"/>
    <w:rsid w:val="506435A8"/>
    <w:rsid w:val="506F14E1"/>
    <w:rsid w:val="513876D4"/>
    <w:rsid w:val="52063D5A"/>
    <w:rsid w:val="528C6E73"/>
    <w:rsid w:val="52AE4505"/>
    <w:rsid w:val="53B52B8D"/>
    <w:rsid w:val="5645306E"/>
    <w:rsid w:val="594434DB"/>
    <w:rsid w:val="5B9927C5"/>
    <w:rsid w:val="5EAF4873"/>
    <w:rsid w:val="5ED452DB"/>
    <w:rsid w:val="6027289D"/>
    <w:rsid w:val="614855CA"/>
    <w:rsid w:val="6161054E"/>
    <w:rsid w:val="61E07EFC"/>
    <w:rsid w:val="63E27A64"/>
    <w:rsid w:val="65842F56"/>
    <w:rsid w:val="66821A37"/>
    <w:rsid w:val="670446EA"/>
    <w:rsid w:val="694725C5"/>
    <w:rsid w:val="6AED02A0"/>
    <w:rsid w:val="6F173018"/>
    <w:rsid w:val="6FE8230C"/>
    <w:rsid w:val="7043156F"/>
    <w:rsid w:val="70C1148D"/>
    <w:rsid w:val="7278756C"/>
    <w:rsid w:val="74534978"/>
    <w:rsid w:val="74593D00"/>
    <w:rsid w:val="74971DA5"/>
    <w:rsid w:val="77F79321"/>
    <w:rsid w:val="792D7D3E"/>
    <w:rsid w:val="7A426D73"/>
    <w:rsid w:val="BBBF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4">
    <w:name w:val="heading 2"/>
    <w:basedOn w:val="1"/>
    <w:next w:val="1"/>
    <w:unhideWhenUsed/>
    <w:qFormat/>
    <w:uiPriority w:val="0"/>
    <w:pPr>
      <w:keepNext/>
      <w:keepLines/>
      <w:spacing w:before="260" w:after="260" w:line="416" w:lineRule="auto"/>
      <w:jc w:val="left"/>
      <w:outlineLvl w:val="1"/>
    </w:pPr>
    <w:rPr>
      <w:rFonts w:ascii="宋体" w:hAnsi="宋体" w:eastAsia="宋体" w:cs="Times New Roman"/>
      <w:b/>
      <w:sz w:val="30"/>
    </w:rPr>
  </w:style>
  <w:style w:type="paragraph" w:styleId="5">
    <w:name w:val="heading 3"/>
    <w:basedOn w:val="1"/>
    <w:next w:val="1"/>
    <w:qFormat/>
    <w:uiPriority w:val="0"/>
    <w:pPr>
      <w:spacing w:before="100" w:beforeAutospacing="1" w:after="100" w:afterAutospacing="1"/>
      <w:jc w:val="left"/>
      <w:outlineLvl w:val="2"/>
    </w:pPr>
    <w:rPr>
      <w:rFonts w:hint="eastAsia" w:ascii="宋体" w:hAnsi="宋体" w:eastAsia="宋体" w:cs="Times New Roman"/>
      <w:b/>
      <w:bCs/>
      <w:kern w:val="0"/>
      <w:sz w:val="27"/>
      <w:szCs w:val="27"/>
    </w:rPr>
  </w:style>
  <w:style w:type="character" w:default="1" w:styleId="18">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2">
    <w:name w:val="Balloon Text"/>
    <w:basedOn w:val="1"/>
    <w:link w:val="26"/>
    <w:qFormat/>
    <w:uiPriority w:val="0"/>
    <w:rPr>
      <w:sz w:val="18"/>
      <w:szCs w:val="18"/>
    </w:rPr>
  </w:style>
  <w:style w:type="paragraph" w:styleId="6">
    <w:name w:val="annotation text"/>
    <w:basedOn w:val="1"/>
    <w:link w:val="32"/>
    <w:qFormat/>
    <w:uiPriority w:val="0"/>
    <w:pPr>
      <w:jc w:val="left"/>
    </w:pPr>
  </w:style>
  <w:style w:type="paragraph" w:styleId="7">
    <w:name w:val="Body Text"/>
    <w:basedOn w:val="1"/>
    <w:next w:val="1"/>
    <w:link w:val="27"/>
    <w:qFormat/>
    <w:uiPriority w:val="99"/>
    <w:pPr>
      <w:autoSpaceDE w:val="0"/>
      <w:autoSpaceDN w:val="0"/>
      <w:jc w:val="left"/>
    </w:pPr>
    <w:rPr>
      <w:rFonts w:ascii="宋体" w:hAnsi="宋体"/>
      <w:kern w:val="0"/>
      <w:sz w:val="24"/>
      <w:lang w:eastAsia="en-US"/>
    </w:rPr>
  </w:style>
  <w:style w:type="paragraph" w:styleId="8">
    <w:name w:val="Body Text Indent"/>
    <w:basedOn w:val="1"/>
    <w:next w:val="9"/>
    <w:qFormat/>
    <w:uiPriority w:val="0"/>
    <w:pPr>
      <w:spacing w:line="360" w:lineRule="auto"/>
      <w:ind w:firstLine="400" w:firstLineChars="200"/>
    </w:pPr>
    <w:rPr>
      <w:rFonts w:ascii="Times New Roman" w:hAnsi="Times New Roman" w:eastAsia="宋体"/>
      <w:kern w:val="0"/>
      <w:sz w:val="24"/>
      <w:szCs w:val="28"/>
    </w:rPr>
  </w:style>
  <w:style w:type="paragraph" w:styleId="9">
    <w:name w:val="envelope return"/>
    <w:basedOn w:val="1"/>
    <w:qFormat/>
    <w:uiPriority w:val="0"/>
    <w:pPr>
      <w:snapToGrid w:val="0"/>
      <w:spacing w:line="360" w:lineRule="auto"/>
    </w:pPr>
    <w:rPr>
      <w:rFonts w:ascii="Arial" w:hAnsi="Arial"/>
      <w:sz w:val="24"/>
    </w:rPr>
  </w:style>
  <w:style w:type="paragraph" w:styleId="10">
    <w:name w:val="footer"/>
    <w:basedOn w:val="1"/>
    <w:link w:val="24"/>
    <w:qFormat/>
    <w:uiPriority w:val="99"/>
    <w:pPr>
      <w:tabs>
        <w:tab w:val="center" w:pos="4153"/>
        <w:tab w:val="right" w:pos="8306"/>
      </w:tabs>
      <w:snapToGrid w:val="0"/>
      <w:jc w:val="left"/>
    </w:pPr>
    <w:rPr>
      <w:sz w:val="18"/>
      <w:szCs w:val="18"/>
    </w:rPr>
  </w:style>
  <w:style w:type="paragraph" w:styleId="11">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next w:val="13"/>
    <w:qFormat/>
    <w:uiPriority w:val="0"/>
    <w:pPr>
      <w:spacing w:before="100" w:beforeAutospacing="1" w:after="100" w:afterAutospacing="1"/>
      <w:jc w:val="left"/>
    </w:pPr>
    <w:rPr>
      <w:rFonts w:cs="Times New Roman"/>
      <w:kern w:val="0"/>
      <w:sz w:val="24"/>
    </w:rPr>
  </w:style>
  <w:style w:type="paragraph" w:customStyle="1" w:styleId="13">
    <w:name w:val="样式 标题 3 + (中文) 黑体 小四 非加粗 段前: 7.8 磅 段后: 0 磅 行距: 固定值 20 磅"/>
    <w:basedOn w:val="5"/>
    <w:qFormat/>
    <w:uiPriority w:val="0"/>
    <w:pPr>
      <w:spacing w:before="0" w:after="0" w:line="400" w:lineRule="exact"/>
    </w:pPr>
    <w:rPr>
      <w:rFonts w:ascii="Times New Roman" w:hAnsi="Times New Roman" w:eastAsia="黑体" w:cs="宋体"/>
      <w:b w:val="0"/>
      <w:bCs w:val="0"/>
      <w:sz w:val="24"/>
      <w:szCs w:val="20"/>
    </w:rPr>
  </w:style>
  <w:style w:type="paragraph" w:styleId="14">
    <w:name w:val="annotation subject"/>
    <w:basedOn w:val="6"/>
    <w:next w:val="6"/>
    <w:link w:val="33"/>
    <w:qFormat/>
    <w:uiPriority w:val="0"/>
    <w:rPr>
      <w:b/>
      <w:bCs/>
    </w:rPr>
  </w:style>
  <w:style w:type="paragraph" w:styleId="15">
    <w:name w:val="Body Text First Indent 2"/>
    <w:basedOn w:val="8"/>
    <w:next w:val="1"/>
    <w:qFormat/>
    <w:uiPriority w:val="99"/>
    <w:pPr>
      <w:spacing w:after="120" w:line="240" w:lineRule="auto"/>
      <w:ind w:left="420" w:leftChars="200" w:firstLine="200"/>
    </w:pPr>
    <w:rPr>
      <w:sz w:val="20"/>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basedOn w:val="18"/>
    <w:qFormat/>
    <w:uiPriority w:val="0"/>
    <w:rPr>
      <w:b/>
    </w:rPr>
  </w:style>
  <w:style w:type="character" w:styleId="20">
    <w:name w:val="Hyperlink"/>
    <w:basedOn w:val="18"/>
    <w:qFormat/>
    <w:uiPriority w:val="0"/>
    <w:rPr>
      <w:color w:val="0000FF"/>
      <w:u w:val="single"/>
    </w:rPr>
  </w:style>
  <w:style w:type="character" w:styleId="21">
    <w:name w:val="annotation reference"/>
    <w:basedOn w:val="18"/>
    <w:qFormat/>
    <w:uiPriority w:val="0"/>
    <w:rPr>
      <w:sz w:val="21"/>
      <w:szCs w:val="21"/>
    </w:rPr>
  </w:style>
  <w:style w:type="paragraph" w:customStyle="1" w:styleId="22">
    <w:name w:val="null3"/>
    <w:hidden/>
    <w:qFormat/>
    <w:uiPriority w:val="0"/>
    <w:rPr>
      <w:rFonts w:hint="eastAsia" w:asciiTheme="minorHAnsi" w:hAnsiTheme="minorHAnsi" w:eastAsiaTheme="minorEastAsia" w:cstheme="minorBidi"/>
      <w:lang w:val="en-US" w:eastAsia="zh-Hans" w:bidi="ar-SA"/>
    </w:rPr>
  </w:style>
  <w:style w:type="character" w:customStyle="1" w:styleId="23">
    <w:name w:val="页眉 Char"/>
    <w:basedOn w:val="18"/>
    <w:link w:val="11"/>
    <w:qFormat/>
    <w:uiPriority w:val="0"/>
    <w:rPr>
      <w:kern w:val="2"/>
      <w:sz w:val="18"/>
      <w:szCs w:val="18"/>
    </w:rPr>
  </w:style>
  <w:style w:type="character" w:customStyle="1" w:styleId="24">
    <w:name w:val="页脚 Char"/>
    <w:basedOn w:val="18"/>
    <w:link w:val="10"/>
    <w:qFormat/>
    <w:uiPriority w:val="99"/>
    <w:rPr>
      <w:kern w:val="2"/>
      <w:sz w:val="18"/>
      <w:szCs w:val="18"/>
    </w:rPr>
  </w:style>
  <w:style w:type="paragraph" w:customStyle="1" w:styleId="25">
    <w:name w:val="List Paragraph"/>
    <w:basedOn w:val="1"/>
    <w:qFormat/>
    <w:uiPriority w:val="0"/>
    <w:pPr>
      <w:ind w:firstLine="420" w:firstLineChars="200"/>
    </w:pPr>
    <w:rPr>
      <w:rFonts w:ascii="Times New Roman" w:hAnsi="Times New Roman" w:eastAsia="仿宋_GB2312" w:cs="Times New Roman"/>
    </w:rPr>
  </w:style>
  <w:style w:type="character" w:customStyle="1" w:styleId="26">
    <w:name w:val="批注框文本 Char"/>
    <w:basedOn w:val="18"/>
    <w:link w:val="2"/>
    <w:qFormat/>
    <w:uiPriority w:val="0"/>
    <w:rPr>
      <w:rFonts w:asciiTheme="minorHAnsi" w:hAnsiTheme="minorHAnsi" w:eastAsiaTheme="minorEastAsia" w:cstheme="minorBidi"/>
      <w:kern w:val="2"/>
      <w:sz w:val="18"/>
      <w:szCs w:val="18"/>
    </w:rPr>
  </w:style>
  <w:style w:type="character" w:customStyle="1" w:styleId="27">
    <w:name w:val="正文文本 Char"/>
    <w:basedOn w:val="18"/>
    <w:link w:val="7"/>
    <w:qFormat/>
    <w:uiPriority w:val="99"/>
    <w:rPr>
      <w:rFonts w:ascii="宋体" w:hAnsi="宋体" w:eastAsiaTheme="minorEastAsia" w:cstheme="minorBidi"/>
      <w:sz w:val="24"/>
      <w:szCs w:val="24"/>
      <w:lang w:eastAsia="en-US"/>
    </w:rPr>
  </w:style>
  <w:style w:type="paragraph" w:customStyle="1" w:styleId="28">
    <w:name w:val="列出段落1"/>
    <w:basedOn w:val="1"/>
    <w:qFormat/>
    <w:uiPriority w:val="0"/>
    <w:pPr>
      <w:ind w:firstLine="420"/>
    </w:pPr>
    <w:rPr>
      <w:rFonts w:ascii="Times New Roman" w:hAnsi="Times New Roman"/>
    </w:rPr>
  </w:style>
  <w:style w:type="table" w:customStyle="1" w:styleId="29">
    <w:name w:val="Table Normal"/>
    <w:unhideWhenUsed/>
    <w:qFormat/>
    <w:uiPriority w:val="0"/>
    <w:tblPr>
      <w:tblCellMar>
        <w:top w:w="0" w:type="dxa"/>
        <w:left w:w="0" w:type="dxa"/>
        <w:bottom w:w="0" w:type="dxa"/>
        <w:right w:w="0" w:type="dxa"/>
      </w:tblCellMar>
    </w:tblPr>
  </w:style>
  <w:style w:type="paragraph" w:customStyle="1" w:styleId="30">
    <w:name w:val="表格"/>
    <w:basedOn w:val="1"/>
    <w:qFormat/>
    <w:uiPriority w:val="0"/>
    <w:pPr>
      <w:jc w:val="left"/>
    </w:pPr>
    <w:rPr>
      <w:lang w:val="zh-CN"/>
    </w:rPr>
  </w:style>
  <w:style w:type="paragraph" w:customStyle="1" w:styleId="31">
    <w:name w:val="_Style 2"/>
    <w:basedOn w:val="1"/>
    <w:qFormat/>
    <w:uiPriority w:val="34"/>
    <w:pPr>
      <w:ind w:firstLine="420"/>
    </w:pPr>
  </w:style>
  <w:style w:type="character" w:customStyle="1" w:styleId="32">
    <w:name w:val="批注文字 Char"/>
    <w:basedOn w:val="18"/>
    <w:link w:val="6"/>
    <w:qFormat/>
    <w:uiPriority w:val="0"/>
    <w:rPr>
      <w:rFonts w:asciiTheme="minorHAnsi" w:hAnsiTheme="minorHAnsi" w:eastAsiaTheme="minorEastAsia" w:cstheme="minorBidi"/>
      <w:kern w:val="2"/>
      <w:sz w:val="21"/>
      <w:szCs w:val="24"/>
    </w:rPr>
  </w:style>
  <w:style w:type="character" w:customStyle="1" w:styleId="33">
    <w:name w:val="批注主题 Char"/>
    <w:basedOn w:val="32"/>
    <w:link w:val="14"/>
    <w:qFormat/>
    <w:uiPriority w:val="0"/>
    <w:rPr>
      <w:rFonts w:asciiTheme="minorHAnsi" w:hAnsiTheme="minorHAnsi" w:eastAsiaTheme="minorEastAsia" w:cstheme="minorBidi"/>
      <w:b/>
      <w:bCs/>
      <w:kern w:val="2"/>
      <w:sz w:val="21"/>
      <w:szCs w:val="24"/>
    </w:rPr>
  </w:style>
  <w:style w:type="character" w:customStyle="1" w:styleId="34">
    <w:name w:val="标题 1 Char"/>
    <w:basedOn w:val="18"/>
    <w:link w:val="3"/>
    <w:qFormat/>
    <w:uiPriority w:val="0"/>
    <w:rPr>
      <w:rFonts w:asciiTheme="minorHAnsi" w:hAnsiTheme="minorHAnsi" w:eastAsiaTheme="minorEastAsia" w:cstheme="minorBidi"/>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34</Pages>
  <Words>24549</Words>
  <Characters>25532</Characters>
  <Lines>592</Lines>
  <Paragraphs>166</Paragraphs>
  <TotalTime>2</TotalTime>
  <ScaleCrop>false</ScaleCrop>
  <LinksUpToDate>false</LinksUpToDate>
  <CharactersWithSpaces>25682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2022-04-08T19:57:00Z</dcterms:created>
  <dc:creator>五块钱</dc:creator>
  <cp:lastModifiedBy>陈必</cp:lastModifiedBy>
  <cp:lastPrinted>2023-06-12T01:33:00Z</cp:lastPrinted>
  <dcterms:modified xsi:type="dcterms:W3CDTF">2023-08-01T08:55:39Z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18B24E150C504156A26F855D73DDB34C_13</vt:lpwstr>
  </property>
</Properties>
</file>