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附件1</w:t>
      </w:r>
      <w:bookmarkStart w:id="0" w:name="_GoBack"/>
      <w:bookmarkEnd w:id="0"/>
    </w:p>
    <w:tbl>
      <w:tblPr>
        <w:tblStyle w:val="6"/>
        <w:tblW w:w="6243" w:type="pct"/>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532"/>
        <w:gridCol w:w="878"/>
        <w:gridCol w:w="734"/>
        <w:gridCol w:w="4687"/>
        <w:gridCol w:w="732"/>
        <w:gridCol w:w="1320"/>
        <w:gridCol w:w="1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blCellSpacing w:w="0" w:type="dxa"/>
          <w:jc w:val="center"/>
        </w:trPr>
        <w:tc>
          <w:tcPr>
            <w:tcW w:w="294" w:type="pct"/>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项目</w:t>
            </w:r>
          </w:p>
        </w:tc>
        <w:tc>
          <w:tcPr>
            <w:tcW w:w="249" w:type="pct"/>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货物</w:t>
            </w:r>
          </w:p>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名称</w:t>
            </w:r>
          </w:p>
        </w:tc>
        <w:tc>
          <w:tcPr>
            <w:tcW w:w="411" w:type="pct"/>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品牌</w:t>
            </w:r>
          </w:p>
        </w:tc>
        <w:tc>
          <w:tcPr>
            <w:tcW w:w="343" w:type="pct"/>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型号</w:t>
            </w:r>
          </w:p>
        </w:tc>
        <w:tc>
          <w:tcPr>
            <w:tcW w:w="2192" w:type="pct"/>
            <w:tcBorders>
              <w:right w:val="single" w:color="auto" w:sz="4" w:space="0"/>
            </w:tcBorders>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规</w:t>
            </w:r>
          </w:p>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格</w:t>
            </w:r>
          </w:p>
        </w:tc>
        <w:tc>
          <w:tcPr>
            <w:tcW w:w="342" w:type="pct"/>
            <w:tcBorders>
              <w:left w:val="single" w:color="auto" w:sz="4" w:space="0"/>
            </w:tcBorders>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数</w:t>
            </w:r>
          </w:p>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量</w:t>
            </w:r>
          </w:p>
        </w:tc>
        <w:tc>
          <w:tcPr>
            <w:tcW w:w="617" w:type="pct"/>
            <w:tcBorders>
              <w:left w:val="single" w:color="auto" w:sz="4" w:space="0"/>
            </w:tcBorders>
            <w:shd w:val="clear" w:color="auto" w:fill="auto"/>
          </w:tcPr>
          <w:p>
            <w:pPr>
              <w:widowControl/>
              <w:spacing w:line="360" w:lineRule="auto"/>
              <w:ind w:left="220" w:hanging="220" w:hangingChars="100"/>
              <w:jc w:val="left"/>
              <w:rPr>
                <w:rFonts w:ascii="仿宋" w:hAnsi="仿宋" w:eastAsia="仿宋" w:cs="宋体"/>
                <w:bCs/>
                <w:kern w:val="0"/>
                <w:sz w:val="22"/>
                <w:szCs w:val="28"/>
              </w:rPr>
            </w:pPr>
            <w:r>
              <w:rPr>
                <w:rFonts w:hint="eastAsia" w:ascii="仿宋" w:hAnsi="仿宋" w:eastAsia="仿宋" w:cs="宋体"/>
                <w:bCs/>
                <w:kern w:val="0"/>
                <w:sz w:val="22"/>
                <w:szCs w:val="28"/>
              </w:rPr>
              <w:t xml:space="preserve">  最高限价单价（元）</w:t>
            </w:r>
          </w:p>
        </w:tc>
        <w:tc>
          <w:tcPr>
            <w:tcW w:w="552" w:type="pct"/>
            <w:tcBorders>
              <w:left w:val="single" w:color="auto" w:sz="4" w:space="0"/>
            </w:tcBorders>
            <w:shd w:val="clear" w:color="auto" w:fill="auto"/>
          </w:tcPr>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最高限价</w:t>
            </w:r>
          </w:p>
          <w:p>
            <w:pPr>
              <w:widowControl/>
              <w:spacing w:line="360" w:lineRule="auto"/>
              <w:jc w:val="center"/>
              <w:rPr>
                <w:rFonts w:ascii="仿宋" w:hAnsi="仿宋" w:eastAsia="仿宋" w:cs="宋体"/>
                <w:bCs/>
                <w:kern w:val="0"/>
                <w:sz w:val="22"/>
                <w:szCs w:val="28"/>
              </w:rPr>
            </w:pPr>
            <w:r>
              <w:rPr>
                <w:rFonts w:hint="eastAsia" w:ascii="仿宋" w:hAnsi="仿宋" w:eastAsia="仿宋" w:cs="宋体"/>
                <w:bCs/>
                <w:kern w:val="0"/>
                <w:sz w:val="22"/>
                <w:szCs w:val="28"/>
              </w:rPr>
              <w:t>总价（元）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tblCellSpacing w:w="0" w:type="dxa"/>
          <w:jc w:val="center"/>
        </w:trPr>
        <w:tc>
          <w:tcPr>
            <w:tcW w:w="294" w:type="pct"/>
          </w:tcPr>
          <w:p>
            <w:pPr>
              <w:widowControl/>
              <w:spacing w:line="360" w:lineRule="auto"/>
              <w:jc w:val="center"/>
              <w:rPr>
                <w:rFonts w:ascii="仿宋" w:hAnsi="仿宋" w:eastAsia="仿宋" w:cs="宋体"/>
                <w:bCs/>
                <w:kern w:val="0"/>
                <w:sz w:val="28"/>
                <w:szCs w:val="28"/>
              </w:rPr>
            </w:pPr>
            <w:r>
              <w:rPr>
                <w:rFonts w:hint="eastAsia" w:ascii="仿宋" w:hAnsi="仿宋" w:eastAsia="仿宋" w:cs="宋体"/>
                <w:bCs/>
                <w:kern w:val="0"/>
                <w:szCs w:val="21"/>
              </w:rPr>
              <w:t>1</w:t>
            </w:r>
          </w:p>
        </w:tc>
        <w:tc>
          <w:tcPr>
            <w:tcW w:w="249" w:type="pct"/>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执法记录仪</w:t>
            </w:r>
          </w:p>
        </w:tc>
        <w:tc>
          <w:tcPr>
            <w:tcW w:w="411" w:type="pct"/>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誉龙</w:t>
            </w:r>
          </w:p>
        </w:tc>
        <w:tc>
          <w:tcPr>
            <w:tcW w:w="343" w:type="pct"/>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DSJ-YDTX1A1</w:t>
            </w:r>
          </w:p>
        </w:tc>
        <w:tc>
          <w:tcPr>
            <w:tcW w:w="2192" w:type="pct"/>
            <w:tcBorders>
              <w:right w:val="single" w:color="auto" w:sz="4" w:space="0"/>
            </w:tcBorders>
            <w:vAlign w:val="center"/>
          </w:tcPr>
          <w:p>
            <w:pPr>
              <w:rPr>
                <w:rFonts w:hint="eastAsia"/>
              </w:rPr>
            </w:pPr>
            <w:r>
              <w:rPr>
                <w:rFonts w:hint="eastAsia"/>
              </w:rPr>
              <w:t>1、外形尺寸：执法记录仪外形尺寸（背夹、外接设备除外）应≤ 82mm*57mm*31mm。</w:t>
            </w:r>
            <w:r>
              <w:rPr>
                <w:rFonts w:hint="eastAsia"/>
              </w:rPr>
              <w:br w:type="textWrapping"/>
            </w:r>
            <w:r>
              <w:rPr>
                <w:rFonts w:hint="eastAsia"/>
              </w:rPr>
              <w:t>2、质量检验：执法记录仪重量（外接设备除外）应≤130g。</w:t>
            </w:r>
            <w:r>
              <w:rPr>
                <w:rFonts w:hint="eastAsia"/>
              </w:rPr>
              <w:br w:type="textWrapping"/>
            </w:r>
            <w:r>
              <w:rPr>
                <w:rFonts w:hint="eastAsia"/>
              </w:rPr>
              <w:t>3、外壳防护等级：执法记录仪外壳防护等级应符合 GB4208-2008 中IP68要求（水深1m，持续2h）。</w:t>
            </w:r>
            <w:r>
              <w:rPr>
                <w:rFonts w:hint="eastAsia"/>
              </w:rPr>
              <w:br w:type="textWrapping"/>
            </w:r>
            <w:r>
              <w:rPr>
                <w:rFonts w:hint="eastAsia"/>
              </w:rPr>
              <w:t>4、存储容量：执法记录仪存储容量≥32G,最大支持512G。</w:t>
            </w:r>
            <w:r>
              <w:rPr>
                <w:rFonts w:hint="eastAsia"/>
              </w:rPr>
              <w:br w:type="textWrapping"/>
            </w:r>
            <w:r>
              <w:rPr>
                <w:rFonts w:hint="eastAsia"/>
              </w:rPr>
              <w:t>5、照片分辨率：执法记录仪开机后应自动进入取景预览模式，按下照相键进行拍照，照片分辨率≥8000*6000，分辨力应大于等于1000线。</w:t>
            </w:r>
            <w:r>
              <w:rPr>
                <w:rFonts w:hint="eastAsia"/>
              </w:rPr>
              <w:br w:type="textWrapping"/>
            </w:r>
            <w:r>
              <w:rPr>
                <w:rFonts w:hint="eastAsia"/>
              </w:rPr>
              <w:t>6、抓拍功能：执法记录仪在摄录过程中通过按下照相健你那个抓拍与视频分辨率相同的照片，但不影响正常的摄录。</w:t>
            </w:r>
            <w:r>
              <w:rPr>
                <w:rFonts w:hint="eastAsia"/>
              </w:rPr>
              <w:br w:type="textWrapping"/>
            </w:r>
            <w:r>
              <w:rPr>
                <w:rFonts w:hint="eastAsia"/>
              </w:rPr>
              <w:t>7、显示屏亮度、对比度：执法记录仪应具有彩色显示屏，亮度须高于700cd/㎡，对比度须高于400：1。</w:t>
            </w:r>
            <w:r>
              <w:rPr>
                <w:rFonts w:hint="eastAsia"/>
              </w:rPr>
              <w:br w:type="textWrapping"/>
            </w:r>
            <w:r>
              <w:rPr>
                <w:rFonts w:hint="eastAsia"/>
              </w:rPr>
              <w:t>8、电池工作时间检验：采用不可更换电池供电，满足GA/T947.2-2015 4.1中A级要求。</w:t>
            </w:r>
            <w:r>
              <w:rPr>
                <w:rFonts w:hint="eastAsia"/>
              </w:rPr>
              <w:br w:type="textWrapping"/>
            </w:r>
            <w:r>
              <w:rPr>
                <w:rFonts w:hint="eastAsia"/>
              </w:rPr>
              <w:t>9、补光功能：执法记录仪具有白光补光灯，补光灯应以常亮方式进行补光，实现夜间照明和夜间彩色视频录像和拍照，具有专用白光补光标志的物理按键和红外夜视补光标志的物理按键。</w:t>
            </w:r>
            <w:r>
              <w:rPr>
                <w:rFonts w:hint="eastAsia"/>
              </w:rPr>
              <w:br w:type="textWrapping"/>
            </w:r>
            <w:r>
              <w:rPr>
                <w:rFonts w:hint="eastAsia"/>
              </w:rPr>
              <w:t>10、声光警示功能：执法记录仪可通过按下某一键触发声光警示功能，具有红光，蓝光，白光爆闪功能，并且可同时发出警示音。</w:t>
            </w:r>
            <w:r>
              <w:rPr>
                <w:rFonts w:hint="eastAsia"/>
              </w:rPr>
              <w:br w:type="textWrapping"/>
            </w:r>
            <w:r>
              <w:rPr>
                <w:rFonts w:hint="eastAsia"/>
              </w:rPr>
              <w:t>11、外置摄像头功能：执法记录仪支持通过USB接口连接外置摄像头，本机可保存和游览通过外接摄像头摄录的媒体文件。</w:t>
            </w:r>
            <w:r>
              <w:rPr>
                <w:rFonts w:hint="eastAsia"/>
              </w:rPr>
              <w:br w:type="textWrapping"/>
            </w:r>
            <w:r>
              <w:rPr>
                <w:rFonts w:hint="eastAsia"/>
              </w:rPr>
              <w:t>12、操作提示功能：执法记录仪进行录像，录音等操作时，可通过滴滴声/振动/语音方式进行操作提示。</w:t>
            </w:r>
            <w:r>
              <w:rPr>
                <w:rFonts w:hint="eastAsia"/>
              </w:rPr>
              <w:br w:type="textWrapping"/>
            </w:r>
            <w:r>
              <w:rPr>
                <w:rFonts w:hint="eastAsia"/>
              </w:rPr>
              <w:t>13、复位功能：执法记录仪可通过专用复位键进行一键复位功能。</w:t>
            </w:r>
            <w:r>
              <w:rPr>
                <w:rFonts w:hint="eastAsia"/>
              </w:rPr>
              <w:br w:type="textWrapping"/>
            </w:r>
            <w:r>
              <w:rPr>
                <w:rFonts w:hint="eastAsia"/>
              </w:rPr>
              <w:t>14、自动夜视功能：执法记录仪可根据光线变弱自动切换成夜视模式，光线变强后可自动切回正常模式，支持通过指定按键实现手动切换夜视模式。</w:t>
            </w:r>
            <w:r>
              <w:rPr>
                <w:rFonts w:hint="eastAsia"/>
              </w:rPr>
              <w:br w:type="textWrapping"/>
            </w:r>
            <w:r>
              <w:rPr>
                <w:rFonts w:hint="eastAsia"/>
              </w:rPr>
              <w:t>15、人声播报功能：执法记录仪支持整点语音报时，支持语音播报系统（如：电量不足，请进行充电处理/内存不足，请进行内存处理）。</w:t>
            </w:r>
            <w:r>
              <w:rPr>
                <w:rFonts w:hint="eastAsia"/>
              </w:rPr>
              <w:br w:type="textWrapping"/>
            </w:r>
            <w:r>
              <w:rPr>
                <w:rFonts w:hint="eastAsia"/>
              </w:rPr>
              <w:t>16、移动侦测功能，执法记录仪支持移动侦测功能，开启移动侦测功能，当拍摄区域移动物体和人物，或执法记录仪在移动时，可自动触发录像，开始自动摄录，当没有任何移动的时候，自动停止录像。</w:t>
            </w:r>
            <w:r>
              <w:rPr>
                <w:rFonts w:hint="eastAsia"/>
              </w:rPr>
              <w:br w:type="textWrapping"/>
            </w:r>
            <w:r>
              <w:rPr>
                <w:rFonts w:hint="eastAsia"/>
              </w:rPr>
              <w:t>17、延录功能:执法记录仪具有延录功能，可记录触发点后设置时间的视音频信息，延录时间可通过菜单设置为5S、10S、30S、1min、2min、5min、10min、30min、45min、60min。</w:t>
            </w:r>
            <w:r>
              <w:rPr>
                <w:rFonts w:hint="eastAsia"/>
              </w:rPr>
              <w:br w:type="textWrapping"/>
            </w:r>
            <w:r>
              <w:rPr>
                <w:rFonts w:hint="eastAsia"/>
              </w:rPr>
              <w:t>18、连拍功能：执法记录仪具有连拍功能，在连拍模式下，按拍照键可以连续自动拍摄照片3-100张。</w:t>
            </w:r>
            <w:r>
              <w:rPr>
                <w:rFonts w:hint="eastAsia"/>
              </w:rPr>
              <w:br w:type="textWrapping"/>
            </w:r>
            <w:r>
              <w:rPr>
                <w:rFonts w:hint="eastAsia"/>
              </w:rPr>
              <w:t>19、本机回放功能：执法记录仪在待机状态下，可一键回放最近一个视音频文件；回放支持2X、4X、8X、16X、32X、64X、128X快进、快退和暂停模式。</w:t>
            </w:r>
            <w:r>
              <w:rPr>
                <w:rFonts w:hint="eastAsia"/>
              </w:rPr>
              <w:br w:type="textWrapping"/>
            </w:r>
            <w:r>
              <w:rPr>
                <w:rFonts w:hint="eastAsia"/>
              </w:rPr>
              <w:t>20、移动磁盘模式功能：执法记录仪支持通过上机位软件或在执法记录仪菜单中将执法记录仪设置成移动磁盘模式。</w:t>
            </w:r>
            <w:r>
              <w:rPr>
                <w:rFonts w:hint="eastAsia"/>
              </w:rPr>
              <w:br w:type="textWrapping"/>
            </w:r>
            <w:r>
              <w:rPr>
                <w:rFonts w:hint="eastAsia"/>
              </w:rPr>
              <w:t>21、自由跌落试验：裸机跌落高度2000mm，水泥地面，任意6个面各跌落5次，共30次，试验期间执法记录仪处于工作状态。试验后应能正常工作，存储的数据不丢失。</w:t>
            </w:r>
            <w:r>
              <w:rPr>
                <w:rFonts w:hint="eastAsia"/>
              </w:rPr>
              <w:br w:type="textWrapping"/>
            </w:r>
            <w:r>
              <w:rPr>
                <w:rFonts w:hint="eastAsia"/>
              </w:rPr>
              <w:t>22、低温试验：温度在（30±3）℃，持续时间：A级2h，试验期间执法记录仪处于工作状态，试验过程中不应发生状态改变，试验后执法记录仪应能正常工作。</w:t>
            </w:r>
            <w:r>
              <w:rPr>
                <w:rFonts w:hint="eastAsia"/>
              </w:rPr>
              <w:br w:type="textWrapping"/>
            </w:r>
            <w:r>
              <w:rPr>
                <w:rFonts w:hint="eastAsia"/>
              </w:rPr>
              <w:t>23、耐久性要求：对执法记录仪的主要部件按如下要求进行耐久性试验：电源开关3000次、快门10000次、液晶显示及开关2000次、可动部件3000次、模式选择开关3000次,USB接口及连接线1000次，试验后执法记录仪应能正常工作；</w:t>
            </w:r>
          </w:p>
          <w:p>
            <w:pPr>
              <w:ind w:firstLine="420" w:firstLineChars="200"/>
            </w:pPr>
            <w:r>
              <w:rPr>
                <w:rFonts w:hint="eastAsia"/>
              </w:rPr>
              <w:t>执法记录仪技术参数1-23条指标须提供所投产品公安部特种警用装备质量监督检验中心出具的符合《单警执法视音频记录系统》（GA/T 947.2-2015）和（GA/T 947.4-2015）行业标准的CMA检测报告。</w:t>
            </w:r>
          </w:p>
        </w:tc>
        <w:tc>
          <w:tcPr>
            <w:tcW w:w="342"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10台</w:t>
            </w:r>
          </w:p>
        </w:tc>
        <w:tc>
          <w:tcPr>
            <w:tcW w:w="617"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770</w:t>
            </w:r>
          </w:p>
        </w:tc>
        <w:tc>
          <w:tcPr>
            <w:tcW w:w="552"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7700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tblCellSpacing w:w="0" w:type="dxa"/>
          <w:jc w:val="center"/>
        </w:trPr>
        <w:tc>
          <w:tcPr>
            <w:tcW w:w="294" w:type="pct"/>
          </w:tcPr>
          <w:p>
            <w:pPr>
              <w:widowControl/>
              <w:spacing w:line="360" w:lineRule="auto"/>
              <w:jc w:val="center"/>
              <w:rPr>
                <w:rFonts w:ascii="仿宋" w:hAnsi="仿宋" w:eastAsia="仿宋" w:cs="宋体"/>
                <w:bCs/>
                <w:kern w:val="0"/>
                <w:sz w:val="28"/>
                <w:szCs w:val="28"/>
              </w:rPr>
            </w:pPr>
            <w:r>
              <w:rPr>
                <w:rFonts w:hint="eastAsia" w:ascii="仿宋" w:hAnsi="仿宋" w:eastAsia="仿宋" w:cs="宋体"/>
                <w:bCs/>
                <w:kern w:val="0"/>
                <w:szCs w:val="21"/>
              </w:rPr>
              <w:t>2</w:t>
            </w:r>
          </w:p>
        </w:tc>
        <w:tc>
          <w:tcPr>
            <w:tcW w:w="249" w:type="pct"/>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便携式数据采集站</w:t>
            </w:r>
          </w:p>
        </w:tc>
        <w:tc>
          <w:tcPr>
            <w:tcW w:w="411" w:type="pct"/>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誉龙</w:t>
            </w:r>
          </w:p>
        </w:tc>
        <w:tc>
          <w:tcPr>
            <w:tcW w:w="343" w:type="pct"/>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ZCS-YDTQ3</w:t>
            </w:r>
          </w:p>
        </w:tc>
        <w:tc>
          <w:tcPr>
            <w:tcW w:w="2192" w:type="pct"/>
            <w:tcBorders>
              <w:right w:val="single" w:color="auto" w:sz="4" w:space="0"/>
            </w:tcBorders>
            <w:vAlign w:val="center"/>
          </w:tcPr>
          <w:p>
            <w:pPr>
              <w:pStyle w:val="14"/>
              <w:numPr>
                <w:ilvl w:val="0"/>
                <w:numId w:val="1"/>
              </w:numPr>
              <w:ind w:firstLineChars="0"/>
            </w:pPr>
            <w:r>
              <w:rPr>
                <w:rFonts w:hint="eastAsia"/>
              </w:rPr>
              <w:t>操作系统：WIN10/64位。</w:t>
            </w:r>
          </w:p>
          <w:p>
            <w:r>
              <w:rPr>
                <w:rFonts w:hint="eastAsia"/>
              </w:rPr>
              <w:t>2：系统硬盘：采用60/64固态系统硬盘。</w:t>
            </w:r>
          </w:p>
          <w:p>
            <w:r>
              <w:rPr>
                <w:rFonts w:hint="eastAsia"/>
              </w:rPr>
              <w:t>3：CPU：G3260CPU。</w:t>
            </w:r>
          </w:p>
          <w:p>
            <w:r>
              <w:rPr>
                <w:rFonts w:hint="eastAsia"/>
              </w:rPr>
              <w:t>4：主板：I5主板套件。</w:t>
            </w:r>
          </w:p>
          <w:p>
            <w:r>
              <w:rPr>
                <w:rFonts w:hint="eastAsia"/>
              </w:rPr>
              <w:t>5：触摸显示屏：8寸电容液晶显示触摸屏，分辨率1024X768。</w:t>
            </w:r>
          </w:p>
          <w:p>
            <w:r>
              <w:rPr>
                <w:rFonts w:hint="eastAsia"/>
              </w:rPr>
              <w:t>6：数据同步采集：10台执法记录仪同时采集数据。</w:t>
            </w:r>
          </w:p>
          <w:p>
            <w:r>
              <w:rPr>
                <w:rFonts w:hint="eastAsia"/>
              </w:rPr>
              <w:t>7：数据管理：可按人员编号、姓名、设备编号，采集时间，拍摄时间等一种或多种条件进行数据检索 可对单个或多个数据进行标记、分类、复制、剪切、删除、上传。</w:t>
            </w:r>
          </w:p>
        </w:tc>
        <w:tc>
          <w:tcPr>
            <w:tcW w:w="342"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1台</w:t>
            </w:r>
          </w:p>
        </w:tc>
        <w:tc>
          <w:tcPr>
            <w:tcW w:w="617"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9600</w:t>
            </w:r>
          </w:p>
        </w:tc>
        <w:tc>
          <w:tcPr>
            <w:tcW w:w="552"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tblCellSpacing w:w="0" w:type="dxa"/>
          <w:jc w:val="center"/>
        </w:trPr>
        <w:tc>
          <w:tcPr>
            <w:tcW w:w="294" w:type="pct"/>
          </w:tcPr>
          <w:p>
            <w:pPr>
              <w:spacing w:line="360" w:lineRule="auto"/>
              <w:jc w:val="center"/>
              <w:rPr>
                <w:rFonts w:ascii="仿宋" w:hAnsi="仿宋" w:eastAsia="仿宋" w:cs="宋体"/>
                <w:bCs/>
                <w:kern w:val="0"/>
                <w:sz w:val="28"/>
                <w:szCs w:val="28"/>
              </w:rPr>
            </w:pPr>
            <w:r>
              <w:rPr>
                <w:rFonts w:hint="eastAsia" w:ascii="仿宋" w:hAnsi="仿宋" w:eastAsia="仿宋" w:cs="宋体"/>
                <w:bCs/>
                <w:kern w:val="0"/>
                <w:szCs w:val="21"/>
              </w:rPr>
              <w:t>3</w:t>
            </w:r>
          </w:p>
        </w:tc>
        <w:tc>
          <w:tcPr>
            <w:tcW w:w="249" w:type="pct"/>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硬盘</w:t>
            </w:r>
          </w:p>
        </w:tc>
        <w:tc>
          <w:tcPr>
            <w:tcW w:w="411" w:type="pct"/>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希捷</w:t>
            </w:r>
          </w:p>
        </w:tc>
        <w:tc>
          <w:tcPr>
            <w:tcW w:w="343" w:type="pct"/>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ST4000VX016</w:t>
            </w:r>
          </w:p>
        </w:tc>
        <w:tc>
          <w:tcPr>
            <w:tcW w:w="2192" w:type="pct"/>
            <w:tcBorders>
              <w:righ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4T存储</w:t>
            </w:r>
          </w:p>
        </w:tc>
        <w:tc>
          <w:tcPr>
            <w:tcW w:w="342"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1块</w:t>
            </w:r>
          </w:p>
        </w:tc>
        <w:tc>
          <w:tcPr>
            <w:tcW w:w="617"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860</w:t>
            </w:r>
          </w:p>
        </w:tc>
        <w:tc>
          <w:tcPr>
            <w:tcW w:w="552" w:type="pct"/>
            <w:tcBorders>
              <w:left w:val="single" w:color="auto" w:sz="4" w:space="0"/>
            </w:tcBorders>
            <w:vAlign w:val="center"/>
          </w:tcPr>
          <w:p>
            <w:pPr>
              <w:widowControl/>
              <w:spacing w:line="360" w:lineRule="auto"/>
              <w:jc w:val="center"/>
              <w:rPr>
                <w:rFonts w:ascii="仿宋" w:hAnsi="仿宋" w:eastAsia="仿宋" w:cs="宋体"/>
                <w:bCs/>
                <w:kern w:val="0"/>
                <w:sz w:val="28"/>
                <w:szCs w:val="28"/>
              </w:rPr>
            </w:pPr>
            <w:r>
              <w:rPr>
                <w:rFonts w:hint="eastAsia" w:ascii="宋体" w:hAnsi="宋体" w:eastAsia="宋体" w:cs="宋体"/>
                <w:color w:val="000000"/>
                <w:kern w:val="0"/>
                <w:szCs w:val="21"/>
                <w:lang w:bidi="ar"/>
              </w:rPr>
              <w:t>860</w:t>
            </w:r>
          </w:p>
        </w:tc>
      </w:tr>
    </w:tbl>
    <w:p>
      <w:pPr>
        <w:spacing w:line="360" w:lineRule="auto"/>
        <w:rPr>
          <w:rFonts w:ascii="仿宋" w:hAnsi="仿宋" w:eastAsia="仿宋" w:cs="宋体"/>
          <w:bCs/>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3D28"/>
    <w:multiLevelType w:val="multilevel"/>
    <w:tmpl w:val="37933D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Y2Y4ZThkMGUwNWQyMDljYWE1MThmZjgxYmFjNzcifQ=="/>
  </w:docVars>
  <w:rsids>
    <w:rsidRoot w:val="00E13A58"/>
    <w:rsid w:val="00056C58"/>
    <w:rsid w:val="000E4DF1"/>
    <w:rsid w:val="00203752"/>
    <w:rsid w:val="0026728F"/>
    <w:rsid w:val="0026732F"/>
    <w:rsid w:val="00286B82"/>
    <w:rsid w:val="002F6B6F"/>
    <w:rsid w:val="00303861"/>
    <w:rsid w:val="003A6AB4"/>
    <w:rsid w:val="00444BC0"/>
    <w:rsid w:val="004F270A"/>
    <w:rsid w:val="00637156"/>
    <w:rsid w:val="00670826"/>
    <w:rsid w:val="006A5AC5"/>
    <w:rsid w:val="006B7FAB"/>
    <w:rsid w:val="00725F7D"/>
    <w:rsid w:val="007E0F4D"/>
    <w:rsid w:val="008060F1"/>
    <w:rsid w:val="0089204E"/>
    <w:rsid w:val="008A5800"/>
    <w:rsid w:val="00903436"/>
    <w:rsid w:val="00913B8B"/>
    <w:rsid w:val="009224BF"/>
    <w:rsid w:val="00A34E85"/>
    <w:rsid w:val="00A72FF0"/>
    <w:rsid w:val="00A8349F"/>
    <w:rsid w:val="00B01476"/>
    <w:rsid w:val="00B154B1"/>
    <w:rsid w:val="00B21800"/>
    <w:rsid w:val="00B451BB"/>
    <w:rsid w:val="00B45925"/>
    <w:rsid w:val="00C168E2"/>
    <w:rsid w:val="00C44227"/>
    <w:rsid w:val="00C550F5"/>
    <w:rsid w:val="00C762D0"/>
    <w:rsid w:val="00CB585E"/>
    <w:rsid w:val="00CF7FA3"/>
    <w:rsid w:val="00D35667"/>
    <w:rsid w:val="00DF33E8"/>
    <w:rsid w:val="00E07092"/>
    <w:rsid w:val="00E13A58"/>
    <w:rsid w:val="00E13E55"/>
    <w:rsid w:val="00E97659"/>
    <w:rsid w:val="00EA585E"/>
    <w:rsid w:val="00EF40BB"/>
    <w:rsid w:val="00F943F3"/>
    <w:rsid w:val="00FC1BC1"/>
    <w:rsid w:val="00FE2815"/>
    <w:rsid w:val="0156352C"/>
    <w:rsid w:val="01C04E49"/>
    <w:rsid w:val="025D4D8E"/>
    <w:rsid w:val="04B75674"/>
    <w:rsid w:val="08966904"/>
    <w:rsid w:val="08C23B9D"/>
    <w:rsid w:val="0A5F3066"/>
    <w:rsid w:val="0ED506C6"/>
    <w:rsid w:val="142C636E"/>
    <w:rsid w:val="14F52C04"/>
    <w:rsid w:val="18EE037B"/>
    <w:rsid w:val="1A6C1BBA"/>
    <w:rsid w:val="1C175D6F"/>
    <w:rsid w:val="208C6B12"/>
    <w:rsid w:val="257F27A2"/>
    <w:rsid w:val="37E56DDC"/>
    <w:rsid w:val="3CC52D38"/>
    <w:rsid w:val="3F151BF6"/>
    <w:rsid w:val="42F779C3"/>
    <w:rsid w:val="46F5246C"/>
    <w:rsid w:val="4A501609"/>
    <w:rsid w:val="4AF46861"/>
    <w:rsid w:val="4DCB3F26"/>
    <w:rsid w:val="539A4AC7"/>
    <w:rsid w:val="546908F2"/>
    <w:rsid w:val="58D5734A"/>
    <w:rsid w:val="5BD44602"/>
    <w:rsid w:val="5D79399F"/>
    <w:rsid w:val="625F500F"/>
    <w:rsid w:val="648D1ADE"/>
    <w:rsid w:val="67527D70"/>
    <w:rsid w:val="6A393E06"/>
    <w:rsid w:val="6F3516F0"/>
    <w:rsid w:val="71121CE9"/>
    <w:rsid w:val="71AE5649"/>
    <w:rsid w:val="781F6A99"/>
    <w:rsid w:val="7C8E41ED"/>
    <w:rsid w:val="7D580A83"/>
    <w:rsid w:val="7DC223A1"/>
    <w:rsid w:val="7FEC7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411</Words>
  <Characters>2346</Characters>
  <Lines>19</Lines>
  <Paragraphs>5</Paragraphs>
  <TotalTime>1</TotalTime>
  <ScaleCrop>false</ScaleCrop>
  <LinksUpToDate>false</LinksUpToDate>
  <CharactersWithSpaces>2752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2025-04-22T09:51:00Z</dcterms:created>
  <dc:creator>USER-</dc:creator>
  <cp:lastModifiedBy>lenovo</cp:lastModifiedBy>
  <cp:lastPrinted>2025-04-18T09:10:00Z</cp:lastPrinted>
  <dcterms:modified xsi:type="dcterms:W3CDTF">2025-04-23T08:09:48Z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A6C1389C8E944AA9BF4E9ADA25DFBA47</vt:lpwstr>
  </property>
  <property fmtid="{D5CDD505-2E9C-101B-9397-08002B2CF9AE}" pid="4" name="KSOTemplateDocerSaveRecord">
    <vt:lpwstr>eyJoZGlkIjoiMDk5Y2Y4ZThkMGUwNWQyMDljYWE1MThmZjgxYmFjNzciLCJ1c2VySWQiOiI0MzQ5MDI3MzgifQ==</vt:lpwstr>
  </property>
</Properties>
</file>