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cs="宋体" w:asciiTheme="minorEastAsia" w:hAnsiTheme="minorEastAsia" w:eastAsiaTheme="minorEastAsia"/>
          <w:b/>
          <w:sz w:val="96"/>
          <w:szCs w:val="18"/>
        </w:rPr>
      </w:pPr>
    </w:p>
    <w:p>
      <w:pPr>
        <w:jc w:val="center"/>
        <w:rPr>
          <w:rFonts w:cs="宋体" w:asciiTheme="minorEastAsia" w:hAnsiTheme="minorEastAsia" w:eastAsiaTheme="minorEastAsia"/>
          <w:b/>
          <w:sz w:val="96"/>
          <w:szCs w:val="18"/>
        </w:rPr>
      </w:pPr>
      <w:r>
        <w:rPr>
          <w:rFonts w:hint="eastAsia" w:cs="宋体" w:asciiTheme="minorEastAsia" w:hAnsiTheme="minorEastAsia" w:eastAsiaTheme="minorEastAsia"/>
          <w:b/>
          <w:sz w:val="72"/>
          <w:szCs w:val="18"/>
        </w:rPr>
        <w:t>福州市鼓楼区华大街道外环境“四害”消杀服务项目</w:t>
      </w:r>
    </w:p>
    <w:p>
      <w:pPr>
        <w:pStyle w:val="6"/>
        <w:spacing w:line="240" w:lineRule="auto"/>
        <w:ind w:firstLine="1838" w:firstLineChars="218"/>
        <w:rPr>
          <w:rFonts w:cs="宋体" w:asciiTheme="minorEastAsia" w:hAnsiTheme="minorEastAsia" w:eastAsiaTheme="minorEastAsia"/>
          <w:b/>
          <w:bCs/>
          <w:sz w:val="84"/>
        </w:rPr>
      </w:pPr>
    </w:p>
    <w:p>
      <w:pPr>
        <w:pStyle w:val="6"/>
        <w:spacing w:line="240" w:lineRule="auto"/>
        <w:ind w:firstLine="0"/>
        <w:jc w:val="center"/>
        <w:rPr>
          <w:rFonts w:cs="宋体" w:asciiTheme="minorEastAsia" w:hAnsiTheme="minorEastAsia" w:eastAsiaTheme="minorEastAsia"/>
          <w:b/>
          <w:bCs/>
          <w:sz w:val="72"/>
        </w:rPr>
      </w:pPr>
      <w:r>
        <w:rPr>
          <w:rFonts w:hint="eastAsia" w:cs="宋体" w:asciiTheme="minorEastAsia" w:hAnsiTheme="minorEastAsia" w:eastAsiaTheme="minorEastAsia"/>
          <w:b/>
          <w:bCs/>
          <w:sz w:val="72"/>
        </w:rPr>
        <w:t>公开招标文件</w:t>
      </w:r>
    </w:p>
    <w:p>
      <w:pPr>
        <w:pStyle w:val="31"/>
        <w:spacing w:line="360" w:lineRule="auto"/>
        <w:jc w:val="center"/>
        <w:rPr>
          <w:rFonts w:cs="宋体" w:asciiTheme="minorEastAsia" w:hAnsiTheme="minorEastAsia" w:eastAsiaTheme="minorEastAsia"/>
          <w:b/>
          <w:sz w:val="44"/>
        </w:rPr>
      </w:pPr>
    </w:p>
    <w:p>
      <w:pPr>
        <w:pStyle w:val="31"/>
        <w:spacing w:line="360" w:lineRule="auto"/>
        <w:jc w:val="center"/>
        <w:rPr>
          <w:rFonts w:cs="宋体" w:asciiTheme="minorEastAsia" w:hAnsiTheme="minorEastAsia" w:eastAsiaTheme="minorEastAsia"/>
          <w:b/>
          <w:sz w:val="44"/>
        </w:rPr>
      </w:pPr>
    </w:p>
    <w:p>
      <w:pPr>
        <w:pStyle w:val="31"/>
        <w:tabs>
          <w:tab w:val="left" w:pos="1800"/>
          <w:tab w:val="left" w:pos="1980"/>
        </w:tabs>
        <w:spacing w:line="360" w:lineRule="auto"/>
        <w:ind w:firstLine="424" w:firstLineChars="132"/>
        <w:jc w:val="left"/>
        <w:rPr>
          <w:rFonts w:cs="宋体" w:asciiTheme="minorEastAsia" w:hAnsiTheme="minorEastAsia" w:eastAsiaTheme="minorEastAsia"/>
          <w:b/>
          <w:sz w:val="32"/>
          <w:szCs w:val="32"/>
          <w:u w:val="single"/>
        </w:rPr>
      </w:pPr>
      <w:r>
        <w:rPr>
          <w:rFonts w:hint="eastAsia" w:cs="宋体" w:asciiTheme="minorEastAsia" w:hAnsiTheme="minorEastAsia" w:eastAsiaTheme="minorEastAsia"/>
          <w:b/>
          <w:sz w:val="32"/>
          <w:szCs w:val="32"/>
        </w:rPr>
        <w:t>项目编号：</w:t>
      </w:r>
      <w:r>
        <w:rPr>
          <w:rFonts w:hint="eastAsia" w:cs="宋体" w:asciiTheme="minorEastAsia" w:hAnsiTheme="minorEastAsia" w:eastAsiaTheme="minorEastAsia"/>
          <w:b/>
          <w:sz w:val="32"/>
          <w:szCs w:val="32"/>
          <w:u w:val="single"/>
        </w:rPr>
        <w:t>FJHZ-GK-2025071</w:t>
      </w:r>
    </w:p>
    <w:p>
      <w:pPr>
        <w:spacing w:line="360" w:lineRule="auto"/>
        <w:ind w:firstLine="424" w:firstLineChars="132"/>
        <w:rPr>
          <w:rFonts w:cs="宋体" w:asciiTheme="minorEastAsia" w:hAnsiTheme="minorEastAsia" w:eastAsiaTheme="minorEastAsia"/>
          <w:b/>
          <w:sz w:val="32"/>
          <w:szCs w:val="32"/>
          <w:u w:val="single"/>
        </w:rPr>
      </w:pPr>
      <w:r>
        <w:rPr>
          <w:rFonts w:hint="eastAsia" w:cs="宋体" w:asciiTheme="minorEastAsia" w:hAnsiTheme="minorEastAsia" w:eastAsiaTheme="minorEastAsia"/>
          <w:b/>
          <w:sz w:val="32"/>
          <w:szCs w:val="32"/>
        </w:rPr>
        <w:t>项目名称：</w:t>
      </w:r>
      <w:r>
        <w:rPr>
          <w:rFonts w:hint="eastAsia" w:cs="宋体" w:asciiTheme="minorEastAsia" w:hAnsiTheme="minorEastAsia" w:eastAsiaTheme="minorEastAsia"/>
          <w:b/>
          <w:sz w:val="32"/>
          <w:szCs w:val="32"/>
          <w:u w:val="single"/>
        </w:rPr>
        <w:t>福州市鼓楼区华大街道外环境“四害”消杀服务项目</w:t>
      </w:r>
    </w:p>
    <w:p>
      <w:pPr>
        <w:spacing w:line="360" w:lineRule="auto"/>
        <w:ind w:firstLine="424" w:firstLineChars="132"/>
        <w:rPr>
          <w:rFonts w:cs="宋体" w:asciiTheme="minorEastAsia" w:hAnsiTheme="minorEastAsia" w:eastAsiaTheme="minorEastAsia"/>
          <w:b/>
          <w:sz w:val="32"/>
          <w:szCs w:val="32"/>
          <w:u w:val="single"/>
        </w:rPr>
      </w:pPr>
      <w:r>
        <w:rPr>
          <w:rFonts w:hint="eastAsia" w:cs="宋体" w:asciiTheme="minorEastAsia" w:hAnsiTheme="minorEastAsia" w:eastAsiaTheme="minorEastAsia"/>
          <w:b/>
          <w:sz w:val="32"/>
          <w:szCs w:val="32"/>
        </w:rPr>
        <w:t>采 购 人：</w:t>
      </w:r>
      <w:r>
        <w:rPr>
          <w:rFonts w:hint="eastAsia" w:cs="宋体" w:asciiTheme="minorEastAsia" w:hAnsiTheme="minorEastAsia" w:eastAsiaTheme="minorEastAsia"/>
          <w:b/>
          <w:sz w:val="32"/>
          <w:szCs w:val="32"/>
          <w:u w:val="single"/>
        </w:rPr>
        <w:t>福州市鼓楼区华大街道办事处</w:t>
      </w:r>
    </w:p>
    <w:p>
      <w:pPr>
        <w:pStyle w:val="31"/>
        <w:spacing w:line="360" w:lineRule="auto"/>
        <w:ind w:left="2100" w:leftChars="1000"/>
        <w:jc w:val="left"/>
        <w:rPr>
          <w:rFonts w:cs="宋体" w:asciiTheme="minorEastAsia" w:hAnsiTheme="minorEastAsia" w:eastAsiaTheme="minorEastAsia"/>
          <w:b/>
          <w:sz w:val="32"/>
          <w:szCs w:val="32"/>
          <w:u w:val="single"/>
        </w:rPr>
      </w:pPr>
    </w:p>
    <w:p>
      <w:pPr>
        <w:pStyle w:val="31"/>
        <w:spacing w:line="360" w:lineRule="auto"/>
        <w:jc w:val="left"/>
        <w:rPr>
          <w:rFonts w:cs="宋体" w:asciiTheme="minorEastAsia" w:hAnsiTheme="minorEastAsia" w:eastAsiaTheme="minorEastAsia"/>
          <w:b/>
          <w:sz w:val="32"/>
          <w:szCs w:val="32"/>
        </w:rPr>
      </w:pPr>
    </w:p>
    <w:p>
      <w:pPr>
        <w:pStyle w:val="31"/>
        <w:spacing w:line="360" w:lineRule="auto"/>
        <w:jc w:val="left"/>
        <w:rPr>
          <w:rFonts w:cs="宋体" w:asciiTheme="minorEastAsia" w:hAnsiTheme="minorEastAsia" w:eastAsiaTheme="minorEastAsia"/>
          <w:b/>
          <w:sz w:val="32"/>
          <w:szCs w:val="32"/>
        </w:rPr>
      </w:pPr>
    </w:p>
    <w:p>
      <w:pPr>
        <w:pStyle w:val="31"/>
        <w:spacing w:line="360" w:lineRule="auto"/>
        <w:jc w:val="left"/>
        <w:rPr>
          <w:rFonts w:cs="宋体" w:asciiTheme="minorEastAsia" w:hAnsiTheme="minorEastAsia" w:eastAsiaTheme="minorEastAsia"/>
          <w:b/>
          <w:sz w:val="32"/>
          <w:szCs w:val="32"/>
        </w:rPr>
      </w:pPr>
    </w:p>
    <w:p>
      <w:pPr>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招标代理机构：福建华真招标代理有限公司</w:t>
      </w:r>
    </w:p>
    <w:p>
      <w:pPr>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2024年04月</w:t>
      </w:r>
    </w:p>
    <w:p>
      <w:pPr>
        <w:pStyle w:val="31"/>
        <w:spacing w:line="360" w:lineRule="auto"/>
        <w:jc w:val="center"/>
        <w:rPr>
          <w:rFonts w:asciiTheme="minorEastAsia" w:hAnsiTheme="minorEastAsia" w:eastAsiaTheme="minorEastAsia"/>
          <w:b/>
          <w:sz w:val="36"/>
        </w:rPr>
      </w:pPr>
      <w:r>
        <w:rPr>
          <w:rFonts w:cs="宋体" w:asciiTheme="minorEastAsia" w:hAnsiTheme="minorEastAsia" w:eastAsiaTheme="minorEastAsia"/>
          <w:b/>
          <w:sz w:val="36"/>
          <w:szCs w:val="36"/>
        </w:rPr>
        <w:br w:type="page"/>
      </w:r>
      <w:r>
        <w:rPr>
          <w:rFonts w:asciiTheme="minorEastAsia" w:hAnsiTheme="minorEastAsia" w:eastAsiaTheme="minorEastAsia"/>
          <w:b/>
          <w:sz w:val="36"/>
          <w:lang w:val="zh-CN"/>
        </w:rPr>
        <w:t>目录</w:t>
      </w:r>
    </w:p>
    <w:p>
      <w:pPr>
        <w:pStyle w:val="39"/>
        <w:tabs>
          <w:tab w:val="right" w:leader="dot" w:pos="9736"/>
        </w:tabs>
        <w:spacing w:line="360" w:lineRule="auto"/>
        <w:rPr>
          <w:rFonts w:asciiTheme="minorEastAsia" w:hAnsiTheme="minorEastAsia" w:eastAsiaTheme="minorEastAsia" w:cstheme="minorBidi"/>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TOC \o "1-3" \h \z \u </w:instrText>
      </w:r>
      <w:r>
        <w:rPr>
          <w:rFonts w:asciiTheme="minorEastAsia" w:hAnsiTheme="minorEastAsia" w:eastAsiaTheme="minorEastAsia"/>
          <w:sz w:val="28"/>
          <w:szCs w:val="28"/>
        </w:rPr>
        <w:fldChar w:fldCharType="separate"/>
      </w:r>
      <w:r>
        <w:fldChar w:fldCharType="begin"/>
      </w:r>
      <w:r>
        <w:instrText xml:space="preserve"> HYPERLINK \l "_Toc195709369" </w:instrText>
      </w:r>
      <w:r>
        <w:fldChar w:fldCharType="separate"/>
      </w:r>
      <w:r>
        <w:rPr>
          <w:rStyle w:val="60"/>
          <w:rFonts w:hint="eastAsia" w:cs="宋体" w:asciiTheme="minorEastAsia" w:hAnsiTheme="minorEastAsia" w:eastAsiaTheme="minorEastAsia"/>
          <w:bCs/>
          <w:color w:val="auto"/>
          <w:sz w:val="28"/>
          <w:szCs w:val="28"/>
        </w:rPr>
        <w:t>第一章</w:t>
      </w:r>
      <w:r>
        <w:rPr>
          <w:rStyle w:val="60"/>
          <w:rFonts w:cs="宋体" w:asciiTheme="minorEastAsia" w:hAnsiTheme="minorEastAsia" w:eastAsiaTheme="minorEastAsia"/>
          <w:bCs/>
          <w:color w:val="auto"/>
          <w:sz w:val="28"/>
          <w:szCs w:val="28"/>
        </w:rPr>
        <w:t xml:space="preserve">  </w:t>
      </w:r>
      <w:r>
        <w:rPr>
          <w:rStyle w:val="60"/>
          <w:rFonts w:hint="eastAsia" w:cs="宋体" w:asciiTheme="minorEastAsia" w:hAnsiTheme="minorEastAsia" w:eastAsiaTheme="minorEastAsia"/>
          <w:bCs/>
          <w:color w:val="auto"/>
          <w:sz w:val="28"/>
          <w:szCs w:val="28"/>
        </w:rPr>
        <w:t>投标邀请</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_Toc195709369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9"/>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"_Toc195709370" </w:instrText>
      </w:r>
      <w:r>
        <w:fldChar w:fldCharType="separate"/>
      </w:r>
      <w:r>
        <w:rPr>
          <w:rStyle w:val="60"/>
          <w:rFonts w:hint="eastAsia" w:cs="宋体" w:asciiTheme="minorEastAsia" w:hAnsiTheme="minorEastAsia" w:eastAsiaTheme="minorEastAsia"/>
          <w:color w:val="auto"/>
          <w:sz w:val="28"/>
          <w:szCs w:val="28"/>
        </w:rPr>
        <w:t>第二章  投标人须知</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_Toc195709370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5"/>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"_Toc195709371" </w:instrText>
      </w:r>
      <w:r>
        <w:fldChar w:fldCharType="separate"/>
      </w:r>
      <w:r>
        <w:rPr>
          <w:rStyle w:val="60"/>
          <w:rFonts w:hint="eastAsia" w:cs="宋体" w:asciiTheme="minorEastAsia" w:hAnsiTheme="minorEastAsia" w:eastAsiaTheme="minorEastAsia"/>
          <w:color w:val="auto"/>
          <w:sz w:val="28"/>
          <w:szCs w:val="28"/>
        </w:rPr>
        <w:t>投标人须知前附表</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_Toc195709371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5"/>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"_Toc195709372" </w:instrText>
      </w:r>
      <w:r>
        <w:fldChar w:fldCharType="separate"/>
      </w:r>
      <w:r>
        <w:rPr>
          <w:rStyle w:val="60"/>
          <w:rFonts w:hint="eastAsia" w:asciiTheme="minorEastAsia" w:hAnsiTheme="minorEastAsia" w:eastAsiaTheme="minorEastAsia" w:cstheme="minorEastAsia"/>
          <w:color w:val="auto"/>
          <w:spacing w:val="-4"/>
          <w:sz w:val="28"/>
          <w:szCs w:val="28"/>
        </w:rPr>
        <w:t>附件</w:t>
      </w:r>
      <w:r>
        <w:rPr>
          <w:rStyle w:val="60"/>
          <w:rFonts w:asciiTheme="minorEastAsia" w:hAnsiTheme="minorEastAsia" w:eastAsiaTheme="minorEastAsia" w:cstheme="minorEastAsia"/>
          <w:color w:val="auto"/>
          <w:spacing w:val="-4"/>
          <w:sz w:val="28"/>
          <w:szCs w:val="28"/>
        </w:rPr>
        <w:t>A</w:t>
      </w:r>
      <w:r>
        <w:rPr>
          <w:rStyle w:val="60"/>
          <w:rFonts w:hint="eastAsia" w:asciiTheme="minorEastAsia" w:hAnsiTheme="minorEastAsia" w:eastAsiaTheme="minorEastAsia" w:cstheme="minorEastAsia"/>
          <w:color w:val="auto"/>
          <w:spacing w:val="-4"/>
          <w:sz w:val="28"/>
          <w:szCs w:val="28"/>
        </w:rPr>
        <w:t>：评标方法</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_Toc195709372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5"/>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"_Toc195709373" </w:instrText>
      </w:r>
      <w:r>
        <w:fldChar w:fldCharType="separate"/>
      </w:r>
      <w:r>
        <w:rPr>
          <w:rStyle w:val="60"/>
          <w:rFonts w:hint="eastAsia" w:asciiTheme="minorEastAsia" w:hAnsiTheme="minorEastAsia" w:eastAsiaTheme="minorEastAsia" w:cstheme="minorEastAsia"/>
          <w:color w:val="auto"/>
          <w:sz w:val="28"/>
          <w:szCs w:val="28"/>
        </w:rPr>
        <w:t>一、说明</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_Toc195709373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5"/>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"_Toc195709374" </w:instrText>
      </w:r>
      <w:r>
        <w:fldChar w:fldCharType="separate"/>
      </w:r>
      <w:r>
        <w:rPr>
          <w:rStyle w:val="60"/>
          <w:rFonts w:hint="eastAsia" w:asciiTheme="minorEastAsia" w:hAnsiTheme="minorEastAsia" w:eastAsiaTheme="minorEastAsia" w:cstheme="minorEastAsia"/>
          <w:bCs/>
          <w:color w:val="auto"/>
          <w:sz w:val="28"/>
          <w:szCs w:val="28"/>
        </w:rPr>
        <w:t>二、招标文件</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_Toc195709374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16</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5"/>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"_Toc195709375" </w:instrText>
      </w:r>
      <w:r>
        <w:fldChar w:fldCharType="separate"/>
      </w:r>
      <w:r>
        <w:rPr>
          <w:rStyle w:val="60"/>
          <w:rFonts w:hint="eastAsia" w:asciiTheme="minorEastAsia" w:hAnsiTheme="minorEastAsia" w:eastAsiaTheme="minorEastAsia" w:cstheme="minorEastAsia"/>
          <w:color w:val="auto"/>
          <w:sz w:val="28"/>
          <w:szCs w:val="28"/>
        </w:rPr>
        <w:t>三、投标文件的编写</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_Toc195709375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5"/>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"_Toc195709376" </w:instrText>
      </w:r>
      <w:r>
        <w:fldChar w:fldCharType="separate"/>
      </w:r>
      <w:r>
        <w:rPr>
          <w:rStyle w:val="60"/>
          <w:rFonts w:hint="eastAsia" w:asciiTheme="minorEastAsia" w:hAnsiTheme="minorEastAsia" w:eastAsiaTheme="minorEastAsia" w:cstheme="minorEastAsia"/>
          <w:color w:val="auto"/>
          <w:sz w:val="28"/>
          <w:szCs w:val="28"/>
        </w:rPr>
        <w:t>四、投标文件的提交</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_Toc195709376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5"/>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"_Toc195709377" </w:instrText>
      </w:r>
      <w:r>
        <w:fldChar w:fldCharType="separate"/>
      </w:r>
      <w:r>
        <w:rPr>
          <w:rStyle w:val="60"/>
          <w:rFonts w:hint="eastAsia" w:asciiTheme="minorEastAsia" w:hAnsiTheme="minorEastAsia" w:eastAsiaTheme="minorEastAsia" w:cstheme="minorEastAsia"/>
          <w:color w:val="auto"/>
          <w:sz w:val="28"/>
          <w:szCs w:val="28"/>
        </w:rPr>
        <w:t>五、投标文件的评估和比较</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_Toc195709377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45"/>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"_Toc195709378" </w:instrText>
      </w:r>
      <w:r>
        <w:fldChar w:fldCharType="separate"/>
      </w:r>
      <w:r>
        <w:rPr>
          <w:rStyle w:val="60"/>
          <w:rFonts w:hint="eastAsia" w:asciiTheme="minorEastAsia" w:hAnsiTheme="minorEastAsia" w:eastAsiaTheme="minorEastAsia" w:cstheme="minorEastAsia"/>
          <w:color w:val="auto"/>
          <w:sz w:val="28"/>
          <w:szCs w:val="28"/>
        </w:rPr>
        <w:t>六、定标与签订合同</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_Toc195709378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9"/>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"_Toc195709379" </w:instrText>
      </w:r>
      <w:r>
        <w:fldChar w:fldCharType="separate"/>
      </w:r>
      <w:r>
        <w:rPr>
          <w:rStyle w:val="60"/>
          <w:rFonts w:hint="eastAsia" w:asciiTheme="minorEastAsia" w:hAnsiTheme="minorEastAsia" w:eastAsiaTheme="minorEastAsia"/>
          <w:color w:val="auto"/>
          <w:sz w:val="28"/>
          <w:szCs w:val="28"/>
        </w:rPr>
        <w:t>第三章</w:t>
      </w:r>
      <w:r>
        <w:rPr>
          <w:rStyle w:val="60"/>
          <w:rFonts w:asciiTheme="minorEastAsia" w:hAnsiTheme="minorEastAsia" w:eastAsiaTheme="minorEastAsia"/>
          <w:color w:val="auto"/>
          <w:sz w:val="28"/>
          <w:szCs w:val="28"/>
        </w:rPr>
        <w:t xml:space="preserve">  </w:t>
      </w:r>
      <w:r>
        <w:rPr>
          <w:rStyle w:val="60"/>
          <w:rFonts w:hint="eastAsia" w:asciiTheme="minorEastAsia" w:hAnsiTheme="minorEastAsia" w:eastAsiaTheme="minorEastAsia"/>
          <w:color w:val="auto"/>
          <w:sz w:val="28"/>
          <w:szCs w:val="28"/>
        </w:rPr>
        <w:t>招标内容及要求</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_Toc195709379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9"/>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"_Toc195709380" </w:instrText>
      </w:r>
      <w:r>
        <w:fldChar w:fldCharType="separate"/>
      </w:r>
      <w:r>
        <w:rPr>
          <w:rStyle w:val="60"/>
          <w:rFonts w:hint="eastAsia" w:cs="宋体" w:asciiTheme="minorEastAsia" w:hAnsiTheme="minorEastAsia" w:eastAsiaTheme="minorEastAsia"/>
          <w:color w:val="auto"/>
          <w:sz w:val="28"/>
          <w:szCs w:val="28"/>
        </w:rPr>
        <w:t>第四章</w:t>
      </w:r>
      <w:r>
        <w:rPr>
          <w:rStyle w:val="60"/>
          <w:rFonts w:cs="宋体" w:asciiTheme="minorEastAsia" w:hAnsiTheme="minorEastAsia" w:eastAsiaTheme="minorEastAsia"/>
          <w:color w:val="auto"/>
          <w:sz w:val="28"/>
          <w:szCs w:val="28"/>
        </w:rPr>
        <w:t xml:space="preserve">  </w:t>
      </w:r>
      <w:r>
        <w:rPr>
          <w:rStyle w:val="60"/>
          <w:rFonts w:hint="eastAsia" w:cs="宋体" w:asciiTheme="minorEastAsia" w:hAnsiTheme="minorEastAsia" w:eastAsiaTheme="minorEastAsia"/>
          <w:color w:val="auto"/>
          <w:sz w:val="28"/>
          <w:szCs w:val="28"/>
        </w:rPr>
        <w:t>政府采购合同（参考文本）</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_Toc195709380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39"/>
        <w:tabs>
          <w:tab w:val="right" w:leader="dot" w:pos="9736"/>
        </w:tabs>
        <w:spacing w:line="360" w:lineRule="auto"/>
        <w:rPr>
          <w:rFonts w:asciiTheme="minorEastAsia" w:hAnsiTheme="minorEastAsia" w:eastAsiaTheme="minorEastAsia" w:cstheme="minorBidi"/>
          <w:sz w:val="28"/>
          <w:szCs w:val="28"/>
        </w:rPr>
      </w:pPr>
      <w:r>
        <w:fldChar w:fldCharType="begin"/>
      </w:r>
      <w:r>
        <w:instrText xml:space="preserve"> HYPERLINK \l "_Toc195709381" </w:instrText>
      </w:r>
      <w:r>
        <w:fldChar w:fldCharType="separate"/>
      </w:r>
      <w:r>
        <w:rPr>
          <w:rStyle w:val="60"/>
          <w:rFonts w:hint="eastAsia" w:asciiTheme="minorEastAsia" w:hAnsiTheme="minorEastAsia" w:eastAsiaTheme="minorEastAsia"/>
          <w:color w:val="auto"/>
          <w:sz w:val="28"/>
          <w:szCs w:val="28"/>
        </w:rPr>
        <w:t>第五章  投标文件格式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_Toc195709381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39</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spacing w:line="360" w:lineRule="auto"/>
        <w:rPr>
          <w:rFonts w:asciiTheme="minorEastAsia" w:hAnsiTheme="minorEastAsia" w:eastAsiaTheme="minorEastAsia"/>
        </w:rPr>
      </w:pPr>
      <w:r>
        <w:rPr>
          <w:rFonts w:asciiTheme="minorEastAsia" w:hAnsiTheme="minorEastAsia" w:eastAsiaTheme="minorEastAsia"/>
          <w:sz w:val="28"/>
          <w:szCs w:val="28"/>
        </w:rPr>
        <w:fldChar w:fldCharType="end"/>
      </w:r>
    </w:p>
    <w:p>
      <w:pPr>
        <w:pStyle w:val="11"/>
        <w:tabs>
          <w:tab w:val="right" w:leader="dot" w:pos="9781"/>
        </w:tabs>
        <w:snapToGrid w:val="0"/>
        <w:spacing w:line="360" w:lineRule="auto"/>
        <w:ind w:firstLine="0"/>
        <w:rPr>
          <w:rFonts w:cs="宋体" w:asciiTheme="minorEastAsia" w:hAnsiTheme="minorEastAsia" w:eastAsiaTheme="minorEastAsia"/>
          <w:szCs w:val="21"/>
        </w:rPr>
      </w:pPr>
    </w:p>
    <w:p>
      <w:pPr>
        <w:pStyle w:val="11"/>
        <w:tabs>
          <w:tab w:val="right" w:leader="dot" w:pos="9781"/>
        </w:tabs>
        <w:snapToGrid w:val="0"/>
        <w:spacing w:line="360" w:lineRule="auto"/>
        <w:ind w:firstLine="0"/>
        <w:rPr>
          <w:rFonts w:cs="宋体" w:asciiTheme="minorEastAsia" w:hAnsiTheme="minorEastAsia" w:eastAsiaTheme="minorEastAsia"/>
          <w:szCs w:val="21"/>
        </w:rPr>
      </w:pPr>
    </w:p>
    <w:p>
      <w:pPr>
        <w:pStyle w:val="11"/>
        <w:tabs>
          <w:tab w:val="right" w:leader="dot" w:pos="9781"/>
        </w:tabs>
        <w:snapToGrid w:val="0"/>
        <w:spacing w:line="360" w:lineRule="auto"/>
        <w:ind w:firstLine="0"/>
        <w:rPr>
          <w:rFonts w:cs="宋体" w:asciiTheme="minorEastAsia" w:hAnsiTheme="minorEastAsia" w:eastAsiaTheme="minorEastAsia"/>
          <w:szCs w:val="21"/>
        </w:rPr>
      </w:pPr>
    </w:p>
    <w:p>
      <w:pPr>
        <w:pStyle w:val="11"/>
        <w:tabs>
          <w:tab w:val="right" w:leader="dot" w:pos="9781"/>
        </w:tabs>
        <w:snapToGrid w:val="0"/>
        <w:spacing w:line="360" w:lineRule="auto"/>
        <w:ind w:firstLine="0"/>
        <w:rPr>
          <w:rFonts w:cs="宋体" w:asciiTheme="minorEastAsia" w:hAnsiTheme="minorEastAsia" w:eastAsiaTheme="minorEastAsia"/>
          <w:szCs w:val="21"/>
        </w:rPr>
      </w:pPr>
    </w:p>
    <w:p>
      <w:pPr>
        <w:pStyle w:val="11"/>
        <w:tabs>
          <w:tab w:val="right" w:leader="dot" w:pos="9781"/>
        </w:tabs>
        <w:snapToGrid w:val="0"/>
        <w:spacing w:line="360" w:lineRule="auto"/>
        <w:ind w:firstLine="0"/>
        <w:rPr>
          <w:rFonts w:cs="宋体" w:asciiTheme="minorEastAsia" w:hAnsiTheme="minorEastAsia" w:eastAsiaTheme="minorEastAsia"/>
          <w:szCs w:val="21"/>
        </w:rPr>
      </w:pPr>
    </w:p>
    <w:p>
      <w:pPr>
        <w:pStyle w:val="11"/>
        <w:tabs>
          <w:tab w:val="right" w:leader="dot" w:pos="9781"/>
        </w:tabs>
        <w:snapToGrid w:val="0"/>
        <w:spacing w:line="360" w:lineRule="auto"/>
        <w:ind w:firstLine="0"/>
        <w:rPr>
          <w:rFonts w:cs="宋体" w:asciiTheme="minorEastAsia" w:hAnsiTheme="minorEastAsia" w:eastAsiaTheme="minorEastAsia"/>
          <w:szCs w:val="21"/>
        </w:rPr>
      </w:pPr>
    </w:p>
    <w:p>
      <w:pPr>
        <w:pStyle w:val="11"/>
        <w:tabs>
          <w:tab w:val="right" w:leader="dot" w:pos="9781"/>
        </w:tabs>
        <w:snapToGrid w:val="0"/>
        <w:spacing w:line="360" w:lineRule="auto"/>
        <w:ind w:firstLine="0"/>
        <w:rPr>
          <w:rFonts w:cs="宋体" w:asciiTheme="minorEastAsia" w:hAnsiTheme="minorEastAsia" w:eastAsiaTheme="minorEastAsia"/>
          <w:szCs w:val="21"/>
        </w:rPr>
      </w:pPr>
    </w:p>
    <w:p>
      <w:pPr>
        <w:pStyle w:val="11"/>
        <w:snapToGrid w:val="0"/>
        <w:spacing w:line="360" w:lineRule="auto"/>
        <w:ind w:firstLine="0"/>
        <w:rPr>
          <w:rFonts w:cs="宋体" w:asciiTheme="minorEastAsia" w:hAnsiTheme="minorEastAsia" w:eastAsiaTheme="minorEastAsia"/>
          <w:szCs w:val="21"/>
        </w:rPr>
      </w:pPr>
    </w:p>
    <w:p>
      <w:pPr>
        <w:pStyle w:val="11"/>
        <w:snapToGrid w:val="0"/>
        <w:spacing w:line="360" w:lineRule="auto"/>
        <w:ind w:firstLine="480" w:firstLineChars="200"/>
        <w:rPr>
          <w:rFonts w:cs="宋体" w:asciiTheme="minorEastAsia" w:hAnsiTheme="minorEastAsia" w:eastAsiaTheme="minorEastAsia"/>
          <w:szCs w:val="21"/>
        </w:rPr>
      </w:pPr>
      <w:r>
        <w:rPr>
          <w:rFonts w:hint="eastAsia" w:cs="宋体" w:asciiTheme="minorEastAsia" w:hAnsiTheme="minorEastAsia" w:eastAsiaTheme="minorEastAsia"/>
          <w:sz w:val="24"/>
          <w:szCs w:val="24"/>
        </w:rPr>
        <w:t>注：本招标文件共</w:t>
      </w:r>
      <w:r>
        <w:rPr>
          <w:rFonts w:hint="eastAsia" w:cs="宋体" w:asciiTheme="minorEastAsia" w:hAnsiTheme="minorEastAsia" w:eastAsiaTheme="minorEastAsia"/>
          <w:sz w:val="24"/>
          <w:szCs w:val="24"/>
          <w:u w:val="single"/>
        </w:rPr>
        <w:t>62</w:t>
      </w:r>
      <w:r>
        <w:rPr>
          <w:rFonts w:hint="eastAsia" w:cs="宋体" w:asciiTheme="minorEastAsia" w:hAnsiTheme="minorEastAsia" w:eastAsiaTheme="minorEastAsia"/>
          <w:sz w:val="24"/>
          <w:szCs w:val="24"/>
        </w:rPr>
        <w:t>页（含封面），请购买招标文件的投标人自行核对，如发现缺、损等情况，自领取招标文件之日起二日内向福建华真招标代理有限公司提出，否则，由此造成的一切后果由投标人自负。</w:t>
      </w:r>
    </w:p>
    <w:p>
      <w:pPr>
        <w:spacing w:line="360" w:lineRule="auto"/>
        <w:jc w:val="center"/>
        <w:outlineLvl w:val="0"/>
        <w:rPr>
          <w:rFonts w:cs="宋体" w:asciiTheme="minorEastAsia" w:hAnsiTheme="minorEastAsia" w:eastAsiaTheme="minorEastAsia"/>
          <w:b/>
          <w:bCs/>
          <w:sz w:val="32"/>
          <w:szCs w:val="32"/>
        </w:rPr>
      </w:pPr>
      <w:bookmarkStart w:id="0" w:name="_Toc421107715"/>
      <w:r>
        <w:rPr>
          <w:rFonts w:hint="eastAsia" w:cs="宋体" w:asciiTheme="minorEastAsia" w:hAnsiTheme="minorEastAsia" w:eastAsiaTheme="minorEastAsia"/>
          <w:b/>
          <w:bCs/>
          <w:sz w:val="32"/>
          <w:szCs w:val="32"/>
        </w:rPr>
        <w:br w:type="page"/>
      </w:r>
      <w:bookmarkStart w:id="1" w:name="_Toc25354"/>
      <w:bookmarkStart w:id="2" w:name="_Toc195709369"/>
      <w:r>
        <w:rPr>
          <w:rFonts w:hint="eastAsia" w:cs="宋体" w:asciiTheme="minorEastAsia" w:hAnsiTheme="minorEastAsia" w:eastAsiaTheme="minorEastAsia"/>
          <w:b/>
          <w:bCs/>
          <w:sz w:val="32"/>
          <w:szCs w:val="32"/>
        </w:rPr>
        <w:t>第一章  投标邀请</w:t>
      </w:r>
      <w:bookmarkEnd w:id="0"/>
      <w:bookmarkEnd w:id="1"/>
      <w:bookmarkEnd w:id="2"/>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受</w:t>
      </w:r>
      <w:r>
        <w:rPr>
          <w:rFonts w:hint="eastAsia" w:cs="宋体" w:asciiTheme="minorEastAsia" w:hAnsiTheme="minorEastAsia" w:eastAsiaTheme="minorEastAsia"/>
          <w:sz w:val="24"/>
          <w:szCs w:val="24"/>
          <w:u w:val="single"/>
        </w:rPr>
        <w:t>福州市鼓楼区华大街道办事处</w:t>
      </w:r>
      <w:r>
        <w:rPr>
          <w:rFonts w:hint="eastAsia" w:cs="宋体" w:asciiTheme="minorEastAsia" w:hAnsiTheme="minorEastAsia" w:eastAsiaTheme="minorEastAsia"/>
          <w:sz w:val="24"/>
          <w:szCs w:val="24"/>
        </w:rPr>
        <w:t>委托，对</w:t>
      </w:r>
      <w:r>
        <w:rPr>
          <w:rFonts w:hint="eastAsia" w:cs="宋体" w:asciiTheme="minorEastAsia" w:hAnsiTheme="minorEastAsia" w:eastAsiaTheme="minorEastAsia"/>
          <w:sz w:val="24"/>
          <w:szCs w:val="24"/>
          <w:u w:val="single"/>
        </w:rPr>
        <w:t>福州市鼓楼区华大街道外环境“四害”消杀服务项目</w:t>
      </w:r>
      <w:r>
        <w:rPr>
          <w:rFonts w:hint="eastAsia" w:cs="宋体" w:asciiTheme="minorEastAsia" w:hAnsiTheme="minorEastAsia" w:eastAsiaTheme="minorEastAsia"/>
          <w:sz w:val="24"/>
          <w:szCs w:val="24"/>
        </w:rPr>
        <w:t>进行公开招标，现欢迎国内合格的投标人前来提交密封的投标文件。</w:t>
      </w:r>
    </w:p>
    <w:p>
      <w:pPr>
        <w:spacing w:line="400" w:lineRule="exact"/>
        <w:ind w:firstLine="481"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b/>
          <w:bCs/>
          <w:sz w:val="24"/>
          <w:szCs w:val="24"/>
        </w:rPr>
        <w:t>1、项目编号：</w:t>
      </w:r>
      <w:r>
        <w:rPr>
          <w:rFonts w:hint="eastAsia" w:cs="宋体" w:asciiTheme="minorEastAsia" w:hAnsiTheme="minorEastAsia" w:eastAsiaTheme="minorEastAsia"/>
          <w:sz w:val="24"/>
          <w:szCs w:val="24"/>
          <w:u w:val="single"/>
        </w:rPr>
        <w:t>FJHZ-GK-2025071</w:t>
      </w:r>
    </w:p>
    <w:p>
      <w:pPr>
        <w:spacing w:line="400" w:lineRule="exact"/>
        <w:ind w:firstLine="481"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b/>
          <w:bCs/>
          <w:sz w:val="24"/>
          <w:szCs w:val="24"/>
        </w:rPr>
        <w:t>2、项目名称：</w:t>
      </w:r>
      <w:r>
        <w:rPr>
          <w:rFonts w:hint="eastAsia" w:cs="宋体" w:asciiTheme="minorEastAsia" w:hAnsiTheme="minorEastAsia" w:eastAsiaTheme="minorEastAsia"/>
          <w:sz w:val="24"/>
          <w:szCs w:val="24"/>
          <w:u w:val="single"/>
        </w:rPr>
        <w:t>福州市鼓楼区华大街道外环境“四害”消杀服务项目</w:t>
      </w:r>
    </w:p>
    <w:p>
      <w:pPr>
        <w:spacing w:line="400" w:lineRule="exact"/>
        <w:ind w:firstLine="481"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3、</w:t>
      </w:r>
      <w:r>
        <w:rPr>
          <w:rFonts w:hint="eastAsia" w:cs="宋体" w:asciiTheme="minorEastAsia" w:hAnsiTheme="minorEastAsia" w:eastAsiaTheme="minorEastAsia"/>
          <w:b/>
          <w:bCs/>
          <w:spacing w:val="-14"/>
          <w:sz w:val="24"/>
          <w:szCs w:val="24"/>
        </w:rPr>
        <w:t>招标货物（服务）名称、数量及主要技术规格：</w:t>
      </w:r>
      <w:r>
        <w:rPr>
          <w:rFonts w:hint="eastAsia" w:cs="宋体" w:asciiTheme="minorEastAsia" w:hAnsiTheme="minorEastAsia" w:eastAsiaTheme="minorEastAsia"/>
          <w:spacing w:val="-14"/>
          <w:sz w:val="24"/>
          <w:szCs w:val="24"/>
        </w:rPr>
        <w:t>详见</w:t>
      </w:r>
      <w:r>
        <w:rPr>
          <w:rFonts w:hint="eastAsia" w:cs="宋体" w:asciiTheme="minorEastAsia" w:hAnsiTheme="minorEastAsia" w:eastAsiaTheme="minorEastAsia"/>
          <w:sz w:val="24"/>
          <w:szCs w:val="24"/>
        </w:rPr>
        <w:t>招标内容一览表及第三章招标内容及要求。</w:t>
      </w:r>
    </w:p>
    <w:p>
      <w:pPr>
        <w:spacing w:line="400" w:lineRule="exact"/>
        <w:ind w:firstLine="481" w:firstLineChars="200"/>
        <w:rPr>
          <w:rFonts w:cs="宋体" w:asciiTheme="minorEastAsia" w:hAnsiTheme="minorEastAsia" w:eastAsiaTheme="minorEastAsia"/>
          <w:bCs/>
          <w:sz w:val="24"/>
        </w:rPr>
      </w:pPr>
      <w:r>
        <w:rPr>
          <w:rFonts w:hint="eastAsia" w:cs="宋体" w:asciiTheme="minorEastAsia" w:hAnsiTheme="minorEastAsia" w:eastAsiaTheme="minorEastAsia"/>
          <w:b/>
          <w:bCs/>
          <w:sz w:val="24"/>
          <w:szCs w:val="24"/>
        </w:rPr>
        <w:t>4、招标文件购买时间、地点：</w:t>
      </w:r>
      <w:r>
        <w:rPr>
          <w:rFonts w:hint="eastAsia" w:cs="宋体" w:asciiTheme="minorEastAsia" w:hAnsiTheme="minorEastAsia" w:eastAsiaTheme="minorEastAsia"/>
          <w:bCs/>
          <w:sz w:val="24"/>
        </w:rPr>
        <w:t>凡有意参加投标者，以招标公告时间为准，每日上午9:00至12:00，下午</w:t>
      </w:r>
      <w:r>
        <w:rPr>
          <w:rFonts w:hint="eastAsia" w:cs="宋体" w:asciiTheme="minorEastAsia" w:hAnsiTheme="minorEastAsia" w:eastAsiaTheme="minorEastAsia"/>
          <w:bCs/>
          <w:sz w:val="24"/>
          <w:lang w:val="en-US" w:eastAsia="zh-CN"/>
        </w:rPr>
        <w:t>2</w:t>
      </w:r>
      <w:r>
        <w:rPr>
          <w:rFonts w:hint="eastAsia" w:cs="宋体" w:asciiTheme="minorEastAsia" w:hAnsiTheme="minorEastAsia" w:eastAsiaTheme="minorEastAsia"/>
          <w:bCs/>
          <w:sz w:val="24"/>
        </w:rPr>
        <w:t>:30至</w:t>
      </w:r>
      <w:r>
        <w:rPr>
          <w:rFonts w:hint="eastAsia" w:cs="宋体" w:asciiTheme="minorEastAsia" w:hAnsiTheme="minorEastAsia" w:eastAsiaTheme="minorEastAsia"/>
          <w:bCs/>
          <w:sz w:val="24"/>
          <w:lang w:val="en-US" w:eastAsia="zh-CN"/>
        </w:rPr>
        <w:t>5</w:t>
      </w:r>
      <w:r>
        <w:rPr>
          <w:rFonts w:hint="eastAsia" w:cs="宋体" w:asciiTheme="minorEastAsia" w:hAnsiTheme="minorEastAsia" w:eastAsiaTheme="minorEastAsia"/>
          <w:bCs/>
          <w:sz w:val="24"/>
        </w:rPr>
        <w:t>:00（北京时间，下同），在福建华真招标代理有限公司（福州市鼓楼区洪山镇洪山园路52号华润万象城（三期）S11楼3层07-13、15办公）购买招标文件。未在规定时间内购买招标文件的潜在投标人将失去投标资格。 购买招标文件需提供以下材料： （1）营业执照副本复印件。 注：须加盖投标人公章，并注明“与原件一致”，未提供相关材料，我司将不予发售招标文件。</w:t>
      </w:r>
    </w:p>
    <w:p>
      <w:pPr>
        <w:spacing w:line="400" w:lineRule="exact"/>
        <w:ind w:firstLine="481" w:firstLineChars="200"/>
        <w:rPr>
          <w:rFonts w:ascii="宋体" w:hAnsi="宋体" w:cs="宋体"/>
          <w:b/>
          <w:bCs/>
          <w:sz w:val="24"/>
          <w:szCs w:val="24"/>
        </w:rPr>
      </w:pPr>
      <w:r>
        <w:rPr>
          <w:rFonts w:hint="eastAsia" w:cs="宋体" w:asciiTheme="minorEastAsia" w:hAnsiTheme="minorEastAsia" w:eastAsiaTheme="minorEastAsia"/>
          <w:b/>
          <w:bCs/>
          <w:sz w:val="24"/>
        </w:rPr>
        <w:t xml:space="preserve"> 获取招标文件方式：</w:t>
      </w:r>
      <w:r>
        <w:rPr>
          <w:rFonts w:hint="eastAsia" w:cs="宋体" w:asciiTheme="minorEastAsia" w:hAnsiTheme="minorEastAsia" w:eastAsiaTheme="minorEastAsia"/>
          <w:bCs/>
          <w:sz w:val="24"/>
        </w:rPr>
        <w:t>（1）现场获取：直接至福建华真招标代理有限公司（福州市鼓楼区洪山镇洪山园路52号华润万象城（三期）S11楼3层07-13、15办公）填写《招标文件获取登记表》并提供报名材料。（2）通过邮件获取招标文件（在本项目招标公告页面下载附件或在福建华真招标代理有限公司首页（http://fjhzzb.com/）“下载专区”中下载《招标文件获取登记表》，完整填写《招标文件获取登记表》同时将招标文件获取登记表、申领招标文件时需提供的资料发邮件至我司（均须加盖公章），未达到以上要求者，不予办理。具体流程： ①邮件递交材料。投标人邮件递交报名材料，包括但不限于以下内容： 邮件主题：项目名称+项目编号+公司名称； 邮件内容：列明公司名称、法定代表人或授权代表人姓名及联系方式； 邮件附件：需采用A4纸幅面，将以上报名材料加盖企业鲜章，按顺序制作成1个PDF格式文件，文件名称与主题一致，复印件扫描无效。 邮箱地址：</w:t>
      </w:r>
      <w:r>
        <w:rPr>
          <w:rFonts w:cs="宋体" w:asciiTheme="minorEastAsia" w:hAnsiTheme="minorEastAsia" w:eastAsiaTheme="minorEastAsia"/>
          <w:bCs/>
          <w:sz w:val="24"/>
        </w:rPr>
        <w:t>3763037635</w:t>
      </w:r>
      <w:r>
        <w:rPr>
          <w:rFonts w:hint="eastAsia" w:cs="宋体" w:asciiTheme="minorEastAsia" w:hAnsiTheme="minorEastAsia" w:eastAsiaTheme="minorEastAsia"/>
          <w:bCs/>
          <w:sz w:val="24"/>
        </w:rPr>
        <w:t>@qq.com。 ②材料审核。15时前提交报名材料，一般在当天以邮件形式告知审核结果，15时后提交的，第二个工作日12时前告知。逾期未收到审核结果的，请主动联系采购机构（0591-38165630-1）。审核未通过的，请在招标文件发放时间内重新提交。 报名时间以获取招标文件费用到账时间为准。</w:t>
      </w:r>
    </w:p>
    <w:p>
      <w:pPr>
        <w:spacing w:line="400" w:lineRule="exact"/>
        <w:ind w:firstLine="481" w:firstLineChars="200"/>
        <w:rPr>
          <w:rFonts w:asciiTheme="minorEastAsia" w:hAnsiTheme="minorEastAsia" w:eastAsiaTheme="minorEastAsia"/>
          <w:sz w:val="24"/>
          <w:szCs w:val="24"/>
        </w:rPr>
      </w:pPr>
      <w:r>
        <w:rPr>
          <w:rFonts w:hint="eastAsia" w:asciiTheme="minorEastAsia" w:hAnsiTheme="minorEastAsia" w:eastAsiaTheme="minorEastAsia"/>
          <w:b/>
          <w:bCs/>
          <w:sz w:val="24"/>
          <w:szCs w:val="24"/>
        </w:rPr>
        <w:t>5、招标文件售价：</w:t>
      </w:r>
      <w:r>
        <w:rPr>
          <w:rFonts w:hint="eastAsia" w:asciiTheme="minorEastAsia" w:hAnsiTheme="minorEastAsia" w:eastAsiaTheme="minorEastAsia"/>
          <w:sz w:val="24"/>
          <w:szCs w:val="24"/>
        </w:rPr>
        <w:t>招标文件售价人民币200元/份（纸质文本或电子文档招标文件）。纸质文本招标文件与电子文档招标文件具有同等法律效力，招标文件售后不退。招标文件电子文档与纸质文本不一致时，以纸质文本为准。</w:t>
      </w:r>
    </w:p>
    <w:p>
      <w:pPr>
        <w:spacing w:line="400" w:lineRule="exact"/>
        <w:ind w:firstLine="481"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6、提交投标文件截止时间：</w:t>
      </w:r>
      <w:r>
        <w:rPr>
          <w:rFonts w:hint="eastAsia" w:cs="宋体" w:asciiTheme="minorEastAsia" w:hAnsiTheme="minorEastAsia" w:eastAsiaTheme="minorEastAsia"/>
          <w:kern w:val="0"/>
          <w:sz w:val="24"/>
          <w:szCs w:val="24"/>
        </w:rPr>
        <w:t>以招标公告时间为准，投标人应在此之前将</w:t>
      </w:r>
      <w:r>
        <w:rPr>
          <w:rFonts w:hint="eastAsia" w:cs="宋体" w:asciiTheme="minorEastAsia" w:hAnsiTheme="minorEastAsia" w:eastAsiaTheme="minorEastAsia"/>
          <w:sz w:val="24"/>
          <w:szCs w:val="24"/>
        </w:rPr>
        <w:t>投标文件提交到福建华真招标代理有限公司（福州市鼓楼区洪山镇洪山园路52号华润万象城（三期）S11楼3层07-13、15办公）开标大厅，逾期收到的或不符合规定的投标文件将被拒收，并将其原封不动地退回投标人。</w:t>
      </w:r>
    </w:p>
    <w:p>
      <w:pPr>
        <w:widowControl/>
        <w:spacing w:line="400" w:lineRule="exact"/>
        <w:ind w:firstLine="481"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7、根据《中华人民共和国政府采购法实施条例》第五十二条规定：</w:t>
      </w:r>
    </w:p>
    <w:p>
      <w:pPr>
        <w:widowControl/>
        <w:spacing w:line="40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7.1采购人或者采购代理机构应当在3个工作日内对投标人依法提出的询问作出答复。</w:t>
      </w:r>
    </w:p>
    <w:p>
      <w:pPr>
        <w:widowControl/>
        <w:spacing w:line="40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7.2投标人提出的询问或者质疑超出采购人对采购代理机构委托授权范围的，采购代理机构应当告知投标人向采购人提出。</w:t>
      </w:r>
    </w:p>
    <w:p>
      <w:pPr>
        <w:widowControl/>
        <w:spacing w:line="400" w:lineRule="exact"/>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7.3政府采购评审专家应当配合采购人或者采购代理机构答复投标人的询问和质疑。</w:t>
      </w:r>
    </w:p>
    <w:p>
      <w:pPr>
        <w:spacing w:line="400" w:lineRule="exact"/>
        <w:ind w:firstLine="481"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8、</w:t>
      </w:r>
      <w:r>
        <w:rPr>
          <w:rFonts w:hint="eastAsia" w:cs="宋体" w:asciiTheme="minorEastAsia" w:hAnsiTheme="minorEastAsia" w:eastAsiaTheme="minorEastAsia"/>
          <w:b/>
          <w:bCs/>
          <w:kern w:val="0"/>
          <w:sz w:val="24"/>
          <w:szCs w:val="24"/>
        </w:rPr>
        <w:t>质疑与投诉</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8.1根据《中华人民共和国政府采购法》第五十二条规定：投标人认为采购文件、采购过程和中标、成交结果使自己的权益受到损害的，可以在知道或者应知其权益受到损害之日起七个工作日内，以书面形式向采购人或采购代理机构提出质疑。根据</w:t>
      </w:r>
      <w:r>
        <w:rPr>
          <w:rFonts w:hint="eastAsia" w:cs="宋体" w:asciiTheme="minorEastAsia" w:hAnsiTheme="minorEastAsia" w:eastAsiaTheme="minorEastAsia"/>
          <w:kern w:val="0"/>
          <w:sz w:val="24"/>
          <w:szCs w:val="24"/>
        </w:rPr>
        <w:t>《中华人民共和国政府采购法实施条例》第五十三条规定，政府采购法第五十二条规定的投标人应知其权益受到损害之日，是指：</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(1)对可以质疑的招标文件提出质疑的，为收到招标文件之日；</w:t>
      </w:r>
    </w:p>
    <w:p>
      <w:pPr>
        <w:widowControl/>
        <w:spacing w:line="400" w:lineRule="exact"/>
        <w:ind w:left="48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(2)对采购过程提出质疑的，为各采购程序环节结束之日；</w:t>
      </w:r>
    </w:p>
    <w:p>
      <w:pPr>
        <w:widowControl/>
        <w:spacing w:line="400" w:lineRule="exact"/>
        <w:ind w:firstLine="48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(3)对成交结果提出质疑的，为成交结果公告期限届满之日。</w:t>
      </w:r>
    </w:p>
    <w:p>
      <w:pPr>
        <w:widowControl/>
        <w:spacing w:line="400" w:lineRule="exact"/>
        <w:ind w:firstLine="48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8.2根据</w:t>
      </w:r>
      <w:r>
        <w:rPr>
          <w:rFonts w:hint="eastAsia" w:cs="宋体" w:asciiTheme="minorEastAsia" w:hAnsiTheme="minorEastAsia" w:eastAsiaTheme="minorEastAsia"/>
          <w:kern w:val="0"/>
          <w:sz w:val="24"/>
          <w:szCs w:val="24"/>
        </w:rPr>
        <w:t>《中华人民共和国政府采购法实施条例》第五十五条规定：投标人质疑、投诉应当有明确的请求和必要的证明材料。投标人投诉的事项不得超出已质疑事项的范围。</w:t>
      </w:r>
    </w:p>
    <w:p>
      <w:pPr>
        <w:spacing w:line="400" w:lineRule="exact"/>
        <w:ind w:firstLine="481"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9、发布公告的媒介</w:t>
      </w:r>
    </w:p>
    <w:p>
      <w:pPr>
        <w:spacing w:line="40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rPr>
        <w:t>与本次投标有关的公告信息同时在</w:t>
      </w:r>
      <w:r>
        <w:rPr>
          <w:rFonts w:hint="eastAsia" w:cs="宋体" w:asciiTheme="minorEastAsia" w:hAnsiTheme="minorEastAsia" w:eastAsiaTheme="minorEastAsia"/>
          <w:bCs/>
          <w:sz w:val="24"/>
          <w:szCs w:val="24"/>
        </w:rPr>
        <w:t>以下</w:t>
      </w:r>
      <w:r>
        <w:rPr>
          <w:rFonts w:hint="eastAsia" w:cs="宋体" w:asciiTheme="minorEastAsia" w:hAnsiTheme="minorEastAsia" w:eastAsiaTheme="minorEastAsia"/>
          <w:sz w:val="24"/>
          <w:szCs w:val="24"/>
        </w:rPr>
        <w:t>媒介</w:t>
      </w:r>
      <w:r>
        <w:rPr>
          <w:rFonts w:hint="eastAsia" w:cs="宋体" w:asciiTheme="minorEastAsia" w:hAnsiTheme="minorEastAsia" w:eastAsiaTheme="minorEastAsia"/>
          <w:bCs/>
          <w:sz w:val="24"/>
          <w:szCs w:val="24"/>
        </w:rPr>
        <w:t>发布，请投标人关注。</w:t>
      </w:r>
    </w:p>
    <w:p>
      <w:pPr>
        <w:spacing w:line="400" w:lineRule="exact"/>
        <w:ind w:firstLine="480" w:firstLineChars="200"/>
        <w:jc w:val="left"/>
        <w:rPr>
          <w:rFonts w:ascii="宋体" w:hAnsi="宋体" w:cs="宋体"/>
          <w:bCs/>
          <w:sz w:val="24"/>
        </w:rPr>
      </w:pPr>
      <w:r>
        <w:rPr>
          <w:rFonts w:hint="eastAsia" w:ascii="宋体" w:hAnsi="宋体" w:cs="宋体"/>
          <w:bCs/>
          <w:sz w:val="24"/>
        </w:rPr>
        <w:t>工采通电子招投标交易平台(https://easy-prt.com/home)</w:t>
      </w:r>
    </w:p>
    <w:p>
      <w:pPr>
        <w:spacing w:line="400" w:lineRule="exact"/>
        <w:ind w:firstLine="480" w:firstLineChars="200"/>
        <w:jc w:val="left"/>
        <w:rPr>
          <w:rFonts w:ascii="宋体" w:hAnsi="宋体" w:cs="宋体"/>
          <w:bCs/>
          <w:sz w:val="24"/>
        </w:rPr>
      </w:pPr>
      <w:r>
        <w:rPr>
          <w:rFonts w:hint="eastAsia" w:ascii="宋体" w:hAnsi="宋体" w:cs="宋体"/>
          <w:bCs/>
          <w:sz w:val="24"/>
        </w:rPr>
        <w:t>鼓楼区政务网(http://glq.fuzhou.gov.cn/)</w:t>
      </w:r>
    </w:p>
    <w:p>
      <w:pPr>
        <w:spacing w:line="400" w:lineRule="exact"/>
        <w:ind w:firstLine="480" w:firstLineChars="200"/>
        <w:jc w:val="left"/>
        <w:rPr>
          <w:rFonts w:ascii="宋体" w:hAnsi="宋体" w:cs="宋体"/>
          <w:bCs/>
          <w:sz w:val="24"/>
        </w:rPr>
      </w:pPr>
      <w:r>
        <w:rPr>
          <w:rFonts w:hint="eastAsia" w:ascii="宋体" w:hAnsi="宋体" w:cs="宋体"/>
          <w:bCs/>
          <w:sz w:val="24"/>
        </w:rPr>
        <w:t>福建华真招标代理有限公司网(http://www.fjhzzb.com/)</w:t>
      </w:r>
    </w:p>
    <w:p>
      <w:pPr>
        <w:spacing w:line="400" w:lineRule="exact"/>
        <w:ind w:firstLine="481"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10、联系方式</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采购人：福州市鼓楼区华大街道办事处</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地  址：福州市鼓楼区华林路19号</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 xml:space="preserve">联系方式：高仁鹏 </w:t>
      </w:r>
      <w:r>
        <w:rPr>
          <w:rFonts w:ascii="宋体" w:hAnsi="宋体" w:cs="宋体"/>
          <w:sz w:val="24"/>
        </w:rPr>
        <w:t>0591-87850020</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招标代理机构：福建华真招标代理有限公司</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地  址：福州市鼓楼区洪山镇洪山园路52号华润万象城（三期）S11楼3层07-13、15办公</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联系方式：石璐婷、陈真、刘苏华 0591-38165630-6（财务：0591-28331909）</w:t>
      </w:r>
    </w:p>
    <w:p>
      <w:pPr>
        <w:adjustRightInd w:val="0"/>
        <w:snapToGrid w:val="0"/>
        <w:spacing w:line="400" w:lineRule="exact"/>
        <w:ind w:firstLine="481"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11、账户信息</w:t>
      </w:r>
    </w:p>
    <w:tbl>
      <w:tblPr>
        <w:tblStyle w:val="5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81"/>
        <w:gridCol w:w="86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000" w:type="pct"/>
            <w:gridSpan w:val="2"/>
            <w:vAlign w:val="center"/>
          </w:tcPr>
          <w:p>
            <w:pPr>
              <w:snapToGrid w:val="0"/>
              <w:spacing w:line="400" w:lineRule="exact"/>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招标代理服务费缴交账户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3" w:type="pct"/>
            <w:vAlign w:val="center"/>
          </w:tcPr>
          <w:p>
            <w:pPr>
              <w:snapToGrid w:val="0"/>
              <w:spacing w:line="400" w:lineRule="exact"/>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开户行</w:t>
            </w:r>
          </w:p>
        </w:tc>
        <w:tc>
          <w:tcPr>
            <w:tcW w:w="4357" w:type="pct"/>
            <w:vAlign w:val="center"/>
          </w:tcPr>
          <w:p>
            <w:pPr>
              <w:snapToGrid w:val="0"/>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招商银行股份有限公司福州仓山支行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3" w:type="pct"/>
            <w:vAlign w:val="center"/>
          </w:tcPr>
          <w:p>
            <w:pPr>
              <w:snapToGrid w:val="0"/>
              <w:spacing w:line="400" w:lineRule="exact"/>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账号</w:t>
            </w:r>
          </w:p>
        </w:tc>
        <w:tc>
          <w:tcPr>
            <w:tcW w:w="4357" w:type="pct"/>
            <w:vAlign w:val="center"/>
          </w:tcPr>
          <w:p>
            <w:pPr>
              <w:snapToGrid w:val="0"/>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5919 0615 1310 806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3" w:type="pct"/>
            <w:vAlign w:val="center"/>
          </w:tcPr>
          <w:p>
            <w:pPr>
              <w:snapToGrid w:val="0"/>
              <w:spacing w:line="400" w:lineRule="exact"/>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开户名</w:t>
            </w:r>
          </w:p>
        </w:tc>
        <w:tc>
          <w:tcPr>
            <w:tcW w:w="4357" w:type="pct"/>
            <w:vAlign w:val="center"/>
          </w:tcPr>
          <w:p>
            <w:pPr>
              <w:snapToGrid w:val="0"/>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福建华真招标代理有限公司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000" w:type="pct"/>
            <w:gridSpan w:val="2"/>
            <w:vAlign w:val="center"/>
          </w:tcPr>
          <w:p>
            <w:pPr>
              <w:snapToGrid w:val="0"/>
              <w:spacing w:line="400" w:lineRule="exact"/>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保证金账户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3" w:type="pct"/>
            <w:vAlign w:val="center"/>
          </w:tcPr>
          <w:p>
            <w:pPr>
              <w:snapToGrid w:val="0"/>
              <w:spacing w:line="400" w:lineRule="exact"/>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开户行</w:t>
            </w:r>
          </w:p>
        </w:tc>
        <w:tc>
          <w:tcPr>
            <w:tcW w:w="4357" w:type="pct"/>
            <w:vAlign w:val="center"/>
          </w:tcPr>
          <w:p>
            <w:pPr>
              <w:snapToGrid w:val="0"/>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兴业银行福州总行大厦营业部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3" w:type="pct"/>
            <w:vAlign w:val="center"/>
          </w:tcPr>
          <w:p>
            <w:pPr>
              <w:snapToGrid w:val="0"/>
              <w:spacing w:line="400" w:lineRule="exact"/>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账号</w:t>
            </w:r>
          </w:p>
        </w:tc>
        <w:tc>
          <w:tcPr>
            <w:tcW w:w="4357" w:type="pct"/>
            <w:vAlign w:val="center"/>
          </w:tcPr>
          <w:p>
            <w:pPr>
              <w:snapToGrid w:val="0"/>
              <w:spacing w:line="400" w:lineRule="exact"/>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117010100100452450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3" w:type="pct"/>
            <w:vAlign w:val="center"/>
          </w:tcPr>
          <w:p>
            <w:pPr>
              <w:snapToGrid w:val="0"/>
              <w:spacing w:line="400" w:lineRule="exact"/>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开户名</w:t>
            </w:r>
          </w:p>
        </w:tc>
        <w:tc>
          <w:tcPr>
            <w:tcW w:w="4357" w:type="pct"/>
            <w:vAlign w:val="center"/>
          </w:tcPr>
          <w:p>
            <w:pPr>
              <w:snapToGrid w:val="0"/>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福建华真招标代理有限公司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000" w:type="pct"/>
            <w:gridSpan w:val="2"/>
            <w:vAlign w:val="center"/>
          </w:tcPr>
          <w:p>
            <w:pPr>
              <w:snapToGrid w:val="0"/>
              <w:spacing w:line="400" w:lineRule="exact"/>
              <w:ind w:firstLine="457" w:firstLineChars="200"/>
              <w:rPr>
                <w:rFonts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注：</w:t>
            </w:r>
          </w:p>
          <w:p>
            <w:pPr>
              <w:snapToGrid w:val="0"/>
              <w:spacing w:line="400" w:lineRule="exact"/>
              <w:ind w:firstLine="457" w:firstLineChars="200"/>
              <w:rPr>
                <w:rFonts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1、投标人认真审查清楚相应账号，投标保证金缴错账号而产生的一切后果由其自行承担。</w:t>
            </w:r>
          </w:p>
          <w:p>
            <w:pPr>
              <w:snapToGrid w:val="0"/>
              <w:spacing w:line="400" w:lineRule="exact"/>
              <w:ind w:firstLine="457" w:firstLineChars="200"/>
              <w:rPr>
                <w:rFonts w:asciiTheme="minorEastAsia" w:hAnsiTheme="minorEastAsia" w:eastAsiaTheme="minorEastAsia" w:cstheme="minorEastAsia"/>
                <w:b/>
                <w:spacing w:val="-6"/>
                <w:sz w:val="24"/>
                <w:szCs w:val="24"/>
              </w:rPr>
            </w:pPr>
            <w:r>
              <w:rPr>
                <w:rFonts w:hint="eastAsia" w:asciiTheme="minorEastAsia" w:hAnsiTheme="minorEastAsia" w:eastAsiaTheme="minorEastAsia" w:cstheme="minorEastAsia"/>
                <w:b/>
                <w:spacing w:val="-6"/>
                <w:sz w:val="24"/>
                <w:szCs w:val="24"/>
              </w:rPr>
              <w:t>2、转账单或电汇单上需注明“FJHZ-GK-2025071投标保证金”。</w:t>
            </w:r>
          </w:p>
          <w:p>
            <w:pPr>
              <w:snapToGrid w:val="0"/>
              <w:spacing w:line="400" w:lineRule="exact"/>
              <w:ind w:firstLine="457" w:firstLineChars="200"/>
              <w:rPr>
                <w:rFonts w:cs="宋体" w:asciiTheme="minorEastAsia" w:hAnsiTheme="minorEastAsia" w:eastAsiaTheme="minorEastAsia"/>
                <w:b/>
                <w:spacing w:val="-6"/>
                <w:sz w:val="24"/>
                <w:szCs w:val="24"/>
              </w:rPr>
            </w:pPr>
            <w:r>
              <w:rPr>
                <w:rFonts w:hint="eastAsia" w:asciiTheme="minorEastAsia" w:hAnsiTheme="minorEastAsia" w:eastAsiaTheme="minorEastAsia" w:cstheme="minorEastAsia"/>
                <w:b/>
                <w:spacing w:val="-6"/>
                <w:sz w:val="24"/>
                <w:szCs w:val="24"/>
              </w:rPr>
              <w:t>3、 投标人若需办理相关投标保证金手续，自行登录我司网站（http://fjhzzb.com/）“下载专区”点击下载，按要求填写盖章后原件送至我司。</w:t>
            </w:r>
          </w:p>
        </w:tc>
      </w:tr>
    </w:tbl>
    <w:p>
      <w:pPr>
        <w:adjustRightInd w:val="0"/>
        <w:snapToGrid w:val="0"/>
        <w:spacing w:line="400" w:lineRule="exact"/>
        <w:ind w:firstLine="481"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注：未中标投标人的投标保证金退还时间为《中标通知书》发出后</w:t>
      </w:r>
      <w:r>
        <w:rPr>
          <w:rFonts w:cs="宋体" w:asciiTheme="minorEastAsia" w:hAnsiTheme="minorEastAsia" w:eastAsiaTheme="minorEastAsia"/>
          <w:b/>
          <w:bCs/>
          <w:sz w:val="24"/>
          <w:szCs w:val="24"/>
        </w:rPr>
        <w:t>5</w:t>
      </w:r>
      <w:r>
        <w:rPr>
          <w:rFonts w:hint="eastAsia" w:cs="宋体" w:asciiTheme="minorEastAsia" w:hAnsiTheme="minorEastAsia" w:eastAsiaTheme="minorEastAsia"/>
          <w:b/>
          <w:bCs/>
          <w:sz w:val="24"/>
          <w:szCs w:val="24"/>
        </w:rPr>
        <w:t>个工作日内，未中标投标人应向福建华真招标代理有限公司提供《退回保证金申请函》及开户许可证复印件并加盖公章，办理退还投标保证金手续，《退回保证金申请函》上必须提供与存入保证金时相同的银行账号和开户行；中标人签订采购合同后在</w:t>
      </w:r>
      <w:r>
        <w:rPr>
          <w:rFonts w:cs="宋体" w:asciiTheme="minorEastAsia" w:hAnsiTheme="minorEastAsia" w:eastAsiaTheme="minorEastAsia"/>
          <w:b/>
          <w:bCs/>
          <w:sz w:val="24"/>
          <w:szCs w:val="24"/>
        </w:rPr>
        <w:t>5</w:t>
      </w:r>
      <w:r>
        <w:rPr>
          <w:rFonts w:hint="eastAsia" w:cs="宋体" w:asciiTheme="minorEastAsia" w:hAnsiTheme="minorEastAsia" w:eastAsiaTheme="minorEastAsia"/>
          <w:b/>
          <w:bCs/>
          <w:sz w:val="24"/>
          <w:szCs w:val="24"/>
        </w:rPr>
        <w:t>个工作日内，持</w:t>
      </w:r>
      <w:r>
        <w:rPr>
          <w:rFonts w:hint="eastAsia" w:cs="宋体" w:asciiTheme="minorEastAsia" w:hAnsiTheme="minorEastAsia" w:eastAsiaTheme="minorEastAsia"/>
          <w:b/>
          <w:sz w:val="24"/>
          <w:szCs w:val="24"/>
        </w:rPr>
        <w:t>采购合同（原件或复印件加盖中标人公章）、《退回保证金申请函》及开户许可证复印件并加盖公章</w:t>
      </w:r>
      <w:r>
        <w:rPr>
          <w:rFonts w:hint="eastAsia" w:cs="宋体" w:asciiTheme="minorEastAsia" w:hAnsiTheme="minorEastAsia" w:eastAsiaTheme="minorEastAsia"/>
          <w:b/>
          <w:bCs/>
          <w:sz w:val="24"/>
          <w:szCs w:val="24"/>
        </w:rPr>
        <w:t>，到福建华真招标代理有限公司退还保证金手续。退回保证金专用邮箱：3621577571@qq.com。</w:t>
      </w:r>
    </w:p>
    <w:p>
      <w:pPr>
        <w:adjustRightInd w:val="0"/>
        <w:snapToGrid w:val="0"/>
        <w:spacing w:line="400" w:lineRule="exact"/>
        <w:ind w:firstLine="481" w:firstLineChars="200"/>
        <w:rPr>
          <w:rFonts w:cs="宋体" w:asciiTheme="minorEastAsia" w:hAnsiTheme="minorEastAsia" w:eastAsiaTheme="minorEastAsia"/>
          <w:b/>
          <w:bCs/>
          <w:sz w:val="24"/>
          <w:szCs w:val="24"/>
        </w:rPr>
      </w:pPr>
    </w:p>
    <w:p>
      <w:pPr>
        <w:adjustRightInd w:val="0"/>
        <w:snapToGrid w:val="0"/>
        <w:spacing w:line="360" w:lineRule="auto"/>
        <w:ind w:firstLine="481" w:firstLineChars="200"/>
        <w:rPr>
          <w:rFonts w:cs="宋体" w:asciiTheme="minorEastAsia" w:hAnsiTheme="minorEastAsia" w:eastAsiaTheme="minorEastAsia"/>
          <w:b/>
          <w:bCs/>
          <w:sz w:val="24"/>
        </w:rPr>
      </w:pPr>
    </w:p>
    <w:p>
      <w:pPr>
        <w:widowControl/>
        <w:jc w:val="left"/>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br w:type="page"/>
      </w:r>
    </w:p>
    <w:p>
      <w:pPr>
        <w:spacing w:line="360" w:lineRule="auto"/>
        <w:jc w:val="center"/>
        <w:rPr>
          <w:rFonts w:cs="宋体" w:asciiTheme="minorEastAsia" w:hAnsiTheme="minorEastAsia" w:eastAsiaTheme="minorEastAsia"/>
          <w:b/>
          <w:bCs/>
          <w:sz w:val="28"/>
        </w:rPr>
      </w:pPr>
      <w:r>
        <w:rPr>
          <w:rFonts w:hint="eastAsia" w:cs="宋体" w:asciiTheme="minorEastAsia" w:hAnsiTheme="minorEastAsia" w:eastAsiaTheme="minorEastAsia"/>
          <w:b/>
          <w:bCs/>
          <w:sz w:val="28"/>
          <w:szCs w:val="24"/>
        </w:rPr>
        <w:t>招标项目</w:t>
      </w:r>
      <w:r>
        <w:rPr>
          <w:rFonts w:hint="eastAsia" w:cs="宋体" w:asciiTheme="minorEastAsia" w:hAnsiTheme="minorEastAsia" w:eastAsiaTheme="minorEastAsia"/>
          <w:b/>
          <w:bCs/>
          <w:sz w:val="28"/>
        </w:rPr>
        <w:t>一览表</w:t>
      </w:r>
    </w:p>
    <w:p>
      <w:pPr>
        <w:spacing w:line="460" w:lineRule="exact"/>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货币单位：人民币元</w:t>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660"/>
        <w:gridCol w:w="2810"/>
        <w:gridCol w:w="1198"/>
        <w:gridCol w:w="129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vAlign w:val="center"/>
          </w:tcPr>
          <w:p>
            <w:pPr>
              <w:overflowPunct w:val="0"/>
              <w:autoSpaceDE w:val="0"/>
              <w:autoSpaceDN w:val="0"/>
              <w:adjustRightInd w:val="0"/>
              <w:spacing w:line="460" w:lineRule="exact"/>
              <w:jc w:val="center"/>
              <w:textAlignment w:val="baseline"/>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合同包</w:t>
            </w:r>
          </w:p>
        </w:tc>
        <w:tc>
          <w:tcPr>
            <w:tcW w:w="1335" w:type="pct"/>
            <w:vAlign w:val="center"/>
          </w:tcPr>
          <w:p>
            <w:pPr>
              <w:overflowPunct w:val="0"/>
              <w:autoSpaceDE w:val="0"/>
              <w:autoSpaceDN w:val="0"/>
              <w:adjustRightInd w:val="0"/>
              <w:spacing w:line="460" w:lineRule="exact"/>
              <w:jc w:val="center"/>
              <w:textAlignment w:val="baseline"/>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项目名称</w:t>
            </w:r>
          </w:p>
        </w:tc>
        <w:tc>
          <w:tcPr>
            <w:tcW w:w="1410" w:type="pct"/>
            <w:vAlign w:val="center"/>
          </w:tcPr>
          <w:p>
            <w:pPr>
              <w:spacing w:line="460" w:lineRule="exact"/>
              <w:jc w:val="center"/>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技术参数内容</w:t>
            </w:r>
          </w:p>
        </w:tc>
        <w:tc>
          <w:tcPr>
            <w:tcW w:w="601" w:type="pct"/>
            <w:vAlign w:val="center"/>
          </w:tcPr>
          <w:p>
            <w:pPr>
              <w:spacing w:line="4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服务期限</w:t>
            </w:r>
          </w:p>
        </w:tc>
        <w:tc>
          <w:tcPr>
            <w:tcW w:w="650" w:type="pct"/>
            <w:vAlign w:val="center"/>
          </w:tcPr>
          <w:p>
            <w:pPr>
              <w:spacing w:line="460" w:lineRule="exact"/>
              <w:jc w:val="center"/>
              <w:rPr>
                <w:rFonts w:asciiTheme="minorEastAsia" w:hAnsiTheme="minorEastAsia" w:eastAsiaTheme="minorEastAsia"/>
                <w:sz w:val="24"/>
              </w:rPr>
            </w:pPr>
            <w:r>
              <w:rPr>
                <w:rFonts w:hint="eastAsia" w:asciiTheme="minorEastAsia" w:hAnsiTheme="minorEastAsia" w:eastAsiaTheme="minorEastAsia"/>
                <w:sz w:val="24"/>
              </w:rPr>
              <w:t>预算</w:t>
            </w:r>
          </w:p>
        </w:tc>
        <w:tc>
          <w:tcPr>
            <w:tcW w:w="530" w:type="pct"/>
            <w:vAlign w:val="center"/>
          </w:tcPr>
          <w:p>
            <w:pPr>
              <w:spacing w:line="460" w:lineRule="exact"/>
              <w:jc w:val="center"/>
              <w:rPr>
                <w:rFonts w:cs="Courier New" w:asciiTheme="minorEastAsia" w:hAnsiTheme="minorEastAsia" w:eastAsiaTheme="minorEastAsia"/>
                <w:bCs/>
                <w:kern w:val="0"/>
                <w:sz w:val="24"/>
              </w:rPr>
            </w:pPr>
            <w:r>
              <w:rPr>
                <w:rFonts w:hint="eastAsia" w:asciiTheme="minorEastAsia" w:hAnsiTheme="minorEastAsia" w:eastAsiaTheme="minorEastAsia"/>
                <w:sz w:val="24"/>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73" w:type="pct"/>
            <w:vAlign w:val="center"/>
          </w:tcPr>
          <w:p>
            <w:pPr>
              <w:spacing w:line="460" w:lineRule="exact"/>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rPr>
              <w:t>1</w:t>
            </w:r>
          </w:p>
        </w:tc>
        <w:tc>
          <w:tcPr>
            <w:tcW w:w="1335" w:type="pct"/>
            <w:vAlign w:val="center"/>
          </w:tcPr>
          <w:p>
            <w:pPr>
              <w:spacing w:line="4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福州市鼓楼区华大街道外环境“四害”消杀服务项目</w:t>
            </w:r>
          </w:p>
        </w:tc>
        <w:tc>
          <w:tcPr>
            <w:tcW w:w="1410" w:type="pct"/>
            <w:vAlign w:val="center"/>
          </w:tcPr>
          <w:p>
            <w:pPr>
              <w:spacing w:line="46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具体详见招标文件第三章“招标内容及要求”</w:t>
            </w:r>
          </w:p>
        </w:tc>
        <w:tc>
          <w:tcPr>
            <w:tcW w:w="601" w:type="pct"/>
            <w:vAlign w:val="center"/>
          </w:tcPr>
          <w:p>
            <w:pPr>
              <w:pStyle w:val="416"/>
              <w:spacing w:line="360" w:lineRule="exact"/>
              <w:ind w:firstLine="0" w:firstLineChars="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1年</w:t>
            </w:r>
          </w:p>
        </w:tc>
        <w:tc>
          <w:tcPr>
            <w:tcW w:w="650" w:type="pct"/>
            <w:vAlign w:val="center"/>
          </w:tcPr>
          <w:p>
            <w:pPr>
              <w:pStyle w:val="416"/>
              <w:spacing w:line="360" w:lineRule="exact"/>
              <w:ind w:firstLine="0" w:firstLineChars="0"/>
              <w:jc w:val="center"/>
              <w:rPr>
                <w:rFonts w:cs="宋体" w:asciiTheme="minorEastAsia" w:hAnsiTheme="minorEastAsia" w:eastAsiaTheme="minorEastAsia"/>
                <w:sz w:val="24"/>
                <w:szCs w:val="24"/>
              </w:rPr>
            </w:pPr>
            <w:r>
              <w:rPr>
                <w:rFonts w:ascii="宋体" w:hAnsi="宋体" w:cs="宋体"/>
                <w:sz w:val="24"/>
                <w:szCs w:val="24"/>
              </w:rPr>
              <w:t>165000</w:t>
            </w:r>
          </w:p>
        </w:tc>
        <w:tc>
          <w:tcPr>
            <w:tcW w:w="530" w:type="pct"/>
            <w:vAlign w:val="center"/>
          </w:tcPr>
          <w:p>
            <w:pPr>
              <w:pStyle w:val="416"/>
              <w:spacing w:line="360" w:lineRule="exact"/>
              <w:ind w:firstLine="0" w:firstLineChars="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3300</w:t>
            </w:r>
          </w:p>
        </w:tc>
      </w:tr>
    </w:tbl>
    <w:p>
      <w:pPr>
        <w:tabs>
          <w:tab w:val="left" w:pos="2852"/>
        </w:tabs>
        <w:adjustRightInd w:val="0"/>
        <w:snapToGrid w:val="0"/>
        <w:spacing w:line="460" w:lineRule="exact"/>
        <w:rPr>
          <w:rFonts w:cs="宋体" w:asciiTheme="minorEastAsia" w:hAnsiTheme="minorEastAsia" w:eastAsiaTheme="minorEastAsia"/>
          <w:b/>
          <w:bCs/>
          <w:sz w:val="24"/>
          <w:szCs w:val="24"/>
        </w:rPr>
      </w:pPr>
    </w:p>
    <w:p>
      <w:pPr>
        <w:tabs>
          <w:tab w:val="left" w:pos="2852"/>
        </w:tabs>
        <w:adjustRightInd w:val="0"/>
        <w:snapToGrid w:val="0"/>
        <w:spacing w:line="460" w:lineRule="exac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2852"/>
        </w:tabs>
        <w:adjustRightInd w:val="0"/>
        <w:snapToGrid w:val="0"/>
        <w:spacing w:line="460" w:lineRule="exac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szCs w:val="24"/>
        </w:rPr>
        <w:t>投标人须按合同包报价，对同一合同包内所有品目号内容报价时必须完整，包含本项目履约过程中的一切费用</w:t>
      </w:r>
      <w:r>
        <w:rPr>
          <w:rFonts w:hint="eastAsia" w:cs="宋体" w:asciiTheme="minorEastAsia" w:hAnsiTheme="minorEastAsia" w:eastAsiaTheme="minorEastAsia"/>
          <w:sz w:val="24"/>
        </w:rPr>
        <w:t>。</w:t>
      </w:r>
    </w:p>
    <w:p>
      <w:pPr>
        <w:tabs>
          <w:tab w:val="left" w:pos="2852"/>
        </w:tabs>
        <w:adjustRightInd w:val="0"/>
        <w:snapToGrid w:val="0"/>
        <w:spacing w:line="460" w:lineRule="exact"/>
        <w:rPr>
          <w:rFonts w:cs="宋体" w:asciiTheme="minorEastAsia" w:hAnsiTheme="minorEastAsia" w:eastAsiaTheme="minorEastAsia"/>
          <w:sz w:val="24"/>
        </w:rPr>
      </w:pPr>
      <w:r>
        <w:rPr>
          <w:rFonts w:hint="eastAsia" w:cs="宋体" w:asciiTheme="minorEastAsia" w:hAnsiTheme="minorEastAsia" w:eastAsiaTheme="minorEastAsia"/>
          <w:sz w:val="24"/>
        </w:rPr>
        <w:t>2、投标人对本招标文件中提出的技术参数及要求应在投标文件中逐项答复，说明是否能满足要求，该说明可包括图片、说明书、技术特征、功能列表等，以便评标委员会成员能对投标人所提供的产品作出准确判断和评估。</w:t>
      </w:r>
    </w:p>
    <w:p>
      <w:pPr>
        <w:tabs>
          <w:tab w:val="left" w:pos="2852"/>
        </w:tabs>
        <w:adjustRightInd w:val="0"/>
        <w:snapToGrid w:val="0"/>
        <w:spacing w:line="460" w:lineRule="exact"/>
        <w:rPr>
          <w:rFonts w:cs="宋体" w:asciiTheme="minorEastAsia" w:hAnsiTheme="minorEastAsia" w:eastAsiaTheme="minorEastAsia"/>
          <w:sz w:val="24"/>
        </w:rPr>
      </w:pPr>
      <w:r>
        <w:rPr>
          <w:rFonts w:hint="eastAsia" w:cs="宋体" w:asciiTheme="minorEastAsia" w:hAnsiTheme="minorEastAsia" w:eastAsiaTheme="minorEastAsia"/>
          <w:sz w:val="24"/>
        </w:rPr>
        <w:t>3、中标人不得转包他人，若发现转包，采购人有权追究相应法律责任。</w:t>
      </w:r>
    </w:p>
    <w:p>
      <w:pPr>
        <w:tabs>
          <w:tab w:val="left" w:pos="2852"/>
        </w:tabs>
        <w:adjustRightInd w:val="0"/>
        <w:snapToGrid w:val="0"/>
        <w:spacing w:line="460" w:lineRule="exact"/>
        <w:rPr>
          <w:rFonts w:cs="宋体" w:asciiTheme="minorEastAsia" w:hAnsiTheme="minorEastAsia" w:eastAsiaTheme="minorEastAsia"/>
          <w:sz w:val="24"/>
        </w:rPr>
      </w:pPr>
      <w:r>
        <w:rPr>
          <w:rFonts w:hint="eastAsia" w:cs="宋体" w:asciiTheme="minorEastAsia" w:hAnsiTheme="minorEastAsia" w:eastAsiaTheme="minorEastAsia"/>
          <w:sz w:val="24"/>
        </w:rPr>
        <w:t>4、投标人必须由单位负责人或单位负责人正式授权的投标人代表参加开标会，随时接受评标委员会询问，并予以解答。</w:t>
      </w:r>
    </w:p>
    <w:p>
      <w:pPr>
        <w:tabs>
          <w:tab w:val="left" w:pos="2852"/>
        </w:tabs>
        <w:adjustRightInd w:val="0"/>
        <w:snapToGrid w:val="0"/>
        <w:spacing w:line="460" w:lineRule="exact"/>
        <w:rPr>
          <w:rFonts w:cs="宋体" w:asciiTheme="minorEastAsia" w:hAnsiTheme="minorEastAsia" w:eastAsiaTheme="minorEastAsia"/>
          <w:sz w:val="24"/>
        </w:rPr>
      </w:pPr>
      <w:r>
        <w:rPr>
          <w:rFonts w:hint="eastAsia" w:cs="宋体" w:asciiTheme="minorEastAsia" w:hAnsiTheme="minorEastAsia" w:eastAsiaTheme="minorEastAsia"/>
          <w:sz w:val="24"/>
        </w:rPr>
        <w:t>5、中标人须向我司提供如下材料：</w:t>
      </w:r>
    </w:p>
    <w:p>
      <w:pPr>
        <w:tabs>
          <w:tab w:val="left" w:pos="2852"/>
        </w:tabs>
        <w:adjustRightInd w:val="0"/>
        <w:snapToGrid w:val="0"/>
        <w:spacing w:line="460" w:lineRule="exact"/>
        <w:rPr>
          <w:rFonts w:cs="宋体" w:asciiTheme="minorEastAsia" w:hAnsiTheme="minorEastAsia" w:eastAsiaTheme="minorEastAsia"/>
          <w:b/>
          <w:bCs/>
          <w:sz w:val="24"/>
        </w:rPr>
      </w:pPr>
      <w:r>
        <w:rPr>
          <w:rFonts w:hint="eastAsia" w:cs="宋体" w:asciiTheme="minorEastAsia" w:hAnsiTheme="minorEastAsia" w:eastAsiaTheme="minorEastAsia"/>
          <w:sz w:val="24"/>
        </w:rPr>
        <w:t>《合同》原件壹份。</w:t>
      </w:r>
    </w:p>
    <w:p>
      <w:pPr>
        <w:adjustRightInd w:val="0"/>
        <w:snapToGrid w:val="0"/>
        <w:spacing w:line="360" w:lineRule="auto"/>
        <w:ind w:firstLine="481" w:firstLineChars="200"/>
        <w:rPr>
          <w:rFonts w:cs="宋体" w:asciiTheme="minorEastAsia" w:hAnsiTheme="minorEastAsia" w:eastAsiaTheme="minorEastAsia"/>
          <w:b/>
          <w:bCs/>
          <w:sz w:val="24"/>
        </w:rPr>
      </w:pPr>
    </w:p>
    <w:p>
      <w:pPr>
        <w:adjustRightInd w:val="0"/>
        <w:snapToGrid w:val="0"/>
        <w:spacing w:line="360" w:lineRule="auto"/>
        <w:ind w:firstLine="481" w:firstLineChars="200"/>
        <w:rPr>
          <w:rFonts w:cs="宋体" w:asciiTheme="minorEastAsia" w:hAnsiTheme="minorEastAsia" w:eastAsiaTheme="minorEastAsia"/>
          <w:b/>
          <w:bCs/>
          <w:sz w:val="24"/>
        </w:rPr>
      </w:pPr>
    </w:p>
    <w:p>
      <w:pPr>
        <w:widowControl/>
        <w:jc w:val="left"/>
        <w:rPr>
          <w:rFonts w:cs="宋体" w:asciiTheme="minorEastAsia" w:hAnsiTheme="minorEastAsia" w:eastAsiaTheme="minorEastAsia"/>
          <w:b/>
          <w:sz w:val="32"/>
          <w:szCs w:val="32"/>
        </w:rPr>
      </w:pPr>
      <w:bookmarkStart w:id="3" w:name="_Toc421107717"/>
      <w:bookmarkStart w:id="4" w:name="_Toc3440"/>
      <w:r>
        <w:rPr>
          <w:rFonts w:cs="宋体" w:asciiTheme="minorEastAsia" w:hAnsiTheme="minorEastAsia" w:eastAsiaTheme="minorEastAsia"/>
          <w:b/>
          <w:sz w:val="32"/>
          <w:szCs w:val="32"/>
        </w:rPr>
        <w:br w:type="page"/>
      </w:r>
    </w:p>
    <w:p>
      <w:pPr>
        <w:tabs>
          <w:tab w:val="left" w:pos="6930"/>
        </w:tabs>
        <w:spacing w:line="360" w:lineRule="auto"/>
        <w:ind w:right="62"/>
        <w:jc w:val="center"/>
        <w:outlineLvl w:val="0"/>
        <w:rPr>
          <w:rFonts w:cs="宋体" w:asciiTheme="minorEastAsia" w:hAnsiTheme="minorEastAsia" w:eastAsiaTheme="minorEastAsia"/>
          <w:sz w:val="32"/>
          <w:szCs w:val="32"/>
        </w:rPr>
      </w:pPr>
      <w:bookmarkStart w:id="5" w:name="_Toc195709370"/>
      <w:r>
        <w:rPr>
          <w:rFonts w:hint="eastAsia" w:cs="宋体" w:asciiTheme="minorEastAsia" w:hAnsiTheme="minorEastAsia" w:eastAsiaTheme="minorEastAsia"/>
          <w:b/>
          <w:sz w:val="32"/>
          <w:szCs w:val="32"/>
        </w:rPr>
        <w:t>第二章投标人须知</w:t>
      </w:r>
      <w:bookmarkEnd w:id="3"/>
      <w:bookmarkEnd w:id="4"/>
      <w:bookmarkEnd w:id="5"/>
    </w:p>
    <w:p>
      <w:pPr>
        <w:spacing w:line="360" w:lineRule="auto"/>
        <w:jc w:val="center"/>
        <w:outlineLvl w:val="1"/>
        <w:rPr>
          <w:rFonts w:cs="宋体" w:asciiTheme="minorEastAsia" w:hAnsiTheme="minorEastAsia" w:eastAsiaTheme="minorEastAsia"/>
          <w:b/>
          <w:sz w:val="28"/>
        </w:rPr>
      </w:pPr>
      <w:bookmarkStart w:id="6" w:name="_Toc195709371"/>
      <w:bookmarkStart w:id="7" w:name="_Toc421107718"/>
      <w:bookmarkStart w:id="8" w:name="_Toc12838"/>
      <w:r>
        <w:rPr>
          <w:rFonts w:hint="eastAsia" w:cs="宋体" w:asciiTheme="minorEastAsia" w:hAnsiTheme="minorEastAsia" w:eastAsiaTheme="minorEastAsia"/>
          <w:b/>
          <w:sz w:val="28"/>
        </w:rPr>
        <w:t>投标人须知前附表</w:t>
      </w:r>
      <w:bookmarkEnd w:id="6"/>
      <w:bookmarkEnd w:id="7"/>
      <w:bookmarkEnd w:id="8"/>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本须知前附表的内容与《投标人须知》中内容如果有矛盾的话，应以本须知前附表为准。</w:t>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9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项号</w:t>
            </w:r>
          </w:p>
        </w:tc>
        <w:tc>
          <w:tcPr>
            <w:tcW w:w="4707"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707" w:type="pct"/>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项目名称：福州市鼓楼区华大街道外环境“四害”消杀服务项目</w:t>
            </w:r>
          </w:p>
          <w:p>
            <w:pPr>
              <w:pStyle w:val="31"/>
              <w:spacing w:line="400" w:lineRule="exact"/>
              <w:ind w:left="1217" w:hanging="1216" w:hangingChars="50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采购人名称：福州市鼓楼区华大街道办事处</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项目内容：详见《招标项目一览表》及《第三章招标内容及要求》</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项目编号：FJHZ-GK-2025071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707" w:type="pct"/>
            <w:vAlign w:val="center"/>
          </w:tcPr>
          <w:p>
            <w:pPr>
              <w:autoSpaceDE w:val="0"/>
              <w:autoSpaceDN w:val="0"/>
              <w:adjustRightInd w:val="0"/>
              <w:snapToGrid w:val="0"/>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资格标准：</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（1）投标人须提供合格有效的营业执照副本复印件。</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（2）财务状况报告：提供2023或2024年度的审计报告(包括资产负债表、利润表、现金流量表)；或开户行出具的资信证明（附开户许可证或基本存款账户信息）。</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（3）依法缴纳税收的相关材料：提供投标截止时间前六个月（不含投标截止时间当月）内任意一个月的依法缴纳税收的凭据。</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（4）依法缴纳社会保障资金的相关材料：提供投标截止时间前六个月（不含投标截止时间当月）内任意一个月的依法缴纳社会保障资金的凭据。</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（5）提供参加政府采购活动前3年内在经营活动中没有重大违法记录的书面声明。</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（6）由于2018年8月1日起检察机关不再提供无行贿犯罪告知函查询，如投标人无法开具无行贿犯罪告知函的，投标人必须提供无行贿犯罪说明或承诺函(格式自拟）。</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（7）信用信息查询：①信用记录查询的截止时点：信用记录查询的截止时点为本项目投标截止当日。②信用记录查询渠道：信用中国（www.creditchina.gov.cn）、中国政府采购网（www.ccgp.gov.cn）。 ③信用记录的查询：由评标委员会通过上述网站查询并打印投标人的信用记录。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（8）具有履行合同所必需设备和专业技术能力的声明函。</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（9）本项目不允许联合体投标。</w:t>
            </w:r>
          </w:p>
          <w:p>
            <w:pPr>
              <w:autoSpaceDE w:val="0"/>
              <w:autoSpaceDN w:val="0"/>
              <w:adjustRightInd w:val="0"/>
              <w:spacing w:line="400" w:lineRule="exact"/>
              <w:ind w:firstLine="480" w:firstLineChars="200"/>
              <w:rPr>
                <w:rFonts w:ascii="宋体" w:hAnsi="宋体" w:cs="宋体"/>
                <w:sz w:val="24"/>
                <w:szCs w:val="24"/>
              </w:rPr>
            </w:pPr>
            <w:r>
              <w:rPr>
                <w:rFonts w:hint="eastAsia" w:ascii="宋体" w:hAnsi="宋体" w:cs="宋体"/>
                <w:sz w:val="24"/>
                <w:szCs w:val="24"/>
              </w:rPr>
              <w:t>（10）特定条件：根据《福建省财政厅关于印发推行政府采购供应商资格承诺制指导意见的通知》（闽财购〔2024〕6号），参加本项目投标的投标人提供《政府采购供应商资格承诺函》（格式见附件）的，在投标（响应）文件中可不提供《中华人民共和国政府采购法实施条例》第十七条第一款规定的资格条件证明材料（证明材料指法人或者其他组织的营业执照等证明文件、财务状况报告证明文件、依法缴纳税收和社会保障资金的证明文件、具备履行合同所必需设备和专业技术能力的声明函、参加政府采购活动前3年内在经营活动中没有重大违法记录的书面声明），投标人可自行选择是否提供本承诺函，若不提供本承诺函的，应按招标文件要求提供相应的证明材料。投标人应对其承诺内容的真实性、合法性、有效性负责，不得作出虚假承诺，承诺不实的，属于提供虚假材料谋取中标、成交，依法追究相关的法律责任。</w:t>
            </w:r>
          </w:p>
          <w:p>
            <w:pPr>
              <w:autoSpaceDE w:val="0"/>
              <w:autoSpaceDN w:val="0"/>
              <w:adjustRightInd w:val="0"/>
              <w:spacing w:line="400" w:lineRule="exact"/>
              <w:ind w:firstLine="480" w:firstLineChars="200"/>
              <w:rPr>
                <w:rFonts w:ascii="宋体" w:hAnsi="宋体" w:cs="宋体"/>
                <w:sz w:val="24"/>
                <w:szCs w:val="24"/>
              </w:rPr>
            </w:pPr>
            <w:r>
              <w:rPr>
                <w:rFonts w:hint="eastAsia" w:ascii="宋体" w:hAnsi="宋体" w:cs="宋体"/>
                <w:sz w:val="24"/>
                <w:szCs w:val="24"/>
              </w:rPr>
              <w:t>（11）专门面向中小企业采购：①本采购包专门面向符合财政部、工信部文件（财库〔2020〕46号）规定的中、小、微型企业。投标人须提供《中小企业声明函（工程、服务）》。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残疾人福利性单位声明函》。※投标人应按照招标文件第五章规定提供。注：享受扶持政策获得政府采购合同的，小微企业不得将合同分包给大中型企业，中型企业不得将合同分包给大型企业。（本项目为服务类采购项目，采购标的对应的中小企业划分标准所属行业为“其他未列明行业”。）</w:t>
            </w:r>
          </w:p>
          <w:p>
            <w:pPr>
              <w:autoSpaceDE w:val="0"/>
              <w:autoSpaceDN w:val="0"/>
              <w:adjustRightInd w:val="0"/>
              <w:spacing w:line="400" w:lineRule="exact"/>
              <w:ind w:firstLine="480" w:firstLineChars="200"/>
              <w:rPr>
                <w:rFonts w:ascii="宋体" w:hAnsi="宋体" w:cs="宋体"/>
                <w:sz w:val="24"/>
                <w:szCs w:val="24"/>
              </w:rPr>
            </w:pPr>
            <w:r>
              <w:rPr>
                <w:rFonts w:hint="eastAsia" w:ascii="宋体" w:hAnsi="宋体" w:cs="宋体"/>
                <w:sz w:val="24"/>
                <w:szCs w:val="24"/>
              </w:rPr>
              <w:t>（12）根据《福州市除四害条例》和《福州市爱国卫生运动委员会办公室关于调整除四害专业服务组织备案权限的通知》（榕爱卫办〔2023〕13号）规定，投标人应符合以下任意一项要求：</w:t>
            </w:r>
          </w:p>
          <w:p>
            <w:pPr>
              <w:autoSpaceDE w:val="0"/>
              <w:autoSpaceDN w:val="0"/>
              <w:adjustRightInd w:val="0"/>
              <w:spacing w:line="400" w:lineRule="exact"/>
              <w:ind w:firstLine="480" w:firstLineChars="200"/>
              <w:rPr>
                <w:rFonts w:ascii="宋体" w:hAnsi="宋体" w:cs="宋体"/>
                <w:sz w:val="24"/>
                <w:szCs w:val="24"/>
              </w:rPr>
            </w:pPr>
            <w:r>
              <w:rPr>
                <w:rFonts w:hint="eastAsia" w:ascii="宋体" w:hAnsi="宋体" w:cs="宋体"/>
                <w:sz w:val="24"/>
                <w:szCs w:val="24"/>
              </w:rPr>
              <w:t>①投标人已在爱卫办进行有害生物防制服务机构备案的，须提供相关网站的备案公示截图证明材料。</w:t>
            </w:r>
          </w:p>
          <w:p>
            <w:pPr>
              <w:autoSpaceDE w:val="0"/>
              <w:autoSpaceDN w:val="0"/>
              <w:adjustRightInd w:val="0"/>
              <w:spacing w:line="400" w:lineRule="exact"/>
              <w:ind w:firstLine="480" w:firstLineChars="200"/>
              <w:rPr>
                <w:rFonts w:ascii="宋体" w:hAnsi="宋体" w:cs="宋体"/>
                <w:sz w:val="24"/>
                <w:szCs w:val="24"/>
              </w:rPr>
            </w:pPr>
            <w:r>
              <w:rPr>
                <w:rFonts w:hint="eastAsia" w:ascii="宋体" w:hAnsi="宋体" w:cs="宋体"/>
                <w:sz w:val="24"/>
                <w:szCs w:val="24"/>
              </w:rPr>
              <w:t>②未在爱卫办进行有害生物防制服务机构备案的，应承诺中标后合同签订前在爱卫办登记备案。须提供承诺函且承诺的内容满足上述要求。</w:t>
            </w:r>
          </w:p>
          <w:p>
            <w:pPr>
              <w:autoSpaceDE w:val="0"/>
              <w:autoSpaceDN w:val="0"/>
              <w:adjustRightInd w:val="0"/>
              <w:snapToGrid w:val="0"/>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注：投标人必须提交以上文件或证明的复印件，所有文件应是最新（有效）、清晰并加盖投标人公章，复印件应注明“与原件一致”，否则资格审查不合格。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707" w:type="pct"/>
            <w:vAlign w:val="center"/>
          </w:tcPr>
          <w:p>
            <w:pPr>
              <w:autoSpaceDE w:val="0"/>
              <w:autoSpaceDN w:val="0"/>
              <w:adjustRightInd w:val="0"/>
              <w:snapToGrid w:val="0"/>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投标文件有效期：投标文件提交截止时间起</w:t>
            </w:r>
            <w:r>
              <w:rPr>
                <w:rFonts w:hint="eastAsia" w:asciiTheme="minorEastAsia" w:hAnsiTheme="minorEastAsia" w:eastAsiaTheme="minorEastAsia" w:cstheme="minorEastAsia"/>
                <w:sz w:val="24"/>
                <w:szCs w:val="24"/>
                <w:u w:val="single"/>
              </w:rPr>
              <w:t>90</w:t>
            </w:r>
            <w:r>
              <w:rPr>
                <w:rFonts w:hint="eastAsia" w:asciiTheme="minorEastAsia" w:hAnsiTheme="minorEastAsia" w:eastAsiaTheme="minorEastAsia" w:cstheme="minorEastAsia"/>
                <w:sz w:val="24"/>
                <w:szCs w:val="24"/>
              </w:rPr>
              <w:t>个日历日。</w:t>
            </w:r>
          </w:p>
          <w:p>
            <w:pPr>
              <w:autoSpaceDE w:val="0"/>
              <w:autoSpaceDN w:val="0"/>
              <w:adjustRightInd w:val="0"/>
              <w:snapToGrid w:val="0"/>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707" w:type="pct"/>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投标文件提交地址：福州市鼓楼区洪山镇洪山园路52号华润万象城（三期）S11楼3层07-13、15办公</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接收人：福建华真招标代理有限公司工作人员</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投标文件提交截止时间：以招标公告时间为准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4707" w:type="pct"/>
            <w:vAlign w:val="center"/>
          </w:tcPr>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保证金缴交：</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证金须以公司名义，以银行转账或电汇等非现金形式提交（不直接接受现金、现金存款方式）。保证金转账单或电汇单上必须注明所投标的项目编号，并在投标文件中附上复印清晰的保证金转账单或电汇底单复印件。</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(2)保证金：</w:t>
            </w:r>
            <w:r>
              <w:rPr>
                <w:rFonts w:hint="eastAsia" w:asciiTheme="minorEastAsia" w:hAnsiTheme="minorEastAsia" w:eastAsiaTheme="minorEastAsia" w:cstheme="minorEastAsia"/>
                <w:b/>
                <w:sz w:val="24"/>
                <w:szCs w:val="24"/>
              </w:rPr>
              <w:t>￥3300元（大写：叁仟叁佰元整）</w:t>
            </w:r>
            <w:r>
              <w:rPr>
                <w:rFonts w:hint="eastAsia" w:asciiTheme="minorEastAsia" w:hAnsiTheme="minorEastAsia" w:eastAsiaTheme="minorEastAsia" w:cstheme="minorEastAsia"/>
                <w:sz w:val="24"/>
                <w:szCs w:val="24"/>
              </w:rPr>
              <w:t>；投标人应在投标截止时间前一工作日下午</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:00之前到达本招标文件所提供的指定账户上。</w:t>
            </w:r>
          </w:p>
          <w:p>
            <w:pPr>
              <w:spacing w:line="40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(3)若汇款人名称与投标人不一致或未在规定时间内到达指定账户或采用现金、现金存款方式缴交的，投标文件将被拒收，并将其原封不动地退回投标人。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4707" w:type="pct"/>
            <w:vAlign w:val="center"/>
          </w:tcPr>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评标标准和方法：本项目</w:t>
            </w:r>
            <w:r>
              <w:rPr>
                <w:rFonts w:hint="eastAsia" w:asciiTheme="minorEastAsia" w:hAnsiTheme="minorEastAsia" w:eastAsiaTheme="minorEastAsia" w:cstheme="minorEastAsia"/>
                <w:b/>
                <w:bCs/>
                <w:sz w:val="24"/>
                <w:szCs w:val="24"/>
              </w:rPr>
              <w:t>采用综合评分法推荐一名中标候选人，具体详见附件A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4707" w:type="pct"/>
            <w:vAlign w:val="center"/>
          </w:tcPr>
          <w:p>
            <w:pPr>
              <w:spacing w:line="400" w:lineRule="exact"/>
              <w:ind w:firstLine="468" w:firstLineChars="195"/>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评标委员会对投标人所提供的文件仅负审核的责任。即使投标人所提交的文件通过了审核，在投标过程中乃至确定中标人后，如发现投标人所提供的文件不合法或不真实，仍可废除中标人中标资格并追究中标人的法律责任。采购人有权在投标过程中或签订合同之前（或合同履行过程中）对招标文件中的各种资料、说明、承诺的真实性进行核查，投标人应无条件配合采购人的核查工作，不得托词拒绝核查或隐瞒真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4707" w:type="pct"/>
            <w:vAlign w:val="center"/>
          </w:tcPr>
          <w:p>
            <w:pPr>
              <w:spacing w:line="4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本项目预算价为合同包一：</w:t>
            </w:r>
            <w:r>
              <w:rPr>
                <w:rFonts w:hint="eastAsia" w:asciiTheme="minorEastAsia" w:hAnsiTheme="minorEastAsia" w:eastAsiaTheme="minorEastAsia" w:cstheme="minorEastAsia"/>
                <w:b/>
                <w:bCs/>
                <w:sz w:val="24"/>
                <w:szCs w:val="24"/>
              </w:rPr>
              <w:t>￥</w:t>
            </w:r>
            <w:r>
              <w:rPr>
                <w:rFonts w:asciiTheme="minorEastAsia" w:hAnsiTheme="minorEastAsia" w:eastAsiaTheme="minorEastAsia" w:cstheme="minorEastAsia"/>
                <w:b/>
                <w:bCs/>
                <w:sz w:val="24"/>
                <w:szCs w:val="24"/>
              </w:rPr>
              <w:t>165000</w:t>
            </w:r>
            <w:r>
              <w:rPr>
                <w:rFonts w:hint="eastAsia" w:asciiTheme="minorEastAsia" w:hAnsiTheme="minorEastAsia" w:eastAsiaTheme="minorEastAsia" w:cstheme="minorEastAsia"/>
                <w:b/>
                <w:bCs/>
                <w:sz w:val="24"/>
                <w:szCs w:val="24"/>
              </w:rPr>
              <w:t>元</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大写：壹拾陆万伍仟元整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投标人</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bCs/>
                <w:sz w:val="24"/>
                <w:szCs w:val="24"/>
              </w:rPr>
              <w:t>报价</w:t>
            </w:r>
            <w:r>
              <w:rPr>
                <w:rFonts w:hint="eastAsia" w:asciiTheme="minorEastAsia" w:hAnsiTheme="minorEastAsia" w:eastAsiaTheme="minorEastAsia" w:cstheme="minorEastAsia"/>
                <w:sz w:val="24"/>
                <w:szCs w:val="24"/>
              </w:rPr>
              <w:t>超过品目号预算价及预算总价视为投标无效</w:t>
            </w:r>
            <w:r>
              <w:rPr>
                <w:rFonts w:hint="eastAsia" w:asciiTheme="minorEastAsia" w:hAnsiTheme="minorEastAsia" w:eastAsiaTheme="minorEastAsia" w:cstheme="minorEastAsia"/>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4707" w:type="pct"/>
            <w:vAlign w:val="center"/>
          </w:tcPr>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定标原则：</w:t>
            </w:r>
          </w:p>
          <w:p>
            <w:pPr>
              <w:spacing w:line="400" w:lineRule="exact"/>
              <w:ind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评标委员会将对提交投标的合格投标人从技术、商务及报价部分分别进行评议并评分，并汇总出技术、商务及报价部分的综合得分。综合得分最高的投标人将被推荐为中标候选人,如果出现相同的综合得分，则报价低的投标人排序在前优先推荐；如果报价仍相同，则技术部分得分高的投标人优先排序在前推荐,仍然并列相同的，则通过随机抽取方式确定优先顺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4707" w:type="pct"/>
            <w:vAlign w:val="center"/>
          </w:tcPr>
          <w:p>
            <w:pPr>
              <w:spacing w:line="400" w:lineRule="exact"/>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特别提示：</w:t>
            </w:r>
          </w:p>
          <w:p>
            <w:pPr>
              <w:spacing w:line="400" w:lineRule="exact"/>
              <w:ind w:firstLine="720" w:firstLineChars="3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根据闽财购[2016]37号文件规定，评标委员会在评标过程中发现凡有下列情形之一的，视为投标人相互恶意串通投标，并做出其响应无效的决定：</w:t>
            </w:r>
          </w:p>
          <w:p>
            <w:pPr>
              <w:spacing w:line="40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（1）不同投标人的投标文件由同一单位或者个人编制；</w:t>
            </w:r>
          </w:p>
          <w:p>
            <w:pPr>
              <w:spacing w:line="40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（2）不同投标人委托同一单位或者个人办理响应事文件提交事宜；</w:t>
            </w:r>
          </w:p>
          <w:p>
            <w:pPr>
              <w:spacing w:line="40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（3）不同投标人的投标文件载明的项目管理成员为同一人；</w:t>
            </w:r>
          </w:p>
          <w:p>
            <w:pPr>
              <w:spacing w:line="40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（4）不同投标人的投标文件异常一致或者报价呈规律性差异。</w:t>
            </w:r>
          </w:p>
          <w:p>
            <w:pPr>
              <w:spacing w:line="40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（5）不同投标人的投标文件相互混装；</w:t>
            </w:r>
          </w:p>
          <w:p>
            <w:pPr>
              <w:spacing w:line="400" w:lineRule="exact"/>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（6）不同投标人的投标保证金从同一单位或者个人的账户转出。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4707" w:type="pct"/>
            <w:vAlign w:val="center"/>
          </w:tcPr>
          <w:p>
            <w:pPr>
              <w:spacing w:line="400" w:lineRule="exac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重大偏差与细微偏差：</w:t>
            </w: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（一）重大偏差：</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（1）投标文件未按招标文件要求加盖公章并由单位负责人或其书面授权的代理人签字的；</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（2）投标文件载明的投标项目服务期限不符合招标文件规定的；</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（3）明显不符合技术服务指标及要求的；</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（4）投标文件附有采购人不能接受的条件；</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（5）不符合招标文件中规定的其他实质性要求。</w:t>
            </w: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注：投标人的投标文件若有上述情形之一的，认定为未对招标文件作出实质性响应，作响应无效处理。</w:t>
            </w: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（二）、细微偏差：</w:t>
            </w:r>
          </w:p>
          <w:p>
            <w:pPr>
              <w:spacing w:line="40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bCs/>
                <w:sz w:val="24"/>
                <w:szCs w:val="24"/>
              </w:rPr>
              <w:t>在实质上响应招标文件要求，但在个别地方存在漏项或者提供了不完整的技术信息和数据等情况，并且补正这些遗漏或者不完整不会对其他</w:t>
            </w:r>
            <w:r>
              <w:rPr>
                <w:rFonts w:hint="eastAsia" w:asciiTheme="minorEastAsia" w:hAnsiTheme="minorEastAsia" w:eastAsiaTheme="minorEastAsia" w:cstheme="minorEastAsia"/>
                <w:sz w:val="24"/>
                <w:szCs w:val="24"/>
              </w:rPr>
              <w:t>提交投标文件的</w:t>
            </w:r>
            <w:r>
              <w:rPr>
                <w:rFonts w:hint="eastAsia" w:asciiTheme="minorEastAsia" w:hAnsiTheme="minorEastAsia" w:eastAsiaTheme="minorEastAsia" w:cstheme="minorEastAsia"/>
                <w:bCs/>
                <w:sz w:val="24"/>
                <w:szCs w:val="24"/>
              </w:rPr>
              <w:t>投标人造成不公平的结果。细微偏差不影响</w:t>
            </w: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bCs/>
                <w:sz w:val="24"/>
                <w:szCs w:val="24"/>
              </w:rPr>
              <w:t>的有效性。</w:t>
            </w:r>
          </w:p>
          <w:p>
            <w:pPr>
              <w:spacing w:line="40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评标委员会应当书面要求存在细微偏差的</w:t>
            </w: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bCs/>
                <w:sz w:val="24"/>
                <w:szCs w:val="24"/>
              </w:rPr>
              <w:t>投标人在投标结束前予以补正。补正的程序和方法按照招标文件规定执行。无法补正的，可在评审时对细微偏差作不利于该</w:t>
            </w: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bCs/>
                <w:sz w:val="24"/>
                <w:szCs w:val="24"/>
              </w:rPr>
              <w:t>投标人的认定。</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细微偏差的可能情形包括：</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（1）有明显文字和算术计算错误的内容，能接受评标委员会提出修正意见的；</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（2）同类问题出现前后文字表述不一致；</w:t>
            </w:r>
          </w:p>
          <w:p>
            <w:pPr>
              <w:spacing w:line="40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（3）含义不明确的表述；</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评标委员会判定重大偏差、细微偏差是依据投标文件，而不寻求其他的外部证据。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4707" w:type="pct"/>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招标代理服务费：</w:t>
            </w:r>
          </w:p>
          <w:p>
            <w:pPr>
              <w:spacing w:line="400" w:lineRule="exact"/>
              <w:rPr>
                <w:rFonts w:asciiTheme="minorEastAsia" w:hAnsiTheme="minorEastAsia" w:eastAsiaTheme="minorEastAsia" w:cstheme="minorEastAsia"/>
                <w:sz w:val="24"/>
                <w:szCs w:val="24"/>
              </w:rPr>
            </w:pPr>
            <w:r>
              <w:rPr>
                <w:rStyle w:val="55"/>
                <w:rFonts w:hint="eastAsia" w:asciiTheme="minorEastAsia" w:hAnsiTheme="minorEastAsia" w:eastAsiaTheme="minorEastAsia" w:cstheme="minorEastAsia"/>
                <w:b w:val="0"/>
                <w:sz w:val="24"/>
                <w:szCs w:val="24"/>
              </w:rPr>
              <w:t>（1）本项目招标代理服务费向中标人收取，招标代理服务收费的标准：100(万元)以下部分收费费率标准: 1.5%，若招标代理服务费不足5000元，按照5000元收取招标代理服务费。</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（2）中标人应在领取中标通知书前应先以转账或电汇付款方式向招标代理机构缴纳招标代理服务费。</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（3）招标代理服务费缴交账户名：福建华真招标代理有限公司 开户行：招商银行股份有限公司福州仓山支行 账号：5919 0615 1310 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 w:type="pct"/>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4707" w:type="pct"/>
            <w:vAlign w:val="center"/>
          </w:tcPr>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采购项目行政监督部门：采购人监督部门</w:t>
            </w:r>
          </w:p>
        </w:tc>
      </w:tr>
    </w:tbl>
    <w:p>
      <w:pPr>
        <w:spacing w:line="360" w:lineRule="exact"/>
        <w:outlineLvl w:val="1"/>
        <w:rPr>
          <w:rFonts w:asciiTheme="minorEastAsia" w:hAnsiTheme="minorEastAsia" w:eastAsiaTheme="minorEastAsia" w:cstheme="minorEastAsia"/>
          <w:b/>
          <w:sz w:val="24"/>
          <w:szCs w:val="24"/>
        </w:rPr>
      </w:pPr>
      <w:bookmarkStart w:id="9" w:name="_Toc12028"/>
      <w:bookmarkStart w:id="10" w:name="_Toc421107722"/>
    </w:p>
    <w:p>
      <w:pPr>
        <w:widowControl/>
        <w:spacing w:line="36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bookmarkEnd w:id="9"/>
    <w:p>
      <w:pPr>
        <w:spacing w:line="360" w:lineRule="exact"/>
        <w:outlineLvl w:val="1"/>
        <w:rPr>
          <w:rFonts w:asciiTheme="minorEastAsia" w:hAnsiTheme="minorEastAsia" w:eastAsiaTheme="minorEastAsia" w:cstheme="minorEastAsia"/>
          <w:b/>
          <w:spacing w:val="-4"/>
          <w:sz w:val="24"/>
          <w:szCs w:val="24"/>
        </w:rPr>
      </w:pPr>
      <w:bookmarkStart w:id="11" w:name="_Toc52289403"/>
      <w:bookmarkStart w:id="12" w:name="_Toc4120"/>
      <w:bookmarkStart w:id="13" w:name="_Toc460320231"/>
      <w:bookmarkStart w:id="14" w:name="_Toc447101480"/>
      <w:bookmarkStart w:id="15" w:name="_Toc47966971"/>
      <w:bookmarkStart w:id="16" w:name="_Toc195709372"/>
      <w:bookmarkStart w:id="17" w:name="_Toc19075"/>
      <w:r>
        <w:rPr>
          <w:rFonts w:hint="eastAsia" w:asciiTheme="minorEastAsia" w:hAnsiTheme="minorEastAsia" w:eastAsiaTheme="minorEastAsia" w:cstheme="minorEastAsia"/>
          <w:b/>
          <w:spacing w:val="-4"/>
          <w:sz w:val="24"/>
          <w:szCs w:val="24"/>
        </w:rPr>
        <w:t>附件A：评标方法</w:t>
      </w:r>
      <w:bookmarkEnd w:id="11"/>
      <w:bookmarkEnd w:id="12"/>
      <w:bookmarkEnd w:id="13"/>
      <w:bookmarkEnd w:id="14"/>
      <w:bookmarkEnd w:id="15"/>
      <w:bookmarkEnd w:id="16"/>
    </w:p>
    <w:p>
      <w:pPr>
        <w:spacing w:line="400" w:lineRule="exact"/>
        <w:rPr>
          <w:rFonts w:asciiTheme="minorEastAsia" w:hAnsiTheme="minorEastAsia" w:eastAsiaTheme="minorEastAsia" w:cstheme="minorEastAsia"/>
          <w:sz w:val="24"/>
          <w:szCs w:val="24"/>
        </w:rPr>
      </w:pPr>
      <w:bookmarkStart w:id="18" w:name="_Toc460320232"/>
      <w:r>
        <w:rPr>
          <w:rFonts w:hint="eastAsia" w:asciiTheme="minorEastAsia" w:hAnsiTheme="minorEastAsia" w:eastAsiaTheme="minorEastAsia" w:cstheme="minorEastAsia"/>
          <w:sz w:val="24"/>
          <w:szCs w:val="24"/>
        </w:rPr>
        <w:t>一、评标标准：</w:t>
      </w:r>
      <w:bookmarkEnd w:id="18"/>
    </w:p>
    <w:p>
      <w:pPr>
        <w:snapToGrid w:val="0"/>
        <w:spacing w:line="400" w:lineRule="exact"/>
        <w:ind w:firstLine="480" w:firstLineChars="200"/>
        <w:rPr>
          <w:rStyle w:val="55"/>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评标工作将依据</w:t>
      </w:r>
      <w:bookmarkStart w:id="19" w:name="OLE_LINK2"/>
      <w:r>
        <w:rPr>
          <w:rFonts w:hint="eastAsia" w:asciiTheme="minorEastAsia" w:hAnsiTheme="minorEastAsia" w:eastAsiaTheme="minorEastAsia" w:cstheme="minorEastAsia"/>
          <w:sz w:val="24"/>
          <w:szCs w:val="24"/>
        </w:rPr>
        <w:t>《中华人民共和国政府采购法》</w:t>
      </w:r>
      <w:bookmarkEnd w:id="19"/>
      <w:r>
        <w:rPr>
          <w:rFonts w:hint="eastAsia" w:asciiTheme="minorEastAsia" w:hAnsiTheme="minorEastAsia" w:eastAsiaTheme="minorEastAsia" w:cstheme="minorEastAsia"/>
          <w:sz w:val="24"/>
          <w:szCs w:val="24"/>
        </w:rPr>
        <w:t>、《中华人民共和国政府采购法实施条例》、《政府采购货物和服务招标投标管理办法》及《福建省省级政府采购货物和服务项目招标文件编制和实施指引》的规定进行，遵循“公开、公平、公正”和“诚实信用”的原则。评标委员会将按照规定对各投标人的投标文件采用相同的程序和标准进行评价和比较，对通过资格及符合性检查的合格投标人根据以下标准和方法进行评估，评议过程严格按照招标文件的要求和条件进行。</w:t>
      </w:r>
    </w:p>
    <w:p>
      <w:pPr>
        <w:pStyle w:val="48"/>
        <w:shd w:val="clear" w:color="auto" w:fill="FFFFFF"/>
        <w:spacing w:before="0" w:beforeAutospacing="0" w:after="0" w:afterAutospacing="0" w:line="400" w:lineRule="exact"/>
        <w:rPr>
          <w:rFonts w:asciiTheme="minorEastAsia" w:hAnsiTheme="minorEastAsia" w:eastAsiaTheme="minorEastAsia" w:cstheme="minorEastAsia"/>
          <w:shd w:val="clear" w:color="auto" w:fill="FFFFFF"/>
        </w:rPr>
      </w:pPr>
      <w:r>
        <w:rPr>
          <w:rStyle w:val="55"/>
          <w:rFonts w:hint="eastAsia" w:asciiTheme="minorEastAsia" w:hAnsiTheme="minorEastAsia" w:eastAsiaTheme="minorEastAsia" w:cstheme="minorEastAsia"/>
          <w:shd w:val="clear" w:color="auto" w:fill="FFFFFF"/>
        </w:rPr>
        <w:t>本项目合同包1采用综合评分法</w:t>
      </w:r>
      <w:r>
        <w:rPr>
          <w:rFonts w:hint="eastAsia" w:asciiTheme="minorEastAsia" w:hAnsiTheme="minorEastAsia" w:eastAsiaTheme="minorEastAsia" w:cstheme="minorEastAsia"/>
          <w:shd w:val="clear" w:color="auto" w:fill="FFFFFF"/>
        </w:rPr>
        <w:t>：</w:t>
      </w:r>
    </w:p>
    <w:p>
      <w:pPr>
        <w:pStyle w:val="48"/>
        <w:spacing w:before="0" w:beforeAutospacing="0" w:after="0" w:afterAutospacing="0" w:line="400" w:lineRule="exact"/>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（1）投标文件满足招标文件全部实质性要求，且按照评审因素的量化指标评审得分（即评标总得分）最高的投标人为中标候选人。</w:t>
      </w:r>
    </w:p>
    <w:p>
      <w:pPr>
        <w:widowControl/>
        <w:spacing w:line="400" w:lineRule="exact"/>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（2）评分按价格、技术和商务三大部分进行，总分为100分（对技术、商务部分评分结果统计时，取各个评标委员会评分汇总后的算术平均值，计算分数时四舍五入保留小数点后2位数），分值分布如下：</w:t>
      </w:r>
    </w:p>
    <w:p>
      <w:pPr>
        <w:widowControl/>
        <w:spacing w:line="400" w:lineRule="exact"/>
        <w:ind w:firstLine="595"/>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各部分评分分值分布如下：</w:t>
      </w:r>
    </w:p>
    <w:p>
      <w:pPr>
        <w:widowControl/>
        <w:spacing w:line="400" w:lineRule="exact"/>
        <w:ind w:firstLine="595"/>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A：技术部分评分        满分65分</w:t>
      </w:r>
    </w:p>
    <w:p>
      <w:pPr>
        <w:widowControl/>
        <w:spacing w:line="400" w:lineRule="exact"/>
        <w:ind w:firstLine="595"/>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B：商务部分评分        满分25分</w:t>
      </w:r>
    </w:p>
    <w:p>
      <w:pPr>
        <w:widowControl/>
        <w:spacing w:line="400" w:lineRule="exact"/>
        <w:ind w:firstLine="595"/>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C：报价部分评分        满分10分    </w:t>
      </w:r>
    </w:p>
    <w:p>
      <w:pPr>
        <w:widowControl/>
        <w:spacing w:line="400" w:lineRule="exact"/>
        <w:ind w:firstLine="595"/>
        <w:jc w:val="left"/>
        <w:rPr>
          <w:rFonts w:asciiTheme="minorEastAsia" w:hAnsiTheme="minorEastAsia" w:eastAsiaTheme="minorEastAsia" w:cstheme="minorEastAsia"/>
          <w:kern w:val="0"/>
          <w:sz w:val="24"/>
          <w:szCs w:val="24"/>
        </w:rPr>
      </w:pPr>
    </w:p>
    <w:p>
      <w:pPr>
        <w:widowControl/>
        <w:spacing w:line="400" w:lineRule="exact"/>
        <w:ind w:firstLine="595"/>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（3）各项评审因素的设置如下：</w:t>
      </w:r>
    </w:p>
    <w:p>
      <w:pPr>
        <w:widowControl/>
        <w:spacing w:line="400" w:lineRule="exact"/>
        <w:ind w:firstLine="598"/>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包1</w:t>
      </w:r>
    </w:p>
    <w:p>
      <w:pPr>
        <w:widowControl/>
        <w:spacing w:line="400" w:lineRule="exact"/>
        <w:jc w:val="left"/>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A：技术部分评分           满分65分</w:t>
      </w:r>
    </w:p>
    <w:tbl>
      <w:tblPr>
        <w:tblStyle w:val="500"/>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736"/>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35" w:type="dxa"/>
            <w:noWrap/>
            <w:vAlign w:val="center"/>
          </w:tcPr>
          <w:p>
            <w:pPr>
              <w:spacing w:line="420" w:lineRule="exact"/>
              <w:rPr>
                <w:rFonts w:ascii="宋体" w:hAnsi="宋体" w:cs="宋体"/>
                <w:sz w:val="24"/>
                <w:szCs w:val="24"/>
              </w:rPr>
            </w:pPr>
            <w:r>
              <w:rPr>
                <w:rFonts w:hint="eastAsia" w:ascii="宋体" w:hAnsi="宋体" w:cs="宋体"/>
                <w:sz w:val="24"/>
                <w:szCs w:val="24"/>
              </w:rPr>
              <w:t>评标项目</w:t>
            </w:r>
          </w:p>
        </w:tc>
        <w:tc>
          <w:tcPr>
            <w:tcW w:w="736" w:type="dxa"/>
            <w:noWrap/>
            <w:vAlign w:val="center"/>
          </w:tcPr>
          <w:p>
            <w:pPr>
              <w:spacing w:line="420" w:lineRule="exact"/>
              <w:rPr>
                <w:rFonts w:ascii="宋体" w:hAnsi="宋体" w:cs="宋体"/>
                <w:sz w:val="24"/>
                <w:szCs w:val="24"/>
              </w:rPr>
            </w:pPr>
            <w:r>
              <w:rPr>
                <w:rFonts w:hint="eastAsia" w:ascii="宋体" w:hAnsi="宋体" w:cs="宋体"/>
                <w:sz w:val="24"/>
                <w:szCs w:val="24"/>
              </w:rPr>
              <w:t>评标分值</w:t>
            </w:r>
          </w:p>
        </w:tc>
        <w:tc>
          <w:tcPr>
            <w:tcW w:w="7814" w:type="dxa"/>
            <w:noWrap/>
            <w:vAlign w:val="center"/>
          </w:tcPr>
          <w:p>
            <w:pPr>
              <w:spacing w:line="420" w:lineRule="exact"/>
              <w:rPr>
                <w:rFonts w:ascii="宋体" w:hAnsi="宋体" w:cs="宋体"/>
                <w:sz w:val="24"/>
                <w:szCs w:val="24"/>
              </w:rPr>
            </w:pPr>
            <w:r>
              <w:rPr>
                <w:rFonts w:hint="eastAsia" w:ascii="宋体" w:hAnsi="宋体" w:cs="宋体"/>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1、服务响应</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22</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据各投标人对招标文件第三章《招标内容及要求》“技术和服务要求”中的各项基本要求逐项响应承诺等情况，由评标委员会进行评议,其中“★”标示的内容为不允许负偏离的实质性要求，投标人出现负偏离或未响应的按无效响应处理；其余未以“★”标示的内容</w:t>
            </w:r>
            <w:r>
              <w:rPr>
                <w:rFonts w:hint="eastAsia" w:ascii="宋体" w:hAnsi="宋体" w:cs="宋体"/>
                <w:b/>
                <w:bCs/>
                <w:kern w:val="0"/>
                <w:sz w:val="24"/>
                <w:szCs w:val="24"/>
              </w:rPr>
              <w:t>（共22项）</w:t>
            </w:r>
            <w:r>
              <w:rPr>
                <w:rFonts w:hint="eastAsia" w:ascii="宋体" w:hAnsi="宋体" w:cs="宋体"/>
                <w:kern w:val="0"/>
                <w:sz w:val="24"/>
                <w:szCs w:val="24"/>
              </w:rPr>
              <w:t>，全部满足的得22分，</w:t>
            </w:r>
            <w:r>
              <w:rPr>
                <w:rFonts w:hint="eastAsia" w:ascii="宋体" w:hAnsi="宋体" w:cs="宋体"/>
                <w:b/>
                <w:bCs/>
                <w:kern w:val="0"/>
                <w:sz w:val="24"/>
                <w:szCs w:val="24"/>
              </w:rPr>
              <w:t>每负偏离一项扣1分</w:t>
            </w:r>
            <w:r>
              <w:rPr>
                <w:rFonts w:hint="eastAsia" w:ascii="宋体" w:hAnsi="宋体" w:cs="宋体"/>
                <w:kern w:val="0"/>
                <w:sz w:val="24"/>
                <w:szCs w:val="24"/>
              </w:rPr>
              <w:t>，正偏离不加分。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2、服务方案</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根据投标人制定的虫害消杀服务方案情况进行评分：方案详实、完整、可操作性强的得 3 分；方案部分详实或部分内容可操作性较强的得2.9分；方案阐述简短或方案可操作性一般的得2.8分；未提供方案的不得分。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3、应急方案</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针对本项目提供的在自然灾害、停水、停电、疫情爆发等情况下的应急预备方案进行评分：方案详实、完整、可操作性强的得3分；方案部分详实或部分内容可操作性较强的得2.9分；方案阐述简短或无实质内容或方案可操作性一般的得2.8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4、档案建设方案</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根据投标人针对本项目提供的在服务期内档案建设方案进行评分：方案详实、完整的得 3 分；方案部分详实或部分完整的得2.9分；方案阐述简短或方案可操作性一般的得 2.8分；未提供方案的不得分。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5、药品使用方案</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根据投标人提供的药品使用培训细则情况进行评分：方案详实、完整、方案可操作性强的得 3 分；方案部分详实或部分内容可操作性较强的得 2.9分；方案阐述简短或方案可操作性一般的得 2.8分；未提供方案的不得分。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6、监测方法</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2</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各投标人针对防制对象、种类、密度的监测方法进行评分：监测方法全面、具体，科学合理，针对性和可行性强，有利于提高服务质量的得2分；监测方法完整、合理、可行，可保障基本的服务质量的得1.9分； 监测方法基本完整，有一定的可行性，但对服务质量的保障不足的得1.8分；未提供方案的不得分。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7、现场施工文明作业情况</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根据投标人提供的现场施工文明作业情况（包含但不限于作业现场的安全文明措施、针对现场环境和查杀作业质量、保障情况）进行评分：方案详实、完整、可操作性强的得 3 分；方案部分详实或部分内容可操作性较强的得2.9分；方案阐述简短或方案可操作性一般的得 2.8分；未提供方案的不得分。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8、拟投入设备情况1</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根据投标人针对本项目拟投入的背负式电动喷雾器情况进行评分：在满足招标文件要求 18台的基础上每增加3 台得 1 分，满分 3 分，须提供设备图片及投标人自行购置的发票复印件（或有效的租赁合同复印件）并加盖公章，未提供的本项不得分。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9、拟投入设备情况2</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根据投标人针对本项目拟投入的超低容量电动喷雾器情况进行评分：在满足招标文件要求9台的基础上每增加3台得 1分，满分 3分，须提供设备图片及投标人自行购置的发票复印件（或有效的租赁合同复印件）并加盖公章，未提供的本项不得分。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10、拟投入设备情况3</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根据投标人针对本项目拟投入的手提热烟雾机情况进行评分：在满足招标文件要求 9 台的基础上每增加1台得 1 分，满分 3 分。须提供设备图片及投标人自行购置的发票复印件（或有效的租赁合同复印件）并加盖公章，未提供的本项不得分。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11、拟投入设备情况4</w:t>
            </w:r>
          </w:p>
        </w:tc>
        <w:tc>
          <w:tcPr>
            <w:tcW w:w="736" w:type="dxa"/>
            <w:noWrap/>
            <w:vAlign w:val="center"/>
          </w:tcPr>
          <w:p>
            <w:pPr>
              <w:widowControl/>
              <w:spacing w:line="420" w:lineRule="exact"/>
              <w:ind w:firstLine="240" w:firstLineChars="100"/>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根据投标人针对本项目拟投入的大型车载式喷雾车情况进行评分：在满足招标文件要求1台的基础上每增加 1 台得 1 分，满分 3 分，须提供设备图片及投标人自行购置的发票复印件（或有效的租赁合同复印件）并加盖公章，未提供的本项不得分。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12、拟投入设备情况5</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根据投标人拟投入本项目车辆进行评分：每提供一辆得1分，满分3分。须提供提供行驶证、登记证、自有产权证明材料复印件（或有效的租赁合同复印件）并加盖公章，未提供或提供不全的不得分。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13、药械库房</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kern w:val="0"/>
                <w:sz w:val="24"/>
                <w:szCs w:val="24"/>
              </w:rPr>
            </w:pPr>
            <w:r>
              <w:rPr>
                <w:rFonts w:hint="eastAsia" w:ascii="宋体" w:hAnsi="宋体" w:cs="宋体"/>
                <w:kern w:val="0"/>
                <w:sz w:val="24"/>
                <w:szCs w:val="24"/>
              </w:rPr>
              <w:t>根据投标人的药械库房的设施条件情况(通风条件，防火、防盗等安全设备，药械摆放是否整齐有序，是否符合安全存放要求)进行评分：通风良好，防火、防盗等安全设备齐全，药械摆放整齐有序，符合安全存放要求的得3分，通风较良好，防火、防盗等安全设备较齐全，药械摆放较整齐有序，较符合安全存放要求的得2.9分，通风良好，防火、防盗等安全设备齐全，药械摆放不整齐，但符合安全存放要求的得2.8分；未提供方案的不得分。注：投标人须提供药械库房的场所租赁合同或产权证明材料复印件及现场照片，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14、安全操作规程、作业流程、维护保养方案</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针对本项目制定的机械作业安全操作规程、作业流程、维护保养方案进行评分：方案详实、完整、可操作性强的得 3分；方案部分详实或部分内容可操作性较强的得 2.9分；方案阐述简短或方案可操作性一般的得 2.8分；未提供方案的不得分。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15、管理系统</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2</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根据投标人投入本项目使用的管理系统情况进行评分：提供系统软件截图能体现人员签到（附有定位有时间）、疫情报告（附有定位有时间有现场图片）、工作报告（附有消杀后的现场情况）的系统截图（PC 端或移动端），全部提供的得 2 分，未提供或提供不全的本项不得分。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335"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16、个人防护设备</w:t>
            </w:r>
          </w:p>
        </w:tc>
        <w:tc>
          <w:tcPr>
            <w:tcW w:w="736"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3</w:t>
            </w:r>
          </w:p>
        </w:tc>
        <w:tc>
          <w:tcPr>
            <w:tcW w:w="7814" w:type="dxa"/>
            <w:noWrap/>
            <w:vAlign w:val="center"/>
          </w:tcPr>
          <w:p>
            <w:pPr>
              <w:widowControl/>
              <w:spacing w:line="420" w:lineRule="exact"/>
              <w:textAlignment w:val="center"/>
              <w:rPr>
                <w:rFonts w:ascii="宋体" w:hAnsi="宋体" w:cs="宋体"/>
                <w:sz w:val="24"/>
                <w:szCs w:val="24"/>
              </w:rPr>
            </w:pPr>
            <w:r>
              <w:rPr>
                <w:rFonts w:hint="eastAsia" w:ascii="宋体" w:hAnsi="宋体" w:cs="宋体"/>
                <w:kern w:val="0"/>
                <w:sz w:val="24"/>
                <w:szCs w:val="24"/>
              </w:rPr>
              <w:t>根据投标人针对本项目工作人员所配备的个人防护措施及装备情况，(包括但不限于配备的防护种类、数量等的完善度)等方面进行评分，个人防护措施及装备情况完善充分的得 3 分；个人防护措施及装备情况较完善较充分的得2.9分；个人防护措施及装备简陋、一般的得 2.8分；未提供方案的不得分。</w:t>
            </w:r>
          </w:p>
        </w:tc>
      </w:tr>
    </w:tbl>
    <w:p>
      <w:pPr>
        <w:pStyle w:val="2"/>
        <w:spacing w:after="0" w:line="400" w:lineRule="exact"/>
        <w:ind w:firstLine="240"/>
        <w:rPr>
          <w:rFonts w:asciiTheme="minorEastAsia" w:hAnsiTheme="minorEastAsia" w:eastAsiaTheme="minorEastAsia" w:cstheme="minorEastAsia"/>
          <w:sz w:val="24"/>
        </w:rPr>
      </w:pPr>
    </w:p>
    <w:p>
      <w:pPr>
        <w:widowControl/>
        <w:spacing w:line="400" w:lineRule="exact"/>
        <w:jc w:val="left"/>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B：商务部分评分           满分25分</w:t>
      </w:r>
    </w:p>
    <w:tbl>
      <w:tblPr>
        <w:tblStyle w:val="501"/>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09"/>
        <w:gridCol w:w="7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35" w:type="dxa"/>
            <w:noWrap/>
            <w:vAlign w:val="center"/>
          </w:tcPr>
          <w:p>
            <w:pPr>
              <w:spacing w:line="420" w:lineRule="exact"/>
              <w:rPr>
                <w:rFonts w:ascii="宋体" w:hAnsi="宋体" w:cs="宋体"/>
                <w:sz w:val="24"/>
                <w:szCs w:val="24"/>
              </w:rPr>
            </w:pPr>
            <w:r>
              <w:rPr>
                <w:rFonts w:hint="eastAsia" w:ascii="宋体" w:hAnsi="宋体" w:cs="宋体"/>
                <w:sz w:val="24"/>
                <w:szCs w:val="24"/>
              </w:rPr>
              <w:t>评标项目</w:t>
            </w: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评标分值</w:t>
            </w:r>
          </w:p>
        </w:tc>
        <w:tc>
          <w:tcPr>
            <w:tcW w:w="7919" w:type="dxa"/>
            <w:noWrap/>
            <w:vAlign w:val="center"/>
          </w:tcPr>
          <w:p>
            <w:pPr>
              <w:spacing w:line="420" w:lineRule="exact"/>
              <w:rPr>
                <w:rFonts w:ascii="宋体" w:hAnsi="宋体" w:cs="宋体"/>
                <w:sz w:val="24"/>
                <w:szCs w:val="24"/>
              </w:rPr>
            </w:pPr>
            <w:r>
              <w:rPr>
                <w:rFonts w:hint="eastAsia" w:ascii="宋体" w:hAnsi="宋体" w:cs="宋体"/>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435" w:type="dxa"/>
            <w:vMerge w:val="restart"/>
            <w:noWrap/>
            <w:vAlign w:val="center"/>
          </w:tcPr>
          <w:p>
            <w:pPr>
              <w:spacing w:line="420" w:lineRule="exact"/>
              <w:rPr>
                <w:rFonts w:ascii="宋体" w:hAnsi="宋体" w:cs="宋体"/>
                <w:sz w:val="24"/>
                <w:szCs w:val="24"/>
              </w:rPr>
            </w:pPr>
            <w:r>
              <w:rPr>
                <w:rFonts w:hint="eastAsia" w:ascii="宋体" w:hAnsi="宋体" w:cs="宋体"/>
                <w:sz w:val="24"/>
                <w:szCs w:val="24"/>
              </w:rPr>
              <w:t>1、综合实力</w:t>
            </w: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1</w:t>
            </w:r>
          </w:p>
        </w:tc>
        <w:tc>
          <w:tcPr>
            <w:tcW w:w="7919" w:type="dxa"/>
            <w:noWrap/>
            <w:vAlign w:val="center"/>
          </w:tcPr>
          <w:p>
            <w:pPr>
              <w:spacing w:line="420" w:lineRule="exact"/>
              <w:rPr>
                <w:rFonts w:ascii="宋体" w:hAnsi="宋体" w:cs="宋体"/>
                <w:sz w:val="24"/>
                <w:szCs w:val="24"/>
              </w:rPr>
            </w:pPr>
            <w:r>
              <w:rPr>
                <w:rFonts w:hint="eastAsia" w:ascii="宋体" w:hAnsi="宋体" w:cs="宋体"/>
                <w:sz w:val="24"/>
                <w:szCs w:val="24"/>
              </w:rPr>
              <w:t>1.1投标人获得卫生有害生物防治相关机构颁发的有害生物防制服务能力 A级的得 1 分；须提供有效期内的证书复印件，未提供的本项不得分。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435" w:type="dxa"/>
            <w:vMerge w:val="continue"/>
            <w:noWrap/>
            <w:vAlign w:val="center"/>
          </w:tcPr>
          <w:p>
            <w:pPr>
              <w:spacing w:line="420" w:lineRule="exact"/>
              <w:rPr>
                <w:rFonts w:ascii="宋体" w:hAnsi="宋体" w:cs="宋体"/>
                <w:sz w:val="24"/>
                <w:szCs w:val="24"/>
              </w:rPr>
            </w:pP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3</w:t>
            </w:r>
          </w:p>
        </w:tc>
        <w:tc>
          <w:tcPr>
            <w:tcW w:w="7919" w:type="dxa"/>
            <w:noWrap/>
            <w:vAlign w:val="center"/>
          </w:tcPr>
          <w:p>
            <w:pPr>
              <w:spacing w:line="420" w:lineRule="exact"/>
              <w:rPr>
                <w:rFonts w:ascii="宋体" w:hAnsi="宋体" w:cs="宋体"/>
                <w:sz w:val="24"/>
                <w:szCs w:val="24"/>
              </w:rPr>
            </w:pPr>
            <w:r>
              <w:rPr>
                <w:rFonts w:hint="eastAsia" w:ascii="宋体" w:hAnsi="宋体" w:cs="宋体"/>
                <w:sz w:val="24"/>
                <w:szCs w:val="24"/>
              </w:rPr>
              <w:t>1.2投标人获得有效的质量管理体系认证的得 1 分；获得有效的环境管理体系认证的得 1 分；获得有效的职业健康安全管理体系认证的得1分；</w:t>
            </w:r>
            <w:r>
              <w:rPr>
                <w:rFonts w:hint="eastAsia" w:ascii="宋体" w:hAnsi="宋体" w:cs="宋体"/>
                <w:kern w:val="0"/>
                <w:sz w:val="24"/>
                <w:szCs w:val="24"/>
              </w:rPr>
              <w:t>需提供有效证书复印件（认证范围须与本项目相关）或中国国家认证认可监督管理委员会(http://www.cnca.gov.cn)或中国合格评定国家认可委员会(https://www.cnas.org.cn)网站的下载网页并注明网址，否则不得分。评审过程中如发现投标人提供的证书复印件中信息与下载网页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 w:hRule="atLeast"/>
          <w:jc w:val="center"/>
        </w:trPr>
        <w:tc>
          <w:tcPr>
            <w:tcW w:w="1435" w:type="dxa"/>
            <w:vMerge w:val="continue"/>
            <w:noWrap/>
            <w:vAlign w:val="center"/>
          </w:tcPr>
          <w:p>
            <w:pPr>
              <w:spacing w:line="420" w:lineRule="exact"/>
              <w:rPr>
                <w:rFonts w:ascii="宋体" w:hAnsi="宋体" w:cs="宋体"/>
                <w:sz w:val="24"/>
                <w:szCs w:val="24"/>
              </w:rPr>
            </w:pP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1</w:t>
            </w:r>
          </w:p>
        </w:tc>
        <w:tc>
          <w:tcPr>
            <w:tcW w:w="7919" w:type="dxa"/>
            <w:noWrap/>
            <w:vAlign w:val="center"/>
          </w:tcPr>
          <w:p>
            <w:pPr>
              <w:spacing w:line="420" w:lineRule="exact"/>
              <w:rPr>
                <w:rFonts w:ascii="宋体" w:hAnsi="宋体" w:cs="宋体"/>
                <w:sz w:val="24"/>
                <w:szCs w:val="24"/>
              </w:rPr>
            </w:pPr>
            <w:r>
              <w:rPr>
                <w:rFonts w:hint="eastAsia" w:ascii="宋体" w:hAnsi="宋体" w:cs="宋体"/>
                <w:sz w:val="24"/>
                <w:szCs w:val="24"/>
              </w:rPr>
              <w:t>1.3因涉及药品施药及储存问题，投标人具备《危险化学品经营许可证》的得1分，需提供有效的证书复印件，未提供的本项不得分。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435" w:type="dxa"/>
            <w:vMerge w:val="restart"/>
            <w:noWrap/>
            <w:vAlign w:val="center"/>
          </w:tcPr>
          <w:p>
            <w:pPr>
              <w:spacing w:line="420" w:lineRule="exact"/>
              <w:rPr>
                <w:rFonts w:ascii="宋体" w:hAnsi="宋体" w:cs="宋体"/>
                <w:sz w:val="24"/>
                <w:szCs w:val="24"/>
              </w:rPr>
            </w:pPr>
            <w:r>
              <w:rPr>
                <w:rFonts w:hint="eastAsia" w:ascii="宋体" w:hAnsi="宋体" w:cs="宋体"/>
                <w:sz w:val="24"/>
                <w:szCs w:val="24"/>
              </w:rPr>
              <w:t>2、保险情况</w:t>
            </w: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2</w:t>
            </w:r>
          </w:p>
        </w:tc>
        <w:tc>
          <w:tcPr>
            <w:tcW w:w="7919" w:type="dxa"/>
            <w:noWrap/>
            <w:vAlign w:val="center"/>
          </w:tcPr>
          <w:p>
            <w:pPr>
              <w:spacing w:line="420" w:lineRule="exact"/>
              <w:rPr>
                <w:rFonts w:ascii="宋体" w:hAnsi="宋体" w:cs="宋体"/>
                <w:sz w:val="24"/>
                <w:szCs w:val="24"/>
              </w:rPr>
            </w:pPr>
            <w:r>
              <w:rPr>
                <w:rFonts w:hint="eastAsia" w:ascii="宋体" w:hAnsi="宋体" w:cs="宋体"/>
                <w:sz w:val="24"/>
                <w:szCs w:val="24"/>
              </w:rPr>
              <w:t>2.1投标人</w:t>
            </w:r>
            <w:r>
              <w:rPr>
                <w:rFonts w:ascii="宋体" w:hAnsi="宋体" w:cs="宋体"/>
                <w:kern w:val="0"/>
                <w:sz w:val="24"/>
                <w:szCs w:val="24"/>
              </w:rPr>
              <w:t>承诺</w:t>
            </w:r>
            <w:r>
              <w:rPr>
                <w:rFonts w:hint="eastAsia" w:ascii="宋体" w:hAnsi="宋体" w:cs="宋体"/>
                <w:kern w:val="0"/>
                <w:sz w:val="24"/>
                <w:szCs w:val="24"/>
              </w:rPr>
              <w:t>中标</w:t>
            </w:r>
            <w:r>
              <w:rPr>
                <w:rFonts w:ascii="宋体" w:hAnsi="宋体" w:cs="宋体"/>
                <w:kern w:val="0"/>
                <w:sz w:val="24"/>
                <w:szCs w:val="24"/>
              </w:rPr>
              <w:t>后为本项目</w:t>
            </w:r>
            <w:r>
              <w:rPr>
                <w:rFonts w:hint="eastAsia" w:ascii="宋体" w:hAnsi="宋体" w:cs="宋体"/>
                <w:sz w:val="24"/>
                <w:szCs w:val="24"/>
              </w:rPr>
              <w:t>购买社会公众责任险投保金额</w:t>
            </w:r>
            <w:r>
              <w:rPr>
                <w:rFonts w:hint="eastAsia" w:ascii="宋体" w:hAnsi="宋体" w:cs="宋体"/>
                <w:kern w:val="0"/>
                <w:sz w:val="24"/>
                <w:szCs w:val="24"/>
              </w:rPr>
              <w:t>≥</w:t>
            </w:r>
            <w:r>
              <w:rPr>
                <w:rFonts w:hint="eastAsia" w:ascii="宋体" w:hAnsi="宋体" w:cs="宋体"/>
                <w:sz w:val="24"/>
                <w:szCs w:val="24"/>
              </w:rPr>
              <w:t>50万元得1分，购买社会公众责任险投保金额</w:t>
            </w:r>
            <w:r>
              <w:rPr>
                <w:rFonts w:hint="eastAsia" w:ascii="宋体" w:hAnsi="宋体" w:cs="宋体"/>
                <w:kern w:val="0"/>
                <w:sz w:val="24"/>
                <w:szCs w:val="24"/>
              </w:rPr>
              <w:t>≥150万的得2分，</w:t>
            </w:r>
            <w:r>
              <w:rPr>
                <w:rFonts w:hint="eastAsia" w:ascii="宋体" w:hAnsi="宋体" w:cs="宋体"/>
                <w:sz w:val="24"/>
                <w:szCs w:val="24"/>
              </w:rPr>
              <w:t>其余不得分。须提供承诺函（格式自拟），未提供的不得分。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435" w:type="dxa"/>
            <w:vMerge w:val="continue"/>
            <w:noWrap/>
            <w:vAlign w:val="center"/>
          </w:tcPr>
          <w:p>
            <w:pPr>
              <w:spacing w:line="420" w:lineRule="exact"/>
              <w:rPr>
                <w:rFonts w:ascii="宋体" w:hAnsi="宋体" w:cs="宋体"/>
                <w:sz w:val="24"/>
                <w:szCs w:val="24"/>
              </w:rPr>
            </w:pP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2</w:t>
            </w:r>
          </w:p>
        </w:tc>
        <w:tc>
          <w:tcPr>
            <w:tcW w:w="7919" w:type="dxa"/>
            <w:noWrap/>
            <w:vAlign w:val="center"/>
          </w:tcPr>
          <w:p>
            <w:pPr>
              <w:spacing w:line="420" w:lineRule="exact"/>
              <w:rPr>
                <w:rFonts w:ascii="宋体" w:hAnsi="宋体" w:cs="宋体"/>
                <w:sz w:val="24"/>
                <w:szCs w:val="24"/>
              </w:rPr>
            </w:pPr>
            <w:r>
              <w:rPr>
                <w:rFonts w:hint="eastAsia" w:ascii="宋体" w:hAnsi="宋体" w:cs="宋体"/>
                <w:sz w:val="24"/>
                <w:szCs w:val="24"/>
              </w:rPr>
              <w:t>2.2投标人</w:t>
            </w:r>
            <w:r>
              <w:rPr>
                <w:rFonts w:ascii="宋体" w:hAnsi="宋体" w:cs="宋体"/>
                <w:kern w:val="0"/>
                <w:sz w:val="24"/>
                <w:szCs w:val="24"/>
              </w:rPr>
              <w:t>承诺</w:t>
            </w:r>
            <w:r>
              <w:rPr>
                <w:rFonts w:hint="eastAsia" w:ascii="宋体" w:hAnsi="宋体" w:cs="宋体"/>
                <w:kern w:val="0"/>
                <w:sz w:val="24"/>
                <w:szCs w:val="24"/>
              </w:rPr>
              <w:t>中标</w:t>
            </w:r>
            <w:r>
              <w:rPr>
                <w:rFonts w:ascii="宋体" w:hAnsi="宋体" w:cs="宋体"/>
                <w:kern w:val="0"/>
                <w:sz w:val="24"/>
                <w:szCs w:val="24"/>
              </w:rPr>
              <w:t>后为本项目</w:t>
            </w:r>
            <w:r>
              <w:rPr>
                <w:rFonts w:hint="eastAsia" w:ascii="宋体" w:hAnsi="宋体" w:cs="宋体"/>
                <w:sz w:val="24"/>
                <w:szCs w:val="24"/>
              </w:rPr>
              <w:t>购买雇主责任险投保金额</w:t>
            </w:r>
            <w:r>
              <w:rPr>
                <w:rFonts w:hint="eastAsia" w:ascii="宋体" w:hAnsi="宋体" w:cs="宋体"/>
                <w:kern w:val="0"/>
                <w:sz w:val="24"/>
                <w:szCs w:val="24"/>
              </w:rPr>
              <w:t>≥</w:t>
            </w:r>
            <w:r>
              <w:rPr>
                <w:rFonts w:hint="eastAsia" w:ascii="宋体" w:hAnsi="宋体" w:cs="宋体"/>
                <w:sz w:val="24"/>
                <w:szCs w:val="24"/>
              </w:rPr>
              <w:t>50万元得1分，购买雇主责任险投保金额</w:t>
            </w:r>
            <w:r>
              <w:rPr>
                <w:rFonts w:hint="eastAsia" w:ascii="宋体" w:hAnsi="宋体" w:cs="宋体"/>
                <w:kern w:val="0"/>
                <w:sz w:val="24"/>
                <w:szCs w:val="24"/>
              </w:rPr>
              <w:t>≥150万的得2分，</w:t>
            </w:r>
            <w:r>
              <w:rPr>
                <w:rFonts w:hint="eastAsia" w:ascii="宋体" w:hAnsi="宋体" w:cs="宋体"/>
                <w:sz w:val="24"/>
                <w:szCs w:val="24"/>
              </w:rPr>
              <w:t>其余不得分。须提供承诺函（格式自拟），未提供的不得分。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35" w:type="dxa"/>
            <w:noWrap/>
            <w:vAlign w:val="center"/>
          </w:tcPr>
          <w:p>
            <w:pPr>
              <w:spacing w:line="420" w:lineRule="exact"/>
              <w:rPr>
                <w:rFonts w:ascii="宋体" w:hAnsi="宋体" w:cs="宋体"/>
                <w:sz w:val="24"/>
                <w:szCs w:val="24"/>
              </w:rPr>
            </w:pPr>
            <w:r>
              <w:rPr>
                <w:rFonts w:hint="eastAsia" w:ascii="宋体" w:hAnsi="宋体" w:cs="宋体"/>
                <w:sz w:val="24"/>
                <w:szCs w:val="24"/>
              </w:rPr>
              <w:t>3、业绩</w:t>
            </w: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3</w:t>
            </w:r>
          </w:p>
        </w:tc>
        <w:tc>
          <w:tcPr>
            <w:tcW w:w="7919" w:type="dxa"/>
            <w:noWrap/>
            <w:vAlign w:val="center"/>
          </w:tcPr>
          <w:p>
            <w:pPr>
              <w:spacing w:line="420" w:lineRule="exact"/>
              <w:rPr>
                <w:rFonts w:ascii="宋体" w:hAnsi="宋体" w:cs="宋体"/>
                <w:sz w:val="24"/>
                <w:szCs w:val="24"/>
              </w:rPr>
            </w:pPr>
            <w:r>
              <w:rPr>
                <w:rFonts w:hint="eastAsia" w:ascii="宋体" w:hAnsi="宋体" w:cs="宋体"/>
                <w:bCs/>
                <w:sz w:val="24"/>
                <w:szCs w:val="24"/>
              </w:rPr>
              <w:t>投标人自2020年1月1日以来（以合同签订时间为准）同类项目业绩：每提供1份合同业绩的得3分，满分3分。投标人须提供该业绩项目的中标/成交公告[提供相关网站中标/成交公告的下载网页并注明网址]、中标/成交通知书复印件、合同复印件，以及能够证明该业绩项目已经采购人验收合格的相关证明文件复印件，所有材料缺一不可，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435" w:type="dxa"/>
            <w:noWrap/>
            <w:vAlign w:val="center"/>
          </w:tcPr>
          <w:p>
            <w:pPr>
              <w:spacing w:line="420" w:lineRule="exact"/>
              <w:rPr>
                <w:rFonts w:ascii="宋体" w:hAnsi="宋体" w:cs="宋体"/>
                <w:sz w:val="24"/>
                <w:szCs w:val="24"/>
              </w:rPr>
            </w:pPr>
            <w:r>
              <w:rPr>
                <w:rFonts w:hint="eastAsia" w:ascii="宋体" w:hAnsi="宋体" w:cs="宋体"/>
                <w:sz w:val="24"/>
                <w:szCs w:val="24"/>
              </w:rPr>
              <w:t>4、满意度</w:t>
            </w: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2</w:t>
            </w:r>
          </w:p>
        </w:tc>
        <w:tc>
          <w:tcPr>
            <w:tcW w:w="7919" w:type="dxa"/>
            <w:noWrap/>
            <w:vAlign w:val="center"/>
          </w:tcPr>
          <w:p>
            <w:pPr>
              <w:spacing w:line="420" w:lineRule="exact"/>
              <w:rPr>
                <w:rFonts w:ascii="宋体" w:hAnsi="宋体" w:cs="宋体"/>
                <w:sz w:val="24"/>
                <w:szCs w:val="24"/>
              </w:rPr>
            </w:pPr>
            <w:r>
              <w:rPr>
                <w:rFonts w:hint="eastAsia" w:ascii="宋体" w:hAnsi="宋体" w:cs="宋体"/>
                <w:sz w:val="24"/>
                <w:szCs w:val="24"/>
              </w:rPr>
              <w:t>根据投标人所提供的</w:t>
            </w:r>
            <w:r>
              <w:rPr>
                <w:rFonts w:hint="eastAsia" w:ascii="宋体" w:hAnsi="宋体" w:cs="宋体"/>
                <w:bCs/>
                <w:sz w:val="24"/>
                <w:szCs w:val="24"/>
              </w:rPr>
              <w:t>2020年1月1日以来（以合同签订时间为准）</w:t>
            </w:r>
            <w:r>
              <w:rPr>
                <w:rFonts w:hint="eastAsia" w:ascii="宋体" w:hAnsi="宋体" w:cs="宋体"/>
                <w:sz w:val="24"/>
                <w:szCs w:val="24"/>
              </w:rPr>
              <w:t>已完成的同类业绩的客户满意证明材料，每提供一份满意证明材料得1分，满分2分。须提供合同复印件及业主方盖章的评价意见书复印件，满意度评价须在90分及以上或良好或优秀或其它相似意思，同一用户不重复得分。注：本项评分与“业绩”项相同项目的证明材料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435" w:type="dxa"/>
            <w:noWrap/>
            <w:vAlign w:val="center"/>
          </w:tcPr>
          <w:p>
            <w:pPr>
              <w:spacing w:line="420" w:lineRule="exact"/>
              <w:rPr>
                <w:rFonts w:ascii="宋体" w:hAnsi="宋体" w:cs="宋体"/>
                <w:sz w:val="24"/>
                <w:szCs w:val="24"/>
              </w:rPr>
            </w:pPr>
            <w:r>
              <w:rPr>
                <w:rFonts w:hint="eastAsia" w:ascii="宋体" w:hAnsi="宋体" w:cs="宋体"/>
                <w:sz w:val="24"/>
                <w:szCs w:val="24"/>
              </w:rPr>
              <w:t>5、人员技术配备1</w:t>
            </w: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3</w:t>
            </w:r>
          </w:p>
        </w:tc>
        <w:tc>
          <w:tcPr>
            <w:tcW w:w="7919" w:type="dxa"/>
            <w:noWrap/>
            <w:vAlign w:val="center"/>
          </w:tcPr>
          <w:p>
            <w:pPr>
              <w:spacing w:line="420" w:lineRule="exact"/>
              <w:rPr>
                <w:rFonts w:ascii="宋体" w:hAnsi="宋体" w:cs="宋体"/>
                <w:sz w:val="24"/>
                <w:szCs w:val="24"/>
              </w:rPr>
            </w:pPr>
            <w:r>
              <w:rPr>
                <w:rFonts w:hint="eastAsia" w:ascii="宋体" w:hAnsi="宋体" w:cs="宋体"/>
                <w:sz w:val="24"/>
                <w:szCs w:val="24"/>
              </w:rPr>
              <w:t>根据投标人针对本项目拟投入的服务人员中,在满足基本要求9人的基础上，每增加2人（须持有有害生物防治证书或公共卫生消毒相关证书的人员）得 1 分，满分3分。须提供拟派人员证书复印件及投标截止时间前6个月内任意一个月的社保证明材料（社保缴交单位须与投标人一致），未提供或提供不全者的不得分。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1435" w:type="dxa"/>
            <w:noWrap/>
            <w:vAlign w:val="center"/>
          </w:tcPr>
          <w:p>
            <w:pPr>
              <w:spacing w:line="420" w:lineRule="exact"/>
              <w:rPr>
                <w:rFonts w:ascii="宋体" w:hAnsi="宋体" w:cs="宋体"/>
                <w:sz w:val="24"/>
                <w:szCs w:val="24"/>
              </w:rPr>
            </w:pPr>
            <w:r>
              <w:rPr>
                <w:rFonts w:hint="eastAsia" w:ascii="宋体" w:hAnsi="宋体" w:cs="宋体"/>
                <w:sz w:val="24"/>
                <w:szCs w:val="24"/>
              </w:rPr>
              <w:t>6、服务响应</w:t>
            </w: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3</w:t>
            </w:r>
          </w:p>
        </w:tc>
        <w:tc>
          <w:tcPr>
            <w:tcW w:w="7919" w:type="dxa"/>
            <w:noWrap/>
            <w:vAlign w:val="center"/>
          </w:tcPr>
          <w:p>
            <w:pPr>
              <w:spacing w:line="420" w:lineRule="exact"/>
              <w:rPr>
                <w:rFonts w:ascii="宋体" w:hAnsi="宋体" w:cs="宋体"/>
                <w:sz w:val="24"/>
                <w:szCs w:val="24"/>
              </w:rPr>
            </w:pPr>
            <w:r>
              <w:rPr>
                <w:rFonts w:hint="eastAsia" w:ascii="宋体" w:hAnsi="宋体" w:cs="宋体"/>
                <w:sz w:val="24"/>
                <w:szCs w:val="24"/>
              </w:rPr>
              <w:t>根据投标人针对本项目拟定的售后服务方案（包括但不限于售后服务人员资质、专业人员配备情况及现有消杀服务能力等情况）进行评分：提供方案完整、详细、具体的得 3 分；提供方案较完整、较详细、较具体的得2.9分；提供方案一般的得2.8分；</w:t>
            </w:r>
            <w:r>
              <w:rPr>
                <w:rFonts w:hint="eastAsia" w:ascii="宋体" w:hAnsi="宋体" w:cs="宋体"/>
                <w:kern w:val="0"/>
                <w:sz w:val="24"/>
                <w:szCs w:val="24"/>
              </w:rPr>
              <w:t>未提供方案的不得分</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35" w:type="dxa"/>
            <w:noWrap/>
            <w:vAlign w:val="center"/>
          </w:tcPr>
          <w:p>
            <w:pPr>
              <w:spacing w:line="420" w:lineRule="exact"/>
              <w:rPr>
                <w:rFonts w:ascii="宋体" w:hAnsi="宋体" w:cs="宋体"/>
                <w:sz w:val="24"/>
                <w:szCs w:val="24"/>
              </w:rPr>
            </w:pPr>
            <w:r>
              <w:rPr>
                <w:rFonts w:hint="eastAsia" w:ascii="宋体" w:hAnsi="宋体" w:cs="宋体"/>
                <w:sz w:val="24"/>
                <w:szCs w:val="24"/>
              </w:rPr>
              <w:t>7、承诺</w:t>
            </w: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2</w:t>
            </w:r>
          </w:p>
        </w:tc>
        <w:tc>
          <w:tcPr>
            <w:tcW w:w="7919" w:type="dxa"/>
            <w:noWrap/>
            <w:vAlign w:val="center"/>
          </w:tcPr>
          <w:p>
            <w:pPr>
              <w:spacing w:line="420" w:lineRule="exact"/>
              <w:rPr>
                <w:rFonts w:ascii="宋体" w:hAnsi="宋体" w:cs="宋体"/>
                <w:sz w:val="24"/>
                <w:szCs w:val="24"/>
              </w:rPr>
            </w:pPr>
            <w:r>
              <w:rPr>
                <w:rFonts w:hint="eastAsia" w:ascii="宋体" w:hAnsi="宋体" w:cs="宋体"/>
                <w:sz w:val="24"/>
                <w:szCs w:val="24"/>
              </w:rPr>
              <w:t>投标人承诺如若有临时应急处置任务，在接到采购人通知后可在 2小时内到场处理的得2分，须提供相关承诺函（格式自拟），未承诺的本项不得分。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1435" w:type="dxa"/>
            <w:noWrap/>
            <w:vAlign w:val="center"/>
          </w:tcPr>
          <w:p>
            <w:pPr>
              <w:spacing w:line="420" w:lineRule="exact"/>
              <w:rPr>
                <w:rFonts w:ascii="宋体" w:hAnsi="宋体" w:cs="宋体"/>
                <w:sz w:val="24"/>
                <w:szCs w:val="24"/>
              </w:rPr>
            </w:pPr>
            <w:r>
              <w:rPr>
                <w:rFonts w:hint="eastAsia" w:ascii="宋体" w:hAnsi="宋体" w:cs="宋体"/>
                <w:sz w:val="24"/>
                <w:szCs w:val="24"/>
              </w:rPr>
              <w:t>8、服务质量保证</w:t>
            </w:r>
          </w:p>
        </w:tc>
        <w:tc>
          <w:tcPr>
            <w:tcW w:w="709" w:type="dxa"/>
            <w:noWrap/>
            <w:vAlign w:val="center"/>
          </w:tcPr>
          <w:p>
            <w:pPr>
              <w:spacing w:line="420" w:lineRule="exact"/>
              <w:rPr>
                <w:rFonts w:ascii="宋体" w:hAnsi="宋体" w:cs="宋体"/>
                <w:sz w:val="24"/>
                <w:szCs w:val="24"/>
              </w:rPr>
            </w:pPr>
            <w:r>
              <w:rPr>
                <w:rFonts w:hint="eastAsia" w:ascii="宋体" w:hAnsi="宋体" w:cs="宋体"/>
                <w:sz w:val="24"/>
                <w:szCs w:val="24"/>
              </w:rPr>
              <w:t>3</w:t>
            </w:r>
          </w:p>
        </w:tc>
        <w:tc>
          <w:tcPr>
            <w:tcW w:w="7919" w:type="dxa"/>
            <w:noWrap/>
            <w:vAlign w:val="center"/>
          </w:tcPr>
          <w:p>
            <w:pPr>
              <w:spacing w:line="420" w:lineRule="exact"/>
              <w:rPr>
                <w:rFonts w:ascii="宋体" w:hAnsi="宋体" w:cs="宋体"/>
                <w:sz w:val="24"/>
                <w:szCs w:val="24"/>
              </w:rPr>
            </w:pPr>
            <w:r>
              <w:rPr>
                <w:rFonts w:hint="eastAsia" w:ascii="宋体" w:hAnsi="宋体" w:cs="宋体"/>
                <w:sz w:val="24"/>
                <w:szCs w:val="24"/>
              </w:rPr>
              <w:t>根据投标人制定的服务质量保证情况进行</w:t>
            </w:r>
            <w:r>
              <w:rPr>
                <w:rFonts w:hint="eastAsia" w:ascii="宋体" w:hAnsi="宋体" w:cs="宋体"/>
                <w:kern w:val="0"/>
                <w:sz w:val="24"/>
                <w:szCs w:val="24"/>
              </w:rPr>
              <w:t>评分</w:t>
            </w:r>
            <w:r>
              <w:rPr>
                <w:rFonts w:hint="eastAsia" w:ascii="宋体" w:hAnsi="宋体" w:cs="宋体"/>
                <w:sz w:val="24"/>
                <w:szCs w:val="24"/>
              </w:rPr>
              <w:t>：方案详实、完整、可操作性强的得 3分；方案部分详实或部分内容可操作性较强的得 2.9分；方案阐述简短或方案可操作性一般的得 2.8分；</w:t>
            </w:r>
            <w:r>
              <w:rPr>
                <w:rFonts w:hint="eastAsia" w:ascii="宋体" w:hAnsi="宋体" w:cs="宋体"/>
                <w:kern w:val="0"/>
                <w:sz w:val="24"/>
                <w:szCs w:val="24"/>
              </w:rPr>
              <w:t>未提供方案的不得分</w:t>
            </w:r>
            <w:r>
              <w:rPr>
                <w:rFonts w:hint="eastAsia" w:ascii="宋体" w:hAnsi="宋体" w:cs="宋体"/>
                <w:sz w:val="24"/>
                <w:szCs w:val="24"/>
              </w:rPr>
              <w:t>。</w:t>
            </w:r>
          </w:p>
        </w:tc>
      </w:tr>
    </w:tbl>
    <w:p>
      <w:pPr>
        <w:pStyle w:val="48"/>
        <w:spacing w:before="0" w:beforeAutospacing="0" w:after="0" w:afterAutospacing="0" w:line="400" w:lineRule="exact"/>
        <w:rPr>
          <w:rFonts w:asciiTheme="minorEastAsia" w:hAnsiTheme="minorEastAsia" w:eastAsiaTheme="minorEastAsia" w:cstheme="minorEastAsia"/>
          <w:b/>
        </w:rPr>
      </w:pPr>
    </w:p>
    <w:p>
      <w:pPr>
        <w:pStyle w:val="48"/>
        <w:spacing w:before="0" w:beforeAutospacing="0" w:after="0" w:afterAutospacing="0"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C：报价部分评分               满分</w:t>
      </w:r>
      <w:r>
        <w:rPr>
          <w:rFonts w:hint="eastAsia" w:asciiTheme="minorEastAsia" w:hAnsiTheme="minorEastAsia" w:eastAsiaTheme="minorEastAsia" w:cstheme="minorEastAsia"/>
          <w:b/>
          <w:u w:val="single"/>
        </w:rPr>
        <w:t>10</w:t>
      </w:r>
      <w:r>
        <w:rPr>
          <w:rFonts w:hint="eastAsia" w:asciiTheme="minorEastAsia" w:hAnsiTheme="minorEastAsia" w:eastAsiaTheme="minorEastAsia" w:cstheme="minorEastAsia"/>
          <w:b/>
        </w:rPr>
        <w:t>分</w:t>
      </w:r>
    </w:p>
    <w:p>
      <w:pPr>
        <w:pStyle w:val="48"/>
        <w:spacing w:before="0" w:beforeAutospacing="0" w:after="0" w:afterAutospacing="0" w:line="400" w:lineRule="exact"/>
        <w:ind w:firstLine="480"/>
      </w:pPr>
      <w:r>
        <w:rPr>
          <w:rFonts w:hint="eastAsia" w:asciiTheme="minorEastAsia" w:hAnsiTheme="minorEastAsia" w:eastAsiaTheme="minorEastAsia" w:cstheme="minorEastAsia"/>
        </w:rPr>
        <w:t>a.价格分采用低价优先法计算，即满足招标文件要求且投标价格最低的投标报价为评标基准价，其价格分为满分。其他投标人的价格分统一按照下列公式计算：投标报价得分=（评标基准价／投标报价）×100×报价分值权重。</w:t>
      </w:r>
      <w:r>
        <w:rPr>
          <w:rFonts w:hint="eastAsia"/>
        </w:rPr>
        <w:t>因落实政府采购政策需进行价格扣除的，以扣除后的价格计算评标基准价和投标报价。</w:t>
      </w:r>
    </w:p>
    <w:p>
      <w:pPr>
        <w:pStyle w:val="48"/>
        <w:spacing w:before="0" w:beforeAutospacing="0" w:after="0" w:afterAutospacing="0" w:line="400" w:lineRule="exact"/>
        <w:ind w:firstLine="480"/>
        <w:rPr>
          <w:rFonts w:asciiTheme="minorEastAsia" w:hAnsiTheme="minorEastAsia" w:eastAsiaTheme="minorEastAsia" w:cstheme="minorEastAsia"/>
        </w:rPr>
      </w:pPr>
    </w:p>
    <w:p>
      <w:pPr>
        <w:spacing w:line="400" w:lineRule="exact"/>
        <w:ind w:firstLine="481"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二、其它规定</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1、评标应全程保密且不得透露给任一投标人或与评标工作无关的人员。</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2、评标将进行全程实时录音录像，录音录像资料随采购文件一并存档。</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3、若投标人有任何试图干扰具体评标事务，影响评标委员会独立履行职责的行为，</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其投标无效且不予退还投标保证金。情节严重的，由财政部门列入不良行为记录。</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4、其他：无</w:t>
      </w:r>
    </w:p>
    <w:p>
      <w:pPr>
        <w:spacing w:line="360" w:lineRule="exact"/>
        <w:ind w:firstLine="434" w:firstLineChars="181"/>
        <w:rPr>
          <w:rFonts w:asciiTheme="minorEastAsia" w:hAnsiTheme="minorEastAsia" w:eastAsiaTheme="minorEastAsia" w:cstheme="minorEastAsia"/>
          <w:sz w:val="24"/>
          <w:szCs w:val="24"/>
        </w:rPr>
      </w:pPr>
    </w:p>
    <w:p>
      <w:pPr>
        <w:widowControl/>
        <w:spacing w:line="360" w:lineRule="exact"/>
        <w:ind w:firstLine="595"/>
        <w:jc w:val="left"/>
        <w:rPr>
          <w:rFonts w:asciiTheme="minorEastAsia" w:hAnsiTheme="minorEastAsia" w:eastAsiaTheme="minorEastAsia" w:cstheme="minorEastAsia"/>
          <w:b/>
          <w:bCs/>
          <w:kern w:val="0"/>
          <w:sz w:val="24"/>
          <w:szCs w:val="24"/>
        </w:rPr>
      </w:pPr>
    </w:p>
    <w:bookmarkEnd w:id="10"/>
    <w:bookmarkEnd w:id="17"/>
    <w:p>
      <w:pPr>
        <w:widowControl/>
        <w:jc w:val="left"/>
        <w:rPr>
          <w:rFonts w:asciiTheme="minorEastAsia" w:hAnsiTheme="minorEastAsia" w:eastAsiaTheme="minorEastAsia" w:cstheme="minorEastAsia"/>
          <w:b/>
          <w:sz w:val="24"/>
          <w:szCs w:val="24"/>
        </w:rPr>
      </w:pPr>
      <w:bookmarkStart w:id="20" w:name="_Toc531180675"/>
      <w:bookmarkStart w:id="21" w:name="_Toc24854"/>
      <w:bookmarkStart w:id="22" w:name="_Toc421107730"/>
      <w:r>
        <w:rPr>
          <w:rFonts w:asciiTheme="minorEastAsia" w:hAnsiTheme="minorEastAsia" w:eastAsiaTheme="minorEastAsia" w:cstheme="minorEastAsia"/>
          <w:b/>
          <w:sz w:val="24"/>
          <w:szCs w:val="24"/>
        </w:rPr>
        <w:br w:type="page"/>
      </w:r>
    </w:p>
    <w:p>
      <w:pPr>
        <w:snapToGrid w:val="0"/>
        <w:spacing w:line="360" w:lineRule="exact"/>
        <w:jc w:val="center"/>
        <w:outlineLvl w:val="1"/>
        <w:rPr>
          <w:rFonts w:asciiTheme="minorEastAsia" w:hAnsiTheme="minorEastAsia" w:eastAsiaTheme="minorEastAsia" w:cstheme="minorEastAsia"/>
          <w:b/>
          <w:sz w:val="24"/>
          <w:szCs w:val="24"/>
        </w:rPr>
      </w:pPr>
      <w:bookmarkStart w:id="23" w:name="_Toc195709373"/>
      <w:r>
        <w:rPr>
          <w:rFonts w:hint="eastAsia" w:asciiTheme="minorEastAsia" w:hAnsiTheme="minorEastAsia" w:eastAsiaTheme="minorEastAsia" w:cstheme="minorEastAsia"/>
          <w:b/>
          <w:sz w:val="24"/>
          <w:szCs w:val="24"/>
        </w:rPr>
        <w:t>一、说明</w:t>
      </w:r>
      <w:bookmarkEnd w:id="20"/>
      <w:bookmarkEnd w:id="23"/>
    </w:p>
    <w:p>
      <w:pPr>
        <w:spacing w:line="3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 适用范围</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本招标文件仅适用于招标邀请中所叙述项目的货物及服务采购。</w:t>
      </w:r>
    </w:p>
    <w:p>
      <w:pPr>
        <w:spacing w:line="3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 定义</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“采购人”系指本次采购项目的业主方。</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“代理机构”系指本次招标采购项目活动组织方。</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 “投标人”系指购买了本招标文件，且已经提交或者准备提交本次投标文件的制造商或供货商。</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“货物”系指投标人按招标文件规定向采购人提供的一切货物、备品备件、工具及其它有关技术资料和材料。</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 “服务”系指招标文件规定投标人须承担的调试、技术协助、校准、以及其他类似的义务。</w:t>
      </w:r>
    </w:p>
    <w:p>
      <w:pPr>
        <w:pStyle w:val="2"/>
        <w:ind w:firstLine="600" w:firstLineChars="250"/>
      </w:pPr>
      <w:r>
        <w:rPr>
          <w:rFonts w:hint="eastAsia" w:cs="宋体" w:asciiTheme="minorEastAsia" w:hAnsiTheme="minorEastAsia" w:eastAsiaTheme="minorEastAsia"/>
          <w:sz w:val="24"/>
        </w:rPr>
        <w:t>2.6</w:t>
      </w:r>
      <w:r>
        <w:rPr>
          <w:rFonts w:cs="宋体" w:asciiTheme="minorEastAsia" w:hAnsiTheme="minorEastAsia" w:eastAsiaTheme="minorEastAsia"/>
          <w:sz w:val="24"/>
        </w:rPr>
        <w:t>“单位负责人”指单位法定代表人（</w:t>
      </w:r>
      <w:r>
        <w:rPr>
          <w:rFonts w:hint="eastAsia" w:cs="宋体" w:asciiTheme="minorEastAsia" w:hAnsiTheme="minorEastAsia" w:eastAsiaTheme="minorEastAsia"/>
          <w:sz w:val="24"/>
        </w:rPr>
        <w:t>投标人</w:t>
      </w:r>
      <w:r>
        <w:rPr>
          <w:rFonts w:cs="宋体" w:asciiTheme="minorEastAsia" w:hAnsiTheme="minorEastAsia" w:eastAsiaTheme="minorEastAsia"/>
          <w:sz w:val="24"/>
        </w:rPr>
        <w:t>为法人的）或法律、法规规定代表单位行使职权的主要负责人（</w:t>
      </w:r>
      <w:r>
        <w:rPr>
          <w:rFonts w:hint="eastAsia" w:cs="宋体" w:asciiTheme="minorEastAsia" w:hAnsiTheme="minorEastAsia" w:eastAsiaTheme="minorEastAsia"/>
          <w:sz w:val="24"/>
        </w:rPr>
        <w:t>投标人</w:t>
      </w:r>
      <w:r>
        <w:rPr>
          <w:rFonts w:cs="宋体" w:asciiTheme="minorEastAsia" w:hAnsiTheme="minorEastAsia" w:eastAsiaTheme="minorEastAsia"/>
          <w:sz w:val="24"/>
        </w:rPr>
        <w:t>为其他组织的）。</w:t>
      </w:r>
    </w:p>
    <w:p>
      <w:pPr>
        <w:spacing w:line="3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 合格的投标人</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投标人应符合投标人须知前附表第2项所规定的资格标准条件。</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投标人应遵守中国的有关法律、法规和规章的规定。</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3.3投标人不得与本次招标项下设计、编制技术规格和其它文件的公司或提供咨询服务的公司包括其附属机构有任何关联。</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 一个投标人只能提交一个投标文件。但如果投标人之间存在下列互为关联关系的情形之一的，不得同时参加本项目投标：</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（1）单位负责人为同一人的两个及两个以上法人；</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（2）母公司、直接或间接持股50％及以上的被投资公司;</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（3）均为同一家母公司直接或间接持股50％及以上的被投资公司。</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 招标代理人在同一个项目中只能接受一个投标人的委托参加投标。</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参加政府采购活动前三年内，在经营活动中没有重大违法记录。</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 投标人应具备《中华人民共和国政府采购法》第二十二条规定的条件。</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 投标费用</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投标人自行承担其参加投标所涉及的一切费用。</w:t>
      </w:r>
    </w:p>
    <w:p>
      <w:pPr>
        <w:spacing w:line="360" w:lineRule="exact"/>
        <w:jc w:val="center"/>
        <w:rPr>
          <w:rFonts w:asciiTheme="minorEastAsia" w:hAnsiTheme="minorEastAsia" w:eastAsiaTheme="minorEastAsia" w:cstheme="minorEastAsia"/>
          <w:b/>
          <w:bCs/>
          <w:sz w:val="24"/>
          <w:szCs w:val="24"/>
        </w:rPr>
      </w:pPr>
      <w:bookmarkStart w:id="24" w:name="_Toc2312"/>
    </w:p>
    <w:p>
      <w:pPr>
        <w:spacing w:line="360" w:lineRule="exact"/>
        <w:jc w:val="center"/>
        <w:outlineLvl w:val="1"/>
        <w:rPr>
          <w:rFonts w:asciiTheme="minorEastAsia" w:hAnsiTheme="minorEastAsia" w:eastAsiaTheme="minorEastAsia" w:cstheme="minorEastAsia"/>
          <w:b/>
          <w:sz w:val="24"/>
          <w:szCs w:val="24"/>
        </w:rPr>
      </w:pPr>
      <w:bookmarkStart w:id="25" w:name="_Toc195709374"/>
      <w:bookmarkStart w:id="26" w:name="_Toc531180676"/>
      <w:r>
        <w:rPr>
          <w:rFonts w:hint="eastAsia" w:asciiTheme="minorEastAsia" w:hAnsiTheme="minorEastAsia" w:eastAsiaTheme="minorEastAsia" w:cstheme="minorEastAsia"/>
          <w:b/>
          <w:bCs/>
          <w:sz w:val="24"/>
          <w:szCs w:val="24"/>
        </w:rPr>
        <w:t>二、招标文件</w:t>
      </w:r>
      <w:bookmarkEnd w:id="24"/>
      <w:bookmarkEnd w:id="25"/>
      <w:bookmarkEnd w:id="26"/>
    </w:p>
    <w:p>
      <w:pPr>
        <w:spacing w:line="3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 招标文件的组成</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招标文件用以阐明所需货物及服务招标程序和合同主要条款。招标文件由下述部分组成：</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（1）招标邀请</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（2）投标人须知 </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（3）招标内容及要求</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bCs/>
          <w:sz w:val="24"/>
          <w:szCs w:val="24"/>
        </w:rPr>
        <w:t>合同主要条款</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（5）投标文件格式</w:t>
      </w:r>
    </w:p>
    <w:p>
      <w:pPr>
        <w:spacing w:line="360" w:lineRule="exact"/>
        <w:rPr>
          <w:rFonts w:asciiTheme="minorEastAsia" w:hAnsiTheme="minorEastAsia" w:eastAsiaTheme="minorEastAsia" w:cstheme="minorEastAsia"/>
          <w:b/>
          <w:bCs/>
          <w:sz w:val="24"/>
          <w:szCs w:val="24"/>
        </w:rPr>
      </w:pPr>
      <w:bookmarkStart w:id="27" w:name="_Toc430492126"/>
      <w:bookmarkStart w:id="28" w:name="_Toc415567497"/>
      <w:bookmarkStart w:id="29" w:name="_Toc430488644"/>
      <w:bookmarkStart w:id="30" w:name="_Toc430490612"/>
      <w:bookmarkStart w:id="31" w:name="_Toc430488851"/>
      <w:bookmarkStart w:id="32" w:name="_Toc430422413"/>
      <w:bookmarkStart w:id="33" w:name="_Toc430489119"/>
      <w:r>
        <w:rPr>
          <w:rFonts w:hint="eastAsia" w:asciiTheme="minorEastAsia" w:hAnsiTheme="minorEastAsia" w:eastAsiaTheme="minorEastAsia" w:cstheme="minorEastAsia"/>
          <w:b/>
          <w:bCs/>
          <w:sz w:val="24"/>
          <w:szCs w:val="24"/>
        </w:rPr>
        <w:t>6.</w:t>
      </w:r>
      <w:bookmarkEnd w:id="27"/>
      <w:bookmarkEnd w:id="28"/>
      <w:bookmarkEnd w:id="29"/>
      <w:bookmarkEnd w:id="30"/>
      <w:bookmarkEnd w:id="31"/>
      <w:bookmarkEnd w:id="32"/>
      <w:bookmarkEnd w:id="33"/>
      <w:r>
        <w:rPr>
          <w:rFonts w:hint="eastAsia" w:asciiTheme="minorEastAsia" w:hAnsiTheme="minorEastAsia" w:eastAsiaTheme="minorEastAsia" w:cstheme="minorEastAsia"/>
          <w:b/>
          <w:bCs/>
          <w:sz w:val="24"/>
          <w:szCs w:val="24"/>
        </w:rPr>
        <w:t xml:space="preserve"> 招标文件的澄清</w:t>
      </w:r>
    </w:p>
    <w:p>
      <w:pPr>
        <w:spacing w:line="360" w:lineRule="exact"/>
        <w:ind w:firstLine="480" w:firstLineChars="200"/>
        <w:rPr>
          <w:rFonts w:asciiTheme="minorEastAsia" w:hAnsiTheme="minorEastAsia" w:eastAsiaTheme="minorEastAsia" w:cstheme="minorEastAsia"/>
          <w:sz w:val="24"/>
          <w:szCs w:val="24"/>
        </w:rPr>
      </w:pPr>
      <w:bookmarkStart w:id="34" w:name="_Toc430489120"/>
      <w:bookmarkStart w:id="35" w:name="_Toc415567498"/>
      <w:bookmarkStart w:id="36" w:name="_Toc430492127"/>
      <w:bookmarkStart w:id="37" w:name="_Toc430422414"/>
      <w:bookmarkStart w:id="38" w:name="_Toc430488852"/>
      <w:bookmarkStart w:id="39" w:name="_Toc430490613"/>
      <w:bookmarkStart w:id="40" w:name="_Toc430488645"/>
      <w:r>
        <w:rPr>
          <w:rFonts w:hint="eastAsia" w:asciiTheme="minorEastAsia" w:hAnsiTheme="minorEastAsia" w:eastAsiaTheme="minorEastAsia" w:cstheme="minorEastAsia"/>
          <w:sz w:val="24"/>
          <w:szCs w:val="24"/>
        </w:rPr>
        <w:t>6.1  投标人对招标文件提出质疑，应以书面形式原件并携带单位负责人授权书原件、授权代表身份证复印件、企业营业执照副本复印件、税务登记证副本复印件、组织机构代码证复印件并加盖投标人公章，送达福建华真招标代理有限公司。</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质疑的内容须提供事实依据，投标人在报名之日起7个工作日内, 未以书面形式（有效签名的原件并加盖投标人公章）提出疑义的视为认同本招标文件中所有条款，今后将无权提出任何疑义。</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投标人需在法定质疑期内一次性提出针对同一招标程序环节质疑，否则重复提交的质疑函将不予接收。</w:t>
      </w:r>
    </w:p>
    <w:p>
      <w:pPr>
        <w:widowControl/>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6.4质疑书格式如下：</w:t>
      </w: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0" w:type="dxa"/>
            <w:tcBorders>
              <w:top w:val="single" w:color="auto" w:sz="4" w:space="0"/>
              <w:left w:val="single" w:color="auto" w:sz="4" w:space="0"/>
              <w:bottom w:val="single" w:color="auto" w:sz="4" w:space="0"/>
              <w:right w:val="single" w:color="auto" w:sz="4" w:space="0"/>
            </w:tcBorders>
          </w:tcPr>
          <w:p>
            <w:pPr>
              <w:spacing w:line="360" w:lineRule="exact"/>
              <w:ind w:left="1" w:hanging="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质 疑 书</w:t>
            </w:r>
          </w:p>
          <w:p>
            <w:pPr>
              <w:spacing w:line="360" w:lineRule="exact"/>
              <w:ind w:left="1" w:hanging="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(招标代理机构名称)：</w:t>
            </w:r>
          </w:p>
          <w:p>
            <w:pPr>
              <w:spacing w:line="360" w:lineRule="exact"/>
              <w:ind w:left="1"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我方认为项目的招标活动中有几个内容损害了我公司的权益，现以书面原件形式提出质疑，并</w:t>
            </w:r>
            <w:r>
              <w:rPr>
                <w:rFonts w:hint="eastAsia" w:asciiTheme="minorEastAsia" w:hAnsiTheme="minorEastAsia" w:eastAsiaTheme="minorEastAsia" w:cstheme="minorEastAsia"/>
                <w:kern w:val="0"/>
                <w:sz w:val="24"/>
                <w:szCs w:val="24"/>
              </w:rPr>
              <w:t>提出以下请求和提供必要的证明材料。质疑的事实和理由：</w:t>
            </w:r>
          </w:p>
          <w:p>
            <w:pPr>
              <w:spacing w:line="360" w:lineRule="exact"/>
              <w:ind w:left="1" w:firstLine="468" w:firstLineChars="1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(事宜经过)            </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 xml:space="preserve">  (事宜经过)            </w:t>
            </w:r>
            <w:r>
              <w:rPr>
                <w:rFonts w:hint="eastAsia" w:asciiTheme="minorEastAsia" w:hAnsiTheme="minorEastAsia" w:eastAsiaTheme="minorEastAsia" w:cstheme="minorEastAsia"/>
                <w:sz w:val="24"/>
                <w:szCs w:val="24"/>
              </w:rPr>
              <w:t>；……</w:t>
            </w:r>
          </w:p>
          <w:p>
            <w:pPr>
              <w:spacing w:line="360" w:lineRule="exact"/>
              <w:ind w:left="1" w:firstLine="468" w:firstLineChars="1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我们认为，以上几项，违背了法律法规的有关规定，其中第1项违背《</w:t>
            </w:r>
            <w:r>
              <w:rPr>
                <w:rFonts w:hint="eastAsia" w:asciiTheme="minorEastAsia" w:hAnsiTheme="minorEastAsia" w:eastAsiaTheme="minorEastAsia" w:cstheme="minorEastAsia"/>
                <w:sz w:val="24"/>
                <w:szCs w:val="24"/>
                <w:u w:val="single"/>
              </w:rPr>
              <w:t xml:space="preserve">           法</w:t>
            </w:r>
            <w:r>
              <w:rPr>
                <w:rFonts w:hint="eastAsia" w:asciiTheme="minorEastAsia" w:hAnsiTheme="minorEastAsia" w:eastAsiaTheme="minorEastAsia" w:cstheme="minorEastAsia"/>
                <w:sz w:val="24"/>
                <w:szCs w:val="24"/>
              </w:rPr>
              <w:t>》第条的“”规定，第2项违背《</w:t>
            </w:r>
            <w:r>
              <w:rPr>
                <w:rFonts w:hint="eastAsia" w:asciiTheme="minorEastAsia" w:hAnsiTheme="minorEastAsia" w:eastAsiaTheme="minorEastAsia" w:cstheme="minorEastAsia"/>
                <w:sz w:val="24"/>
                <w:szCs w:val="24"/>
                <w:u w:val="single"/>
              </w:rPr>
              <w:t xml:space="preserve">              法</w:t>
            </w:r>
            <w:r>
              <w:rPr>
                <w:rFonts w:hint="eastAsia" w:asciiTheme="minorEastAsia" w:hAnsiTheme="minorEastAsia" w:eastAsiaTheme="minorEastAsia" w:cstheme="minorEastAsia"/>
                <w:sz w:val="24"/>
                <w:szCs w:val="24"/>
              </w:rPr>
              <w:t>》第条的规定，请予审查纠正为盼。</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投标人：(全称并加</w:t>
            </w:r>
            <w:r>
              <w:rPr>
                <w:rFonts w:hint="eastAsia" w:asciiTheme="minorEastAsia" w:hAnsiTheme="minorEastAsia" w:eastAsiaTheme="minorEastAsia" w:cstheme="minorEastAsia"/>
                <w:sz w:val="24"/>
                <w:szCs w:val="24"/>
                <w:u w:val="single"/>
              </w:rPr>
              <w:t>盖</w:t>
            </w:r>
            <w:r>
              <w:rPr>
                <w:rFonts w:hint="eastAsia" w:asciiTheme="minorEastAsia" w:hAnsiTheme="minorEastAsia" w:eastAsiaTheme="minorEastAsia" w:cstheme="minorEastAsia"/>
                <w:sz w:val="24"/>
                <w:szCs w:val="24"/>
              </w:rPr>
              <w:t>投标人公章)</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单位负责人签字：</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代理人签字：</w:t>
            </w:r>
          </w:p>
          <w:p>
            <w:pPr>
              <w:spacing w:line="36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地址：联系电话：</w:t>
            </w:r>
          </w:p>
          <w:p>
            <w:pPr>
              <w:spacing w:line="36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邮编：传真：</w:t>
            </w:r>
          </w:p>
          <w:p>
            <w:pPr>
              <w:spacing w:line="36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日期：</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注：投标人提供的资料应包括但不限于以下内容：</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1.投标人提出质疑时，应提交质疑函和必要的证明材料。</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若委托代理人进行质疑的，质疑函应按要求列明“授权代表”的有关内容，并在附件中提交由投标人签署的授权委托书。授权委托书应载明代理人的姓名或者名称、代理事项、具体权限、期限和相关事项。</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3.质疑函的质疑事项应具体、明确，并有必要的事实依据和法律依据。</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4.质疑函的质疑请求应与质疑事项相关。</w:t>
            </w:r>
          </w:p>
        </w:tc>
      </w:tr>
    </w:tbl>
    <w:p>
      <w:pPr>
        <w:spacing w:line="360" w:lineRule="exact"/>
        <w:rPr>
          <w:rFonts w:asciiTheme="minorEastAsia" w:hAnsiTheme="minorEastAsia" w:eastAsiaTheme="minorEastAsia" w:cstheme="minorEastAsia"/>
          <w:b/>
          <w:bCs/>
          <w:sz w:val="24"/>
          <w:szCs w:val="24"/>
        </w:rPr>
      </w:pP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7. 招标文件的修改</w:t>
      </w:r>
      <w:bookmarkEnd w:id="34"/>
      <w:bookmarkEnd w:id="35"/>
      <w:bookmarkEnd w:id="36"/>
      <w:bookmarkEnd w:id="37"/>
      <w:bookmarkEnd w:id="38"/>
      <w:bookmarkEnd w:id="39"/>
      <w:bookmarkEnd w:id="40"/>
    </w:p>
    <w:p>
      <w:pPr>
        <w:snapToGrid w:val="0"/>
        <w:spacing w:line="360" w:lineRule="exact"/>
        <w:ind w:firstLine="480" w:firstLineChars="200"/>
        <w:rPr>
          <w:rFonts w:asciiTheme="minorEastAsia" w:hAnsiTheme="minorEastAsia" w:eastAsiaTheme="minorEastAsia" w:cstheme="minorEastAsia"/>
          <w:sz w:val="24"/>
          <w:szCs w:val="24"/>
        </w:rPr>
      </w:pPr>
      <w:bookmarkStart w:id="41" w:name="_Toc322791701"/>
      <w:r>
        <w:rPr>
          <w:rFonts w:hint="eastAsia" w:asciiTheme="minorEastAsia" w:hAnsiTheme="minorEastAsia" w:eastAsiaTheme="minorEastAsia" w:cstheme="minorEastAsia"/>
          <w:sz w:val="24"/>
          <w:szCs w:val="24"/>
        </w:rPr>
        <w:t>7.1 修改内容为招标文件的组成部分，对投标人具有约束力。</w:t>
      </w:r>
      <w:bookmarkEnd w:id="41"/>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 招标代理机构可酌情推迟投标截止时间和开标时间，但应当至少在投标截止时间15日前将变更时间以书面形式通知所有投标人。该修改内容为招标文件的组成部分。</w:t>
      </w:r>
    </w:p>
    <w:p>
      <w:pPr>
        <w:snapToGrid w:val="0"/>
        <w:spacing w:line="360" w:lineRule="exact"/>
        <w:rPr>
          <w:rFonts w:asciiTheme="minorEastAsia" w:hAnsiTheme="minorEastAsia" w:eastAsiaTheme="minorEastAsia" w:cstheme="minorEastAsia"/>
          <w:sz w:val="24"/>
          <w:szCs w:val="24"/>
        </w:rPr>
      </w:pPr>
    </w:p>
    <w:p>
      <w:pPr>
        <w:spacing w:line="360" w:lineRule="exact"/>
        <w:jc w:val="center"/>
        <w:outlineLvl w:val="1"/>
        <w:rPr>
          <w:rFonts w:asciiTheme="minorEastAsia" w:hAnsiTheme="minorEastAsia" w:eastAsiaTheme="minorEastAsia" w:cstheme="minorEastAsia"/>
          <w:b/>
          <w:sz w:val="24"/>
          <w:szCs w:val="24"/>
        </w:rPr>
      </w:pPr>
      <w:bookmarkStart w:id="42" w:name="_Toc531180677"/>
      <w:bookmarkStart w:id="43" w:name="_Toc195709375"/>
      <w:bookmarkStart w:id="44" w:name="_Toc1185"/>
      <w:bookmarkStart w:id="45" w:name="_Toc421107724"/>
      <w:r>
        <w:rPr>
          <w:rFonts w:hint="eastAsia" w:asciiTheme="minorEastAsia" w:hAnsiTheme="minorEastAsia" w:eastAsiaTheme="minorEastAsia" w:cstheme="minorEastAsia"/>
          <w:b/>
          <w:sz w:val="24"/>
          <w:szCs w:val="24"/>
        </w:rPr>
        <w:t>三、投标文件的编写</w:t>
      </w:r>
      <w:bookmarkEnd w:id="42"/>
      <w:bookmarkEnd w:id="43"/>
      <w:bookmarkEnd w:id="44"/>
      <w:bookmarkEnd w:id="45"/>
    </w:p>
    <w:p>
      <w:pPr>
        <w:spacing w:line="3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 要求</w:t>
      </w:r>
    </w:p>
    <w:p>
      <w:pPr>
        <w:spacing w:line="36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投标人应仔细阅读招标文件的所有内容，按照招标文件的要求提交投标文件。投标文件应对招标文件的要求做出实质性响应，并保证所提供的全部资料的真实性，否则其投标文件将被拒绝。</w:t>
      </w:r>
    </w:p>
    <w:p>
      <w:pPr>
        <w:spacing w:line="3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 投标文件语言</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投标文件应用中文书写。投标文件中所附或所引用的原件不是中文时，应附中文译本。各种计量单位及符号应采用国际上统一使用的公制计量单位和符号。</w:t>
      </w:r>
    </w:p>
    <w:p>
      <w:pPr>
        <w:spacing w:line="3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10.投标文件的组成</w:t>
      </w:r>
    </w:p>
    <w:p>
      <w:pPr>
        <w:tabs>
          <w:tab w:val="left" w:pos="360"/>
        </w:tabs>
        <w:spacing w:line="360" w:lineRule="exact"/>
        <w:ind w:firstLine="1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详见第五章投标文件格式</w:t>
      </w:r>
    </w:p>
    <w:p>
      <w:pPr>
        <w:spacing w:line="3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 投标有效期</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投标文件从</w:t>
      </w:r>
      <w:r>
        <w:rPr>
          <w:rFonts w:hint="eastAsia" w:asciiTheme="minorEastAsia" w:hAnsiTheme="minorEastAsia" w:eastAsiaTheme="minorEastAsia" w:cstheme="minorEastAsia"/>
          <w:bCs/>
          <w:sz w:val="24"/>
          <w:szCs w:val="24"/>
        </w:rPr>
        <w:t>投标人须知前附表</w:t>
      </w:r>
      <w:r>
        <w:rPr>
          <w:rFonts w:hint="eastAsia" w:asciiTheme="minorEastAsia" w:hAnsiTheme="minorEastAsia" w:eastAsiaTheme="minorEastAsia" w:cstheme="minorEastAsia"/>
          <w:sz w:val="24"/>
          <w:szCs w:val="24"/>
        </w:rPr>
        <w:t>第4项所规定的投标截止期之后开始生效，在</w:t>
      </w:r>
      <w:r>
        <w:rPr>
          <w:rFonts w:hint="eastAsia" w:asciiTheme="minorEastAsia" w:hAnsiTheme="minorEastAsia" w:eastAsiaTheme="minorEastAsia" w:cstheme="minorEastAsia"/>
          <w:bCs/>
          <w:sz w:val="24"/>
          <w:szCs w:val="24"/>
        </w:rPr>
        <w:t>投标人须知前附表</w:t>
      </w:r>
      <w:r>
        <w:rPr>
          <w:rFonts w:hint="eastAsia" w:asciiTheme="minorEastAsia" w:hAnsiTheme="minorEastAsia" w:eastAsiaTheme="minorEastAsia" w:cstheme="minorEastAsia"/>
          <w:sz w:val="24"/>
          <w:szCs w:val="24"/>
        </w:rPr>
        <w:t>第3项所规定的期限内保持有效。有效期不足将导致其投标文件被拒绝。</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特殊情况下福建华真招标代理有限公司可于投标有效期满之前书面要求投标人同意延长有效期，投标人应在福建华真招标代理有限公司规定的期限内以书面形式予以答复。投标人可以拒绝上述要求而其投标保证金可按规定予以退还。投标人答复不明确或者逾期未答复的，均视为拒绝上述要求。对于接受该要求的投标人，既不要求也不允许其修改招标文件，但有关退还或不予退还投标保证金的规定在投标有效期延长期内继续有效。</w:t>
      </w:r>
    </w:p>
    <w:p>
      <w:pPr>
        <w:spacing w:line="36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12. 投标保证金</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投标保证金为投标文件的组成部分之一。</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 投标人应在提交投标文件之前向福建华真招标代理有限公司缴交投标人须知前附表第5项要求的投标保证金。</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 投标保证金用于保护本次招标活动免受投标人的行为而引起的风险。</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 保证金的形式：以公司名义按银行转账、电汇等非现金方式（不接受现金、现金存款方式）。</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12.5 未按规定缴交投标保证金的投标，将被视为无效投标。</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12.6 福建华真招标代理有限公司将在中标通知书发出后予以原额无息退还中标人以外的投标人的投标保证金。投标人应向福建华真招标代理有限公司提供《退回保证金申请函》及开户许可证复印件并加盖公章办理退还投标保证金手续。</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 在中标人签订合同后5个工作日内，中标人的投标保证金予以原额无息退还。</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12.8 发生以下情况之一的，投标保证金将不予退还：</w:t>
      </w:r>
    </w:p>
    <w:p>
      <w:pPr>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（1）中标人在投标截止期后，投标有效期内撤回投标；</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（2）中标人未能做到按本须知第22条规定签订合同；</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（3）中标人未按投标人须知前附表规定缴纳成交服务费；</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（4）以他人名义投标或者以其他方式弄虚作假，骗取成交；</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（5）本招标文件中规定的其他没收投标保证金的情形。</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上述不予退还投标保证金的情况给采购单位造成损失的，还要承担赔偿责任。</w:t>
      </w:r>
    </w:p>
    <w:p>
      <w:pPr>
        <w:spacing w:line="360" w:lineRule="exact"/>
        <w:ind w:firstLine="481"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13、投标文件的编制</w:t>
      </w:r>
    </w:p>
    <w:p>
      <w:pPr>
        <w:spacing w:line="360" w:lineRule="exact"/>
        <w:ind w:firstLine="481"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13.1  投标文件的装订：投标人须按本招标文件中第五章第一册“报价部分”和第二册“技术商务部分”要求规定的内容和顺序分别编制和单独装订投标文件：</w:t>
      </w:r>
    </w:p>
    <w:p>
      <w:pPr>
        <w:spacing w:line="360" w:lineRule="exact"/>
        <w:ind w:firstLine="481"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报价部分投标文件要求独立编制：投标文件正本一份，副本五份。正本必须用A4幅面纸张打印，应编制封面、目录、页码。副本可以用正本的完整复印件。正、副本均须胶装（永久性、无破坏不可拆分）装订成册，逐页加盖投标人单位公章并加盖骑缝章。封面须标明“正本”、“副本”字样。正本与副本如有不一致，则以正本为准。（请各投标人特别注意）</w:t>
      </w:r>
    </w:p>
    <w:p>
      <w:pPr>
        <w:spacing w:line="360" w:lineRule="exact"/>
        <w:ind w:firstLine="481"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技术商务部分投标文件要求独立编制：正本一份，副本五份。正本必须用A4幅面纸张打印，应编制封面、目录、页码。副本可以用正本的完整复印件。正、副本均须胶装（永久性、无破坏不可拆分）装订成册，逐页加盖投标人单位公章并加盖骑缝章。封面须标明“正本”、“副本”字样。正本与副本如有不一致，则以正本为准。</w:t>
      </w:r>
    </w:p>
    <w:p>
      <w:pPr>
        <w:spacing w:line="360" w:lineRule="exact"/>
        <w:ind w:firstLine="481"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投标人在投标时，需提交一套全部投标文件盖章并扫描内容的电子文件（U盘），与投标文件正本一致。</w:t>
      </w:r>
    </w:p>
    <w:p>
      <w:pPr>
        <w:spacing w:line="360" w:lineRule="exact"/>
        <w:ind w:firstLine="481"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★未按以上规定编制装订者其投标将被视为投标无效。（请各投标人特别注意）</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 投标文件应由投标人的单位负责人或者其授权的代表签字，如由后者签字，应提供“单位负责人授权委托书”。</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 除非有另外的规定或许可，投标货币为人民币。</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 投标人应提交证明其提供材料符合招标文件要求的技术投标文件，该文件可以是文字资料、图纸和数据，并须提供货物主要技术性能的详细描述。</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13.5 投标文件的正本和全部副本均应使用不能擦去的墨料或墨水打印、书写或复印，并由单位负责人或其授权代表签署，盖投标人公章。</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 未按本须知规定的格式填写投标文件、投标文件字迹模糊不清的，其投标被拒绝。</w:t>
      </w:r>
    </w:p>
    <w:p>
      <w:pPr>
        <w:spacing w:line="360" w:lineRule="exact"/>
        <w:ind w:left="1" w:firstLine="481"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13.7 所有证明文件复印件须注明“与原件一致”并加盖投标人公章，否则按无效标处理。</w:t>
      </w:r>
    </w:p>
    <w:p>
      <w:pPr>
        <w:spacing w:line="360" w:lineRule="exact"/>
        <w:jc w:val="center"/>
        <w:outlineLvl w:val="1"/>
        <w:rPr>
          <w:rFonts w:asciiTheme="minorEastAsia" w:hAnsiTheme="minorEastAsia" w:eastAsiaTheme="minorEastAsia" w:cstheme="minorEastAsia"/>
          <w:b/>
          <w:sz w:val="24"/>
          <w:szCs w:val="24"/>
        </w:rPr>
      </w:pPr>
      <w:bookmarkStart w:id="46" w:name="_Toc421107725"/>
      <w:bookmarkStart w:id="47" w:name="_Toc27915"/>
      <w:bookmarkStart w:id="48" w:name="_Toc531180678"/>
    </w:p>
    <w:p>
      <w:pPr>
        <w:spacing w:line="360" w:lineRule="exact"/>
        <w:jc w:val="center"/>
        <w:outlineLvl w:val="1"/>
        <w:rPr>
          <w:rFonts w:asciiTheme="minorEastAsia" w:hAnsiTheme="minorEastAsia" w:eastAsiaTheme="minorEastAsia" w:cstheme="minorEastAsia"/>
          <w:b/>
          <w:sz w:val="24"/>
          <w:szCs w:val="24"/>
        </w:rPr>
      </w:pPr>
      <w:bookmarkStart w:id="49" w:name="_Toc195709376"/>
      <w:r>
        <w:rPr>
          <w:rFonts w:hint="eastAsia" w:asciiTheme="minorEastAsia" w:hAnsiTheme="minorEastAsia" w:eastAsiaTheme="minorEastAsia" w:cstheme="minorEastAsia"/>
          <w:b/>
          <w:sz w:val="24"/>
          <w:szCs w:val="24"/>
        </w:rPr>
        <w:t>四、投标文件的提交</w:t>
      </w:r>
      <w:bookmarkEnd w:id="46"/>
      <w:bookmarkEnd w:id="47"/>
      <w:bookmarkEnd w:id="48"/>
      <w:bookmarkEnd w:id="49"/>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投标文件的密封、标记和递交</w:t>
      </w:r>
    </w:p>
    <w:p>
      <w:pPr>
        <w:spacing w:line="360" w:lineRule="exact"/>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投标人应将报价标与技术商务标分开单独密封。投标人应将报价标与技术商务标正本和全部副本及分别用信封密封，并标明招标编号、投标人名称、投标项目名称及“正本”或“副本”字样。报价标与技术商务标未密封将导致投标被拒绝。</w:t>
      </w:r>
    </w:p>
    <w:p>
      <w:pPr>
        <w:spacing w:line="360" w:lineRule="exact"/>
        <w:ind w:firstLine="470"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 每一信封密封处应注明“于年月日之前（指招标邀请中规定的开标日期及时间）不准启封”的字样，并加盖投标人公章。</w:t>
      </w:r>
    </w:p>
    <w:p>
      <w:pPr>
        <w:spacing w:line="360" w:lineRule="exact"/>
        <w:ind w:firstLine="470" w:firstLineChars="196"/>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招标编号：</w:t>
      </w:r>
    </w:p>
    <w:p>
      <w:pPr>
        <w:spacing w:line="360" w:lineRule="exact"/>
        <w:ind w:firstLine="470"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p>
      <w:pPr>
        <w:spacing w:line="360" w:lineRule="exact"/>
        <w:ind w:firstLine="470" w:firstLineChars="196"/>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sz w:val="24"/>
          <w:szCs w:val="24"/>
          <w:u w:val="single"/>
        </w:rPr>
        <w:t xml:space="preserve">                      单位全称（盖单位章）             </w:t>
      </w:r>
    </w:p>
    <w:p>
      <w:pPr>
        <w:spacing w:line="360" w:lineRule="exact"/>
        <w:ind w:firstLine="470" w:firstLineChars="196"/>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单位负责人或委托代理人签字：</w:t>
      </w:r>
    </w:p>
    <w:p>
      <w:pPr>
        <w:spacing w:line="360" w:lineRule="exact"/>
        <w:ind w:firstLine="470" w:firstLineChars="196"/>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投标人地址：</w:t>
      </w:r>
    </w:p>
    <w:p>
      <w:pPr>
        <w:spacing w:line="360" w:lineRule="exact"/>
        <w:ind w:firstLine="470" w:firstLineChars="196"/>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联系人及联系电话：</w:t>
      </w:r>
    </w:p>
    <w:p>
      <w:pPr>
        <w:spacing w:line="360" w:lineRule="exact"/>
        <w:ind w:firstLine="470"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注明：</w:t>
      </w:r>
      <w:r>
        <w:rPr>
          <w:rFonts w:hint="eastAsia" w:asciiTheme="minorEastAsia" w:hAnsiTheme="minorEastAsia" w:eastAsiaTheme="minorEastAsia" w:cstheme="minorEastAsia"/>
          <w:sz w:val="24"/>
          <w:szCs w:val="24"/>
          <w:u w:val="single"/>
        </w:rPr>
        <w:t xml:space="preserve">在     年     月     日    前不得开启                  </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 如果未按上述规定进行密封和标记，福建华真招标代理有限公司将不承担由此造成的对投标文件的误投或提前拆封的责任。</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 投标文件应在投标邀请中规定的截止时间前送达，迟到的投标文件为无效投标文件, 将被拒收。</w:t>
      </w:r>
    </w:p>
    <w:p>
      <w:pPr>
        <w:tabs>
          <w:tab w:val="left" w:pos="540"/>
        </w:tabs>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 投标人在投标截止时间前，可以对所提交的投标文件进行修改或者撤回，并书面通知福建华真招标代理有限公司。修改的内容和撤回通知应当按本须知要求签署、盖章、密封，并作为投标文件的组成部分。</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 投标人在投标截止时间后不得修改、撤回投标文件。投标人在投标截止时间后修改投标文件的，其投标被拒绝。</w:t>
      </w:r>
    </w:p>
    <w:p>
      <w:pPr>
        <w:spacing w:line="360" w:lineRule="exact"/>
        <w:jc w:val="center"/>
        <w:rPr>
          <w:rFonts w:asciiTheme="minorEastAsia" w:hAnsiTheme="minorEastAsia" w:eastAsiaTheme="minorEastAsia" w:cstheme="minorEastAsia"/>
          <w:b/>
          <w:sz w:val="24"/>
          <w:szCs w:val="24"/>
        </w:rPr>
      </w:pPr>
      <w:bookmarkStart w:id="50" w:name="_Toc30517"/>
      <w:bookmarkStart w:id="51" w:name="_Toc531180679"/>
      <w:bookmarkStart w:id="52" w:name="_Toc352597462"/>
      <w:bookmarkStart w:id="53" w:name="_Toc266745675"/>
      <w:bookmarkStart w:id="54" w:name="_Toc530554790"/>
    </w:p>
    <w:p>
      <w:pPr>
        <w:spacing w:line="360" w:lineRule="exact"/>
        <w:jc w:val="center"/>
        <w:outlineLvl w:val="1"/>
        <w:rPr>
          <w:rFonts w:asciiTheme="minorEastAsia" w:hAnsiTheme="minorEastAsia" w:eastAsiaTheme="minorEastAsia" w:cstheme="minorEastAsia"/>
          <w:b/>
          <w:sz w:val="24"/>
          <w:szCs w:val="24"/>
        </w:rPr>
      </w:pPr>
      <w:bookmarkStart w:id="55" w:name="_Toc195709377"/>
      <w:r>
        <w:rPr>
          <w:rFonts w:hint="eastAsia" w:asciiTheme="minorEastAsia" w:hAnsiTheme="minorEastAsia" w:eastAsiaTheme="minorEastAsia" w:cstheme="minorEastAsia"/>
          <w:b/>
          <w:sz w:val="24"/>
          <w:szCs w:val="24"/>
        </w:rPr>
        <w:t>五、投标文件的评估和比较</w:t>
      </w:r>
      <w:bookmarkEnd w:id="50"/>
      <w:bookmarkEnd w:id="51"/>
      <w:bookmarkEnd w:id="52"/>
      <w:bookmarkEnd w:id="53"/>
      <w:bookmarkEnd w:id="55"/>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15.开标、评标时间</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15.1 在投标人须知前附表中所规定的时间、地点开标。</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15.2开标由招标代理机构主持，采购人、投标人和有关方面代表参加。所有投标人应派授权代表参加开标会，并签到。</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16.评标委员会</w:t>
      </w:r>
    </w:p>
    <w:p>
      <w:pPr>
        <w:spacing w:line="360" w:lineRule="exact"/>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16.1招标代理机构根据招标货物和服务的特点依法组建评标委员会。评标委员会由技术、经济、法律方面的专家和采购人代表组成。成员为5人或5人以上单数组成，专家不能少于三分之二。由评标委员会对投标文件进行审查、质疑、评估和比较，并做出授予合同的建议。</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 评标委员会成员有下列情形之一的，应当回避：</w:t>
      </w:r>
    </w:p>
    <w:p>
      <w:pPr>
        <w:spacing w:line="360" w:lineRule="exact"/>
        <w:ind w:firstLine="480" w:firstLineChars="200"/>
        <w:rPr>
          <w:rFonts w:asciiTheme="minorEastAsia" w:hAnsiTheme="minorEastAsia" w:eastAsiaTheme="minorEastAsia" w:cstheme="minorEastAsia"/>
          <w:sz w:val="24"/>
          <w:szCs w:val="24"/>
        </w:rPr>
      </w:pPr>
      <w:bookmarkStart w:id="56" w:name="_Toc233627390"/>
      <w:r>
        <w:rPr>
          <w:rFonts w:hint="eastAsia" w:asciiTheme="minorEastAsia" w:hAnsiTheme="minorEastAsia" w:eastAsiaTheme="minorEastAsia" w:cstheme="minorEastAsia"/>
          <w:sz w:val="24"/>
          <w:szCs w:val="24"/>
        </w:rPr>
        <w:t>(1) 现在或者在采购活动发生前三年内，与投标人存在雇佣关系；</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现在或者在采购活动发生前三年内担任投标人的财务顾问、法律顾问或技术顾问；</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现在或者在采购活动发生前三年内是投标人的控股股东或者实际控制人；</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与投标人的单位负责人或者负责人是直系血亲、三代以内旁系血亲及姻亲关系；</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与投标人之间存在其他影响或可能影响采购活动依法进行的利害关系。</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16.3 评标原则</w:t>
      </w:r>
      <w:bookmarkEnd w:id="56"/>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评标活动遵循公平、公正、科学和择优的原则。</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17.投标文件的初审</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对所有投标人的评估，都采用相同的程序和标准。评议过程将严格按照招标文件的要求和条件进行。</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有关投标文件的审查、澄清、评估和比较以及推荐中标候选人的一切情况都不得透露给任一投标人或与上述评标工作无关的人员。</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投标人任何试图影响评委会对投标文件的评估、比较或者推荐候选人的行为，都将导致其投标被拒绝，并被没收投标保证金。</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17.1评委会将对投标文件进行检查，以确定投标文件是否完整、有无计算上的错误、是否提交了投标保证金、文件是否已正确签署。</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 算术错误将按以下方法更正：</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(1)投标文件中开标一览表内容与投标文件中明细表内容不一致的，以开标一览表为准。</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如果投标人不接受按上述方法对投标文件中的算术错误进行更正，其投标将被拒绝并没收其投标保证金。</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17.3资格性检查和符合性检查 </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17.3.1资格性检查。依据法律法规和招标文件的规定，在对投标文件详细评估之前，评标委员会将依据投标人提交的投标文件按投标人须知前附表第2项所述的资格标准对投标人进行资格审查,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以确定其是否具备投标资格。如果投标人不具备投标资格，不满足招标文件所规定的资格标准或提供资格证明文件不全的, 其投标将被拒绝。</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17.3.2符合性检查。依据招标文件的规定，评标委员会还将从投标文件的有效性、完整性和对招标文件的响应程度进行审查，以确定是否符合对招标文件的实质性要求作出响应。（采购人可根据具体项目的情况对实质性要求作特别的规定。）实质性偏离是指：(1)实质性影响合同的范围、质量和履行；(2)实质性违背招标文件，限制了采购人的权利和中标人合同项下的义务；(3)不公正地影响了其它作出实质性响应的投标人的竞争地位。对没有实质性响应的投标文件将不进行评估，其投标将被拒绝。凡有下列情况之一者，投标文件也将被视为未实质性响应招标文件要求：</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投标文件未按照本须知第13、14条的规定进行编制、密封、标记的；</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（2）未按规定由投标人的单位负责人或其授权代表签字，或未逐页加盖投标人公章的；或签字人未经单位负责人有效授权委托的；</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（3）未按规定提交投标保证金的；</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（4）投标文件有效期不满足招标文件要求的；</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（5）一个投标人不止响应一个标；</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（6）投标文件组成不符合招标文件要求的；</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（7）投标文件中提供虚假或失实资料的；</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（8）未按规定提交加盖骑缝章及盖公章，并用胶装(为永久性、无破坏不可拆分)装订成册的；</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（9）未按规定提交由企业加盖公章并注明复印件与原件一致的单位负责人、被授权人（若有）身份证复印件；</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（10）所有证明文件复印件未注明“与原件一致”并加盖投标人公章；</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（11）未按规定的格式填写，内容不全或关键字迹模糊、无法辨认的；</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（12）投标人名称或组织结构与资格性审查时不一致且未提供有效证明的；</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（13）违反规定采取分包、转包方式履行合同的；</w:t>
      </w:r>
    </w:p>
    <w:p>
      <w:pPr>
        <w:spacing w:line="360" w:lineRule="exact"/>
        <w:ind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（14）投标内容与采购内容及要求有重大偏离或保留的；</w:t>
      </w:r>
    </w:p>
    <w:p>
      <w:pPr>
        <w:spacing w:line="360" w:lineRule="exact"/>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（15）投标人提交的是可选择的报价；</w:t>
      </w:r>
    </w:p>
    <w:p>
      <w:pPr>
        <w:spacing w:line="360" w:lineRule="exact"/>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（16）未提供招标代理服务费承诺书的；</w:t>
      </w:r>
    </w:p>
    <w:p>
      <w:pPr>
        <w:spacing w:line="360" w:lineRule="exact"/>
        <w:ind w:firstLine="3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（17）投标文件内容不符合招标文件中规定的其它实质性条款。</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评标委员会对资格性审查、符合性审查及判定投标的响应性只根据投标文件本身的内容，而不寻求其他的外部证据。</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18.投标文件的澄清 </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单位负责人或者授权代表签字，并不得超出投标文件的范围或者改变投标文件的实质性内容。</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19.比较与评价</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19.1评标委员会将按投标人须知前附表第6项所述评标方法与标准，对资格性检查和符合性检查合格的投标文件进行商务和技术评估，综合比较与评价。</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19.2对漏（缺）报项的处理：招标文件中要求列入投标的费用（含配置、功能），漏（缺）报的视同已含在投标总价中。</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19.3 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19.4评标委员会将按比较与评价最优在先原则, 排列评价顺序, 根据在投标人须知前附表第6项推荐出中标候选人。</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19.5 在评标期间，若出现符合本须知规定的所有投标条件的投标人不足三家情形的，本次招标程序终止，除采购任务取消情形外，招标采购单位将依法重新组织招标或者采取其他方式采购。</w:t>
      </w:r>
    </w:p>
    <w:bookmarkEnd w:id="54"/>
    <w:p>
      <w:pPr>
        <w:spacing w:line="360" w:lineRule="exact"/>
        <w:jc w:val="center"/>
        <w:outlineLvl w:val="1"/>
        <w:rPr>
          <w:rFonts w:asciiTheme="minorEastAsia" w:hAnsiTheme="minorEastAsia" w:eastAsiaTheme="minorEastAsia" w:cstheme="minorEastAsia"/>
          <w:b/>
          <w:sz w:val="24"/>
          <w:szCs w:val="24"/>
        </w:rPr>
      </w:pPr>
      <w:bookmarkStart w:id="57" w:name="_Toc195709378"/>
      <w:bookmarkStart w:id="58" w:name="_Toc26342"/>
      <w:bookmarkStart w:id="59" w:name="_Toc531180680"/>
      <w:bookmarkStart w:id="60" w:name="_Toc266745676"/>
      <w:bookmarkStart w:id="61" w:name="_Toc352597463"/>
      <w:r>
        <w:rPr>
          <w:rFonts w:hint="eastAsia" w:asciiTheme="minorEastAsia" w:hAnsiTheme="minorEastAsia" w:eastAsiaTheme="minorEastAsia" w:cstheme="minorEastAsia"/>
          <w:b/>
          <w:sz w:val="24"/>
          <w:szCs w:val="24"/>
        </w:rPr>
        <w:t>六、定标与签订合同</w:t>
      </w:r>
      <w:bookmarkEnd w:id="57"/>
      <w:bookmarkEnd w:id="58"/>
      <w:bookmarkEnd w:id="59"/>
      <w:bookmarkEnd w:id="60"/>
      <w:bookmarkEnd w:id="61"/>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20.定标准则</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20.1最低报价价不作为中标的保证。</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20.2投标人的投标文件符合招标文件要求，按招标文件确定评标标准、方法，经评委评审并推荐中标候选人。</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21.中标通知</w:t>
      </w:r>
    </w:p>
    <w:p>
      <w:pPr>
        <w:adjustRightInd w:val="0"/>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评标结束后，评标结果经采购人确认后，招标代理机构方应在刊登本采购项目招标公告的媒介上对中标结果进行公示，同时招标代理机构向中标投标人发出中标通知书。中标通知书对采购人和中标投标人具有同等法律效力。中标通知书发出后，采购人改变中标结果，或者中标投标人放弃中标，应按相关法律、规章、规范性文件的要求承担相应的法律责任。投标人对中标公告有异议的，应当在知道或应当知道其权益受到损害之日起7个工作日内，以书面形式向采购人或招标代理机构提出质疑。</w:t>
      </w:r>
    </w:p>
    <w:p>
      <w:pPr>
        <w:adjustRightInd w:val="0"/>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21.2《中标通知书》发出同时应将落标书面通知没有中标的其它投标人。</w:t>
      </w:r>
    </w:p>
    <w:p>
      <w:pPr>
        <w:adjustRightInd w:val="0"/>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21.3《中标通知书》将作为签订合同的依据。《合同》签订后，《中标通知书》成为《合同》的一部分。</w:t>
      </w:r>
    </w:p>
    <w:p>
      <w:pPr>
        <w:adjustRightInd w:val="0"/>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21.4中标公示期结束后5个工作日内，未中标投标人按照相关流程并持</w:t>
      </w:r>
      <w:r>
        <w:rPr>
          <w:rFonts w:hint="eastAsia" w:asciiTheme="minorEastAsia" w:hAnsiTheme="minorEastAsia" w:eastAsiaTheme="minorEastAsia" w:cstheme="minorEastAsia"/>
          <w:b/>
          <w:sz w:val="24"/>
          <w:szCs w:val="24"/>
        </w:rPr>
        <w:t>《退回保证金申请函》及开户许可证复印件并加盖公章</w:t>
      </w:r>
      <w:r>
        <w:rPr>
          <w:rFonts w:hint="eastAsia" w:asciiTheme="minorEastAsia" w:hAnsiTheme="minorEastAsia" w:eastAsiaTheme="minorEastAsia" w:cstheme="minorEastAsia"/>
          <w:sz w:val="24"/>
          <w:szCs w:val="24"/>
        </w:rPr>
        <w:t>办理退还投标保证金手续；中标人签订政府采购合同后在5个工作日内，持</w:t>
      </w:r>
      <w:r>
        <w:rPr>
          <w:rFonts w:hint="eastAsia" w:asciiTheme="minorEastAsia" w:hAnsiTheme="minorEastAsia" w:eastAsiaTheme="minorEastAsia" w:cstheme="minorEastAsia"/>
          <w:b/>
          <w:sz w:val="24"/>
          <w:szCs w:val="24"/>
        </w:rPr>
        <w:t>政府采购合同（原件或复印件加盖中标人公章）、《退回保证金申请函》及开户许可证复印件并加盖公章</w:t>
      </w:r>
      <w:r>
        <w:rPr>
          <w:rFonts w:hint="eastAsia" w:asciiTheme="minorEastAsia" w:hAnsiTheme="minorEastAsia" w:eastAsiaTheme="minorEastAsia" w:cstheme="minorEastAsia"/>
          <w:sz w:val="24"/>
          <w:szCs w:val="24"/>
        </w:rPr>
        <w:t>到福建华真招标代理有限公司办理退还投标保证金手续。</w:t>
      </w:r>
    </w:p>
    <w:p>
      <w:pPr>
        <w:adjustRightInd w:val="0"/>
        <w:snapToGrid w:val="0"/>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21.5在中标人支付所有招标服务费、提交履约保证金并签订合同后五个工作日内，以原缴交方式退还中标投标人的投标保证金。</w:t>
      </w:r>
    </w:p>
    <w:p>
      <w:pPr>
        <w:adjustRightInd w:val="0"/>
        <w:snapToGrid w:val="0"/>
        <w:spacing w:line="360" w:lineRule="exact"/>
        <w:ind w:firstLine="481"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21.6 福建华真招标代理有限公司将在中标投标人确定之日起两个工作日发布中标通知书</w:t>
      </w:r>
      <w:r>
        <w:rPr>
          <w:rFonts w:hint="eastAsia" w:asciiTheme="minorEastAsia" w:hAnsiTheme="minorEastAsia" w:eastAsiaTheme="minorEastAsia" w:cstheme="minorEastAsia"/>
          <w:sz w:val="24"/>
          <w:szCs w:val="24"/>
        </w:rPr>
        <w:t xml:space="preserve">。    </w:t>
      </w:r>
    </w:p>
    <w:p>
      <w:pPr>
        <w:snapToGrid w:val="0"/>
        <w:spacing w:line="3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21.7投标人对中标公告有异议的，应按以下要求向招标代理机构提交中标质疑书（注：以下质疑格式与内容亦适用于对招标文件的质疑），未按以下格式及要求提交质疑书的质疑将不予受理：</w:t>
      </w:r>
    </w:p>
    <w:p>
      <w:pPr>
        <w:snapToGrid w:val="0"/>
        <w:spacing w:line="36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21.7.1中标质疑书应当包括下列主要内容</w:t>
      </w:r>
    </w:p>
    <w:p>
      <w:pPr>
        <w:snapToGrid w:val="0"/>
        <w:spacing w:line="360" w:lineRule="exact"/>
        <w:ind w:firstLine="8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21.7.1.1 质疑书接收对象（采购人或招标代理机构）；</w:t>
      </w:r>
    </w:p>
    <w:p>
      <w:pPr>
        <w:snapToGrid w:val="0"/>
        <w:spacing w:line="360" w:lineRule="exact"/>
        <w:ind w:firstLine="8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21.7.1.2质疑的项目名称 、招标编号、合同包名称；</w:t>
      </w:r>
    </w:p>
    <w:p>
      <w:pPr>
        <w:snapToGrid w:val="0"/>
        <w:spacing w:line="360" w:lineRule="exact"/>
        <w:ind w:firstLine="8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21.7.1.3质疑人的名称、地址、联系电话（含传真）、单位负责人等；</w:t>
      </w:r>
    </w:p>
    <w:p>
      <w:pPr>
        <w:snapToGrid w:val="0"/>
        <w:spacing w:line="360" w:lineRule="exact"/>
        <w:ind w:firstLine="8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21.7.1.4质疑的具体事项及事实依据、证据材料；</w:t>
      </w:r>
    </w:p>
    <w:p>
      <w:pPr>
        <w:snapToGrid w:val="0"/>
        <w:spacing w:line="360" w:lineRule="exact"/>
        <w:ind w:firstLine="8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21.7.1.5质疑的日期；</w:t>
      </w:r>
    </w:p>
    <w:p>
      <w:pPr>
        <w:snapToGrid w:val="0"/>
        <w:spacing w:line="360" w:lineRule="exact"/>
        <w:ind w:firstLine="8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21.7.1.6应提交由单位负责人或授权代表（提供授权函）签署的书面原件并携带相关资料及企业营业执照副本复印件（加盖单位公章，原件备查，若无法提供原件或与原件不符的，视为虚假质疑）送达招标代理机构。</w:t>
      </w:r>
    </w:p>
    <w:p>
      <w:pPr>
        <w:snapToGrid w:val="0"/>
        <w:spacing w:line="36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21.7.2注意事项：</w:t>
      </w:r>
    </w:p>
    <w:p>
      <w:pPr>
        <w:snapToGrid w:val="0"/>
        <w:spacing w:line="36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21.7.2.1质疑人委托代理人办理质疑事务时应当向采购人或招标代理机构提交质疑人的授权委托书和代理人的身份证复印件；授权委托书应载明委托代理的事项和具体委托权限。</w:t>
      </w:r>
    </w:p>
    <w:p>
      <w:pPr>
        <w:snapToGrid w:val="0"/>
        <w:spacing w:line="360" w:lineRule="exact"/>
        <w:ind w:firstLine="8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21.7.2.2中标质疑书中的事实依据中应写清采购活动经过，客观情况和有关法律、政策依据，质疑人应列举所有可供证明的证据。明确载明：证人姓名、住所和联系方式；书证、物证的来源及由谁保管；并提供复印件以便调查。质疑书应规范装订，编上页码、加盖骑缝章。</w:t>
      </w:r>
    </w:p>
    <w:p>
      <w:pPr>
        <w:tabs>
          <w:tab w:val="left" w:pos="5580"/>
        </w:tabs>
        <w:snapToGrid w:val="0"/>
        <w:spacing w:line="360" w:lineRule="exact"/>
        <w:ind w:firstLine="84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21.7.2.3 未参加投标的投标人（或未购买招标文件的潜在投标人）的质疑书将不予受理。</w:t>
      </w:r>
    </w:p>
    <w:p>
      <w:pPr>
        <w:snapToGrid w:val="0"/>
        <w:spacing w:line="36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21.7.2.4 质疑书用传真方式送达的，应立即用特快专递方式寄送原件，同时应在3个日历日内送达招标代理机构，否则招标代理机构将不予受理。     </w:t>
      </w:r>
    </w:p>
    <w:p>
      <w:pPr>
        <w:spacing w:line="3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22.签订合同</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采购人、中标投标人在《中标通知书》发出之日起30日内，根据招标文件确定的事项和中标投标人投标文件，参照本招标文件第四章的《合同》文本签订合同。双方所签订的合同不得对招标文件和中标投标人投标文件作实质性修改。中标投标人逾期未签订合同，按照有关法律规定承担相应的法律责任，招标代理机构将没收招标保证金，以抵偿对采购人造成的损失。</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招标文件、招标文件的修改文件、中标投标人的投标文件、补充或修改的文件及澄清或承诺文件等，均为双方签订《合同》的组成部分，并与《合同》一并作为本招标文件所列采购项目的互补性法律文件，与《合同》具有同等法律效力。</w:t>
      </w:r>
    </w:p>
    <w:p>
      <w:pPr>
        <w:spacing w:line="3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22.3采购人在合同履行中，需追加与合同标的相同的货物或者服务的，在不改变合同其他条款的前提下，可与投标人协商签订补充合同，但所有补充合同的采购金额不得超过原合同采购金额的百分之十。 </w:t>
      </w:r>
    </w:p>
    <w:p>
      <w:pPr>
        <w:snapToGrid w:val="0"/>
        <w:spacing w:line="36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23.招标项目行政监督部门</w:t>
      </w:r>
    </w:p>
    <w:p>
      <w:pPr>
        <w:snapToGrid w:val="0"/>
        <w:spacing w:line="36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23.1招标项目行政监督部门可视情况依法派员对本招标活动的全程进行监督。</w:t>
      </w:r>
    </w:p>
    <w:p>
      <w:pPr>
        <w:snapToGrid w:val="0"/>
        <w:spacing w:line="360" w:lineRule="exact"/>
        <w:ind w:firstLine="6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23.2投标人如对招标活动有异议，可以按照有关规定向投标须知前附表第18项所述招标项目行政监督部门投诉。</w:t>
      </w:r>
    </w:p>
    <w:p>
      <w:pPr>
        <w:pStyle w:val="116"/>
        <w:jc w:val="center"/>
        <w:outlineLvl w:val="0"/>
        <w:rPr>
          <w:rFonts w:asciiTheme="minorEastAsia" w:hAnsiTheme="minorEastAsia" w:eastAsiaTheme="minorEastAsia"/>
          <w:b/>
          <w:sz w:val="32"/>
          <w:szCs w:val="32"/>
        </w:rPr>
      </w:pPr>
      <w:r>
        <w:rPr>
          <w:rFonts w:asciiTheme="minorEastAsia" w:hAnsiTheme="minorEastAsia" w:eastAsiaTheme="minorEastAsia"/>
          <w:b/>
          <w:sz w:val="32"/>
          <w:szCs w:val="32"/>
        </w:rPr>
        <w:br w:type="page"/>
      </w:r>
      <w:bookmarkStart w:id="62" w:name="_Toc195709379"/>
      <w:r>
        <w:rPr>
          <w:rFonts w:hint="eastAsia" w:asciiTheme="minorEastAsia" w:hAnsiTheme="minorEastAsia" w:eastAsiaTheme="minorEastAsia"/>
          <w:b/>
          <w:sz w:val="32"/>
          <w:szCs w:val="32"/>
        </w:rPr>
        <w:t>第三章  招标内容及要求</w:t>
      </w:r>
      <w:bookmarkEnd w:id="21"/>
      <w:bookmarkEnd w:id="22"/>
      <w:bookmarkEnd w:id="62"/>
    </w:p>
    <w:p>
      <w:pPr>
        <w:spacing w:line="460" w:lineRule="exact"/>
        <w:rPr>
          <w:rFonts w:cs="宋体" w:asciiTheme="minorEastAsia" w:hAnsiTheme="minorEastAsia" w:eastAsiaTheme="minorEastAsia"/>
          <w:b/>
          <w:bCs/>
          <w:sz w:val="24"/>
          <w:szCs w:val="24"/>
        </w:rPr>
      </w:pPr>
      <w:bookmarkStart w:id="63" w:name="_Toc20892"/>
      <w:bookmarkStart w:id="64" w:name="_Toc13112"/>
      <w:r>
        <w:rPr>
          <w:rFonts w:hint="eastAsia" w:cs="宋体" w:asciiTheme="minorEastAsia" w:hAnsiTheme="minorEastAsia" w:eastAsiaTheme="minorEastAsia"/>
          <w:b/>
          <w:bCs/>
          <w:sz w:val="24"/>
          <w:szCs w:val="24"/>
        </w:rPr>
        <w:t>一、项目概况</w:t>
      </w:r>
    </w:p>
    <w:p>
      <w:pPr>
        <w:spacing w:line="500" w:lineRule="exact"/>
        <w:rPr>
          <w:rFonts w:ascii="Calibri" w:hAnsi="Calibri"/>
          <w:szCs w:val="24"/>
        </w:rPr>
      </w:pPr>
      <w:r>
        <w:rPr>
          <w:rFonts w:hint="eastAsia" w:ascii="宋体" w:hAnsi="宋体"/>
          <w:bCs/>
          <w:sz w:val="24"/>
          <w:szCs w:val="24"/>
        </w:rPr>
        <w:t>1、项目一览表</w:t>
      </w:r>
    </w:p>
    <w:tbl>
      <w:tblPr>
        <w:tblStyle w:val="502"/>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4022"/>
        <w:gridCol w:w="187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noWrap/>
          </w:tcPr>
          <w:p>
            <w:pPr>
              <w:spacing w:line="360" w:lineRule="auto"/>
              <w:rPr>
                <w:rFonts w:ascii="宋体" w:hAnsi="宋体" w:cs="宋体"/>
                <w:kern w:val="0"/>
                <w:sz w:val="24"/>
                <w:szCs w:val="24"/>
              </w:rPr>
            </w:pPr>
            <w:r>
              <w:rPr>
                <w:rFonts w:hint="eastAsia" w:ascii="宋体" w:hAnsi="宋体" w:cs="宋体"/>
                <w:kern w:val="0"/>
                <w:sz w:val="24"/>
                <w:szCs w:val="24"/>
              </w:rPr>
              <w:t>序号</w:t>
            </w:r>
          </w:p>
        </w:tc>
        <w:tc>
          <w:tcPr>
            <w:tcW w:w="4022" w:type="dxa"/>
            <w:noWrap/>
          </w:tcPr>
          <w:p>
            <w:pPr>
              <w:spacing w:line="360" w:lineRule="auto"/>
              <w:rPr>
                <w:rFonts w:ascii="宋体" w:hAnsi="宋体" w:cs="宋体"/>
                <w:kern w:val="0"/>
                <w:sz w:val="24"/>
                <w:szCs w:val="24"/>
              </w:rPr>
            </w:pPr>
            <w:r>
              <w:rPr>
                <w:rFonts w:hint="eastAsia" w:ascii="宋体" w:hAnsi="宋体" w:cs="宋体"/>
                <w:kern w:val="0"/>
                <w:sz w:val="24"/>
                <w:szCs w:val="24"/>
              </w:rPr>
              <w:t>项目</w:t>
            </w:r>
          </w:p>
        </w:tc>
        <w:tc>
          <w:tcPr>
            <w:tcW w:w="1873" w:type="dxa"/>
            <w:noWrap/>
          </w:tcPr>
          <w:p>
            <w:pPr>
              <w:spacing w:line="360" w:lineRule="auto"/>
              <w:rPr>
                <w:rFonts w:ascii="宋体" w:hAnsi="宋体" w:cs="宋体"/>
                <w:kern w:val="0"/>
                <w:sz w:val="24"/>
                <w:szCs w:val="24"/>
              </w:rPr>
            </w:pPr>
            <w:r>
              <w:rPr>
                <w:rFonts w:hint="eastAsia" w:ascii="宋体" w:hAnsi="宋体" w:cs="宋体"/>
                <w:kern w:val="0"/>
                <w:sz w:val="24"/>
                <w:szCs w:val="24"/>
              </w:rPr>
              <w:t>数量</w:t>
            </w:r>
          </w:p>
        </w:tc>
        <w:tc>
          <w:tcPr>
            <w:tcW w:w="2551" w:type="dxa"/>
            <w:noWrap/>
          </w:tcPr>
          <w:p>
            <w:pPr>
              <w:spacing w:line="360" w:lineRule="auto"/>
              <w:rPr>
                <w:rFonts w:ascii="宋体" w:hAnsi="宋体" w:cs="宋体"/>
                <w:kern w:val="0"/>
                <w:sz w:val="24"/>
                <w:szCs w:val="24"/>
              </w:rPr>
            </w:pPr>
            <w:r>
              <w:rPr>
                <w:rFonts w:hint="eastAsia" w:ascii="宋体" w:hAnsi="宋体" w:cs="宋体"/>
                <w:kern w:val="0"/>
                <w:sz w:val="24"/>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noWrap/>
          </w:tcPr>
          <w:p>
            <w:pPr>
              <w:spacing w:line="360" w:lineRule="auto"/>
              <w:rPr>
                <w:rFonts w:ascii="宋体" w:hAnsi="宋体" w:cs="宋体"/>
                <w:kern w:val="0"/>
                <w:sz w:val="24"/>
                <w:szCs w:val="24"/>
              </w:rPr>
            </w:pPr>
            <w:r>
              <w:rPr>
                <w:rFonts w:hint="eastAsia" w:ascii="宋体" w:hAnsi="宋体" w:cs="宋体"/>
                <w:kern w:val="0"/>
                <w:sz w:val="24"/>
                <w:szCs w:val="24"/>
              </w:rPr>
              <w:t>1</w:t>
            </w:r>
          </w:p>
        </w:tc>
        <w:tc>
          <w:tcPr>
            <w:tcW w:w="4022" w:type="dxa"/>
            <w:noWrap/>
          </w:tcPr>
          <w:p>
            <w:pPr>
              <w:spacing w:line="360" w:lineRule="auto"/>
              <w:rPr>
                <w:rFonts w:ascii="宋体" w:hAnsi="宋体" w:cs="宋体"/>
                <w:kern w:val="0"/>
                <w:sz w:val="24"/>
                <w:szCs w:val="24"/>
              </w:rPr>
            </w:pPr>
            <w:r>
              <w:rPr>
                <w:rFonts w:hint="eastAsia" w:ascii="宋体" w:hAnsi="宋体" w:cs="宋体"/>
                <w:bCs/>
                <w:kern w:val="0"/>
                <w:sz w:val="24"/>
                <w:szCs w:val="24"/>
              </w:rPr>
              <w:t>公共环境消杀人工服务（含应急）</w:t>
            </w:r>
          </w:p>
        </w:tc>
        <w:tc>
          <w:tcPr>
            <w:tcW w:w="1873" w:type="dxa"/>
            <w:noWrap/>
          </w:tcPr>
          <w:p>
            <w:pPr>
              <w:spacing w:line="360" w:lineRule="auto"/>
              <w:rPr>
                <w:rFonts w:ascii="宋体" w:hAnsi="宋体" w:cs="宋体"/>
                <w:kern w:val="0"/>
                <w:sz w:val="24"/>
                <w:szCs w:val="24"/>
              </w:rPr>
            </w:pPr>
            <w:r>
              <w:rPr>
                <w:rFonts w:hint="eastAsia" w:ascii="宋体" w:hAnsi="宋体" w:cs="宋体"/>
                <w:kern w:val="0"/>
                <w:sz w:val="24"/>
                <w:szCs w:val="24"/>
              </w:rPr>
              <w:t>1项</w:t>
            </w:r>
          </w:p>
        </w:tc>
        <w:tc>
          <w:tcPr>
            <w:tcW w:w="2551" w:type="dxa"/>
            <w:vMerge w:val="restart"/>
            <w:noWrap/>
            <w:vAlign w:val="center"/>
          </w:tcPr>
          <w:p>
            <w:pPr>
              <w:spacing w:line="360" w:lineRule="auto"/>
              <w:jc w:val="center"/>
              <w:rPr>
                <w:rFonts w:ascii="宋体" w:hAnsi="宋体" w:cs="宋体"/>
                <w:sz w:val="24"/>
                <w:szCs w:val="24"/>
              </w:rPr>
            </w:pPr>
            <w:r>
              <w:rPr>
                <w:rFonts w:hint="eastAsia" w:ascii="宋体" w:hAnsi="宋体" w:cs="宋体"/>
                <w:sz w:val="24"/>
                <w:szCs w:val="24"/>
              </w:rPr>
              <w:t>165000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noWrap/>
          </w:tcPr>
          <w:p>
            <w:pPr>
              <w:spacing w:line="360" w:lineRule="auto"/>
              <w:rPr>
                <w:rFonts w:ascii="宋体" w:hAnsi="宋体" w:cs="宋体"/>
                <w:kern w:val="0"/>
                <w:sz w:val="24"/>
                <w:szCs w:val="24"/>
              </w:rPr>
            </w:pPr>
            <w:r>
              <w:rPr>
                <w:rFonts w:hint="eastAsia" w:ascii="宋体" w:hAnsi="宋体" w:cs="宋体"/>
                <w:kern w:val="0"/>
                <w:sz w:val="24"/>
                <w:szCs w:val="24"/>
              </w:rPr>
              <w:t>2</w:t>
            </w:r>
          </w:p>
        </w:tc>
        <w:tc>
          <w:tcPr>
            <w:tcW w:w="4022" w:type="dxa"/>
            <w:noWrap/>
          </w:tcPr>
          <w:p>
            <w:pPr>
              <w:spacing w:line="360" w:lineRule="auto"/>
              <w:rPr>
                <w:rFonts w:ascii="宋体" w:hAnsi="宋体" w:cs="宋体"/>
                <w:kern w:val="0"/>
                <w:sz w:val="24"/>
                <w:szCs w:val="24"/>
              </w:rPr>
            </w:pPr>
            <w:r>
              <w:rPr>
                <w:rFonts w:hint="eastAsia" w:ascii="宋体" w:hAnsi="宋体" w:cs="宋体"/>
                <w:bCs/>
                <w:kern w:val="0"/>
                <w:sz w:val="24"/>
                <w:szCs w:val="24"/>
              </w:rPr>
              <w:t>除“四害”药品</w:t>
            </w:r>
          </w:p>
        </w:tc>
        <w:tc>
          <w:tcPr>
            <w:tcW w:w="1873" w:type="dxa"/>
            <w:noWrap/>
          </w:tcPr>
          <w:p>
            <w:pPr>
              <w:spacing w:line="360" w:lineRule="auto"/>
              <w:rPr>
                <w:rFonts w:ascii="宋体" w:hAnsi="宋体" w:cs="宋体"/>
                <w:kern w:val="0"/>
                <w:sz w:val="24"/>
                <w:szCs w:val="24"/>
              </w:rPr>
            </w:pPr>
            <w:r>
              <w:rPr>
                <w:rFonts w:hint="eastAsia" w:ascii="宋体" w:hAnsi="宋体" w:cs="宋体"/>
                <w:kern w:val="0"/>
                <w:sz w:val="24"/>
                <w:szCs w:val="24"/>
              </w:rPr>
              <w:t>1批</w:t>
            </w:r>
          </w:p>
        </w:tc>
        <w:tc>
          <w:tcPr>
            <w:tcW w:w="2551" w:type="dxa"/>
            <w:vMerge w:val="continue"/>
            <w:noWrap/>
          </w:tcPr>
          <w:p>
            <w:pPr>
              <w:spacing w:line="360" w:lineRule="auto"/>
              <w:rPr>
                <w:rFonts w:ascii="宋体" w:hAnsi="宋体" w:cs="宋体"/>
                <w:sz w:val="24"/>
                <w:szCs w:val="24"/>
              </w:rPr>
            </w:pPr>
          </w:p>
        </w:tc>
      </w:tr>
    </w:tbl>
    <w:p>
      <w:pPr>
        <w:spacing w:line="500" w:lineRule="exact"/>
        <w:rPr>
          <w:rFonts w:ascii="宋体" w:hAnsi="宋体"/>
          <w:b/>
          <w:bCs/>
          <w:sz w:val="24"/>
          <w:szCs w:val="24"/>
        </w:rPr>
      </w:pPr>
      <w:r>
        <w:rPr>
          <w:rFonts w:hint="eastAsia" w:ascii="Calibri" w:hAnsi="Calibri"/>
          <w:b/>
          <w:bCs/>
          <w:sz w:val="24"/>
          <w:szCs w:val="24"/>
        </w:rPr>
        <w:t>★</w:t>
      </w:r>
      <w:r>
        <w:rPr>
          <w:rFonts w:hint="eastAsia" w:ascii="宋体" w:hAnsi="宋体"/>
          <w:b/>
          <w:bCs/>
          <w:sz w:val="24"/>
          <w:szCs w:val="24"/>
        </w:rPr>
        <w:t>注：投标人报价超过最高限价的视为无效报价，其投标文件按无效处理。</w:t>
      </w:r>
    </w:p>
    <w:p>
      <w:pPr>
        <w:numPr>
          <w:ilvl w:val="0"/>
          <w:numId w:val="15"/>
        </w:numPr>
        <w:spacing w:line="500" w:lineRule="exact"/>
        <w:rPr>
          <w:rFonts w:ascii="宋体" w:hAnsi="宋体"/>
          <w:sz w:val="24"/>
          <w:szCs w:val="24"/>
        </w:rPr>
      </w:pPr>
      <w:r>
        <w:rPr>
          <w:rFonts w:hint="eastAsia" w:ascii="宋体" w:hAnsi="宋体"/>
          <w:bCs/>
          <w:sz w:val="24"/>
          <w:szCs w:val="24"/>
        </w:rPr>
        <w:t>本项目为福州市鼓楼区华大街道外环境“四害”消杀服务项目，</w:t>
      </w:r>
      <w:r>
        <w:rPr>
          <w:rFonts w:hint="eastAsia" w:ascii="宋体" w:hAnsi="宋体"/>
          <w:sz w:val="24"/>
          <w:szCs w:val="24"/>
        </w:rPr>
        <w:t>服务期限为1年。</w:t>
      </w:r>
    </w:p>
    <w:p>
      <w:pPr>
        <w:numPr>
          <w:ilvl w:val="0"/>
          <w:numId w:val="15"/>
        </w:numPr>
        <w:spacing w:line="500" w:lineRule="exact"/>
        <w:rPr>
          <w:rFonts w:ascii="宋体" w:hAnsi="宋体"/>
          <w:sz w:val="24"/>
          <w:szCs w:val="24"/>
        </w:rPr>
      </w:pPr>
      <w:r>
        <w:rPr>
          <w:rFonts w:hint="eastAsia" w:ascii="宋体" w:hAnsi="宋体"/>
          <w:sz w:val="24"/>
          <w:szCs w:val="24"/>
        </w:rPr>
        <w:t>服务内容：</w:t>
      </w:r>
    </w:p>
    <w:p>
      <w:pPr>
        <w:spacing w:line="520" w:lineRule="exact"/>
        <w:rPr>
          <w:rFonts w:ascii="宋体" w:hAnsi="宋体" w:cs="宋体"/>
          <w:sz w:val="24"/>
          <w:szCs w:val="24"/>
        </w:rPr>
      </w:pPr>
      <w:r>
        <w:rPr>
          <w:rFonts w:hint="eastAsia" w:ascii="宋体" w:hAnsi="宋体" w:cs="宋体"/>
          <w:sz w:val="24"/>
          <w:szCs w:val="24"/>
        </w:rPr>
        <w:t>（1）、公共环境消杀服务：对华大街道 9 个社区的公共区域、小区居民区（无物业小区及部分物业小区）、绿化带（含公共道路区域两旁绿化带）、下水道、地下室、小区地下室及其他外环境场所等进行不少于 23 次的消杀服务(含应急消杀)。</w:t>
      </w:r>
    </w:p>
    <w:p>
      <w:pPr>
        <w:spacing w:line="520" w:lineRule="exact"/>
        <w:rPr>
          <w:rFonts w:ascii="宋体" w:hAnsi="宋体" w:cs="宋体"/>
          <w:sz w:val="24"/>
          <w:szCs w:val="24"/>
        </w:rPr>
      </w:pPr>
      <w:r>
        <w:rPr>
          <w:rFonts w:hint="eastAsia" w:ascii="宋体" w:hAnsi="宋体" w:cs="宋体"/>
          <w:sz w:val="24"/>
          <w:szCs w:val="24"/>
        </w:rPr>
        <w:t>（2）2024年华大街道拟采购药品预估数量，具体以实际用量为准。</w:t>
      </w:r>
    </w:p>
    <w:tbl>
      <w:tblPr>
        <w:tblStyle w:val="50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1536"/>
        <w:gridCol w:w="2597"/>
        <w:gridCol w:w="1598"/>
        <w:gridCol w:w="1644"/>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32" w:type="pct"/>
          </w:tcPr>
          <w:p>
            <w:pPr>
              <w:spacing w:line="520" w:lineRule="exact"/>
              <w:rPr>
                <w:rFonts w:ascii="宋体" w:hAnsi="宋体" w:cs="宋体"/>
                <w:sz w:val="24"/>
                <w:szCs w:val="24"/>
              </w:rPr>
            </w:pPr>
            <w:r>
              <w:rPr>
                <w:rFonts w:hint="eastAsia" w:ascii="宋体" w:hAnsi="宋体" w:cs="宋体"/>
                <w:sz w:val="24"/>
                <w:szCs w:val="24"/>
              </w:rPr>
              <w:t>药品类别</w:t>
            </w:r>
          </w:p>
        </w:tc>
        <w:tc>
          <w:tcPr>
            <w:tcW w:w="771" w:type="pct"/>
          </w:tcPr>
          <w:p>
            <w:pPr>
              <w:spacing w:line="520" w:lineRule="exact"/>
              <w:rPr>
                <w:rFonts w:ascii="宋体" w:hAnsi="宋体" w:cs="宋体"/>
                <w:sz w:val="24"/>
                <w:szCs w:val="24"/>
              </w:rPr>
            </w:pPr>
            <w:r>
              <w:rPr>
                <w:rFonts w:hint="eastAsia" w:ascii="宋体" w:hAnsi="宋体" w:cs="宋体"/>
                <w:sz w:val="24"/>
                <w:szCs w:val="24"/>
              </w:rPr>
              <w:t>热雾剂（升）</w:t>
            </w:r>
          </w:p>
        </w:tc>
        <w:tc>
          <w:tcPr>
            <w:tcW w:w="1303" w:type="pct"/>
          </w:tcPr>
          <w:p>
            <w:pPr>
              <w:spacing w:line="520" w:lineRule="exact"/>
              <w:rPr>
                <w:rFonts w:ascii="宋体" w:hAnsi="宋体" w:cs="宋体"/>
                <w:sz w:val="24"/>
                <w:szCs w:val="24"/>
              </w:rPr>
            </w:pPr>
            <w:r>
              <w:rPr>
                <w:rFonts w:hint="eastAsia" w:ascii="宋体" w:hAnsi="宋体" w:cs="宋体"/>
                <w:sz w:val="24"/>
                <w:szCs w:val="24"/>
              </w:rPr>
              <w:t>水乳剂或微乳剂（升）</w:t>
            </w:r>
          </w:p>
        </w:tc>
        <w:tc>
          <w:tcPr>
            <w:tcW w:w="802" w:type="pct"/>
          </w:tcPr>
          <w:p>
            <w:pPr>
              <w:spacing w:line="520" w:lineRule="exact"/>
              <w:rPr>
                <w:rFonts w:ascii="宋体" w:hAnsi="宋体" w:cs="宋体"/>
                <w:sz w:val="24"/>
                <w:szCs w:val="24"/>
              </w:rPr>
            </w:pPr>
            <w:r>
              <w:rPr>
                <w:rFonts w:hint="eastAsia" w:ascii="宋体" w:hAnsi="宋体" w:cs="宋体"/>
                <w:sz w:val="24"/>
                <w:szCs w:val="24"/>
              </w:rPr>
              <w:t>灭鼠药（吨）</w:t>
            </w:r>
          </w:p>
        </w:tc>
        <w:tc>
          <w:tcPr>
            <w:tcW w:w="825" w:type="pct"/>
          </w:tcPr>
          <w:p>
            <w:pPr>
              <w:spacing w:line="520" w:lineRule="exact"/>
              <w:rPr>
                <w:rFonts w:ascii="宋体" w:hAnsi="宋体" w:cs="宋体"/>
                <w:sz w:val="24"/>
                <w:szCs w:val="24"/>
              </w:rPr>
            </w:pPr>
            <w:r>
              <w:rPr>
                <w:rFonts w:hint="eastAsia" w:ascii="宋体" w:hAnsi="宋体" w:cs="宋体"/>
                <w:sz w:val="24"/>
                <w:szCs w:val="24"/>
              </w:rPr>
              <w:t>烟熏片（包）</w:t>
            </w:r>
          </w:p>
        </w:tc>
        <w:tc>
          <w:tcPr>
            <w:tcW w:w="666" w:type="pct"/>
          </w:tcPr>
          <w:p>
            <w:pPr>
              <w:spacing w:line="520" w:lineRule="exact"/>
              <w:rPr>
                <w:rFonts w:ascii="宋体" w:hAnsi="宋体" w:cs="宋体"/>
                <w:sz w:val="24"/>
                <w:szCs w:val="24"/>
              </w:rPr>
            </w:pPr>
            <w:r>
              <w:rPr>
                <w:rFonts w:hint="eastAsia" w:ascii="宋体" w:hAnsi="宋体" w:cs="宋体"/>
                <w:sz w:val="24"/>
                <w:szCs w:val="24"/>
              </w:rPr>
              <w:t>颗粒杀虫剂（千克）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tcPr>
          <w:p>
            <w:pPr>
              <w:spacing w:line="360" w:lineRule="auto"/>
              <w:rPr>
                <w:rFonts w:ascii="宋体" w:hAnsi="宋体" w:cs="宋体"/>
                <w:sz w:val="24"/>
                <w:szCs w:val="24"/>
              </w:rPr>
            </w:pPr>
            <w:r>
              <w:rPr>
                <w:rFonts w:hint="eastAsia" w:ascii="宋体" w:hAnsi="宋体" w:cs="宋体"/>
                <w:sz w:val="24"/>
                <w:szCs w:val="24"/>
              </w:rPr>
              <w:t>预估数量</w:t>
            </w:r>
          </w:p>
        </w:tc>
        <w:tc>
          <w:tcPr>
            <w:tcW w:w="771" w:type="pct"/>
          </w:tcPr>
          <w:p>
            <w:pPr>
              <w:spacing w:line="360" w:lineRule="auto"/>
              <w:rPr>
                <w:rFonts w:ascii="宋体" w:hAnsi="宋体" w:cs="宋体"/>
                <w:sz w:val="24"/>
                <w:szCs w:val="24"/>
              </w:rPr>
            </w:pPr>
            <w:r>
              <w:rPr>
                <w:rFonts w:hint="eastAsia" w:ascii="宋体" w:hAnsi="宋体" w:cs="宋体"/>
                <w:sz w:val="24"/>
                <w:szCs w:val="24"/>
              </w:rPr>
              <w:t>700</w:t>
            </w:r>
          </w:p>
        </w:tc>
        <w:tc>
          <w:tcPr>
            <w:tcW w:w="1303" w:type="pct"/>
          </w:tcPr>
          <w:p>
            <w:pPr>
              <w:spacing w:line="360" w:lineRule="auto"/>
              <w:rPr>
                <w:rFonts w:ascii="宋体" w:hAnsi="宋体" w:cs="宋体"/>
                <w:sz w:val="24"/>
                <w:szCs w:val="24"/>
              </w:rPr>
            </w:pPr>
            <w:r>
              <w:rPr>
                <w:rFonts w:hint="eastAsia" w:ascii="宋体" w:hAnsi="宋体" w:cs="宋体"/>
                <w:sz w:val="24"/>
                <w:szCs w:val="24"/>
              </w:rPr>
              <w:t>750</w:t>
            </w:r>
          </w:p>
        </w:tc>
        <w:tc>
          <w:tcPr>
            <w:tcW w:w="802" w:type="pct"/>
          </w:tcPr>
          <w:p>
            <w:pPr>
              <w:spacing w:line="360" w:lineRule="auto"/>
              <w:rPr>
                <w:rFonts w:ascii="宋体" w:hAnsi="宋体" w:cs="宋体"/>
                <w:sz w:val="24"/>
                <w:szCs w:val="24"/>
              </w:rPr>
            </w:pPr>
            <w:r>
              <w:rPr>
                <w:rFonts w:hint="eastAsia" w:ascii="宋体" w:hAnsi="宋体" w:cs="宋体"/>
                <w:sz w:val="24"/>
                <w:szCs w:val="24"/>
              </w:rPr>
              <w:t>1.5</w:t>
            </w:r>
          </w:p>
        </w:tc>
        <w:tc>
          <w:tcPr>
            <w:tcW w:w="825" w:type="pct"/>
          </w:tcPr>
          <w:p>
            <w:pPr>
              <w:spacing w:line="360" w:lineRule="auto"/>
              <w:rPr>
                <w:rFonts w:ascii="宋体" w:hAnsi="宋体" w:cs="宋体"/>
                <w:sz w:val="24"/>
                <w:szCs w:val="24"/>
              </w:rPr>
            </w:pPr>
            <w:r>
              <w:rPr>
                <w:rFonts w:hint="eastAsia" w:ascii="宋体" w:hAnsi="宋体" w:cs="宋体"/>
                <w:sz w:val="24"/>
                <w:szCs w:val="24"/>
              </w:rPr>
              <w:t>5000</w:t>
            </w:r>
          </w:p>
        </w:tc>
        <w:tc>
          <w:tcPr>
            <w:tcW w:w="666" w:type="pct"/>
          </w:tcPr>
          <w:p>
            <w:pPr>
              <w:spacing w:line="360" w:lineRule="auto"/>
              <w:rPr>
                <w:rFonts w:ascii="宋体" w:hAnsi="宋体" w:cs="宋体"/>
                <w:sz w:val="24"/>
                <w:szCs w:val="24"/>
              </w:rPr>
            </w:pPr>
            <w:r>
              <w:rPr>
                <w:rFonts w:hint="eastAsia" w:ascii="宋体" w:hAnsi="宋体" w:cs="宋体"/>
                <w:sz w:val="24"/>
                <w:szCs w:val="24"/>
              </w:rPr>
              <w:t>200</w:t>
            </w:r>
          </w:p>
        </w:tc>
      </w:tr>
    </w:tbl>
    <w:p>
      <w:pPr>
        <w:spacing w:line="500" w:lineRule="exact"/>
        <w:rPr>
          <w:rFonts w:ascii="宋体" w:hAnsi="宋体"/>
          <w:bCs/>
          <w:sz w:val="24"/>
          <w:szCs w:val="24"/>
        </w:rPr>
      </w:pPr>
      <w:r>
        <w:rPr>
          <w:rFonts w:hint="eastAsia" w:ascii="宋体" w:hAnsi="宋体"/>
          <w:bCs/>
          <w:sz w:val="24"/>
          <w:szCs w:val="24"/>
        </w:rPr>
        <w:t>4、投标人使用的</w:t>
      </w:r>
      <w:r>
        <w:rPr>
          <w:rFonts w:hint="eastAsia" w:ascii="宋体" w:hAnsi="宋体" w:cs="宋体"/>
          <w:sz w:val="24"/>
          <w:szCs w:val="24"/>
        </w:rPr>
        <w:t>生物密度监测方法应符合国家标准。</w:t>
      </w:r>
    </w:p>
    <w:p>
      <w:pPr>
        <w:spacing w:line="500" w:lineRule="exact"/>
        <w:ind w:firstLine="480" w:firstLineChars="200"/>
        <w:rPr>
          <w:rFonts w:ascii="宋体" w:hAnsi="宋体" w:cs="宋体"/>
          <w:sz w:val="24"/>
          <w:szCs w:val="24"/>
        </w:rPr>
      </w:pPr>
      <w:r>
        <w:rPr>
          <w:rFonts w:hint="eastAsia" w:ascii="宋体" w:hAnsi="宋体" w:cs="宋体"/>
          <w:sz w:val="24"/>
          <w:szCs w:val="24"/>
        </w:rPr>
        <w:t>WS/T 687—2020病媒生物防制操作规程 居民区</w:t>
      </w:r>
    </w:p>
    <w:p>
      <w:pPr>
        <w:spacing w:line="500" w:lineRule="exact"/>
        <w:ind w:firstLine="480" w:firstLineChars="200"/>
        <w:rPr>
          <w:rFonts w:ascii="宋体" w:hAnsi="宋体" w:cs="宋体"/>
          <w:sz w:val="24"/>
          <w:szCs w:val="24"/>
        </w:rPr>
      </w:pPr>
      <w:r>
        <w:rPr>
          <w:rFonts w:hint="eastAsia" w:ascii="宋体" w:hAnsi="宋体" w:cs="宋体"/>
          <w:sz w:val="24"/>
          <w:szCs w:val="24"/>
        </w:rPr>
        <w:t>GB/T 23795 病媒生物密度监测方法 蜚蠊</w:t>
      </w:r>
    </w:p>
    <w:p>
      <w:pPr>
        <w:spacing w:line="500" w:lineRule="exact"/>
        <w:ind w:firstLine="480" w:firstLineChars="200"/>
        <w:rPr>
          <w:rFonts w:ascii="宋体" w:hAnsi="宋体" w:cs="宋体"/>
          <w:sz w:val="24"/>
          <w:szCs w:val="24"/>
        </w:rPr>
      </w:pPr>
      <w:r>
        <w:rPr>
          <w:rFonts w:hint="eastAsia" w:ascii="宋体" w:hAnsi="宋体" w:cs="宋体"/>
          <w:sz w:val="24"/>
          <w:szCs w:val="24"/>
        </w:rPr>
        <w:t>GB/T 23796 病媒生物密度监测方法 蝇类</w:t>
      </w:r>
    </w:p>
    <w:p>
      <w:pPr>
        <w:spacing w:line="500" w:lineRule="exact"/>
        <w:ind w:firstLine="480" w:firstLineChars="200"/>
        <w:rPr>
          <w:rFonts w:ascii="宋体" w:hAnsi="宋体" w:cs="宋体"/>
          <w:sz w:val="24"/>
          <w:szCs w:val="24"/>
        </w:rPr>
      </w:pPr>
      <w:r>
        <w:rPr>
          <w:rFonts w:hint="eastAsia" w:ascii="宋体" w:hAnsi="宋体" w:cs="宋体"/>
          <w:sz w:val="24"/>
          <w:szCs w:val="24"/>
        </w:rPr>
        <w:t>GB/T 23797 病媒生物密度监测方法 蚊虫</w:t>
      </w:r>
    </w:p>
    <w:p>
      <w:pPr>
        <w:spacing w:line="500" w:lineRule="exact"/>
        <w:ind w:firstLine="480" w:firstLineChars="200"/>
        <w:rPr>
          <w:rFonts w:ascii="宋体" w:hAnsi="宋体" w:cs="宋体"/>
          <w:sz w:val="24"/>
          <w:szCs w:val="24"/>
        </w:rPr>
      </w:pPr>
      <w:r>
        <w:rPr>
          <w:rFonts w:hint="eastAsia" w:ascii="宋体" w:hAnsi="宋体" w:cs="宋体"/>
          <w:sz w:val="24"/>
          <w:szCs w:val="24"/>
        </w:rPr>
        <w:t>GB/T 23798 病媒生物密度监测方法 鼠类</w:t>
      </w:r>
    </w:p>
    <w:p>
      <w:pPr>
        <w:spacing w:line="500" w:lineRule="exact"/>
        <w:ind w:firstLine="480" w:firstLineChars="200"/>
        <w:rPr>
          <w:rFonts w:ascii="宋体" w:hAnsi="宋体" w:cs="宋体"/>
          <w:sz w:val="24"/>
          <w:szCs w:val="24"/>
        </w:rPr>
      </w:pPr>
      <w:r>
        <w:rPr>
          <w:rFonts w:hint="eastAsia" w:ascii="宋体" w:hAnsi="宋体" w:cs="宋体"/>
          <w:sz w:val="24"/>
          <w:szCs w:val="24"/>
        </w:rPr>
        <w:t>GB/T 27770 病媒生物密度控制水平 鼠类</w:t>
      </w:r>
    </w:p>
    <w:p>
      <w:pPr>
        <w:spacing w:line="500" w:lineRule="exact"/>
        <w:ind w:firstLine="480" w:firstLineChars="200"/>
        <w:rPr>
          <w:rFonts w:ascii="宋体" w:hAnsi="宋体" w:cs="宋体"/>
          <w:sz w:val="24"/>
          <w:szCs w:val="24"/>
        </w:rPr>
      </w:pPr>
      <w:r>
        <w:rPr>
          <w:rFonts w:hint="eastAsia" w:ascii="宋体" w:hAnsi="宋体" w:cs="宋体"/>
          <w:sz w:val="24"/>
          <w:szCs w:val="24"/>
        </w:rPr>
        <w:t>GB/T 27771 病媒生物密度控制水平 蚊虫</w:t>
      </w:r>
    </w:p>
    <w:p>
      <w:pPr>
        <w:spacing w:line="500" w:lineRule="exact"/>
        <w:ind w:firstLine="480" w:firstLineChars="200"/>
        <w:rPr>
          <w:rFonts w:ascii="宋体" w:hAnsi="宋体" w:cs="宋体"/>
          <w:sz w:val="24"/>
          <w:szCs w:val="24"/>
        </w:rPr>
      </w:pPr>
      <w:r>
        <w:rPr>
          <w:rFonts w:hint="eastAsia" w:ascii="宋体" w:hAnsi="宋体" w:cs="宋体"/>
          <w:sz w:val="24"/>
          <w:szCs w:val="24"/>
        </w:rPr>
        <w:t>GB/T 27772 病媒生物密度控制水平 蝇类</w:t>
      </w:r>
    </w:p>
    <w:p>
      <w:pPr>
        <w:spacing w:line="500" w:lineRule="exact"/>
        <w:ind w:firstLine="480" w:firstLineChars="200"/>
        <w:rPr>
          <w:rFonts w:ascii="宋体" w:hAnsi="宋体" w:cs="宋体"/>
          <w:sz w:val="24"/>
          <w:szCs w:val="24"/>
        </w:rPr>
      </w:pPr>
      <w:r>
        <w:rPr>
          <w:rFonts w:hint="eastAsia" w:ascii="宋体" w:hAnsi="宋体" w:cs="宋体"/>
          <w:sz w:val="24"/>
          <w:szCs w:val="24"/>
        </w:rPr>
        <w:t>GB/T 27773 病媒生物密度控制水平 蜚蠊</w:t>
      </w:r>
    </w:p>
    <w:p>
      <w:pPr>
        <w:tabs>
          <w:tab w:val="left" w:pos="900"/>
        </w:tabs>
        <w:spacing w:line="460" w:lineRule="exac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二、技术和服务要求</w:t>
      </w:r>
    </w:p>
    <w:p>
      <w:pPr>
        <w:spacing w:line="520" w:lineRule="exact"/>
        <w:ind w:firstLine="480" w:firstLineChars="200"/>
        <w:rPr>
          <w:rFonts w:ascii="宋体" w:hAnsi="宋体" w:cs="宋体"/>
          <w:sz w:val="24"/>
          <w:szCs w:val="24"/>
        </w:rPr>
      </w:pPr>
      <w:r>
        <w:rPr>
          <w:rFonts w:hint="eastAsia" w:ascii="宋体" w:hAnsi="宋体" w:cs="宋体"/>
          <w:sz w:val="24"/>
          <w:szCs w:val="24"/>
        </w:rPr>
        <w:t>(一)基本服务要求</w:t>
      </w:r>
    </w:p>
    <w:p>
      <w:pPr>
        <w:spacing w:line="520" w:lineRule="exact"/>
        <w:ind w:firstLine="481" w:firstLineChars="200"/>
        <w:rPr>
          <w:rFonts w:ascii="宋体" w:hAnsi="宋体" w:cs="宋体"/>
          <w:sz w:val="24"/>
          <w:szCs w:val="24"/>
        </w:rPr>
      </w:pPr>
      <w:r>
        <w:rPr>
          <w:rFonts w:hint="eastAsia" w:ascii="宋体" w:hAnsi="宋体" w:cs="宋体"/>
          <w:b/>
          <w:bCs/>
          <w:sz w:val="24"/>
          <w:szCs w:val="24"/>
        </w:rPr>
        <w:t>(第1项)</w:t>
      </w:r>
      <w:r>
        <w:rPr>
          <w:rFonts w:hint="eastAsia" w:ascii="宋体" w:hAnsi="宋体" w:cs="宋体"/>
          <w:sz w:val="24"/>
          <w:szCs w:val="24"/>
        </w:rPr>
        <w:t>除四害，关键环节和治本措施是通过环境综合治理，清理卫生死角，清除“四害”孳生地；同时，完善卫生基础设施和防蚊蝇鼠等设施建设，利用限制因素降低室内外容害限量，达到控制“四害”密度的目的。本技术和服务要求主要针对除四害外环境消杀的特点所列的化学防制技术和服务要求。</w:t>
      </w:r>
    </w:p>
    <w:p>
      <w:pPr>
        <w:spacing w:line="520" w:lineRule="exact"/>
        <w:ind w:firstLine="481" w:firstLineChars="200"/>
        <w:rPr>
          <w:rFonts w:ascii="宋体" w:hAnsi="宋体" w:cs="宋体"/>
          <w:sz w:val="24"/>
          <w:szCs w:val="24"/>
        </w:rPr>
      </w:pPr>
      <w:r>
        <w:rPr>
          <w:rFonts w:hint="eastAsia" w:ascii="Calibri" w:hAnsi="Calibri"/>
          <w:b/>
          <w:bCs/>
          <w:sz w:val="24"/>
          <w:szCs w:val="24"/>
        </w:rPr>
        <w:t>★</w:t>
      </w:r>
      <w:r>
        <w:rPr>
          <w:rFonts w:hint="eastAsia" w:ascii="宋体" w:hAnsi="宋体" w:cs="宋体"/>
          <w:sz w:val="24"/>
          <w:szCs w:val="24"/>
        </w:rPr>
        <w:t>消杀工作应达到国家病媒生物密度控制水平标准C级或以上要求，并确保通过国家卫生城市暗访和省市各级明察暗访检查，未达到标准或影响了创卫工作的，要追究中标人违约责任。加强巡查，查遗补漏，及时灭治。将防治过程及防治效果进行记录、拍照存档。</w:t>
      </w:r>
    </w:p>
    <w:p>
      <w:pPr>
        <w:spacing w:line="520" w:lineRule="exact"/>
        <w:ind w:firstLine="480" w:firstLineChars="200"/>
        <w:rPr>
          <w:rFonts w:ascii="宋体" w:hAnsi="宋体" w:cs="宋体"/>
          <w:sz w:val="24"/>
          <w:szCs w:val="24"/>
        </w:rPr>
      </w:pPr>
      <w:r>
        <w:rPr>
          <w:rFonts w:hint="eastAsia" w:ascii="宋体" w:hAnsi="宋体" w:cs="宋体"/>
          <w:sz w:val="24"/>
          <w:szCs w:val="24"/>
        </w:rPr>
        <w:t>1、灭鼠：</w:t>
      </w:r>
    </w:p>
    <w:p>
      <w:pPr>
        <w:spacing w:line="520" w:lineRule="exact"/>
        <w:rPr>
          <w:rFonts w:ascii="宋体" w:hAnsi="宋体" w:cs="宋体"/>
          <w:sz w:val="24"/>
          <w:szCs w:val="24"/>
        </w:rPr>
      </w:pPr>
      <w:r>
        <w:rPr>
          <w:rFonts w:hint="eastAsia" w:ascii="宋体" w:hAnsi="宋体" w:cs="宋体"/>
          <w:b/>
          <w:bCs/>
          <w:sz w:val="24"/>
          <w:szCs w:val="24"/>
        </w:rPr>
        <w:t>(第2项)</w:t>
      </w:r>
      <w:r>
        <w:rPr>
          <w:rFonts w:hint="eastAsia" w:ascii="宋体" w:hAnsi="宋体" w:cs="宋体"/>
          <w:sz w:val="24"/>
          <w:szCs w:val="24"/>
        </w:rPr>
        <w:t>为保证安全有效地开展药物灭鼠，全市必须做到统一鼠药种类、统一投放时间、统一投放方法、统一行动。灭鼠药的采购、保管、投放应有专人负责，严禁使用国家禁止使用的灭鼠剂。</w:t>
      </w:r>
    </w:p>
    <w:p>
      <w:pPr>
        <w:spacing w:line="520" w:lineRule="exact"/>
        <w:rPr>
          <w:rFonts w:ascii="宋体" w:hAnsi="宋体" w:cs="宋体"/>
          <w:sz w:val="24"/>
          <w:szCs w:val="24"/>
        </w:rPr>
      </w:pPr>
      <w:r>
        <w:rPr>
          <w:rFonts w:hint="eastAsia" w:ascii="宋体" w:hAnsi="宋体" w:cs="宋体"/>
          <w:b/>
          <w:bCs/>
          <w:sz w:val="24"/>
          <w:szCs w:val="24"/>
        </w:rPr>
        <w:t>(第3项)</w:t>
      </w:r>
      <w:r>
        <w:rPr>
          <w:rFonts w:hint="eastAsia" w:ascii="宋体" w:hAnsi="宋体" w:cs="宋体"/>
          <w:sz w:val="24"/>
          <w:szCs w:val="24"/>
        </w:rPr>
        <w:t>（1）鼠药种类及选择：市区统一使用溴鼠灵或溴敌隆灭鼠剂；每次全市统一灭鼠具体使用的灭鼠剂种类由爱卫部门确定。</w:t>
      </w:r>
    </w:p>
    <w:p>
      <w:pPr>
        <w:spacing w:line="520" w:lineRule="exact"/>
        <w:ind w:firstLine="481" w:firstLineChars="200"/>
        <w:rPr>
          <w:rFonts w:ascii="宋体" w:hAnsi="宋体" w:cs="宋体"/>
          <w:sz w:val="24"/>
          <w:szCs w:val="24"/>
        </w:rPr>
      </w:pPr>
      <w:r>
        <w:rPr>
          <w:rFonts w:hint="eastAsia" w:ascii="宋体" w:hAnsi="宋体" w:cs="宋体"/>
          <w:b/>
          <w:bCs/>
          <w:sz w:val="24"/>
          <w:szCs w:val="24"/>
        </w:rPr>
        <w:t>(第4项)</w:t>
      </w:r>
      <w:r>
        <w:rPr>
          <w:rFonts w:hint="eastAsia" w:ascii="宋体" w:hAnsi="宋体" w:cs="宋体"/>
          <w:sz w:val="24"/>
          <w:szCs w:val="24"/>
        </w:rPr>
        <w:t>（2）灭鼠毒饵盒：单位、居民区、公共场所、绿化带等外环境、集贸市场等场所室内应建有一定数量的灭鼠毒饵盒，定期投放灭鼠药。灭鼠毒饵盒宜建在室外墙根、屋角、绿化带等鼠类容易遇到地方，用水泥固定，长期使用，建筑物周围每15米左右可建一个，公共场所、绿化带可建景观型灭鼠毒饵盒。单位室内可购买塑料毒饵盒，布放在合适地点。毒饵盒上应当用油漆等喷写警示文字，防止误食等中毒事故发生。</w:t>
      </w:r>
    </w:p>
    <w:p>
      <w:pPr>
        <w:spacing w:line="520" w:lineRule="exact"/>
        <w:ind w:firstLine="481" w:firstLineChars="200"/>
        <w:rPr>
          <w:rFonts w:ascii="宋体" w:hAnsi="宋体" w:cs="宋体"/>
          <w:sz w:val="24"/>
          <w:szCs w:val="24"/>
        </w:rPr>
      </w:pPr>
      <w:r>
        <w:rPr>
          <w:rFonts w:hint="eastAsia" w:ascii="宋体" w:hAnsi="宋体" w:cs="宋体"/>
          <w:b/>
          <w:bCs/>
          <w:sz w:val="24"/>
          <w:szCs w:val="24"/>
        </w:rPr>
        <w:t>(第5项)</w:t>
      </w:r>
      <w:r>
        <w:rPr>
          <w:rFonts w:hint="eastAsia" w:ascii="宋体" w:hAnsi="宋体" w:cs="宋体"/>
          <w:sz w:val="24"/>
          <w:szCs w:val="24"/>
        </w:rPr>
        <w:t>（3）投放时间：具体时间安排由爱卫部门确定。鼠密度较高的单位或区域也可根据需要自行确定统一投放时间。</w:t>
      </w:r>
    </w:p>
    <w:p>
      <w:pPr>
        <w:spacing w:line="520" w:lineRule="exact"/>
        <w:ind w:firstLine="481" w:firstLineChars="200"/>
        <w:rPr>
          <w:rFonts w:ascii="宋体" w:hAnsi="宋体" w:cs="宋体"/>
          <w:sz w:val="24"/>
          <w:szCs w:val="24"/>
        </w:rPr>
      </w:pPr>
      <w:r>
        <w:rPr>
          <w:rFonts w:hint="eastAsia" w:ascii="宋体" w:hAnsi="宋体" w:cs="宋体"/>
          <w:b/>
          <w:bCs/>
          <w:sz w:val="24"/>
          <w:szCs w:val="24"/>
        </w:rPr>
        <w:t>(第6项)</w:t>
      </w:r>
      <w:r>
        <w:rPr>
          <w:rFonts w:hint="eastAsia" w:ascii="宋体" w:hAnsi="宋体" w:cs="宋体"/>
          <w:sz w:val="24"/>
          <w:szCs w:val="24"/>
        </w:rPr>
        <w:t>（4）投放方法：采用专业队伍投药，鼠药投放到灭鼠毒饵盒内。没有毒饵盒的场所，鼠药投放在墙根、屋角等鼠容易遇到的地方，投放点应干爽、隐蔽。做到全面、足量投药。每个毒饵盒内每次可投放30克左右。公共场所及绿化带每5—10米投放毒饵1堆，每堆15—20克；见鼠洞等鼠迹处应增加投药量，没有毒饵站的场所，选择晴好天气投放。并确保安全、有效用药。</w:t>
      </w:r>
    </w:p>
    <w:p>
      <w:pPr>
        <w:spacing w:line="520" w:lineRule="exact"/>
        <w:rPr>
          <w:rFonts w:ascii="宋体" w:hAnsi="宋体" w:cs="宋体"/>
          <w:sz w:val="24"/>
          <w:szCs w:val="24"/>
        </w:rPr>
      </w:pPr>
      <w:r>
        <w:rPr>
          <w:rFonts w:hint="eastAsia" w:ascii="宋体" w:hAnsi="宋体" w:cs="宋体"/>
          <w:b/>
          <w:bCs/>
          <w:sz w:val="24"/>
          <w:szCs w:val="24"/>
        </w:rPr>
        <w:t>(第7项)</w:t>
      </w:r>
      <w:r>
        <w:rPr>
          <w:rFonts w:hint="eastAsia" w:ascii="宋体" w:hAnsi="宋体" w:cs="宋体"/>
          <w:sz w:val="24"/>
          <w:szCs w:val="24"/>
        </w:rPr>
        <w:t>（5）其他事项：投放鼠药前各街（镇）、社区（村）应张贴灭鼠通告，做好鼠药安全投放宣传工作，预防儿童误食鼠药，投药时投药员要做好个人卫生防护措施，防止发生中毒。统一投药结束后，必需安排人员巡查和安全清理鼠尸，避免鼠尸污染环境；发现鼠迹立即清理并及时补充投放毒饵；发现毒饵站等防灭鼠设施破损或不足等，要登记，并知会相关业主单位，同时报告区爱卫办。</w:t>
      </w:r>
    </w:p>
    <w:p>
      <w:pPr>
        <w:spacing w:line="520" w:lineRule="exact"/>
        <w:rPr>
          <w:rFonts w:ascii="宋体" w:hAnsi="宋体" w:cs="宋体"/>
          <w:sz w:val="24"/>
          <w:szCs w:val="24"/>
        </w:rPr>
      </w:pPr>
      <w:r>
        <w:rPr>
          <w:rFonts w:hint="eastAsia" w:ascii="宋体" w:hAnsi="宋体" w:cs="宋体"/>
          <w:sz w:val="24"/>
          <w:szCs w:val="24"/>
        </w:rPr>
        <w:t xml:space="preserve">    2、灭蚊</w:t>
      </w:r>
    </w:p>
    <w:p>
      <w:pPr>
        <w:spacing w:line="520" w:lineRule="exact"/>
        <w:rPr>
          <w:rFonts w:ascii="宋体" w:hAnsi="宋体" w:cs="宋体"/>
          <w:sz w:val="24"/>
          <w:szCs w:val="24"/>
        </w:rPr>
      </w:pPr>
      <w:r>
        <w:rPr>
          <w:rFonts w:hint="eastAsia" w:ascii="宋体" w:hAnsi="宋体" w:cs="宋体"/>
          <w:b/>
          <w:bCs/>
          <w:sz w:val="24"/>
          <w:szCs w:val="24"/>
        </w:rPr>
        <w:t>(第8项)</w:t>
      </w:r>
      <w:r>
        <w:rPr>
          <w:rFonts w:hint="eastAsia" w:ascii="宋体" w:hAnsi="宋体" w:cs="宋体"/>
          <w:sz w:val="24"/>
          <w:szCs w:val="24"/>
        </w:rPr>
        <w:t>（1）下水道、建筑工地的积水等无法排除的水体，定期投放灭蚊蚴缓释剂，喷水池等水体和死水河段可投放灭蚊蚴剂杀灭蚊蚴，加强对屋顶和二次供水箱的灭蚊蚴工作。</w:t>
      </w:r>
    </w:p>
    <w:p>
      <w:pPr>
        <w:spacing w:line="520" w:lineRule="exact"/>
        <w:ind w:firstLine="481" w:firstLineChars="200"/>
        <w:rPr>
          <w:rFonts w:ascii="宋体" w:hAnsi="宋体" w:cs="宋体"/>
          <w:sz w:val="24"/>
          <w:szCs w:val="24"/>
        </w:rPr>
      </w:pPr>
      <w:r>
        <w:rPr>
          <w:rFonts w:hint="eastAsia" w:ascii="宋体" w:hAnsi="宋体" w:cs="宋体"/>
          <w:b/>
          <w:bCs/>
          <w:sz w:val="24"/>
          <w:szCs w:val="24"/>
        </w:rPr>
        <w:t>(第9项)</w:t>
      </w:r>
      <w:r>
        <w:rPr>
          <w:rFonts w:hint="eastAsia" w:ascii="宋体" w:hAnsi="宋体" w:cs="宋体"/>
          <w:sz w:val="24"/>
          <w:szCs w:val="24"/>
        </w:rPr>
        <w:t>（2）地下室、下水道、车棚及居民楼道、各类管道，必要时可用高效低毒的菊酯类杀虫剂进行滞留喷洒，无人区、密闭好的场所可用烟雾剂熏杀成蚊。</w:t>
      </w:r>
    </w:p>
    <w:p>
      <w:pPr>
        <w:spacing w:line="520" w:lineRule="exact"/>
        <w:ind w:firstLine="481" w:firstLineChars="200"/>
        <w:rPr>
          <w:rFonts w:ascii="宋体" w:hAnsi="宋体" w:cs="宋体"/>
          <w:sz w:val="24"/>
          <w:szCs w:val="24"/>
        </w:rPr>
      </w:pPr>
      <w:r>
        <w:rPr>
          <w:rFonts w:hint="eastAsia" w:ascii="宋体" w:hAnsi="宋体" w:cs="宋体"/>
          <w:b/>
          <w:bCs/>
          <w:sz w:val="24"/>
          <w:szCs w:val="24"/>
        </w:rPr>
        <w:t>(第10项)</w:t>
      </w:r>
      <w:r>
        <w:rPr>
          <w:rFonts w:hint="eastAsia" w:ascii="宋体" w:hAnsi="宋体" w:cs="宋体"/>
          <w:sz w:val="24"/>
          <w:szCs w:val="24"/>
        </w:rPr>
        <w:t>（3）采用化学防治与环境治理相结合的综合防制，药物为菊酯类杀虫剂，采用滞留喷洒或超低容量空间喷洒。水体投放杀虫剂杀灭蚊蚴和清除孳生地相结合的方法。</w:t>
      </w:r>
    </w:p>
    <w:p>
      <w:pPr>
        <w:spacing w:line="520" w:lineRule="exact"/>
        <w:rPr>
          <w:rFonts w:ascii="宋体" w:hAnsi="宋体" w:cs="宋体"/>
          <w:sz w:val="24"/>
          <w:szCs w:val="24"/>
        </w:rPr>
      </w:pPr>
      <w:r>
        <w:rPr>
          <w:rFonts w:hint="eastAsia" w:ascii="宋体" w:hAnsi="宋体" w:cs="宋体"/>
          <w:b/>
          <w:bCs/>
          <w:sz w:val="24"/>
          <w:szCs w:val="24"/>
        </w:rPr>
        <w:t>(第11项)</w:t>
      </w:r>
      <w:r>
        <w:rPr>
          <w:rFonts w:hint="eastAsia" w:ascii="宋体" w:hAnsi="宋体" w:cs="宋体"/>
          <w:sz w:val="24"/>
          <w:szCs w:val="24"/>
        </w:rPr>
        <w:t>（4）在开展药物消杀的同时，要注意</w:t>
      </w:r>
      <w:r>
        <w:rPr>
          <w:rFonts w:hint="eastAsia" w:ascii="宋体" w:hAnsi="宋体" w:cs="宋体"/>
          <w:kern w:val="0"/>
          <w:sz w:val="24"/>
          <w:szCs w:val="24"/>
        </w:rPr>
        <w:t>治本清源。</w:t>
      </w:r>
      <w:r>
        <w:rPr>
          <w:rFonts w:hint="eastAsia" w:ascii="宋体" w:hAnsi="宋体" w:cs="宋体"/>
          <w:sz w:val="24"/>
          <w:szCs w:val="24"/>
        </w:rPr>
        <w:t>清除各种容器积水。对缸、罐、瓶等各类小型积水容器采取清除或倒置；对各类废弃轮胎应遮雨放置，及时清除雨蓬屋檐上的积水。对盆景、喷水池等各种水体要经常换水或养鱼；各类绿化带内应保持洁净、无杂物；填平坑洼地。对无法排除的水体，要定期投放灭蚊幼制剂。</w:t>
      </w:r>
    </w:p>
    <w:p>
      <w:pPr>
        <w:spacing w:line="520" w:lineRule="exact"/>
        <w:rPr>
          <w:rFonts w:ascii="宋体" w:hAnsi="宋体" w:cs="宋体"/>
          <w:sz w:val="24"/>
          <w:szCs w:val="24"/>
        </w:rPr>
      </w:pPr>
      <w:r>
        <w:rPr>
          <w:rFonts w:hint="eastAsia" w:ascii="宋体" w:hAnsi="宋体" w:cs="宋体"/>
          <w:sz w:val="24"/>
          <w:szCs w:val="24"/>
        </w:rPr>
        <w:t xml:space="preserve">    3、灭蝇</w:t>
      </w:r>
    </w:p>
    <w:p>
      <w:pPr>
        <w:spacing w:line="520" w:lineRule="exact"/>
        <w:rPr>
          <w:rFonts w:ascii="宋体" w:hAnsi="宋体" w:cs="宋体"/>
          <w:sz w:val="24"/>
          <w:szCs w:val="24"/>
        </w:rPr>
      </w:pPr>
      <w:r>
        <w:rPr>
          <w:rFonts w:hint="eastAsia" w:ascii="宋体" w:hAnsi="宋体" w:cs="宋体"/>
          <w:b/>
          <w:bCs/>
          <w:sz w:val="24"/>
          <w:szCs w:val="24"/>
        </w:rPr>
        <w:t>(第12项)</w:t>
      </w:r>
      <w:r>
        <w:rPr>
          <w:rFonts w:hint="eastAsia" w:ascii="宋体" w:hAnsi="宋体" w:cs="宋体"/>
          <w:sz w:val="24"/>
          <w:szCs w:val="24"/>
        </w:rPr>
        <w:t>（1）在高峰季节，在成蝇主要栖息场所，如公共场所、无物业小区等，发现成蝇密度较高，要及时选用菊酯类杀虫剂等药物进行速杀。</w:t>
      </w:r>
    </w:p>
    <w:p>
      <w:pPr>
        <w:spacing w:line="520" w:lineRule="exact"/>
        <w:ind w:firstLine="481" w:firstLineChars="200"/>
        <w:rPr>
          <w:rFonts w:ascii="宋体" w:hAnsi="宋体" w:cs="宋体"/>
          <w:sz w:val="24"/>
          <w:szCs w:val="24"/>
        </w:rPr>
      </w:pPr>
      <w:r>
        <w:rPr>
          <w:rFonts w:hint="eastAsia" w:ascii="宋体" w:hAnsi="宋体" w:cs="宋体"/>
          <w:b/>
          <w:bCs/>
          <w:sz w:val="24"/>
          <w:szCs w:val="24"/>
        </w:rPr>
        <w:t>(第13项)</w:t>
      </w:r>
      <w:r>
        <w:rPr>
          <w:rFonts w:hint="eastAsia" w:ascii="宋体" w:hAnsi="宋体" w:cs="宋体"/>
          <w:sz w:val="24"/>
          <w:szCs w:val="24"/>
        </w:rPr>
        <w:t>（2）在农贸市场、公共厕所、垃圾房、垃圾中转站、车棚等，使用菊酯类杀虫剂进行滞留喷洒。</w:t>
      </w:r>
    </w:p>
    <w:p>
      <w:pPr>
        <w:spacing w:line="520" w:lineRule="exact"/>
        <w:rPr>
          <w:rFonts w:ascii="宋体" w:hAnsi="宋体" w:cs="宋体"/>
          <w:sz w:val="24"/>
          <w:szCs w:val="24"/>
        </w:rPr>
      </w:pPr>
      <w:r>
        <w:rPr>
          <w:rFonts w:hint="eastAsia" w:ascii="宋体" w:hAnsi="宋体" w:cs="宋体"/>
          <w:b/>
          <w:bCs/>
          <w:sz w:val="24"/>
          <w:szCs w:val="24"/>
        </w:rPr>
        <w:t>(第14项)</w:t>
      </w:r>
      <w:r>
        <w:rPr>
          <w:rFonts w:hint="eastAsia" w:ascii="宋体" w:hAnsi="宋体" w:cs="宋体"/>
          <w:sz w:val="24"/>
          <w:szCs w:val="24"/>
        </w:rPr>
        <w:t>（3）在开展药物消杀的同时，要注意治本清源。以环境治理、减少蝇类孳生、加强防护、阻断危害为原则。发动重点行业、单位、居民大搞室内外卫生，整治绿化带，疏通沟渠，清除散露垃圾、杂草、杂物、宠物粪便等。</w:t>
      </w:r>
    </w:p>
    <w:p>
      <w:pPr>
        <w:spacing w:line="520" w:lineRule="exact"/>
        <w:rPr>
          <w:rFonts w:ascii="宋体" w:hAnsi="宋体" w:cs="宋体"/>
          <w:sz w:val="24"/>
          <w:szCs w:val="24"/>
        </w:rPr>
      </w:pPr>
      <w:r>
        <w:rPr>
          <w:rFonts w:hint="eastAsia" w:ascii="宋体" w:hAnsi="宋体" w:cs="宋体"/>
          <w:sz w:val="24"/>
          <w:szCs w:val="24"/>
        </w:rPr>
        <w:t xml:space="preserve">    4、灭蟑螂</w:t>
      </w:r>
    </w:p>
    <w:p>
      <w:pPr>
        <w:spacing w:line="520" w:lineRule="exact"/>
        <w:ind w:firstLine="481" w:firstLineChars="200"/>
        <w:rPr>
          <w:rFonts w:ascii="宋体" w:hAnsi="宋体" w:cs="宋体"/>
          <w:sz w:val="24"/>
          <w:szCs w:val="24"/>
        </w:rPr>
      </w:pPr>
      <w:r>
        <w:rPr>
          <w:rFonts w:hint="eastAsia" w:ascii="宋体" w:hAnsi="宋体" w:cs="宋体"/>
          <w:b/>
          <w:bCs/>
          <w:sz w:val="24"/>
          <w:szCs w:val="24"/>
        </w:rPr>
        <w:t>(第15项)</w:t>
      </w:r>
      <w:r>
        <w:rPr>
          <w:rFonts w:hint="eastAsia" w:ascii="宋体" w:hAnsi="宋体" w:cs="宋体"/>
          <w:sz w:val="24"/>
          <w:szCs w:val="24"/>
        </w:rPr>
        <w:t>（1）无物业小区、农贸市场等使用热烟雾进行杀灭。</w:t>
      </w:r>
    </w:p>
    <w:p>
      <w:pPr>
        <w:spacing w:line="520" w:lineRule="exact"/>
        <w:ind w:firstLine="481" w:firstLineChars="200"/>
        <w:rPr>
          <w:rFonts w:ascii="宋体" w:hAnsi="宋体" w:cs="宋体"/>
          <w:sz w:val="24"/>
          <w:szCs w:val="24"/>
        </w:rPr>
      </w:pPr>
      <w:r>
        <w:rPr>
          <w:rFonts w:hint="eastAsia" w:ascii="宋体" w:hAnsi="宋体" w:cs="宋体"/>
          <w:b/>
          <w:bCs/>
          <w:sz w:val="24"/>
          <w:szCs w:val="24"/>
        </w:rPr>
        <w:t>(第16项)</w:t>
      </w:r>
      <w:r>
        <w:rPr>
          <w:rFonts w:hint="eastAsia" w:ascii="宋体" w:hAnsi="宋体" w:cs="宋体"/>
          <w:sz w:val="24"/>
          <w:szCs w:val="24"/>
        </w:rPr>
        <w:t>（2）下水道、化粪池、垃圾房等密闭场所可用烟雾剂熏杀。</w:t>
      </w:r>
    </w:p>
    <w:p>
      <w:pPr>
        <w:spacing w:line="520" w:lineRule="exact"/>
        <w:ind w:firstLine="481" w:firstLineChars="200"/>
        <w:rPr>
          <w:rFonts w:ascii="宋体" w:hAnsi="宋体" w:cs="宋体"/>
          <w:sz w:val="24"/>
          <w:szCs w:val="24"/>
        </w:rPr>
      </w:pPr>
      <w:r>
        <w:rPr>
          <w:rFonts w:hint="eastAsia" w:ascii="宋体" w:hAnsi="宋体" w:cs="宋体"/>
          <w:b/>
          <w:bCs/>
          <w:sz w:val="24"/>
          <w:szCs w:val="24"/>
        </w:rPr>
        <w:t>(第17项)</w:t>
      </w:r>
      <w:r>
        <w:rPr>
          <w:rFonts w:hint="eastAsia" w:ascii="宋体" w:hAnsi="宋体" w:cs="宋体"/>
          <w:sz w:val="24"/>
          <w:szCs w:val="24"/>
        </w:rPr>
        <w:t>（3）在开展药物消杀的同时，要注意治本清源。发动重点行业、单位和居民进行大扫除，清除蟑迹、卵荚，保持室内卫生整洁。墙上的裂缝和孔洞，用水泥或石灰堵塞抹平，用水泥或玻璃胶修补破损的瓷砖，修补门窗框上的缝隙。妥善保管好食物，关紧水</w:t>
      </w:r>
      <w:r>
        <w:rPr>
          <w:rFonts w:hint="eastAsia" w:ascii="宋体" w:hAnsi="宋体" w:cs="宋体"/>
          <w:sz w:val="24"/>
          <w:szCs w:val="24"/>
          <w:lang w:eastAsia="zh-CN"/>
        </w:rPr>
        <w:t>龙</w:t>
      </w:r>
      <w:r>
        <w:rPr>
          <w:rFonts w:hint="eastAsia" w:ascii="宋体" w:hAnsi="宋体" w:cs="宋体"/>
          <w:sz w:val="24"/>
          <w:szCs w:val="24"/>
        </w:rPr>
        <w:t>头，保持室内干燥，及时清除垃圾和废弃物。</w:t>
      </w:r>
    </w:p>
    <w:p>
      <w:pPr>
        <w:spacing w:line="520" w:lineRule="exact"/>
        <w:ind w:firstLine="480" w:firstLineChars="200"/>
        <w:rPr>
          <w:rFonts w:ascii="宋体" w:hAnsi="宋体" w:cs="宋体"/>
          <w:sz w:val="24"/>
          <w:szCs w:val="24"/>
        </w:rPr>
      </w:pPr>
      <w:r>
        <w:rPr>
          <w:rFonts w:hint="eastAsia" w:ascii="宋体" w:hAnsi="宋体" w:cs="宋体"/>
          <w:sz w:val="24"/>
          <w:szCs w:val="24"/>
        </w:rPr>
        <w:t>(二)责任要求</w:t>
      </w:r>
    </w:p>
    <w:p>
      <w:pPr>
        <w:spacing w:line="520" w:lineRule="exact"/>
        <w:ind w:firstLine="481" w:firstLineChars="200"/>
        <w:rPr>
          <w:rFonts w:ascii="宋体" w:hAnsi="宋体" w:cs="宋体"/>
          <w:sz w:val="24"/>
          <w:szCs w:val="24"/>
        </w:rPr>
      </w:pPr>
      <w:r>
        <w:rPr>
          <w:rFonts w:hint="eastAsia" w:ascii="宋体" w:hAnsi="宋体" w:cs="宋体"/>
          <w:b/>
          <w:bCs/>
          <w:sz w:val="24"/>
          <w:szCs w:val="24"/>
        </w:rPr>
        <w:t>(第18项)</w:t>
      </w:r>
      <w:r>
        <w:rPr>
          <w:rFonts w:hint="eastAsia" w:ascii="宋体" w:hAnsi="宋体" w:cs="宋体"/>
          <w:sz w:val="24"/>
          <w:szCs w:val="24"/>
        </w:rPr>
        <w:t>1、尽职尽责，科学操作；讲求实效，保证承包项目达到标准要求；科学用药，不使用国家禁用或伪劣的灭鼠、杀虫剂；安全操作，不污染环境，确保人畜安全，若发生人兽安全事件负全部责任。</w:t>
      </w:r>
    </w:p>
    <w:p>
      <w:pPr>
        <w:spacing w:line="520" w:lineRule="exact"/>
        <w:ind w:firstLine="481" w:firstLineChars="200"/>
        <w:rPr>
          <w:rFonts w:ascii="宋体" w:hAnsi="宋体" w:cs="宋体"/>
          <w:sz w:val="24"/>
          <w:szCs w:val="24"/>
        </w:rPr>
      </w:pPr>
      <w:r>
        <w:rPr>
          <w:rFonts w:hint="eastAsia" w:ascii="宋体" w:hAnsi="宋体" w:cs="宋体"/>
          <w:b/>
          <w:bCs/>
          <w:sz w:val="24"/>
          <w:szCs w:val="24"/>
        </w:rPr>
        <w:t>(第19项)</w:t>
      </w:r>
      <w:r>
        <w:rPr>
          <w:rFonts w:hint="eastAsia" w:ascii="宋体" w:hAnsi="宋体" w:cs="宋体"/>
          <w:sz w:val="24"/>
          <w:szCs w:val="24"/>
        </w:rPr>
        <w:t>2、坚持有害生物密度监测，按要求做好监测记录。做好工作记录，建立施药服务卡，做好消杀资料（消杀照片等）收集、整理归档。</w:t>
      </w:r>
    </w:p>
    <w:p>
      <w:pPr>
        <w:spacing w:line="520" w:lineRule="exact"/>
        <w:ind w:firstLine="481" w:firstLineChars="200"/>
        <w:rPr>
          <w:rFonts w:ascii="宋体" w:hAnsi="宋体" w:cs="宋体"/>
          <w:sz w:val="24"/>
          <w:szCs w:val="24"/>
        </w:rPr>
      </w:pPr>
      <w:r>
        <w:rPr>
          <w:rFonts w:hint="eastAsia" w:ascii="宋体" w:hAnsi="宋体" w:cs="宋体"/>
          <w:b/>
          <w:bCs/>
          <w:sz w:val="24"/>
          <w:szCs w:val="24"/>
        </w:rPr>
        <w:t>(第20项)</w:t>
      </w:r>
      <w:r>
        <w:rPr>
          <w:rFonts w:hint="eastAsia" w:ascii="宋体" w:hAnsi="宋体" w:cs="宋体"/>
          <w:sz w:val="24"/>
          <w:szCs w:val="24"/>
        </w:rPr>
        <w:t>3、接受上级爱卫部门和采购人的监督指导，不断改进工作。</w:t>
      </w:r>
    </w:p>
    <w:p>
      <w:pPr>
        <w:spacing w:line="520" w:lineRule="exact"/>
        <w:ind w:firstLine="481" w:firstLineChars="200"/>
        <w:rPr>
          <w:rFonts w:ascii="宋体" w:hAnsi="宋体" w:cs="宋体"/>
          <w:sz w:val="24"/>
          <w:szCs w:val="24"/>
        </w:rPr>
      </w:pPr>
      <w:r>
        <w:rPr>
          <w:rFonts w:hint="eastAsia" w:ascii="宋体" w:hAnsi="宋体" w:cs="宋体"/>
          <w:b/>
          <w:bCs/>
          <w:sz w:val="24"/>
          <w:szCs w:val="24"/>
        </w:rPr>
        <w:t>(第21项)</w:t>
      </w:r>
      <w:r>
        <w:rPr>
          <w:rFonts w:hint="eastAsia" w:ascii="宋体" w:hAnsi="宋体" w:cs="宋体"/>
          <w:sz w:val="24"/>
          <w:szCs w:val="24"/>
        </w:rPr>
        <w:t>4、发生相关疫情或上级检查需要在本承包范围开展应急消杀时，应无条件提供人力、药物、器械参与消杀，服从指挥。</w:t>
      </w:r>
    </w:p>
    <w:p>
      <w:pPr>
        <w:spacing w:line="520" w:lineRule="exact"/>
        <w:ind w:firstLine="481" w:firstLineChars="200"/>
        <w:rPr>
          <w:rFonts w:ascii="宋体" w:hAnsi="宋体" w:cs="宋体"/>
          <w:sz w:val="24"/>
          <w:szCs w:val="24"/>
        </w:rPr>
      </w:pPr>
      <w:r>
        <w:rPr>
          <w:rFonts w:hint="eastAsia" w:ascii="宋体" w:hAnsi="宋体" w:cs="宋体"/>
          <w:b/>
          <w:bCs/>
          <w:sz w:val="24"/>
          <w:szCs w:val="24"/>
        </w:rPr>
        <w:t>(第22项)</w:t>
      </w:r>
      <w:r>
        <w:rPr>
          <w:rFonts w:hint="eastAsia" w:ascii="宋体" w:hAnsi="宋体" w:cs="宋体"/>
          <w:sz w:val="24"/>
          <w:szCs w:val="24"/>
        </w:rPr>
        <w:t>5、每次施工过程做好施工记录和报告，现场签字并附上施工照片。</w:t>
      </w:r>
    </w:p>
    <w:p>
      <w:pPr>
        <w:spacing w:line="520" w:lineRule="exact"/>
        <w:ind w:firstLine="481" w:firstLineChars="200"/>
        <w:rPr>
          <w:rFonts w:ascii="宋体" w:hAnsi="宋体" w:cs="宋体"/>
          <w:sz w:val="24"/>
          <w:szCs w:val="24"/>
        </w:rPr>
      </w:pPr>
      <w:r>
        <w:rPr>
          <w:rFonts w:ascii="宋体" w:hAnsi="宋体" w:cs="宋体"/>
          <w:b/>
          <w:sz w:val="24"/>
        </w:rPr>
        <w:t>★</w:t>
      </w:r>
      <w:r>
        <w:rPr>
          <w:rFonts w:hint="eastAsia" w:ascii="宋体" w:hAnsi="宋体" w:cs="宋体"/>
          <w:sz w:val="24"/>
          <w:szCs w:val="24"/>
        </w:rPr>
        <w:t>(三)须配备的药品</w:t>
      </w:r>
    </w:p>
    <w:tbl>
      <w:tblPr>
        <w:tblStyle w:val="52"/>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575"/>
        <w:gridCol w:w="1089"/>
        <w:gridCol w:w="2125"/>
        <w:gridCol w:w="616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724" w:hRule="atLeast"/>
        </w:trPr>
        <w:tc>
          <w:tcPr>
            <w:tcW w:w="289" w:type="pct"/>
            <w:tcBorders>
              <w:top w:val="single" w:color="auto" w:sz="6" w:space="0"/>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b/>
                <w:kern w:val="0"/>
                <w:sz w:val="24"/>
              </w:rPr>
              <w:t>序号</w:t>
            </w:r>
          </w:p>
        </w:tc>
        <w:tc>
          <w:tcPr>
            <w:tcW w:w="547" w:type="pct"/>
            <w:tcBorders>
              <w:top w:val="single" w:color="auto" w:sz="6" w:space="0"/>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b/>
                <w:kern w:val="0"/>
                <w:sz w:val="24"/>
              </w:rPr>
              <w:t>项目</w:t>
            </w:r>
          </w:p>
        </w:tc>
        <w:tc>
          <w:tcPr>
            <w:tcW w:w="4164" w:type="pct"/>
            <w:gridSpan w:val="2"/>
            <w:tcBorders>
              <w:top w:val="single" w:color="auto" w:sz="6" w:space="0"/>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b/>
                <w:kern w:val="0"/>
                <w:sz w:val="24"/>
              </w:rPr>
              <w:t>防治药械名称</w:t>
            </w:r>
            <w:r>
              <w:rPr>
                <w:rFonts w:hint="eastAsia" w:ascii="Calibri" w:hAnsi="Calibri" w:cs="宋体"/>
                <w:b/>
                <w:kern w:val="0"/>
                <w:sz w:val="24"/>
              </w:rPr>
              <w:t>及规格要求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780" w:hRule="atLeast"/>
        </w:trPr>
        <w:tc>
          <w:tcPr>
            <w:tcW w:w="289" w:type="pct"/>
            <w:tcBorders>
              <w:top w:val="nil"/>
              <w:left w:val="single" w:color="auto" w:sz="6"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1</w:t>
            </w:r>
          </w:p>
        </w:tc>
        <w:tc>
          <w:tcPr>
            <w:tcW w:w="547" w:type="pct"/>
            <w:tcBorders>
              <w:top w:val="nil"/>
              <w:left w:val="nil"/>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灭蚊蝇</w:t>
            </w:r>
          </w:p>
        </w:tc>
        <w:tc>
          <w:tcPr>
            <w:tcW w:w="1067"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室外滞留喷洒</w:t>
            </w:r>
          </w:p>
        </w:tc>
        <w:tc>
          <w:tcPr>
            <w:tcW w:w="3097"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甲基嘧啶磷，浓度：40%-50%乳油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724" w:hRule="atLeast"/>
        </w:trPr>
        <w:tc>
          <w:tcPr>
            <w:tcW w:w="289" w:type="pc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2</w:t>
            </w:r>
          </w:p>
        </w:tc>
        <w:tc>
          <w:tcPr>
            <w:tcW w:w="547"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灭幼孓</w:t>
            </w:r>
          </w:p>
        </w:tc>
        <w:tc>
          <w:tcPr>
            <w:tcW w:w="1067"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投放水体</w:t>
            </w:r>
          </w:p>
        </w:tc>
        <w:tc>
          <w:tcPr>
            <w:tcW w:w="3097"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双硫磷或氯氟醚菊酯氯菊酯（水乳剂），含量≥1%，剂型：颗粒剂或水乳剂</w:t>
            </w:r>
            <w:r>
              <w:rPr>
                <w:rFonts w:hint="eastAsia" w:ascii="Calibri" w:hAnsi="Calibri" w:cs="宋体"/>
                <w:kern w:val="0"/>
                <w:sz w:val="24"/>
                <w:szCs w:val="24"/>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724" w:hRule="atLeast"/>
        </w:trPr>
        <w:tc>
          <w:tcPr>
            <w:tcW w:w="289" w:type="pct"/>
            <w:tcBorders>
              <w:top w:val="nil"/>
              <w:left w:val="single" w:color="auto" w:sz="6" w:space="0"/>
              <w:bottom w:val="single" w:color="auto" w:sz="4"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3</w:t>
            </w:r>
          </w:p>
        </w:tc>
        <w:tc>
          <w:tcPr>
            <w:tcW w:w="547" w:type="pct"/>
            <w:tcBorders>
              <w:top w:val="nil"/>
              <w:left w:val="nil"/>
              <w:bottom w:val="single" w:color="auto" w:sz="4"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灭蟑</w:t>
            </w:r>
          </w:p>
        </w:tc>
        <w:tc>
          <w:tcPr>
            <w:tcW w:w="1067" w:type="pct"/>
            <w:tcBorders>
              <w:top w:val="nil"/>
              <w:left w:val="nil"/>
              <w:bottom w:val="single" w:color="auto" w:sz="4"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烟雾剂</w:t>
            </w:r>
          </w:p>
        </w:tc>
        <w:tc>
          <w:tcPr>
            <w:tcW w:w="3097" w:type="pct"/>
            <w:tcBorders>
              <w:top w:val="nil"/>
              <w:left w:val="nil"/>
              <w:bottom w:val="single" w:color="auto" w:sz="4" w:space="0"/>
              <w:right w:val="single" w:color="auto" w:sz="6"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高效氯氰菊酯，含量≥1%，剂型：热雾剂。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50" w:hRule="atLeast"/>
        </w:trPr>
        <w:tc>
          <w:tcPr>
            <w:tcW w:w="289" w:type="pct"/>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4</w:t>
            </w:r>
          </w:p>
        </w:tc>
        <w:tc>
          <w:tcPr>
            <w:tcW w:w="547" w:type="pct"/>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灭鼠</w:t>
            </w:r>
          </w:p>
        </w:tc>
        <w:tc>
          <w:tcPr>
            <w:tcW w:w="4164" w:type="pct"/>
            <w:gridSpan w:val="2"/>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溴敌隆或溴鼠灵，含量≥0.005%，剂型：颗粒状。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729" w:hRule="atLeast"/>
        </w:trPr>
        <w:tc>
          <w:tcPr>
            <w:tcW w:w="289" w:type="pct"/>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5</w:t>
            </w:r>
          </w:p>
        </w:tc>
        <w:tc>
          <w:tcPr>
            <w:tcW w:w="547" w:type="pct"/>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烟片剂</w:t>
            </w:r>
          </w:p>
        </w:tc>
        <w:tc>
          <w:tcPr>
            <w:tcW w:w="4164" w:type="pct"/>
            <w:gridSpan w:val="2"/>
            <w:tcBorders>
              <w:top w:val="single" w:color="auto" w:sz="4" w:space="0"/>
              <w:left w:val="single" w:color="auto" w:sz="4" w:space="0"/>
              <w:bottom w:val="single" w:color="auto" w:sz="4" w:space="0"/>
              <w:right w:val="single" w:color="auto" w:sz="4" w:space="0"/>
            </w:tcBorders>
            <w:shd w:val="clear" w:color="auto" w:fill="FFFFFF"/>
            <w:noWrap/>
            <w:tcMar>
              <w:top w:w="0" w:type="dxa"/>
              <w:left w:w="105" w:type="dxa"/>
              <w:bottom w:w="0" w:type="dxa"/>
              <w:right w:w="105" w:type="dxa"/>
            </w:tcMar>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有效成分及含量为</w:t>
            </w:r>
            <w:r>
              <w:rPr>
                <w:rFonts w:hint="eastAsia" w:ascii="Calibri" w:hAnsi="Calibri" w:cs="宋体"/>
                <w:kern w:val="0"/>
                <w:sz w:val="24"/>
                <w:szCs w:val="24"/>
              </w:rPr>
              <w:t>：</w:t>
            </w:r>
            <w:r>
              <w:rPr>
                <w:rFonts w:hint="eastAsia" w:ascii="宋体" w:hAnsi="宋体" w:cs="宋体"/>
                <w:kern w:val="0"/>
                <w:sz w:val="24"/>
                <w:szCs w:val="24"/>
              </w:rPr>
              <w:t>≥3%胺菊脂，≥3%高效氯氰菊酯</w:t>
            </w:r>
            <w:r>
              <w:rPr>
                <w:rFonts w:hint="eastAsia" w:ascii="Calibri" w:hAnsi="Calibri" w:cs="宋体"/>
                <w:kern w:val="0"/>
                <w:sz w:val="24"/>
                <w:szCs w:val="24"/>
              </w:rPr>
              <w:t>。</w:t>
            </w:r>
          </w:p>
        </w:tc>
      </w:tr>
    </w:tbl>
    <w:p>
      <w:pPr>
        <w:spacing w:line="500" w:lineRule="exact"/>
        <w:ind w:firstLine="480" w:firstLineChars="200"/>
        <w:jc w:val="left"/>
        <w:rPr>
          <w:rFonts w:ascii="宋体" w:hAnsi="宋体" w:cs="宋体"/>
          <w:sz w:val="24"/>
          <w:szCs w:val="24"/>
        </w:rPr>
      </w:pPr>
      <w:r>
        <w:rPr>
          <w:rFonts w:hint="eastAsia" w:ascii="宋体" w:hAnsi="宋体" w:cs="宋体"/>
          <w:sz w:val="24"/>
          <w:szCs w:val="24"/>
        </w:rPr>
        <w:t>1、中标人所使用的除四害药品必须具有有效农药登记证号、农药生产许可证和生产企业标准，农药类别为卫生杀虫（鼠）剂。</w:t>
      </w:r>
    </w:p>
    <w:p>
      <w:pPr>
        <w:spacing w:line="500" w:lineRule="exact"/>
        <w:ind w:firstLine="480" w:firstLineChars="200"/>
        <w:rPr>
          <w:rFonts w:ascii="宋体" w:hAnsi="宋体" w:cs="宋体"/>
          <w:sz w:val="24"/>
          <w:szCs w:val="24"/>
        </w:rPr>
      </w:pPr>
      <w:r>
        <w:rPr>
          <w:rFonts w:hint="eastAsia" w:ascii="宋体" w:hAnsi="宋体" w:cs="宋体"/>
          <w:sz w:val="24"/>
          <w:szCs w:val="24"/>
        </w:rPr>
        <w:t>2、中标人作为除四害药品的使用人，必需从合格的有资质的企业采购除四害所需药品。同时根据年度消杀计划，合理安排消杀所需药品的采购和贮存量，所使用的药品必须为使用前3个月内新生产的产品；药品质量保证期限为18个月，在质保期内如有药品发生质量问题，中标人需及时免费进行更换。</w:t>
      </w:r>
    </w:p>
    <w:p>
      <w:pPr>
        <w:spacing w:line="500" w:lineRule="exact"/>
        <w:ind w:firstLine="480" w:firstLineChars="200"/>
        <w:rPr>
          <w:rFonts w:ascii="宋体" w:hAnsi="宋体" w:cs="宋体"/>
          <w:sz w:val="24"/>
          <w:szCs w:val="24"/>
        </w:rPr>
      </w:pPr>
      <w:r>
        <w:rPr>
          <w:rFonts w:hint="eastAsia" w:ascii="宋体" w:hAnsi="宋体" w:cs="宋体"/>
          <w:sz w:val="24"/>
          <w:szCs w:val="24"/>
        </w:rPr>
        <w:t>3、如果上级主管部门或新的技术标准推荐或指定使用的除四害药品品种有变更，中标人需按照爱卫部门的要求，免费更换爱卫部门指定的药品。</w:t>
      </w:r>
    </w:p>
    <w:p>
      <w:pPr>
        <w:spacing w:line="500" w:lineRule="exact"/>
        <w:ind w:firstLine="480" w:firstLineChars="200"/>
        <w:rPr>
          <w:rFonts w:ascii="宋体" w:hAnsi="宋体" w:cs="宋体"/>
          <w:sz w:val="24"/>
          <w:szCs w:val="24"/>
        </w:rPr>
      </w:pPr>
      <w:r>
        <w:rPr>
          <w:rFonts w:hint="eastAsia" w:ascii="宋体" w:hAnsi="宋体" w:cs="宋体"/>
          <w:sz w:val="24"/>
          <w:szCs w:val="24"/>
        </w:rPr>
        <w:t>4、为应对可能发生的“登革热”、灾后消杀等应急消杀需要，中标人需储备一定量的应急消杀所需药品。</w:t>
      </w:r>
    </w:p>
    <w:p>
      <w:pPr>
        <w:spacing w:line="500" w:lineRule="exact"/>
        <w:ind w:firstLine="480" w:firstLineChars="200"/>
        <w:rPr>
          <w:rFonts w:ascii="宋体" w:hAnsi="宋体" w:cs="宋体"/>
          <w:sz w:val="24"/>
          <w:szCs w:val="24"/>
        </w:rPr>
      </w:pPr>
      <w:r>
        <w:rPr>
          <w:rFonts w:hint="eastAsia" w:ascii="宋体" w:hAnsi="宋体" w:cs="宋体"/>
          <w:sz w:val="24"/>
          <w:szCs w:val="24"/>
        </w:rPr>
        <w:t>5、烟片剂需要根据上级爱卫部门统一安排的时间，采购充足数量，按照采购人指定数量和地点，提前配送到位。</w:t>
      </w:r>
    </w:p>
    <w:p>
      <w:pPr>
        <w:spacing w:line="500" w:lineRule="exact"/>
        <w:ind w:firstLine="480" w:firstLineChars="200"/>
        <w:rPr>
          <w:rFonts w:ascii="宋体" w:hAnsi="宋体" w:cs="宋体"/>
          <w:sz w:val="24"/>
          <w:szCs w:val="24"/>
        </w:rPr>
      </w:pPr>
      <w:r>
        <w:rPr>
          <w:rFonts w:hint="eastAsia" w:ascii="宋体" w:hAnsi="宋体" w:cs="宋体"/>
          <w:sz w:val="24"/>
          <w:szCs w:val="24"/>
        </w:rPr>
        <w:t>★(四)人员、设备配备要求及消杀次数要求</w:t>
      </w:r>
    </w:p>
    <w:p>
      <w:pPr>
        <w:spacing w:line="500" w:lineRule="exact"/>
        <w:ind w:firstLine="480" w:firstLineChars="200"/>
        <w:rPr>
          <w:rFonts w:ascii="宋体" w:hAnsi="宋体" w:cs="宋体"/>
          <w:sz w:val="24"/>
          <w:szCs w:val="24"/>
        </w:rPr>
      </w:pPr>
      <w:r>
        <w:rPr>
          <w:rFonts w:hint="eastAsia" w:ascii="宋体" w:hAnsi="宋体" w:cs="宋体"/>
          <w:sz w:val="24"/>
          <w:szCs w:val="24"/>
        </w:rPr>
        <w:t>1、中标人须配备9个服务人员：6个持有有害生物防治证书的人员和3个持有公共卫生消毒相关证书的人员。</w:t>
      </w:r>
    </w:p>
    <w:p>
      <w:pPr>
        <w:spacing w:line="500" w:lineRule="exact"/>
        <w:ind w:firstLine="480" w:firstLineChars="200"/>
        <w:rPr>
          <w:rFonts w:ascii="宋体" w:hAnsi="宋体" w:cs="宋体"/>
          <w:sz w:val="24"/>
          <w:szCs w:val="24"/>
        </w:rPr>
      </w:pPr>
      <w:r>
        <w:rPr>
          <w:rFonts w:hint="eastAsia" w:ascii="宋体" w:hAnsi="宋体" w:cs="宋体"/>
          <w:sz w:val="24"/>
          <w:szCs w:val="24"/>
        </w:rPr>
        <w:t>2、中标人须自行配备一定品种、数量和完好能正常使用的工具、机械，包括但不限于以下设备：（1）背负式电动喷雾器 18台；（2）超低容量电动喷雾器9 台；（3）手提热烟雾机9台；（4）大型车载式喷雾车 1 台；（5）小型手推式喷雾车3台；（6）其余车辆按照实际情况配备；（7）管理系统1项。</w:t>
      </w:r>
    </w:p>
    <w:p>
      <w:pPr>
        <w:spacing w:line="500" w:lineRule="exact"/>
        <w:ind w:firstLine="480" w:firstLineChars="200"/>
        <w:rPr>
          <w:rFonts w:ascii="宋体" w:hAnsi="宋体" w:cs="宋体"/>
          <w:sz w:val="24"/>
          <w:szCs w:val="24"/>
        </w:rPr>
      </w:pPr>
      <w:r>
        <w:rPr>
          <w:rFonts w:hint="eastAsia" w:ascii="宋体" w:hAnsi="宋体" w:cs="宋体"/>
          <w:sz w:val="24"/>
          <w:szCs w:val="24"/>
        </w:rPr>
        <w:t>3、2024年华大街道公共环境消杀服务不少于23次(其中常规消杀服务不少于18次,应急消杀不少于5次)，具体内容如下：</w:t>
      </w:r>
    </w:p>
    <w:tbl>
      <w:tblPr>
        <w:tblStyle w:val="50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5611"/>
        <w:gridCol w:w="3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Pr>
          <w:p>
            <w:pPr>
              <w:spacing w:line="500" w:lineRule="exact"/>
              <w:rPr>
                <w:rFonts w:ascii="宋体" w:hAnsi="宋体" w:cs="宋体"/>
                <w:sz w:val="24"/>
                <w:szCs w:val="24"/>
              </w:rPr>
            </w:pPr>
            <w:r>
              <w:rPr>
                <w:rFonts w:hint="eastAsia" w:ascii="宋体" w:hAnsi="宋体" w:cs="宋体"/>
                <w:sz w:val="24"/>
                <w:szCs w:val="24"/>
              </w:rPr>
              <w:t>序号</w:t>
            </w:r>
          </w:p>
        </w:tc>
        <w:tc>
          <w:tcPr>
            <w:tcW w:w="2816" w:type="pct"/>
          </w:tcPr>
          <w:p>
            <w:pPr>
              <w:spacing w:line="500" w:lineRule="exact"/>
              <w:rPr>
                <w:rFonts w:ascii="宋体" w:hAnsi="宋体" w:cs="宋体"/>
                <w:sz w:val="24"/>
                <w:szCs w:val="24"/>
              </w:rPr>
            </w:pPr>
            <w:r>
              <w:rPr>
                <w:rFonts w:hint="eastAsia" w:ascii="宋体" w:hAnsi="宋体" w:cs="宋体"/>
                <w:sz w:val="24"/>
                <w:szCs w:val="24"/>
              </w:rPr>
              <w:t>服务项目</w:t>
            </w:r>
          </w:p>
        </w:tc>
        <w:tc>
          <w:tcPr>
            <w:tcW w:w="1716" w:type="pct"/>
          </w:tcPr>
          <w:p>
            <w:pPr>
              <w:spacing w:line="500" w:lineRule="exact"/>
              <w:rPr>
                <w:rFonts w:ascii="宋体" w:hAnsi="宋体" w:cs="宋体"/>
                <w:sz w:val="24"/>
                <w:szCs w:val="24"/>
              </w:rPr>
            </w:pPr>
            <w:r>
              <w:rPr>
                <w:rFonts w:hint="eastAsia" w:ascii="宋体" w:hAnsi="宋体" w:cs="宋体"/>
                <w:sz w:val="24"/>
                <w:szCs w:val="24"/>
              </w:rPr>
              <w:t>服务不低于以下数量（次）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Pr>
          <w:p>
            <w:pPr>
              <w:spacing w:line="500" w:lineRule="exact"/>
              <w:rPr>
                <w:rFonts w:ascii="宋体" w:hAnsi="宋体" w:cs="宋体"/>
                <w:sz w:val="24"/>
                <w:szCs w:val="24"/>
              </w:rPr>
            </w:pPr>
            <w:r>
              <w:rPr>
                <w:rFonts w:hint="eastAsia" w:ascii="宋体" w:hAnsi="宋体" w:cs="宋体"/>
                <w:sz w:val="24"/>
                <w:szCs w:val="24"/>
              </w:rPr>
              <w:t>1</w:t>
            </w:r>
          </w:p>
        </w:tc>
        <w:tc>
          <w:tcPr>
            <w:tcW w:w="2816" w:type="pct"/>
          </w:tcPr>
          <w:p>
            <w:pPr>
              <w:spacing w:line="500" w:lineRule="exact"/>
              <w:rPr>
                <w:rFonts w:ascii="宋体" w:hAnsi="宋体" w:cs="宋体"/>
                <w:sz w:val="24"/>
                <w:szCs w:val="24"/>
              </w:rPr>
            </w:pPr>
            <w:r>
              <w:rPr>
                <w:rFonts w:hint="eastAsia" w:ascii="宋体" w:hAnsi="宋体" w:cs="宋体"/>
                <w:sz w:val="24"/>
                <w:szCs w:val="24"/>
              </w:rPr>
              <w:t>外环境灭蚊蝇及翻盆倒灌</w:t>
            </w:r>
          </w:p>
        </w:tc>
        <w:tc>
          <w:tcPr>
            <w:tcW w:w="1716" w:type="pct"/>
          </w:tcPr>
          <w:p>
            <w:pPr>
              <w:spacing w:line="500" w:lineRule="exact"/>
              <w:rPr>
                <w:rFonts w:ascii="宋体" w:hAnsi="宋体" w:cs="宋体"/>
                <w:sz w:val="24"/>
                <w:szCs w:val="24"/>
              </w:rPr>
            </w:pPr>
            <w:r>
              <w:rPr>
                <w:rFonts w:hint="eastAsia" w:ascii="宋体" w:hAnsi="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Pr>
          <w:p>
            <w:pPr>
              <w:spacing w:line="500" w:lineRule="exact"/>
              <w:rPr>
                <w:rFonts w:ascii="宋体" w:hAnsi="宋体" w:cs="宋体"/>
                <w:sz w:val="24"/>
                <w:szCs w:val="24"/>
              </w:rPr>
            </w:pPr>
            <w:r>
              <w:rPr>
                <w:rFonts w:hint="eastAsia" w:ascii="宋体" w:hAnsi="宋体" w:cs="宋体"/>
                <w:sz w:val="24"/>
                <w:szCs w:val="24"/>
              </w:rPr>
              <w:t>2</w:t>
            </w:r>
          </w:p>
        </w:tc>
        <w:tc>
          <w:tcPr>
            <w:tcW w:w="2816" w:type="pct"/>
          </w:tcPr>
          <w:p>
            <w:pPr>
              <w:spacing w:line="500" w:lineRule="exact"/>
              <w:rPr>
                <w:rFonts w:ascii="宋体" w:hAnsi="宋体" w:cs="宋体"/>
                <w:sz w:val="24"/>
                <w:szCs w:val="24"/>
              </w:rPr>
            </w:pPr>
            <w:r>
              <w:rPr>
                <w:rFonts w:hint="eastAsia" w:ascii="宋体" w:hAnsi="宋体" w:cs="宋体"/>
                <w:sz w:val="24"/>
                <w:szCs w:val="24"/>
              </w:rPr>
              <w:t>外环境灭鼠药物投放</w:t>
            </w:r>
          </w:p>
        </w:tc>
        <w:tc>
          <w:tcPr>
            <w:tcW w:w="1716" w:type="pct"/>
          </w:tcPr>
          <w:p>
            <w:pPr>
              <w:spacing w:line="500" w:lineRule="exact"/>
              <w:rPr>
                <w:rFonts w:ascii="宋体" w:hAnsi="宋体" w:cs="宋体"/>
                <w:sz w:val="24"/>
                <w:szCs w:val="24"/>
              </w:rPr>
            </w:pPr>
            <w:r>
              <w:rPr>
                <w:rFonts w:hint="eastAsia" w:ascii="宋体" w:hAnsi="宋体" w:cs="宋体"/>
                <w:sz w:val="24"/>
                <w:szCs w:val="24"/>
              </w:rPr>
              <w:t>4（含补投）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pct"/>
          </w:tcPr>
          <w:p>
            <w:pPr>
              <w:spacing w:line="500" w:lineRule="exact"/>
              <w:rPr>
                <w:rFonts w:ascii="宋体" w:hAnsi="宋体" w:cs="宋体"/>
                <w:sz w:val="24"/>
                <w:szCs w:val="24"/>
              </w:rPr>
            </w:pPr>
            <w:r>
              <w:rPr>
                <w:rFonts w:hint="eastAsia" w:ascii="宋体" w:hAnsi="宋体" w:cs="宋体"/>
                <w:sz w:val="24"/>
                <w:szCs w:val="24"/>
              </w:rPr>
              <w:t>3</w:t>
            </w:r>
          </w:p>
        </w:tc>
        <w:tc>
          <w:tcPr>
            <w:tcW w:w="2816" w:type="pct"/>
          </w:tcPr>
          <w:p>
            <w:pPr>
              <w:spacing w:line="500" w:lineRule="exact"/>
              <w:rPr>
                <w:rFonts w:ascii="宋体" w:hAnsi="宋体" w:cs="宋体"/>
                <w:sz w:val="24"/>
                <w:szCs w:val="24"/>
              </w:rPr>
            </w:pPr>
            <w:r>
              <w:rPr>
                <w:rFonts w:hint="eastAsia" w:ascii="宋体" w:hAnsi="宋体" w:cs="宋体"/>
                <w:sz w:val="24"/>
                <w:szCs w:val="24"/>
              </w:rPr>
              <w:t>公共区域统一烟熏灭蚊灭蟑(和室内烟熏同步）</w:t>
            </w:r>
          </w:p>
          <w:p>
            <w:pPr>
              <w:spacing w:line="500" w:lineRule="exact"/>
              <w:rPr>
                <w:rFonts w:ascii="宋体" w:hAnsi="宋体" w:cs="宋体"/>
                <w:b/>
                <w:sz w:val="24"/>
                <w:szCs w:val="24"/>
              </w:rPr>
            </w:pPr>
            <w:r>
              <w:rPr>
                <w:rFonts w:hint="eastAsia" w:ascii="宋体" w:hAnsi="宋体" w:cs="宋体"/>
                <w:b/>
                <w:sz w:val="24"/>
                <w:szCs w:val="24"/>
              </w:rPr>
              <w:t>注：服务时间为当日19:00-21:00（按鼓楼区室内统一烟熏活动时间为准），九个社区同时安排1名消杀人员进行消杀服务。</w:t>
            </w:r>
          </w:p>
        </w:tc>
        <w:tc>
          <w:tcPr>
            <w:tcW w:w="1716" w:type="pct"/>
          </w:tcPr>
          <w:p>
            <w:pPr>
              <w:spacing w:line="500" w:lineRule="exact"/>
              <w:rPr>
                <w:rFonts w:ascii="宋体" w:hAnsi="宋体" w:cs="宋体"/>
                <w:sz w:val="24"/>
                <w:szCs w:val="24"/>
              </w:rPr>
            </w:pPr>
            <w:r>
              <w:rPr>
                <w:rFonts w:hint="eastAsia" w:ascii="宋体" w:hAnsi="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Pr>
          <w:p>
            <w:pPr>
              <w:spacing w:line="500" w:lineRule="exact"/>
              <w:rPr>
                <w:rFonts w:ascii="宋体" w:hAnsi="宋体" w:cs="宋体"/>
                <w:sz w:val="24"/>
                <w:szCs w:val="24"/>
              </w:rPr>
            </w:pPr>
            <w:r>
              <w:rPr>
                <w:rFonts w:hint="eastAsia" w:ascii="宋体" w:hAnsi="宋体" w:cs="宋体"/>
                <w:sz w:val="24"/>
                <w:szCs w:val="24"/>
              </w:rPr>
              <w:t>4</w:t>
            </w:r>
          </w:p>
        </w:tc>
        <w:tc>
          <w:tcPr>
            <w:tcW w:w="2816" w:type="pct"/>
          </w:tcPr>
          <w:p>
            <w:pPr>
              <w:spacing w:line="500" w:lineRule="exact"/>
              <w:rPr>
                <w:rFonts w:ascii="宋体" w:hAnsi="宋体" w:cs="宋体"/>
                <w:sz w:val="24"/>
                <w:szCs w:val="24"/>
              </w:rPr>
            </w:pPr>
            <w:r>
              <w:rPr>
                <w:rFonts w:hint="eastAsia" w:ascii="宋体" w:hAnsi="宋体" w:cs="宋体"/>
                <w:sz w:val="24"/>
                <w:szCs w:val="24"/>
              </w:rPr>
              <w:t>下水道热烟雾灭蟑螂</w:t>
            </w:r>
          </w:p>
        </w:tc>
        <w:tc>
          <w:tcPr>
            <w:tcW w:w="1716" w:type="pct"/>
          </w:tcPr>
          <w:p>
            <w:pPr>
              <w:spacing w:line="500" w:lineRule="exact"/>
              <w:rPr>
                <w:rFonts w:ascii="宋体" w:hAnsi="宋体" w:cs="宋体"/>
                <w:sz w:val="24"/>
                <w:szCs w:val="24"/>
              </w:rPr>
            </w:pPr>
            <w:r>
              <w:rPr>
                <w:rFonts w:hint="eastAsia" w:ascii="宋体" w:hAnsi="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tcPr>
          <w:p>
            <w:pPr>
              <w:spacing w:line="500" w:lineRule="exact"/>
              <w:rPr>
                <w:rFonts w:ascii="宋体" w:hAnsi="宋体" w:cs="宋体"/>
                <w:sz w:val="24"/>
                <w:szCs w:val="24"/>
              </w:rPr>
            </w:pPr>
            <w:r>
              <w:rPr>
                <w:rFonts w:hint="eastAsia" w:ascii="宋体" w:hAnsi="宋体" w:cs="宋体"/>
                <w:sz w:val="24"/>
                <w:szCs w:val="24"/>
              </w:rPr>
              <w:t>5</w:t>
            </w:r>
          </w:p>
        </w:tc>
        <w:tc>
          <w:tcPr>
            <w:tcW w:w="2816" w:type="pct"/>
          </w:tcPr>
          <w:p>
            <w:pPr>
              <w:spacing w:line="500" w:lineRule="exact"/>
              <w:rPr>
                <w:rFonts w:ascii="宋体" w:hAnsi="宋体" w:cs="宋体"/>
                <w:sz w:val="24"/>
                <w:szCs w:val="24"/>
              </w:rPr>
            </w:pPr>
            <w:r>
              <w:rPr>
                <w:rFonts w:hint="eastAsia" w:ascii="宋体" w:hAnsi="宋体" w:cs="宋体"/>
                <w:sz w:val="24"/>
                <w:szCs w:val="24"/>
              </w:rPr>
              <w:t>应急消杀</w:t>
            </w:r>
          </w:p>
        </w:tc>
        <w:tc>
          <w:tcPr>
            <w:tcW w:w="1716" w:type="pct"/>
          </w:tcPr>
          <w:p>
            <w:pPr>
              <w:spacing w:line="500" w:lineRule="exact"/>
              <w:rPr>
                <w:rFonts w:ascii="宋体" w:hAnsi="宋体" w:cs="宋体"/>
                <w:sz w:val="24"/>
                <w:szCs w:val="24"/>
              </w:rPr>
            </w:pPr>
            <w:r>
              <w:rPr>
                <w:rFonts w:hint="eastAsia" w:ascii="宋体" w:hAnsi="宋体" w:cs="宋体"/>
                <w:sz w:val="24"/>
                <w:szCs w:val="24"/>
              </w:rPr>
              <w:t>5</w:t>
            </w:r>
          </w:p>
        </w:tc>
      </w:tr>
    </w:tbl>
    <w:p>
      <w:pPr>
        <w:spacing w:line="500" w:lineRule="exact"/>
        <w:rPr>
          <w:rFonts w:ascii="宋体" w:hAnsi="宋体" w:cs="宋体"/>
          <w:sz w:val="24"/>
          <w:szCs w:val="24"/>
        </w:rPr>
      </w:pPr>
      <w:r>
        <w:rPr>
          <w:rFonts w:ascii="宋体" w:hAnsi="宋体" w:cs="宋体"/>
          <w:b/>
          <w:sz w:val="24"/>
        </w:rPr>
        <w:t>★</w:t>
      </w:r>
      <w:r>
        <w:rPr>
          <w:rFonts w:hint="eastAsia" w:ascii="宋体" w:hAnsi="宋体" w:cs="宋体"/>
          <w:sz w:val="24"/>
          <w:szCs w:val="24"/>
        </w:rPr>
        <w:t>(五)消杀质量评估标准</w:t>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14"/>
        <w:gridCol w:w="7513"/>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jc w:val="center"/>
        </w:trPr>
        <w:tc>
          <w:tcPr>
            <w:tcW w:w="409" w:type="pct"/>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消杀项目</w:t>
            </w:r>
          </w:p>
        </w:tc>
        <w:tc>
          <w:tcPr>
            <w:tcW w:w="3773" w:type="pct"/>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质量标准</w:t>
            </w:r>
          </w:p>
        </w:tc>
        <w:tc>
          <w:tcPr>
            <w:tcW w:w="818" w:type="pct"/>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5" w:hRule="atLeast"/>
          <w:jc w:val="center"/>
        </w:trPr>
        <w:tc>
          <w:tcPr>
            <w:tcW w:w="409" w:type="pct"/>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灭鼠</w:t>
            </w:r>
          </w:p>
        </w:tc>
        <w:tc>
          <w:tcPr>
            <w:tcW w:w="3773" w:type="pct"/>
            <w:noWrap/>
            <w:tcMar>
              <w:top w:w="0" w:type="dxa"/>
              <w:left w:w="105" w:type="dxa"/>
              <w:bottom w:w="0" w:type="dxa"/>
              <w:right w:w="105" w:type="dxa"/>
            </w:tcMar>
            <w:vAlign w:val="center"/>
          </w:tcPr>
          <w:p>
            <w:pPr>
              <w:spacing w:line="460" w:lineRule="exact"/>
              <w:ind w:firstLine="480" w:firstLineChars="200"/>
              <w:rPr>
                <w:rFonts w:ascii="宋体" w:hAnsi="宋体" w:cs="宋体"/>
                <w:sz w:val="24"/>
                <w:szCs w:val="24"/>
              </w:rPr>
            </w:pPr>
            <w:r>
              <w:rPr>
                <w:rFonts w:hint="eastAsia" w:ascii="宋体" w:hAnsi="宋体" w:cs="宋体"/>
                <w:sz w:val="24"/>
                <w:szCs w:val="24"/>
              </w:rPr>
              <w:t>1.室内：15平方米标准房间布放20×20厘米滑石粉块两块，一夜后阳性粉块不超过3％；有鼠洞、鼠粪、鼠咬等痕迹的房间不超过2％；重点单位防鼠设施不合格处不超过5％。</w:t>
            </w:r>
          </w:p>
          <w:p>
            <w:pPr>
              <w:spacing w:line="460" w:lineRule="exact"/>
              <w:ind w:firstLine="480" w:firstLineChars="200"/>
              <w:rPr>
                <w:rFonts w:ascii="宋体" w:hAnsi="宋体" w:cs="宋体"/>
                <w:sz w:val="24"/>
                <w:szCs w:val="24"/>
              </w:rPr>
            </w:pPr>
            <w:r>
              <w:rPr>
                <w:rFonts w:hint="eastAsia" w:ascii="宋体" w:hAnsi="宋体" w:cs="宋体"/>
                <w:sz w:val="24"/>
                <w:szCs w:val="24"/>
              </w:rPr>
              <w:t>2.外环境：不同类型的外环境累计2000米，鼠迹不超过5处。</w:t>
            </w:r>
          </w:p>
        </w:tc>
        <w:tc>
          <w:tcPr>
            <w:tcW w:w="818" w:type="pct"/>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粉迹法</w:t>
            </w:r>
          </w:p>
          <w:p>
            <w:pPr>
              <w:spacing w:line="460" w:lineRule="exact"/>
              <w:jc w:val="center"/>
              <w:rPr>
                <w:rFonts w:ascii="宋体" w:hAnsi="宋体" w:cs="宋体"/>
                <w:sz w:val="24"/>
                <w:szCs w:val="24"/>
              </w:rPr>
            </w:pPr>
            <w:r>
              <w:rPr>
                <w:rFonts w:hint="eastAsia" w:ascii="宋体" w:hAnsi="宋体" w:cs="宋体"/>
                <w:sz w:val="24"/>
                <w:szCs w:val="24"/>
              </w:rPr>
              <w:t>目测法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85" w:hRule="atLeast"/>
          <w:jc w:val="center"/>
        </w:trPr>
        <w:tc>
          <w:tcPr>
            <w:tcW w:w="409" w:type="pct"/>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灭蚊</w:t>
            </w:r>
          </w:p>
        </w:tc>
        <w:tc>
          <w:tcPr>
            <w:tcW w:w="3773" w:type="pct"/>
            <w:noWrap/>
            <w:tcMar>
              <w:top w:w="0" w:type="dxa"/>
              <w:left w:w="105" w:type="dxa"/>
              <w:bottom w:w="0" w:type="dxa"/>
              <w:right w:w="105" w:type="dxa"/>
            </w:tcMar>
            <w:vAlign w:val="center"/>
          </w:tcPr>
          <w:p>
            <w:pPr>
              <w:spacing w:line="460" w:lineRule="exact"/>
              <w:ind w:firstLine="480" w:firstLineChars="200"/>
              <w:rPr>
                <w:rFonts w:ascii="宋体" w:hAnsi="宋体" w:cs="宋体"/>
                <w:sz w:val="24"/>
                <w:szCs w:val="24"/>
              </w:rPr>
            </w:pPr>
            <w:r>
              <w:rPr>
                <w:rFonts w:hint="eastAsia" w:ascii="宋体" w:hAnsi="宋体" w:cs="宋体"/>
                <w:sz w:val="24"/>
                <w:szCs w:val="24"/>
              </w:rPr>
              <w:t>1.室内：居民住宅、单位内外环境各种存水容器和积水中，蚊幼虫及蛹的阳性率不超过3％。</w:t>
            </w:r>
          </w:p>
          <w:p>
            <w:pPr>
              <w:spacing w:line="460" w:lineRule="exact"/>
              <w:ind w:firstLine="480" w:firstLineChars="200"/>
              <w:rPr>
                <w:rFonts w:ascii="宋体" w:hAnsi="宋体" w:cs="宋体"/>
                <w:sz w:val="24"/>
                <w:szCs w:val="24"/>
              </w:rPr>
            </w:pPr>
            <w:r>
              <w:rPr>
                <w:rFonts w:hint="eastAsia" w:ascii="宋体" w:hAnsi="宋体" w:cs="宋体"/>
                <w:sz w:val="24"/>
                <w:szCs w:val="24"/>
              </w:rPr>
              <w:t>2.外环境：用500ml收集勺采集城区内大中型水体中的蚊幼虫或蛹阳性率不超过3％，阳性勺内幼虫或蛹的平均数不超过5只。</w:t>
            </w:r>
          </w:p>
          <w:p>
            <w:pPr>
              <w:spacing w:line="460" w:lineRule="exact"/>
              <w:ind w:firstLine="480" w:firstLineChars="200"/>
              <w:rPr>
                <w:rFonts w:ascii="宋体" w:hAnsi="宋体" w:cs="宋体"/>
                <w:sz w:val="24"/>
                <w:szCs w:val="24"/>
              </w:rPr>
            </w:pPr>
            <w:r>
              <w:rPr>
                <w:rFonts w:hint="eastAsia" w:ascii="宋体" w:hAnsi="宋体" w:cs="宋体"/>
                <w:sz w:val="24"/>
                <w:szCs w:val="24"/>
              </w:rPr>
              <w:t>3.特殊场所白天人诱蚊30分钟，平均每人次诱获成蚊数不超过1只。</w:t>
            </w:r>
          </w:p>
        </w:tc>
        <w:tc>
          <w:tcPr>
            <w:tcW w:w="818" w:type="pct"/>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布雷图指数法</w:t>
            </w:r>
          </w:p>
          <w:p>
            <w:pPr>
              <w:spacing w:line="460" w:lineRule="exact"/>
              <w:jc w:val="center"/>
              <w:rPr>
                <w:rFonts w:ascii="宋体" w:hAnsi="宋体" w:cs="宋体"/>
                <w:sz w:val="24"/>
                <w:szCs w:val="24"/>
              </w:rPr>
            </w:pPr>
            <w:r>
              <w:rPr>
                <w:rFonts w:hint="eastAsia" w:ascii="宋体" w:hAnsi="宋体" w:cs="宋体"/>
                <w:sz w:val="24"/>
                <w:szCs w:val="24"/>
              </w:rPr>
              <w:t>诱集法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409" w:type="pct"/>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灭蝇</w:t>
            </w:r>
          </w:p>
        </w:tc>
        <w:tc>
          <w:tcPr>
            <w:tcW w:w="3773" w:type="pct"/>
            <w:noWrap/>
            <w:tcMar>
              <w:top w:w="0" w:type="dxa"/>
              <w:left w:w="105" w:type="dxa"/>
              <w:bottom w:w="0" w:type="dxa"/>
              <w:right w:w="105" w:type="dxa"/>
            </w:tcMar>
            <w:vAlign w:val="center"/>
          </w:tcPr>
          <w:p>
            <w:pPr>
              <w:spacing w:line="460" w:lineRule="exact"/>
              <w:ind w:firstLine="480" w:firstLineChars="200"/>
              <w:rPr>
                <w:rFonts w:ascii="宋体" w:hAnsi="宋体" w:cs="宋体"/>
                <w:sz w:val="24"/>
                <w:szCs w:val="24"/>
              </w:rPr>
            </w:pPr>
            <w:r>
              <w:rPr>
                <w:rFonts w:hint="eastAsia" w:ascii="宋体" w:hAnsi="宋体" w:cs="宋体"/>
                <w:sz w:val="24"/>
                <w:szCs w:val="24"/>
              </w:rPr>
              <w:t>1.重点单位有蝇房间不超过1％，其它单位不超过3％，平均每阳性房间不超过3只；重点单位防蝇设施不合格房间不超过5％；加工、销售直接入口食品的场所不得有蝇。</w:t>
            </w:r>
          </w:p>
          <w:p>
            <w:pPr>
              <w:spacing w:line="460" w:lineRule="exact"/>
              <w:ind w:firstLine="480" w:firstLineChars="200"/>
              <w:rPr>
                <w:rFonts w:ascii="宋体" w:hAnsi="宋体" w:cs="宋体"/>
                <w:sz w:val="24"/>
                <w:szCs w:val="24"/>
              </w:rPr>
            </w:pPr>
            <w:r>
              <w:rPr>
                <w:rFonts w:hint="eastAsia" w:ascii="宋体" w:hAnsi="宋体" w:cs="宋体"/>
                <w:sz w:val="24"/>
                <w:szCs w:val="24"/>
              </w:rPr>
              <w:t>2.蝇类孳生地得到有效治理，幼虫和蛹的检出率不超过3％。</w:t>
            </w:r>
          </w:p>
        </w:tc>
        <w:tc>
          <w:tcPr>
            <w:tcW w:w="818" w:type="pct"/>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目测法</w:t>
            </w:r>
          </w:p>
          <w:p>
            <w:pPr>
              <w:spacing w:line="460" w:lineRule="exact"/>
              <w:jc w:val="center"/>
              <w:rPr>
                <w:rFonts w:ascii="宋体" w:hAnsi="宋体" w:cs="宋体"/>
                <w:sz w:val="24"/>
                <w:szCs w:val="24"/>
              </w:rPr>
            </w:pPr>
            <w:r>
              <w:rPr>
                <w:rFonts w:hint="eastAsia" w:ascii="宋体" w:hAnsi="宋体" w:cs="宋体"/>
                <w:sz w:val="24"/>
                <w:szCs w:val="24"/>
              </w:rPr>
              <w:t>幼虫检测法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95" w:hRule="atLeast"/>
          <w:jc w:val="center"/>
        </w:trPr>
        <w:tc>
          <w:tcPr>
            <w:tcW w:w="409" w:type="pct"/>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灭蟑螂</w:t>
            </w:r>
          </w:p>
        </w:tc>
        <w:tc>
          <w:tcPr>
            <w:tcW w:w="3773" w:type="pct"/>
            <w:noWrap/>
            <w:tcMar>
              <w:top w:w="0" w:type="dxa"/>
              <w:left w:w="105" w:type="dxa"/>
              <w:bottom w:w="0" w:type="dxa"/>
              <w:right w:w="105" w:type="dxa"/>
            </w:tcMar>
            <w:vAlign w:val="center"/>
          </w:tcPr>
          <w:p>
            <w:pPr>
              <w:spacing w:line="460" w:lineRule="exact"/>
              <w:ind w:firstLine="480" w:firstLineChars="200"/>
              <w:rPr>
                <w:rFonts w:ascii="宋体" w:hAnsi="宋体" w:cs="宋体"/>
                <w:sz w:val="24"/>
                <w:szCs w:val="24"/>
              </w:rPr>
            </w:pPr>
            <w:r>
              <w:rPr>
                <w:rFonts w:hint="eastAsia" w:ascii="宋体" w:hAnsi="宋体" w:cs="宋体"/>
                <w:sz w:val="24"/>
                <w:szCs w:val="24"/>
              </w:rPr>
              <w:t>l.室内有蟑螂成虫或若虫阳性房间不超过3％，平均每间房大蠊不超过5只，小蠊不超过10只。</w:t>
            </w:r>
          </w:p>
          <w:p>
            <w:pPr>
              <w:spacing w:line="460" w:lineRule="exact"/>
              <w:ind w:firstLine="480" w:firstLineChars="200"/>
              <w:rPr>
                <w:rFonts w:ascii="宋体" w:hAnsi="宋体" w:cs="宋体"/>
                <w:sz w:val="24"/>
                <w:szCs w:val="24"/>
              </w:rPr>
            </w:pPr>
            <w:r>
              <w:rPr>
                <w:rFonts w:hint="eastAsia" w:ascii="宋体" w:hAnsi="宋体" w:cs="宋体"/>
                <w:sz w:val="24"/>
                <w:szCs w:val="24"/>
              </w:rPr>
              <w:t>2.有活蟑螂卵鞘房间不超过2％，平均每间房不超过4只。</w:t>
            </w:r>
          </w:p>
          <w:p>
            <w:pPr>
              <w:spacing w:line="460" w:lineRule="exact"/>
              <w:ind w:firstLine="480" w:firstLineChars="200"/>
              <w:rPr>
                <w:rFonts w:ascii="宋体" w:hAnsi="宋体" w:cs="宋体"/>
                <w:sz w:val="24"/>
                <w:szCs w:val="24"/>
              </w:rPr>
            </w:pPr>
            <w:r>
              <w:rPr>
                <w:rFonts w:hint="eastAsia" w:ascii="宋体" w:hAnsi="宋体" w:cs="宋体"/>
                <w:sz w:val="24"/>
                <w:szCs w:val="24"/>
              </w:rPr>
              <w:t>3.有蟑螂粪便蜕皮等蟑迹的房间不超过5％。</w:t>
            </w:r>
          </w:p>
        </w:tc>
        <w:tc>
          <w:tcPr>
            <w:tcW w:w="818" w:type="pct"/>
            <w:noWrap/>
            <w:tcMar>
              <w:top w:w="0" w:type="dxa"/>
              <w:left w:w="105" w:type="dxa"/>
              <w:bottom w:w="0" w:type="dxa"/>
              <w:right w:w="105" w:type="dxa"/>
            </w:tcMar>
            <w:vAlign w:val="center"/>
          </w:tcPr>
          <w:p>
            <w:pPr>
              <w:spacing w:line="460" w:lineRule="exact"/>
              <w:jc w:val="center"/>
              <w:rPr>
                <w:rFonts w:ascii="宋体" w:hAnsi="宋体" w:cs="宋体"/>
                <w:sz w:val="24"/>
                <w:szCs w:val="24"/>
              </w:rPr>
            </w:pPr>
            <w:r>
              <w:rPr>
                <w:rFonts w:hint="eastAsia" w:ascii="宋体" w:hAnsi="宋体" w:cs="宋体"/>
                <w:sz w:val="24"/>
                <w:szCs w:val="24"/>
              </w:rPr>
              <w:t>目测法</w:t>
            </w:r>
          </w:p>
          <w:p>
            <w:pPr>
              <w:spacing w:line="460" w:lineRule="exact"/>
              <w:jc w:val="center"/>
              <w:rPr>
                <w:rFonts w:ascii="宋体" w:hAnsi="宋体" w:cs="宋体"/>
                <w:sz w:val="24"/>
                <w:szCs w:val="24"/>
              </w:rPr>
            </w:pPr>
            <w:r>
              <w:rPr>
                <w:rFonts w:hint="eastAsia" w:ascii="宋体" w:hAnsi="宋体" w:cs="宋体"/>
                <w:sz w:val="24"/>
                <w:szCs w:val="24"/>
              </w:rPr>
              <w:t>药激法</w:t>
            </w:r>
          </w:p>
        </w:tc>
      </w:tr>
    </w:tbl>
    <w:p>
      <w:pPr>
        <w:widowControl/>
        <w:spacing w:line="460" w:lineRule="exac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三、商务条件</w:t>
      </w:r>
    </w:p>
    <w:p>
      <w:pPr>
        <w:widowControl/>
        <w:spacing w:before="75" w:after="75"/>
        <w:jc w:val="left"/>
        <w:rPr>
          <w:rFonts w:ascii="Calibri" w:hAnsi="Calibri"/>
          <w:kern w:val="0"/>
          <w:sz w:val="24"/>
          <w:szCs w:val="24"/>
        </w:rPr>
      </w:pPr>
      <w:r>
        <w:rPr>
          <w:rFonts w:ascii="Calibri" w:hAnsi="Calibri"/>
          <w:kern w:val="0"/>
          <w:sz w:val="24"/>
          <w:szCs w:val="24"/>
        </w:rPr>
        <w:t>1、交付地点：采购人指定地点</w:t>
      </w:r>
      <w:r>
        <w:rPr>
          <w:rFonts w:hint="eastAsia" w:ascii="Calibri" w:hAnsi="Calibri"/>
          <w:kern w:val="0"/>
          <w:sz w:val="24"/>
          <w:szCs w:val="24"/>
        </w:rPr>
        <w:t>。</w:t>
      </w:r>
    </w:p>
    <w:p>
      <w:pPr>
        <w:widowControl/>
        <w:spacing w:before="75" w:after="75"/>
        <w:jc w:val="left"/>
        <w:rPr>
          <w:rFonts w:ascii="Calibri" w:hAnsi="Calibri"/>
          <w:kern w:val="0"/>
          <w:sz w:val="24"/>
          <w:szCs w:val="24"/>
        </w:rPr>
      </w:pPr>
      <w:r>
        <w:rPr>
          <w:rFonts w:ascii="Calibri" w:hAnsi="Calibri"/>
          <w:kern w:val="0"/>
          <w:sz w:val="24"/>
          <w:szCs w:val="24"/>
        </w:rPr>
        <w:t>2、交付时间：</w:t>
      </w:r>
      <w:r>
        <w:rPr>
          <w:rFonts w:hint="eastAsia" w:ascii="Calibri" w:hAnsi="Calibri"/>
          <w:kern w:val="0"/>
          <w:sz w:val="24"/>
          <w:szCs w:val="24"/>
        </w:rPr>
        <w:t>自合同签订之日起开始提供服务，服务期1年。</w:t>
      </w:r>
    </w:p>
    <w:p>
      <w:pPr>
        <w:widowControl/>
        <w:spacing w:before="75" w:after="75"/>
        <w:jc w:val="left"/>
        <w:rPr>
          <w:rFonts w:ascii="Calibri" w:hAnsi="Calibri"/>
          <w:kern w:val="0"/>
          <w:sz w:val="24"/>
          <w:szCs w:val="24"/>
        </w:rPr>
      </w:pPr>
      <w:r>
        <w:rPr>
          <w:rFonts w:hint="eastAsia" w:ascii="Calibri" w:hAnsi="Calibri"/>
          <w:kern w:val="0"/>
          <w:sz w:val="24"/>
          <w:szCs w:val="24"/>
        </w:rPr>
        <w:t>3、入场时间：以采购通知时间为准，逾期入场，按每日3000元的违约扣款。</w:t>
      </w:r>
    </w:p>
    <w:p>
      <w:pPr>
        <w:widowControl/>
        <w:spacing w:before="75" w:after="75"/>
        <w:jc w:val="left"/>
        <w:rPr>
          <w:rFonts w:ascii="Calibri" w:hAnsi="Calibri"/>
          <w:kern w:val="0"/>
          <w:sz w:val="24"/>
          <w:szCs w:val="24"/>
        </w:rPr>
      </w:pPr>
      <w:r>
        <w:rPr>
          <w:rFonts w:hint="eastAsia" w:ascii="Calibri" w:hAnsi="Calibri"/>
          <w:kern w:val="0"/>
          <w:sz w:val="24"/>
          <w:szCs w:val="24"/>
        </w:rPr>
        <w:t>4</w:t>
      </w:r>
      <w:r>
        <w:rPr>
          <w:rFonts w:ascii="Calibri" w:hAnsi="Calibri"/>
          <w:kern w:val="0"/>
          <w:sz w:val="24"/>
          <w:szCs w:val="24"/>
        </w:rPr>
        <w:t>、交付条件：</w:t>
      </w:r>
      <w:r>
        <w:rPr>
          <w:rFonts w:hint="eastAsia" w:ascii="Calibri" w:hAnsi="Calibri"/>
          <w:kern w:val="0"/>
          <w:sz w:val="24"/>
          <w:szCs w:val="24"/>
        </w:rPr>
        <w:t>符合采购人要求。</w:t>
      </w:r>
    </w:p>
    <w:p>
      <w:pPr>
        <w:widowControl/>
        <w:spacing w:before="75" w:after="75"/>
        <w:jc w:val="left"/>
        <w:rPr>
          <w:rFonts w:ascii="宋体" w:hAnsi="宋体" w:cs="宋体"/>
          <w:kern w:val="0"/>
          <w:sz w:val="24"/>
          <w:szCs w:val="24"/>
        </w:rPr>
      </w:pPr>
      <w:r>
        <w:rPr>
          <w:rFonts w:hint="eastAsia" w:ascii="Calibri" w:hAnsi="Calibri"/>
          <w:kern w:val="0"/>
          <w:sz w:val="24"/>
          <w:szCs w:val="24"/>
        </w:rPr>
        <w:t>5</w:t>
      </w:r>
      <w:r>
        <w:rPr>
          <w:rFonts w:ascii="Calibri" w:hAnsi="Calibri"/>
          <w:kern w:val="0"/>
          <w:sz w:val="24"/>
          <w:szCs w:val="24"/>
        </w:rPr>
        <w:t>、是否收取履约保证金：</w:t>
      </w:r>
      <w:r>
        <w:rPr>
          <w:rFonts w:hint="eastAsia" w:ascii="宋体" w:hAnsi="宋体" w:cs="宋体"/>
          <w:kern w:val="0"/>
          <w:sz w:val="24"/>
          <w:szCs w:val="24"/>
        </w:rPr>
        <w:t>否</w:t>
      </w:r>
    </w:p>
    <w:p>
      <w:pPr>
        <w:widowControl/>
        <w:spacing w:before="75" w:after="75"/>
        <w:jc w:val="left"/>
        <w:rPr>
          <w:rFonts w:ascii="Calibri" w:hAnsi="Calibri"/>
          <w:kern w:val="0"/>
          <w:sz w:val="24"/>
          <w:szCs w:val="24"/>
        </w:rPr>
      </w:pPr>
      <w:r>
        <w:rPr>
          <w:rFonts w:hint="eastAsia" w:ascii="Calibri" w:hAnsi="Calibri"/>
          <w:kern w:val="0"/>
          <w:sz w:val="24"/>
          <w:szCs w:val="24"/>
        </w:rPr>
        <w:t>6</w:t>
      </w:r>
      <w:r>
        <w:rPr>
          <w:rFonts w:ascii="Calibri" w:hAnsi="Calibri"/>
          <w:kern w:val="0"/>
          <w:sz w:val="24"/>
          <w:szCs w:val="24"/>
        </w:rPr>
        <w:t>、是否邀请</w:t>
      </w:r>
      <w:r>
        <w:rPr>
          <w:rFonts w:hint="eastAsia" w:ascii="Calibri" w:hAnsi="Calibri"/>
          <w:kern w:val="0"/>
          <w:sz w:val="24"/>
          <w:szCs w:val="24"/>
        </w:rPr>
        <w:t>投标人</w:t>
      </w:r>
      <w:r>
        <w:rPr>
          <w:rFonts w:ascii="Calibri" w:hAnsi="Calibri"/>
          <w:kern w:val="0"/>
          <w:sz w:val="24"/>
          <w:szCs w:val="24"/>
        </w:rPr>
        <w:t>参与验收：否</w:t>
      </w:r>
    </w:p>
    <w:p>
      <w:pPr>
        <w:widowControl/>
        <w:spacing w:before="75" w:after="75"/>
        <w:jc w:val="left"/>
        <w:rPr>
          <w:rFonts w:ascii="Calibri" w:hAnsi="Calibri"/>
          <w:kern w:val="0"/>
          <w:sz w:val="24"/>
          <w:szCs w:val="24"/>
        </w:rPr>
      </w:pPr>
      <w:r>
        <w:rPr>
          <w:rFonts w:hint="eastAsia" w:ascii="Calibri" w:hAnsi="Calibri"/>
          <w:kern w:val="0"/>
          <w:sz w:val="24"/>
          <w:szCs w:val="24"/>
        </w:rPr>
        <w:t>7</w:t>
      </w:r>
      <w:r>
        <w:rPr>
          <w:rFonts w:ascii="Calibri" w:hAnsi="Calibri"/>
          <w:kern w:val="0"/>
          <w:sz w:val="24"/>
          <w:szCs w:val="24"/>
        </w:rPr>
        <w:t xml:space="preserve">、验收方式数据表格 </w:t>
      </w:r>
    </w:p>
    <w:tbl>
      <w:tblPr>
        <w:tblStyle w:val="52"/>
        <w:tblW w:w="5000" w:type="pct"/>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412"/>
        <w:gridCol w:w="83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3" w:hRule="atLeast"/>
          <w:tblHeader/>
        </w:trPr>
        <w:tc>
          <w:tcPr>
            <w:tcW w:w="7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szCs w:val="24"/>
              </w:rPr>
            </w:pPr>
            <w:r>
              <w:rPr>
                <w:rFonts w:ascii="宋体" w:hAnsi="宋体" w:cs="宋体"/>
                <w:kern w:val="0"/>
                <w:sz w:val="24"/>
                <w:szCs w:val="24"/>
              </w:rPr>
              <w:t>验收期次</w:t>
            </w:r>
          </w:p>
        </w:tc>
        <w:tc>
          <w:tcPr>
            <w:tcW w:w="427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szCs w:val="24"/>
              </w:rPr>
            </w:pPr>
            <w:r>
              <w:rPr>
                <w:rFonts w:ascii="宋体" w:hAnsi="宋体" w:cs="宋体"/>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1" w:hRule="atLeast"/>
        </w:trPr>
        <w:tc>
          <w:tcPr>
            <w:tcW w:w="7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szCs w:val="24"/>
              </w:rPr>
            </w:pPr>
            <w:r>
              <w:rPr>
                <w:rFonts w:ascii="宋体" w:hAnsi="宋体" w:cs="宋体"/>
                <w:kern w:val="0"/>
                <w:sz w:val="24"/>
                <w:szCs w:val="24"/>
              </w:rPr>
              <w:t>1</w:t>
            </w:r>
          </w:p>
        </w:tc>
        <w:tc>
          <w:tcPr>
            <w:tcW w:w="427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Calibri" w:hAnsi="Calibri"/>
                <w:szCs w:val="24"/>
              </w:rPr>
            </w:pPr>
            <w:r>
              <w:rPr>
                <w:rFonts w:hint="eastAsia" w:ascii="宋体" w:hAnsi="宋体" w:cs="宋体"/>
                <w:kern w:val="0"/>
                <w:sz w:val="24"/>
                <w:szCs w:val="24"/>
              </w:rPr>
              <w:t>采购人按照招标文件规定的内容、技术要求、服务、安全标准组织以及投标承诺对投标人履约情况进行验收。服务质量符合国家以及行业相关标准。</w:t>
            </w:r>
          </w:p>
        </w:tc>
      </w:tr>
    </w:tbl>
    <w:p>
      <w:pPr>
        <w:widowControl/>
        <w:jc w:val="left"/>
        <w:rPr>
          <w:rFonts w:ascii="Calibri" w:hAnsi="Calibri"/>
          <w:szCs w:val="24"/>
        </w:rPr>
      </w:pPr>
      <w:r>
        <w:rPr>
          <w:rFonts w:hint="eastAsia" w:ascii="宋体" w:hAnsi="宋体" w:cs="宋体"/>
          <w:kern w:val="0"/>
          <w:sz w:val="24"/>
          <w:szCs w:val="24"/>
        </w:rPr>
        <w:t>8</w:t>
      </w:r>
      <w:r>
        <w:rPr>
          <w:rFonts w:ascii="宋体" w:hAnsi="宋体" w:cs="宋体"/>
          <w:kern w:val="0"/>
          <w:sz w:val="24"/>
          <w:szCs w:val="24"/>
        </w:rPr>
        <w:t xml:space="preserve">、支付方式数据表格 </w:t>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47"/>
        <w:gridCol w:w="1612"/>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blHeader/>
          <w:jc w:val="center"/>
        </w:trPr>
        <w:tc>
          <w:tcPr>
            <w:tcW w:w="537" w:type="pct"/>
            <w:shd w:val="clear" w:color="auto" w:fill="auto"/>
            <w:vAlign w:val="center"/>
          </w:tcPr>
          <w:p>
            <w:pPr>
              <w:widowControl/>
              <w:jc w:val="left"/>
              <w:rPr>
                <w:rFonts w:ascii="Calibri" w:hAnsi="Calibri"/>
                <w:szCs w:val="24"/>
              </w:rPr>
            </w:pPr>
            <w:r>
              <w:rPr>
                <w:rFonts w:ascii="宋体" w:hAnsi="宋体" w:cs="宋体"/>
                <w:kern w:val="0"/>
                <w:sz w:val="24"/>
                <w:szCs w:val="24"/>
              </w:rPr>
              <w:t>支付期次</w:t>
            </w:r>
          </w:p>
        </w:tc>
        <w:tc>
          <w:tcPr>
            <w:tcW w:w="826" w:type="pct"/>
            <w:shd w:val="clear" w:color="auto" w:fill="auto"/>
            <w:vAlign w:val="center"/>
          </w:tcPr>
          <w:p>
            <w:pPr>
              <w:widowControl/>
              <w:jc w:val="left"/>
              <w:rPr>
                <w:rFonts w:ascii="Calibri" w:hAnsi="Calibri"/>
                <w:szCs w:val="24"/>
              </w:rPr>
            </w:pPr>
            <w:r>
              <w:rPr>
                <w:rFonts w:ascii="宋体" w:hAnsi="宋体" w:cs="宋体"/>
                <w:kern w:val="0"/>
                <w:sz w:val="24"/>
                <w:szCs w:val="24"/>
              </w:rPr>
              <w:t>支付比例(%)</w:t>
            </w:r>
          </w:p>
        </w:tc>
        <w:tc>
          <w:tcPr>
            <w:tcW w:w="3637" w:type="pct"/>
            <w:shd w:val="clear" w:color="auto" w:fill="auto"/>
            <w:vAlign w:val="center"/>
          </w:tcPr>
          <w:p>
            <w:pPr>
              <w:widowControl/>
              <w:jc w:val="left"/>
              <w:rPr>
                <w:rFonts w:ascii="Calibri" w:hAnsi="Calibri"/>
                <w:szCs w:val="24"/>
              </w:rPr>
            </w:pPr>
            <w:r>
              <w:rPr>
                <w:rFonts w:ascii="宋体" w:hAnsi="宋体" w:cs="宋体"/>
                <w:kern w:val="0"/>
                <w:sz w:val="24"/>
                <w:szCs w:val="24"/>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37" w:type="pct"/>
            <w:shd w:val="clear" w:color="auto" w:fill="auto"/>
            <w:vAlign w:val="center"/>
          </w:tcPr>
          <w:p>
            <w:pPr>
              <w:widowControl/>
              <w:spacing w:line="400" w:lineRule="exact"/>
              <w:jc w:val="center"/>
              <w:rPr>
                <w:rFonts w:ascii="宋体" w:hAnsi="宋体" w:cs="宋体"/>
                <w:kern w:val="0"/>
                <w:sz w:val="24"/>
                <w:szCs w:val="24"/>
              </w:rPr>
            </w:pPr>
            <w:r>
              <w:rPr>
                <w:rFonts w:hint="eastAsia" w:ascii="宋体" w:hAnsi="宋体" w:cs="宋体"/>
                <w:kern w:val="0"/>
                <w:sz w:val="24"/>
                <w:szCs w:val="24"/>
              </w:rPr>
              <w:t>1</w:t>
            </w:r>
          </w:p>
        </w:tc>
        <w:tc>
          <w:tcPr>
            <w:tcW w:w="826" w:type="pct"/>
            <w:shd w:val="clear" w:color="auto" w:fill="auto"/>
            <w:vAlign w:val="center"/>
          </w:tcPr>
          <w:p>
            <w:pPr>
              <w:widowControl/>
              <w:tabs>
                <w:tab w:val="center" w:pos="790"/>
              </w:tabs>
              <w:spacing w:line="400" w:lineRule="exact"/>
              <w:jc w:val="center"/>
              <w:rPr>
                <w:rFonts w:ascii="宋体" w:hAnsi="宋体" w:cs="宋体"/>
                <w:kern w:val="0"/>
                <w:sz w:val="24"/>
                <w:szCs w:val="24"/>
              </w:rPr>
            </w:pPr>
            <w:r>
              <w:rPr>
                <w:rFonts w:hint="eastAsia" w:ascii="宋体" w:hAnsi="宋体" w:cs="宋体"/>
                <w:kern w:val="0"/>
                <w:sz w:val="24"/>
                <w:szCs w:val="24"/>
              </w:rPr>
              <w:t>50</w:t>
            </w:r>
          </w:p>
        </w:tc>
        <w:tc>
          <w:tcPr>
            <w:tcW w:w="3637" w:type="pct"/>
            <w:shd w:val="clear" w:color="auto" w:fill="auto"/>
            <w:vAlign w:val="center"/>
          </w:tcPr>
          <w:p>
            <w:pPr>
              <w:widowControl/>
              <w:spacing w:line="400" w:lineRule="exact"/>
              <w:jc w:val="left"/>
              <w:rPr>
                <w:rFonts w:ascii="宋体" w:hAnsi="宋体" w:cs="宋体"/>
                <w:sz w:val="24"/>
                <w:szCs w:val="24"/>
              </w:rPr>
            </w:pPr>
            <w:r>
              <w:rPr>
                <w:rFonts w:hint="eastAsia" w:ascii="宋体" w:hAnsi="宋体" w:cs="宋体"/>
                <w:sz w:val="24"/>
                <w:szCs w:val="24"/>
              </w:rPr>
              <w:t>按实际工作量、采购量进行结算，款项半年结算一次。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37" w:type="pct"/>
            <w:shd w:val="clear" w:color="auto" w:fill="auto"/>
            <w:vAlign w:val="center"/>
          </w:tcPr>
          <w:p>
            <w:pPr>
              <w:widowControl/>
              <w:spacing w:line="400" w:lineRule="exact"/>
              <w:jc w:val="center"/>
              <w:rPr>
                <w:rFonts w:ascii="宋体" w:hAnsi="宋体" w:cs="宋体"/>
                <w:kern w:val="0"/>
                <w:sz w:val="24"/>
                <w:szCs w:val="24"/>
              </w:rPr>
            </w:pPr>
            <w:r>
              <w:rPr>
                <w:rFonts w:hint="eastAsia" w:ascii="宋体" w:hAnsi="宋体" w:cs="宋体"/>
                <w:kern w:val="0"/>
                <w:sz w:val="24"/>
                <w:szCs w:val="24"/>
              </w:rPr>
              <w:t>2</w:t>
            </w:r>
          </w:p>
        </w:tc>
        <w:tc>
          <w:tcPr>
            <w:tcW w:w="826" w:type="pct"/>
            <w:shd w:val="clear" w:color="auto" w:fill="auto"/>
            <w:vAlign w:val="center"/>
          </w:tcPr>
          <w:p>
            <w:pPr>
              <w:widowControl/>
              <w:tabs>
                <w:tab w:val="center" w:pos="790"/>
              </w:tabs>
              <w:spacing w:line="400" w:lineRule="exact"/>
              <w:jc w:val="center"/>
              <w:rPr>
                <w:rFonts w:ascii="宋体" w:hAnsi="宋体" w:cs="宋体"/>
                <w:kern w:val="0"/>
                <w:sz w:val="24"/>
                <w:szCs w:val="24"/>
              </w:rPr>
            </w:pPr>
            <w:r>
              <w:rPr>
                <w:rFonts w:hint="eastAsia" w:ascii="宋体" w:hAnsi="宋体" w:cs="宋体"/>
                <w:kern w:val="0"/>
                <w:sz w:val="24"/>
                <w:szCs w:val="24"/>
              </w:rPr>
              <w:t>50</w:t>
            </w:r>
          </w:p>
        </w:tc>
        <w:tc>
          <w:tcPr>
            <w:tcW w:w="3637" w:type="pct"/>
            <w:shd w:val="clear" w:color="auto" w:fill="auto"/>
            <w:vAlign w:val="center"/>
          </w:tcPr>
          <w:p>
            <w:pPr>
              <w:widowControl/>
              <w:spacing w:line="400" w:lineRule="exact"/>
              <w:jc w:val="left"/>
              <w:rPr>
                <w:rFonts w:ascii="宋体" w:hAnsi="宋体" w:cs="宋体"/>
                <w:sz w:val="24"/>
                <w:szCs w:val="24"/>
              </w:rPr>
            </w:pPr>
            <w:r>
              <w:rPr>
                <w:rFonts w:hint="eastAsia" w:ascii="宋体" w:hAnsi="宋体" w:cs="宋体"/>
                <w:sz w:val="24"/>
                <w:szCs w:val="24"/>
              </w:rPr>
              <w:t>按实际工作量、采购量进行结算，款项半年结算一次。</w:t>
            </w:r>
          </w:p>
        </w:tc>
      </w:tr>
    </w:tbl>
    <w:p>
      <w:pPr>
        <w:widowControl/>
        <w:spacing w:line="480" w:lineRule="atLeast"/>
        <w:ind w:firstLine="481" w:firstLineChars="200"/>
        <w:jc w:val="left"/>
        <w:rPr>
          <w:rFonts w:ascii="宋体" w:hAnsi="宋体" w:cs="宋体"/>
          <w:b/>
          <w:bCs/>
          <w:kern w:val="0"/>
          <w:sz w:val="24"/>
          <w:szCs w:val="24"/>
        </w:rPr>
      </w:pPr>
      <w:r>
        <w:rPr>
          <w:rFonts w:hint="eastAsia" w:ascii="宋体" w:hAnsi="宋体" w:cs="宋体"/>
          <w:b/>
          <w:bCs/>
          <w:kern w:val="0"/>
          <w:sz w:val="24"/>
          <w:szCs w:val="24"/>
        </w:rPr>
        <w:t>9、考核奖惩办法</w:t>
      </w:r>
    </w:p>
    <w:p>
      <w:pPr>
        <w:widowControl/>
        <w:spacing w:line="480" w:lineRule="atLeast"/>
        <w:ind w:firstLine="480" w:firstLineChars="200"/>
        <w:jc w:val="left"/>
        <w:rPr>
          <w:rFonts w:ascii="宋体" w:hAnsi="宋体" w:cs="宋体"/>
          <w:kern w:val="0"/>
          <w:sz w:val="24"/>
          <w:szCs w:val="24"/>
        </w:rPr>
      </w:pPr>
      <w:r>
        <w:rPr>
          <w:rFonts w:hint="eastAsia" w:ascii="宋体" w:hAnsi="宋体" w:cs="宋体"/>
          <w:kern w:val="0"/>
          <w:sz w:val="24"/>
          <w:szCs w:val="24"/>
        </w:rPr>
        <w:t>9.1 采购人根据中标人承包任务，对中标人每次消杀实施过程及消杀结果进行检查、监督。在检查监督过程中，采购人如果发现中标人消杀工作组织不力，工人无培训证上岗、操作不规范、质量不合格、结果不达标，采购人可提出警告和整改建议，中标人要限期改正，否则，采购人可根据实际情况，有权终止合同或扣除中标人当次该项该社区的消杀服务费。</w:t>
      </w:r>
    </w:p>
    <w:p>
      <w:pPr>
        <w:widowControl/>
        <w:spacing w:line="480" w:lineRule="atLeast"/>
        <w:ind w:firstLine="480" w:firstLineChars="200"/>
        <w:jc w:val="left"/>
        <w:rPr>
          <w:rFonts w:ascii="宋体" w:hAnsi="宋体" w:cs="宋体"/>
          <w:kern w:val="0"/>
          <w:sz w:val="24"/>
          <w:szCs w:val="24"/>
        </w:rPr>
      </w:pPr>
      <w:r>
        <w:rPr>
          <w:rFonts w:hint="eastAsia" w:ascii="宋体" w:hAnsi="宋体" w:cs="宋体"/>
          <w:kern w:val="0"/>
          <w:sz w:val="24"/>
          <w:szCs w:val="24"/>
        </w:rPr>
        <w:t>9.2 每次消杀结束后，采购人可在本周内组织考核，每年的第四季度进行综合考评：</w:t>
      </w:r>
    </w:p>
    <w:p>
      <w:pPr>
        <w:widowControl/>
        <w:spacing w:line="480" w:lineRule="atLeast"/>
        <w:ind w:firstLine="480" w:firstLineChars="200"/>
        <w:jc w:val="left"/>
        <w:rPr>
          <w:rFonts w:ascii="宋体" w:hAnsi="宋体" w:cs="宋体"/>
          <w:kern w:val="0"/>
          <w:sz w:val="24"/>
          <w:szCs w:val="24"/>
        </w:rPr>
      </w:pPr>
      <w:r>
        <w:rPr>
          <w:rFonts w:hint="eastAsia" w:ascii="宋体" w:hAnsi="宋体" w:cs="宋体"/>
          <w:kern w:val="0"/>
          <w:sz w:val="24"/>
          <w:szCs w:val="24"/>
        </w:rPr>
        <w:t>（1）每次检查通过合同规定标准 1 倍以内的，要扣除当次该社区该项服务费 50%：</w:t>
      </w:r>
    </w:p>
    <w:p>
      <w:pPr>
        <w:widowControl/>
        <w:spacing w:line="480" w:lineRule="atLeast"/>
        <w:ind w:firstLine="480" w:firstLineChars="200"/>
        <w:jc w:val="left"/>
        <w:rPr>
          <w:rFonts w:ascii="宋体" w:hAnsi="宋体" w:cs="宋体"/>
          <w:kern w:val="0"/>
          <w:sz w:val="24"/>
          <w:szCs w:val="24"/>
        </w:rPr>
      </w:pPr>
      <w:r>
        <w:rPr>
          <w:rFonts w:hint="eastAsia" w:ascii="宋体" w:hAnsi="宋体" w:cs="宋体"/>
          <w:kern w:val="0"/>
          <w:sz w:val="24"/>
          <w:szCs w:val="24"/>
        </w:rPr>
        <w:t>（2）超过合同内规定标准 2 倍以上的，要扣除当次该社区该项目服务费 100%。</w:t>
      </w:r>
    </w:p>
    <w:p>
      <w:pPr>
        <w:widowControl/>
        <w:spacing w:line="480" w:lineRule="atLeast"/>
        <w:ind w:firstLine="480" w:firstLineChars="200"/>
        <w:jc w:val="left"/>
        <w:rPr>
          <w:rFonts w:ascii="宋体" w:hAnsi="宋体" w:cs="宋体"/>
          <w:kern w:val="0"/>
          <w:sz w:val="24"/>
          <w:szCs w:val="24"/>
        </w:rPr>
      </w:pPr>
      <w:r>
        <w:rPr>
          <w:rFonts w:hint="eastAsia" w:ascii="宋体" w:hAnsi="宋体" w:cs="宋体"/>
          <w:kern w:val="0"/>
          <w:sz w:val="24"/>
          <w:szCs w:val="24"/>
        </w:rPr>
        <w:t>9.3 发现以下情况，采购人根据实际情况有权终止合同：一年内被通报三次以上；擅自截留药品并销售或挪作他用；弄虚作假，未如实上报消杀完成情况。</w:t>
      </w:r>
    </w:p>
    <w:p>
      <w:pPr>
        <w:widowControl/>
        <w:spacing w:line="480" w:lineRule="atLeast"/>
        <w:ind w:firstLine="480" w:firstLineChars="200"/>
        <w:jc w:val="left"/>
        <w:rPr>
          <w:rFonts w:ascii="宋体" w:hAnsi="宋体" w:cs="宋体"/>
          <w:kern w:val="0"/>
          <w:sz w:val="24"/>
          <w:szCs w:val="24"/>
        </w:rPr>
      </w:pPr>
      <w:r>
        <w:rPr>
          <w:rFonts w:hint="eastAsia" w:ascii="宋体" w:hAnsi="宋体" w:cs="宋体"/>
          <w:kern w:val="0"/>
          <w:sz w:val="24"/>
          <w:szCs w:val="24"/>
        </w:rPr>
        <w:t>9.4若接到居民投诉或者12345投诉“除四害”消杀结果不理想，中标人须无条件前往现场进行整改。</w:t>
      </w:r>
    </w:p>
    <w:p>
      <w:pPr>
        <w:widowControl/>
        <w:spacing w:line="480" w:lineRule="atLeast"/>
        <w:ind w:firstLine="480" w:firstLineChars="200"/>
        <w:jc w:val="left"/>
        <w:rPr>
          <w:rFonts w:ascii="宋体" w:hAnsi="宋体" w:cs="宋体"/>
          <w:kern w:val="0"/>
          <w:sz w:val="24"/>
          <w:szCs w:val="24"/>
        </w:rPr>
      </w:pPr>
      <w:r>
        <w:rPr>
          <w:rFonts w:hint="eastAsia" w:ascii="宋体" w:hAnsi="宋体" w:cs="宋体"/>
          <w:kern w:val="0"/>
          <w:sz w:val="24"/>
          <w:szCs w:val="24"/>
        </w:rPr>
        <w:t>9.5疾控中心或卫健部门将不定期开展“除四害”消杀结果检查，若检查结果存在不合格（例如：成蚊密度高、阳性容器多等），中标人须无条件进行整改直至检查结果合格。</w:t>
      </w:r>
    </w:p>
    <w:p>
      <w:pPr>
        <w:widowControl/>
        <w:spacing w:line="480" w:lineRule="atLeast"/>
        <w:ind w:firstLine="481" w:firstLineChars="200"/>
        <w:jc w:val="left"/>
        <w:rPr>
          <w:rFonts w:ascii="宋体" w:hAnsi="宋体" w:cs="宋体"/>
          <w:b/>
          <w:bCs/>
          <w:kern w:val="0"/>
          <w:sz w:val="24"/>
          <w:szCs w:val="24"/>
        </w:rPr>
      </w:pPr>
      <w:r>
        <w:rPr>
          <w:rFonts w:hint="eastAsia" w:ascii="宋体" w:hAnsi="宋体" w:cs="宋体"/>
          <w:b/>
          <w:bCs/>
          <w:kern w:val="0"/>
          <w:sz w:val="24"/>
          <w:szCs w:val="24"/>
        </w:rPr>
        <w:t>10、违约责任</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10.1 因中标人原因造成合同无法按时签订或者签订合同后不履行其投标承诺或者其他由于中标人自身原因造成无法履行合同的，均视为中标人违约，投标保证金或履约保证金（若有）不予退还，如果已经签订合同的则合同自动解除，且中标人还要承担相应的法律责任。给采购人造成损失的，还需另外支付相应赔偿。</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10.2 因中标人原因发生重大质量事故除依约承担赔偿责任外，还将按有关质量管理规定执行。同时，采购人有权保留更换中标人的权利，并报相关行政主管部门处罚。</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10.3 若发生死亡安全事故，除按国家有关安全管理规定及采购人有关安全管理办法执行外并报相关行政主管部门处罚：发生重大安全事故或转大安全事故，除按国家有关安全管理规定及采购人有关安全管理办法执行外，采购人有权终止合同，给采购人造成的损失，还应承担赔偿责任。</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10.4在明确违约责任后，中标人应在接到书面通知书起七天内支付违约金、赔偿金等，中标人不及时支付，采购人可从中标人货款中直接扣除。</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10.5 如果中标人未能按合同规定的时间按时足额完成服务的（不可抗力除外），在中标人同意支付延期违约金的条件下，采购人有权选择同意延长完工期，采购人延长完工期的，延期的时间由双方另行确定。延期违约金的支付采购人有权从未付的合同款中扣除，延期违约金为人民币叁千元/天。</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10.6 如果中标人未能按照合同规定的时间或双方另行确定的延期完工期按时完成的（不可抗力因素外)，延期违约金为人民币叁千元/天。逾期违约金的支付采购人有权从未付的合同款中予以扣除。若中标人逾期达 30 天（含 30 天）以上的，采购人有权单方解除本合同，中标人仍应按上述约定支付延期违约金。若因此给采购人造成损失的，还应赔偿采购人所受的损失。</w:t>
      </w:r>
    </w:p>
    <w:p>
      <w:pPr>
        <w:spacing w:line="500" w:lineRule="exact"/>
        <w:ind w:firstLine="480" w:firstLineChars="200"/>
        <w:rPr>
          <w:rFonts w:ascii="宋体" w:hAnsi="宋体" w:cs="宋体"/>
          <w:sz w:val="24"/>
          <w:szCs w:val="24"/>
        </w:rPr>
      </w:pPr>
      <w:r>
        <w:rPr>
          <w:rFonts w:hint="eastAsia" w:ascii="宋体" w:hAnsi="宋体" w:cs="宋体"/>
          <w:sz w:val="24"/>
          <w:szCs w:val="24"/>
        </w:rPr>
        <w:t>11、知识产权</w:t>
      </w:r>
    </w:p>
    <w:p>
      <w:pPr>
        <w:spacing w:line="500" w:lineRule="exact"/>
        <w:ind w:firstLine="480" w:firstLineChars="200"/>
        <w:rPr>
          <w:rFonts w:ascii="宋体" w:hAnsi="宋体" w:cs="宋体"/>
          <w:sz w:val="24"/>
          <w:szCs w:val="24"/>
        </w:rPr>
      </w:pPr>
      <w:r>
        <w:rPr>
          <w:rFonts w:hint="eastAsia" w:ascii="宋体" w:hAnsi="宋体" w:cs="宋体"/>
          <w:sz w:val="24"/>
          <w:szCs w:val="24"/>
        </w:rPr>
        <w:t>投标人须保障采购人在服务期间不受到第三方关于侵犯专 利权、商标权或工业设 计权等知识产权的指控。如果任何第三方提出侵权指控与采购人无关，投标人须与第三方交涉并承担可能发生的责任与一切费用。如采购人因此而遭致损失的，投标人应赔偿该损失。</w:t>
      </w:r>
    </w:p>
    <w:p>
      <w:pPr>
        <w:spacing w:line="500" w:lineRule="exact"/>
        <w:ind w:firstLine="480" w:firstLineChars="200"/>
        <w:rPr>
          <w:rFonts w:ascii="宋体" w:hAnsi="宋体" w:cs="宋体"/>
          <w:sz w:val="24"/>
          <w:szCs w:val="24"/>
        </w:rPr>
      </w:pPr>
      <w:r>
        <w:rPr>
          <w:rFonts w:hint="eastAsia" w:ascii="宋体" w:hAnsi="宋体" w:cs="宋体"/>
          <w:sz w:val="24"/>
          <w:szCs w:val="24"/>
        </w:rPr>
        <w:t>12、仲裁、诉讼条款</w:t>
      </w:r>
    </w:p>
    <w:p>
      <w:pPr>
        <w:spacing w:line="500" w:lineRule="exact"/>
        <w:ind w:firstLine="480" w:firstLineChars="200"/>
        <w:rPr>
          <w:rFonts w:ascii="Calibri" w:hAnsi="Calibri"/>
          <w:szCs w:val="24"/>
        </w:rPr>
      </w:pPr>
      <w:r>
        <w:rPr>
          <w:rFonts w:hint="eastAsia" w:ascii="宋体" w:hAnsi="宋体" w:cs="宋体"/>
          <w:sz w:val="24"/>
          <w:szCs w:val="24"/>
        </w:rPr>
        <w:t>因采购或与采购合同有关的一切事项发生争议，由采购人和中标人双方友好协商解决。协商不成的，任何一方均可选择向采购人所在地的人民法院提起诉讼。</w:t>
      </w:r>
    </w:p>
    <w:p>
      <w:pPr>
        <w:widowControl/>
        <w:spacing w:line="460" w:lineRule="exac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四、其他要求</w:t>
      </w:r>
    </w:p>
    <w:p>
      <w:pPr>
        <w:spacing w:line="4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1、本项目不允许中标人以任何名义和理由进行转包，如有发现，视为中标人违约，如对采购人造成损失的，采购人有权要求中标人给予相应赔偿。</w:t>
      </w:r>
    </w:p>
    <w:p>
      <w:pPr>
        <w:widowControl/>
        <w:spacing w:line="4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2、本招标文件未明确的其它约定事项或条款，待采购人与中标人签订合同时，由双方另行协商订立。</w:t>
      </w:r>
    </w:p>
    <w:p>
      <w:pPr>
        <w:widowControl/>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pPr>
        <w:spacing w:line="360" w:lineRule="auto"/>
        <w:ind w:firstLine="420"/>
        <w:jc w:val="center"/>
        <w:outlineLvl w:val="0"/>
        <w:rPr>
          <w:rFonts w:cs="宋体" w:asciiTheme="minorEastAsia" w:hAnsiTheme="minorEastAsia" w:eastAsiaTheme="minorEastAsia"/>
          <w:b/>
          <w:sz w:val="28"/>
          <w:szCs w:val="28"/>
        </w:rPr>
      </w:pPr>
      <w:bookmarkStart w:id="65" w:name="_Toc195709380"/>
      <w:r>
        <w:rPr>
          <w:rFonts w:hint="eastAsia" w:cs="宋体" w:asciiTheme="minorEastAsia" w:hAnsiTheme="minorEastAsia" w:eastAsiaTheme="minorEastAsia"/>
          <w:b/>
          <w:sz w:val="32"/>
          <w:szCs w:val="32"/>
        </w:rPr>
        <w:t>第四章  政府采购合同（参考文本）</w:t>
      </w:r>
      <w:bookmarkEnd w:id="63"/>
      <w:bookmarkEnd w:id="64"/>
      <w:bookmarkEnd w:id="65"/>
    </w:p>
    <w:p>
      <w:pPr>
        <w:widowControl/>
        <w:jc w:val="center"/>
        <w:rPr>
          <w:rFonts w:asciiTheme="minorEastAsia" w:hAnsiTheme="minorEastAsia" w:eastAsiaTheme="minorEastAsia"/>
          <w:kern w:val="0"/>
          <w:sz w:val="16"/>
        </w:rPr>
      </w:pPr>
      <w:r>
        <w:rPr>
          <w:rFonts w:asciiTheme="minorEastAsia" w:hAnsiTheme="minorEastAsia" w:eastAsiaTheme="minorEastAsia"/>
          <w:b/>
          <w:kern w:val="0"/>
          <w:sz w:val="28"/>
        </w:rPr>
        <w:t>福建省政府采购合同（服务类）</w:t>
      </w:r>
    </w:p>
    <w:p>
      <w:pPr>
        <w:widowControl/>
        <w:jc w:val="center"/>
        <w:rPr>
          <w:rFonts w:asciiTheme="minorEastAsia" w:hAnsiTheme="minorEastAsia" w:eastAsiaTheme="minorEastAsia"/>
          <w:kern w:val="0"/>
          <w:sz w:val="20"/>
        </w:rPr>
      </w:pPr>
      <w:r>
        <w:rPr>
          <w:rFonts w:asciiTheme="minorEastAsia" w:hAnsiTheme="minorEastAsia" w:eastAsiaTheme="minorEastAsia"/>
          <w:b/>
          <w:kern w:val="0"/>
          <w:sz w:val="24"/>
        </w:rPr>
        <w:t>编制说明</w:t>
      </w:r>
    </w:p>
    <w:p>
      <w:pPr>
        <w:widowControl/>
        <w:jc w:val="center"/>
        <w:rPr>
          <w:rFonts w:asciiTheme="minorEastAsia" w:hAnsiTheme="minorEastAsia" w:eastAsiaTheme="minorEastAsia"/>
          <w:kern w:val="0"/>
          <w:sz w:val="20"/>
        </w:rPr>
      </w:pPr>
    </w:p>
    <w:p>
      <w:pPr>
        <w:widowControl/>
        <w:jc w:val="left"/>
        <w:rPr>
          <w:rFonts w:asciiTheme="minorEastAsia" w:hAnsiTheme="minorEastAsia" w:eastAsiaTheme="minorEastAsia"/>
          <w:kern w:val="0"/>
          <w:sz w:val="20"/>
        </w:rPr>
      </w:pPr>
      <w:r>
        <w:rPr>
          <w:rFonts w:asciiTheme="minorEastAsia" w:hAnsiTheme="minorEastAsia" w:eastAsiaTheme="minorEastAsia"/>
          <w:b/>
          <w:kern w:val="0"/>
          <w:sz w:val="24"/>
        </w:rPr>
        <w:t>1.签订合同应遵守《中华人民共和国政府采购法》及其实施条例、《中华人民共和国民法典》等法律法规及其他有关规定。</w:t>
      </w:r>
    </w:p>
    <w:p>
      <w:pPr>
        <w:widowControl/>
        <w:jc w:val="left"/>
        <w:rPr>
          <w:rFonts w:asciiTheme="minorEastAsia" w:hAnsiTheme="minorEastAsia" w:eastAsiaTheme="minorEastAsia"/>
          <w:kern w:val="0"/>
          <w:sz w:val="20"/>
        </w:rPr>
      </w:pPr>
      <w:r>
        <w:rPr>
          <w:rFonts w:asciiTheme="minorEastAsia" w:hAnsiTheme="minorEastAsia" w:eastAsiaTheme="minorEastAsia"/>
          <w:b/>
          <w:kern w:val="0"/>
          <w:sz w:val="24"/>
        </w:rPr>
        <w:t>2.签订合同时，采购人与中标(成交)人应结合采购文件规定填列相应内容。采购文件已有约定的，双方均不得对约定进行变更或调整；采购文件未作规定的，双方可通过友好协商进行约定。</w:t>
      </w:r>
    </w:p>
    <w:p>
      <w:pPr>
        <w:widowControl/>
        <w:jc w:val="left"/>
        <w:rPr>
          <w:rFonts w:asciiTheme="minorEastAsia" w:hAnsiTheme="minorEastAsia" w:eastAsiaTheme="minorEastAsia"/>
          <w:kern w:val="0"/>
          <w:sz w:val="20"/>
        </w:rPr>
      </w:pPr>
      <w:r>
        <w:rPr>
          <w:rFonts w:asciiTheme="minorEastAsia" w:hAnsiTheme="minorEastAsia" w:eastAsiaTheme="minorEastAsia"/>
          <w:b/>
          <w:kern w:val="0"/>
          <w:sz w:val="24"/>
        </w:rPr>
        <w:t>3.政府有关主管部门对若干合同有规范文本的，可使用相应合同文本。</w:t>
      </w:r>
    </w:p>
    <w:p>
      <w:pPr>
        <w:widowControl/>
        <w:jc w:val="left"/>
        <w:rPr>
          <w:rFonts w:asciiTheme="minorEastAsia" w:hAnsiTheme="minorEastAsia" w:eastAsiaTheme="minorEastAsia"/>
          <w:kern w:val="0"/>
          <w:sz w:val="20"/>
        </w:rPr>
      </w:pPr>
      <w:r>
        <w:rPr>
          <w:rFonts w:asciiTheme="minorEastAsia" w:hAnsiTheme="minorEastAsia" w:eastAsiaTheme="minorEastAsia"/>
          <w:b/>
          <w:kern w:val="0"/>
          <w:sz w:val="24"/>
        </w:rPr>
        <w:t>4.本合同范本仅供参考，采购人应当根据采购项目的实际需求对合同条款进行修改、补充。</w:t>
      </w:r>
    </w:p>
    <w:p>
      <w:pPr>
        <w:widowControl/>
        <w:jc w:val="left"/>
        <w:rPr>
          <w:rFonts w:asciiTheme="minorEastAsia" w:hAnsiTheme="minorEastAsia" w:eastAsiaTheme="minorEastAsia"/>
          <w:kern w:val="0"/>
          <w:sz w:val="20"/>
        </w:rPr>
      </w:pP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甲方：</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住所地：________________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联系人：________________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联系电话：______________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传真：________________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电子邮箱：________________</w:t>
      </w: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乙方：________________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住所地：________________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联系人：______________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联系电话：______________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传真：________________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电子邮箱：________________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根据招标编号为___________的__________项目（以下简称：“本项目”）的采购结果，遵循平等、自愿、公平和诚实信用的原则，双方签署本合同，具体内容如下：</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一、合同组成部分</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1.1本合同条款及附件；</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1.2采购文件及其附件、补充文件；</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1.3乙方的响应文件及其附件、补充文件；</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1.4其他文件或材料：</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二、合同标的</w:t>
      </w: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三、价格形式及合同价款</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3.1价格形式</w:t>
      </w: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固定单价合同。完成约定服务事项的含税合同单价为：人民币（大写）元（￥_____________元）。</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固定总价合同。完成约定服务事项的含税服务费用为：人民币（大写）元（￥_____________元）。</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其他方式。</w:t>
      </w: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3.2合同价款包含范围</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3.3其他需说明的事项：</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四、合同标的及服务范围、地点和时间</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4.1项目名称：_____________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4.2服务范围：_____________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4.3服务地点：_____________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4.4服务完成时间：_____________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五、服务内容、质量标准和要求</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5.1服务工作量的计量方式：_____________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5.2服务内容：_____________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5.3技术保障、服务人员组成、所涉及的货物的质量标准：</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（1）服务技术保障：_____________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（2）服务人员组成：_____________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（3）服务设备及物资投入及质量标准：_____________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5.4服务质量标准及要求：</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5.4.3其他要求：</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六、服务履约验收或考核</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甲方按照采购文件、乙方的投标或响应文件和本协议约定的服务内容及质量要求按次组织对乙方所提供服务进行验收，或定期进行服务考核，并根据验收或考核结果支付服务费用。具体如下：</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七、甲方的权利与义务</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7.1甲方委派___________为联系人，联系方式___________，负责与乙方联系。如甲方联系人发生变更，甲方应书面告知乙方。</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7.2甲方应为乙方开展服务工作提供必要的工作条件，以及对内对外沟通和配合协助。</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7.3甲方应于___________之前提供服务所需的全部资料，并对所提供材料真实性、完整性、合法性负责。</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7.5甲方应按本合同约定及时足额支付服务费用及相关费用。</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7.6其他</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八、乙方的权利与义务</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8.1乙方委派___________为联系人，联系方式___________，负责与甲方联系。如乙方联系人发生变更，乙方应书面告知甲方</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8.2乙方应国家法律法规和{{乙方的权利与义务-响应要求-福建}}等要求开展{{乙方的权利与义务-开展服务-福建}}服务；</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8.3乙方及其所委派服务人员应按标准或协议约定方式出具服务成果，对并其真实性和合法性负法律责任；</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8.4乙方对执行业务过程中知悉的国家秘密或甲方的商业秘密保密。除非国家法律法规及行业规范另有规定,或经甲方同意,乙方不得将其知悉的商业秘密和甲方提供的资料对外泄露。</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8.5乙方对服务业务应当单独建档，保存完整的工作记录，并对服务过程使用和暂存甲方的文件、材料和财物应当妥善保管。</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8.6服务工作结束后,乙方将根据情况对甲方服务相关的管理制度及其他事项等提出改进意见。</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8.7其他</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九、资金支付方式、时间和条件</w:t>
      </w: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十、履约保证金</w:t>
      </w:r>
    </w:p>
    <w:p>
      <w:pPr>
        <w:widowControl/>
        <w:spacing w:line="360" w:lineRule="exact"/>
        <w:jc w:val="left"/>
        <w:rPr>
          <w:rFonts w:asciiTheme="minorEastAsia" w:hAnsiTheme="minorEastAsia" w:eastAsiaTheme="minorEastAsia"/>
          <w:kern w:val="0"/>
          <w:sz w:val="24"/>
          <w:szCs w:val="24"/>
        </w:rPr>
      </w:pPr>
      <w:r>
        <w:rPr>
          <w:rFonts w:cs="Arial" w:asciiTheme="minorEastAsia" w:hAnsiTheme="minorEastAsia" w:eastAsiaTheme="minorEastAsia"/>
          <w:kern w:val="0"/>
          <w:sz w:val="24"/>
          <w:szCs w:val="24"/>
        </w:rPr>
        <w:t>□</w:t>
      </w:r>
      <w:r>
        <w:rPr>
          <w:rFonts w:asciiTheme="minorEastAsia" w:hAnsiTheme="minorEastAsia" w:eastAsiaTheme="minorEastAsia"/>
          <w:kern w:val="0"/>
          <w:sz w:val="24"/>
          <w:szCs w:val="24"/>
        </w:rPr>
        <w:t>有，</w:t>
      </w:r>
      <w:r>
        <w:rPr>
          <w:rFonts w:cs="Arial" w:asciiTheme="minorEastAsia" w:hAnsiTheme="minorEastAsia" w:eastAsiaTheme="minorEastAsia"/>
          <w:kern w:val="0"/>
          <w:sz w:val="24"/>
          <w:szCs w:val="24"/>
        </w:rPr>
        <w:sym w:font="Wingdings 2" w:char="0052"/>
      </w:r>
      <w:r>
        <w:rPr>
          <w:rFonts w:asciiTheme="minorEastAsia" w:hAnsiTheme="minorEastAsia" w:eastAsiaTheme="minorEastAsia"/>
          <w:kern w:val="0"/>
          <w:sz w:val="24"/>
          <w:szCs w:val="24"/>
        </w:rPr>
        <w:t>无。具体如下：（按照采购文件规定填写）。</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10.1乙方向甲方缴纳人民币 / 元作为本合同的履约保证金。</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10.2履约保证金缴纳形式：支票/汇票/电汇/保函等非现金形式。</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10.3履约保证金合同履行完毕前有效，合同履行完毕后一次性结清退还。</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十一、合同期限</w:t>
      </w: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十二、保密条款</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12.1对于在采购和合同履行过程中所获悉的属于保密的内容，甲、乙双方均负有保密义务。</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12.2其他</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十三、违约责任</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13.1甲方违约责任</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（1）甲方无正当理由拒绝乙方提供合格服务的，甲方应向乙方偿付所拒收合同总价________的违约金</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（2）甲方无故逾期验收和办理合同款项支付手续的,甲方应按逾期付款总额每日________向乙方支付违约金。</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（3）其他违约情形</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13.2乙方违约责任</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（2）乙方所履行的服务不符合合同规定及《采购文件》规定标准的，甲方有权拒绝，乙方愿意整改但逾期履行的，按乙方逾期履行处理。乙方拒绝整改的，视为“乙方不按合同约定履约”</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（3）乙方不按合同约定履约的，甲方可以解除采购合同，并对乙方已缴纳的履约保证金作“不予退还”处理。同时，乙方须按以下约定向甲方支付违约金：</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（4）其他违约情形</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十四、不可抗力事件处理</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十五、解决争议的方法</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12.1甲、乙双方协商解决。</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12.2若协商解决不成，则通过下列途径之一解决：</w:t>
      </w: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r>
        <w:rPr>
          <w:rFonts w:cs="Arial" w:asciiTheme="minorEastAsia" w:hAnsiTheme="minorEastAsia" w:eastAsiaTheme="minorEastAsia"/>
          <w:kern w:val="0"/>
          <w:sz w:val="24"/>
          <w:szCs w:val="24"/>
        </w:rPr>
        <w:t>□</w:t>
      </w:r>
      <w:r>
        <w:rPr>
          <w:rFonts w:asciiTheme="minorEastAsia" w:hAnsiTheme="minorEastAsia" w:eastAsiaTheme="minorEastAsia"/>
          <w:kern w:val="0"/>
          <w:sz w:val="24"/>
          <w:szCs w:val="24"/>
        </w:rPr>
        <w:t>提交仲裁委员会仲裁，具体如下：</w:t>
      </w:r>
    </w:p>
    <w:p>
      <w:pPr>
        <w:widowControl/>
        <w:spacing w:line="360" w:lineRule="exact"/>
        <w:jc w:val="left"/>
        <w:rPr>
          <w:rFonts w:asciiTheme="minorEastAsia" w:hAnsiTheme="minorEastAsia" w:eastAsiaTheme="minorEastAsia"/>
          <w:kern w:val="0"/>
          <w:sz w:val="24"/>
          <w:szCs w:val="24"/>
        </w:rPr>
      </w:pPr>
      <w:r>
        <w:rPr>
          <w:rFonts w:cs="Arial" w:asciiTheme="minorEastAsia" w:hAnsiTheme="minorEastAsia" w:eastAsiaTheme="minorEastAsia"/>
          <w:kern w:val="0"/>
          <w:sz w:val="24"/>
          <w:szCs w:val="24"/>
        </w:rPr>
        <w:t>□</w:t>
      </w:r>
      <w:r>
        <w:rPr>
          <w:rFonts w:asciiTheme="minorEastAsia" w:hAnsiTheme="minorEastAsia" w:eastAsiaTheme="minorEastAsia"/>
          <w:kern w:val="0"/>
          <w:sz w:val="24"/>
          <w:szCs w:val="24"/>
        </w:rPr>
        <w:t>向人民法院提起诉讼，具体如下：</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十六、合同其他条款</w:t>
      </w: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十七、其他约定</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17.1合同文件与本合同具有同等法律效力。</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17.2合同生效：合同经双方单位负责人或委托代理人签字并加盖单位公章后生效。</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17.3本合同未尽事宜，遵照《中华人民共和国民法典》有关条文执行。</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17.4本合同正本一式_______份，具有同等法律效力，甲方、乙方各执_______份；副本_______份，_______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17.5其他</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b/>
          <w:kern w:val="0"/>
          <w:sz w:val="24"/>
          <w:szCs w:val="24"/>
        </w:rPr>
        <w:t>十八、合同附件</w:t>
      </w: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甲方（采购人）：</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法定（授权）代表人：</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纳税人识别号：</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开户银行：</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账号：</w:t>
      </w: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乙方（中标或成交人）：</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法定（授权）代表人：</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纳税人识别号：</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开户银行：</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账号：</w:t>
      </w:r>
    </w:p>
    <w:p>
      <w:pPr>
        <w:widowControl/>
        <w:spacing w:line="360" w:lineRule="exact"/>
        <w:jc w:val="left"/>
        <w:rPr>
          <w:rFonts w:asciiTheme="minorEastAsia" w:hAnsiTheme="minorEastAsia" w:eastAsiaTheme="minorEastAsia"/>
          <w:kern w:val="0"/>
          <w:sz w:val="24"/>
          <w:szCs w:val="24"/>
        </w:rPr>
      </w:pP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签订地点：_____________</w:t>
      </w:r>
    </w:p>
    <w:p>
      <w:pPr>
        <w:widowControl/>
        <w:spacing w:line="360" w:lineRule="exact"/>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签订日期：____年___月___日</w:t>
      </w:r>
    </w:p>
    <w:p>
      <w:pPr>
        <w:spacing w:after="120"/>
        <w:ind w:firstLine="210"/>
      </w:pPr>
    </w:p>
    <w:p>
      <w:pPr>
        <w:spacing w:line="360" w:lineRule="auto"/>
        <w:ind w:firstLine="480" w:firstLineChars="200"/>
        <w:rPr>
          <w:rFonts w:ascii="宋体" w:hAnsi="宋体"/>
          <w:sz w:val="24"/>
        </w:rPr>
      </w:pPr>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bookmarkStart w:id="66" w:name="_Toc421107731"/>
      <w:bookmarkStart w:id="67" w:name="_Toc16545"/>
    </w:p>
    <w:bookmarkEnd w:id="66"/>
    <w:bookmarkEnd w:id="67"/>
    <w:p>
      <w:pPr>
        <w:pStyle w:val="48"/>
        <w:spacing w:before="75" w:beforeAutospacing="0" w:after="75" w:afterAutospacing="0" w:line="435" w:lineRule="atLeast"/>
        <w:jc w:val="center"/>
        <w:outlineLvl w:val="0"/>
        <w:rPr>
          <w:rFonts w:asciiTheme="minorEastAsia" w:hAnsiTheme="minorEastAsia" w:eastAsiaTheme="minorEastAsia"/>
          <w:sz w:val="22"/>
        </w:rPr>
      </w:pPr>
      <w:bookmarkStart w:id="68" w:name="_Toc15881"/>
      <w:bookmarkStart w:id="69" w:name="_Toc1142434"/>
      <w:bookmarkStart w:id="70" w:name="_Toc195709381"/>
      <w:r>
        <w:rPr>
          <w:rStyle w:val="55"/>
          <w:rFonts w:hint="eastAsia" w:asciiTheme="minorEastAsia" w:hAnsiTheme="minorEastAsia" w:eastAsiaTheme="minorEastAsia"/>
          <w:sz w:val="28"/>
          <w:szCs w:val="32"/>
        </w:rPr>
        <w:t>第五章投标文件格式</w:t>
      </w:r>
      <w:bookmarkEnd w:id="68"/>
      <w:bookmarkEnd w:id="69"/>
      <w:bookmarkEnd w:id="70"/>
    </w:p>
    <w:p>
      <w:pPr>
        <w:pStyle w:val="48"/>
        <w:spacing w:before="75" w:beforeAutospacing="0" w:after="75" w:afterAutospacing="0"/>
        <w:jc w:val="center"/>
        <w:rPr>
          <w:rFonts w:asciiTheme="minorEastAsia" w:hAnsiTheme="minorEastAsia" w:eastAsiaTheme="minorEastAsia"/>
        </w:rPr>
      </w:pPr>
      <w:r>
        <w:rPr>
          <w:rStyle w:val="55"/>
          <w:rFonts w:asciiTheme="minorEastAsia" w:hAnsiTheme="minorEastAsia" w:eastAsiaTheme="minorEastAsia"/>
        </w:rPr>
        <w:t> </w:t>
      </w:r>
    </w:p>
    <w:p>
      <w:pPr>
        <w:spacing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bCs/>
          <w:sz w:val="24"/>
          <w:szCs w:val="24"/>
        </w:rPr>
        <w:t>本附件所有格式仅供制作投标文件时参考，投标人应根据行业特点，结合本次采购设备（服务）的规格及技术参数要求，对有关表格进行补充或修改，但不得对实质性文件的相关条款作出变动。</w:t>
      </w:r>
    </w:p>
    <w:p>
      <w:pPr>
        <w:tabs>
          <w:tab w:val="left" w:pos="900"/>
        </w:tabs>
        <w:spacing w:line="360" w:lineRule="auto"/>
        <w:rPr>
          <w:rFonts w:asciiTheme="minorEastAsia" w:hAnsiTheme="minorEastAsia" w:eastAsiaTheme="minorEastAsia"/>
          <w:sz w:val="24"/>
          <w:szCs w:val="24"/>
        </w:rPr>
      </w:pPr>
    </w:p>
    <w:p>
      <w:pPr>
        <w:tabs>
          <w:tab w:val="left" w:pos="900"/>
        </w:tabs>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注</w:t>
      </w:r>
      <w:r>
        <w:rPr>
          <w:rFonts w:asciiTheme="minorEastAsia" w:hAnsiTheme="minorEastAsia" w:eastAsiaTheme="minorEastAsia"/>
          <w:b/>
          <w:sz w:val="24"/>
          <w:szCs w:val="24"/>
        </w:rPr>
        <w:t>:1</w:t>
      </w:r>
      <w:r>
        <w:rPr>
          <w:rFonts w:hint="eastAsia" w:asciiTheme="minorEastAsia" w:hAnsiTheme="minorEastAsia" w:eastAsiaTheme="minorEastAsia"/>
          <w:b/>
          <w:sz w:val="24"/>
          <w:szCs w:val="24"/>
        </w:rPr>
        <w:t>、本附件格式分第一册“报价部分格式”和第二册“技术商务部分格式”两册</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装订时要求第一册和第二册均须单独装订。</w:t>
      </w:r>
    </w:p>
    <w:p>
      <w:pPr>
        <w:jc w:val="center"/>
        <w:rPr>
          <w:rFonts w:asciiTheme="minorEastAsia" w:hAnsiTheme="minorEastAsia" w:eastAsiaTheme="minorEastAsia"/>
          <w:sz w:val="24"/>
          <w:szCs w:val="24"/>
        </w:rPr>
      </w:pPr>
      <w:r>
        <w:rPr>
          <w:rFonts w:asciiTheme="minorEastAsia" w:hAnsiTheme="minorEastAsia" w:eastAsiaTheme="minorEastAsia"/>
          <w:sz w:val="24"/>
          <w:szCs w:val="24"/>
        </w:rPr>
        <w:br w:type="page"/>
      </w:r>
    </w:p>
    <w:p>
      <w:pPr>
        <w:jc w:val="center"/>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p>
      <w:pPr>
        <w:jc w:val="center"/>
        <w:rPr>
          <w:rFonts w:asciiTheme="minorEastAsia" w:hAnsiTheme="minorEastAsia" w:eastAsiaTheme="minorEastAsia"/>
          <w:sz w:val="24"/>
          <w:szCs w:val="24"/>
        </w:rPr>
      </w:pPr>
    </w:p>
    <w:p>
      <w:pPr>
        <w:jc w:val="center"/>
        <w:rPr>
          <w:rFonts w:cs="宋体" w:asciiTheme="minorEastAsia" w:hAnsiTheme="minorEastAsia" w:eastAsiaTheme="minorEastAsia"/>
          <w:b/>
          <w:sz w:val="72"/>
          <w:szCs w:val="18"/>
        </w:rPr>
      </w:pPr>
      <w:r>
        <w:rPr>
          <w:rFonts w:hint="eastAsia" w:cs="宋体" w:asciiTheme="minorEastAsia" w:hAnsiTheme="minorEastAsia" w:eastAsiaTheme="minorEastAsia"/>
          <w:b/>
          <w:sz w:val="72"/>
          <w:szCs w:val="18"/>
        </w:rPr>
        <w:t>福州市鼓楼区华大街道外环境“四害”消杀服务项目</w:t>
      </w:r>
    </w:p>
    <w:p>
      <w:pPr>
        <w:spacing w:line="360" w:lineRule="auto"/>
        <w:jc w:val="center"/>
        <w:rPr>
          <w:rFonts w:asciiTheme="minorEastAsia" w:hAnsiTheme="minorEastAsia" w:eastAsiaTheme="minorEastAsia"/>
          <w:b/>
          <w:sz w:val="72"/>
          <w:szCs w:val="24"/>
        </w:rPr>
      </w:pPr>
    </w:p>
    <w:p>
      <w:pPr>
        <w:spacing w:line="360" w:lineRule="auto"/>
        <w:jc w:val="center"/>
        <w:rPr>
          <w:rFonts w:asciiTheme="minorEastAsia" w:hAnsiTheme="minorEastAsia" w:eastAsiaTheme="minorEastAsia"/>
          <w:b/>
          <w:sz w:val="72"/>
          <w:szCs w:val="24"/>
        </w:rPr>
      </w:pPr>
      <w:r>
        <w:rPr>
          <w:rFonts w:hint="eastAsia" w:asciiTheme="minorEastAsia" w:hAnsiTheme="minorEastAsia" w:eastAsiaTheme="minorEastAsia"/>
          <w:b/>
          <w:sz w:val="72"/>
          <w:szCs w:val="24"/>
        </w:rPr>
        <w:t>投标文件</w:t>
      </w:r>
    </w:p>
    <w:p>
      <w:pPr>
        <w:tabs>
          <w:tab w:val="left" w:pos="900"/>
        </w:tabs>
        <w:spacing w:line="360" w:lineRule="auto"/>
        <w:jc w:val="center"/>
        <w:rPr>
          <w:rFonts w:asciiTheme="minorEastAsia" w:hAnsiTheme="minorEastAsia" w:eastAsiaTheme="minorEastAsia"/>
          <w:sz w:val="52"/>
          <w:szCs w:val="52"/>
        </w:rPr>
      </w:pPr>
    </w:p>
    <w:p>
      <w:pPr>
        <w:tabs>
          <w:tab w:val="left" w:pos="900"/>
        </w:tabs>
        <w:spacing w:line="360" w:lineRule="auto"/>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（第一册报价部分）</w:t>
      </w:r>
    </w:p>
    <w:p>
      <w:pPr>
        <w:tabs>
          <w:tab w:val="left" w:pos="900"/>
        </w:tabs>
        <w:spacing w:line="360" w:lineRule="auto"/>
        <w:rPr>
          <w:rFonts w:asciiTheme="minorEastAsia" w:hAnsiTheme="minorEastAsia" w:eastAsiaTheme="minorEastAsia"/>
          <w:szCs w:val="21"/>
        </w:rPr>
      </w:pPr>
    </w:p>
    <w:p>
      <w:pPr>
        <w:tabs>
          <w:tab w:val="left" w:pos="900"/>
        </w:tabs>
        <w:spacing w:line="360" w:lineRule="auto"/>
        <w:ind w:firstLine="2341" w:firstLineChars="648"/>
        <w:rPr>
          <w:rFonts w:asciiTheme="minorEastAsia" w:hAnsiTheme="minorEastAsia" w:eastAsiaTheme="minorEastAsia"/>
          <w:b/>
          <w:sz w:val="36"/>
          <w:szCs w:val="36"/>
        </w:rPr>
      </w:pPr>
      <w:r>
        <w:rPr>
          <w:rFonts w:hint="eastAsia" w:asciiTheme="minorEastAsia" w:hAnsiTheme="minorEastAsia" w:eastAsiaTheme="minorEastAsia"/>
          <w:b/>
          <w:sz w:val="36"/>
          <w:szCs w:val="36"/>
        </w:rPr>
        <w:t>项目名称：</w:t>
      </w:r>
    </w:p>
    <w:p>
      <w:pPr>
        <w:tabs>
          <w:tab w:val="left" w:pos="900"/>
        </w:tabs>
        <w:spacing w:line="360" w:lineRule="auto"/>
        <w:ind w:firstLine="2341" w:firstLineChars="648"/>
        <w:rPr>
          <w:rFonts w:asciiTheme="minorEastAsia" w:hAnsiTheme="minorEastAsia" w:eastAsiaTheme="minorEastAsia"/>
          <w:b/>
          <w:sz w:val="36"/>
          <w:szCs w:val="36"/>
        </w:rPr>
      </w:pPr>
      <w:r>
        <w:rPr>
          <w:rFonts w:hint="eastAsia" w:asciiTheme="minorEastAsia" w:hAnsiTheme="minorEastAsia" w:eastAsiaTheme="minorEastAsia"/>
          <w:b/>
          <w:sz w:val="36"/>
          <w:szCs w:val="36"/>
        </w:rPr>
        <w:t>招标编号：</w:t>
      </w:r>
    </w:p>
    <w:p>
      <w:pPr>
        <w:tabs>
          <w:tab w:val="left" w:pos="900"/>
        </w:tabs>
        <w:spacing w:line="360" w:lineRule="auto"/>
        <w:ind w:firstLine="2341" w:firstLineChars="648"/>
        <w:rPr>
          <w:rFonts w:asciiTheme="minorEastAsia" w:hAnsiTheme="minorEastAsia" w:eastAsiaTheme="minorEastAsia"/>
          <w:b/>
          <w:sz w:val="36"/>
          <w:szCs w:val="36"/>
        </w:rPr>
      </w:pPr>
    </w:p>
    <w:p>
      <w:pPr>
        <w:tabs>
          <w:tab w:val="left" w:pos="900"/>
        </w:tabs>
        <w:spacing w:line="360" w:lineRule="auto"/>
        <w:ind w:firstLine="2341" w:firstLineChars="648"/>
        <w:rPr>
          <w:rFonts w:asciiTheme="minorEastAsia" w:hAnsiTheme="minorEastAsia" w:eastAsiaTheme="minorEastAsia"/>
          <w:b/>
          <w:sz w:val="36"/>
          <w:szCs w:val="36"/>
          <w:u w:val="single"/>
        </w:rPr>
      </w:pPr>
      <w:r>
        <w:rPr>
          <w:rFonts w:hint="eastAsia" w:asciiTheme="minorEastAsia" w:hAnsiTheme="minorEastAsia" w:eastAsiaTheme="minorEastAsia"/>
          <w:b/>
          <w:sz w:val="36"/>
          <w:szCs w:val="36"/>
        </w:rPr>
        <w:t>所投合同包：</w:t>
      </w:r>
    </w:p>
    <w:p>
      <w:pPr>
        <w:tabs>
          <w:tab w:val="left" w:pos="900"/>
        </w:tabs>
        <w:spacing w:line="360" w:lineRule="auto"/>
        <w:ind w:firstLine="2341" w:firstLineChars="648"/>
        <w:rPr>
          <w:rFonts w:asciiTheme="minorEastAsia" w:hAnsiTheme="minorEastAsia" w:eastAsiaTheme="minorEastAsia"/>
          <w:b/>
          <w:sz w:val="36"/>
          <w:szCs w:val="36"/>
        </w:rPr>
      </w:pPr>
    </w:p>
    <w:p>
      <w:pPr>
        <w:tabs>
          <w:tab w:val="left" w:pos="900"/>
          <w:tab w:val="left" w:pos="6840"/>
        </w:tabs>
        <w:spacing w:line="360" w:lineRule="auto"/>
        <w:ind w:firstLine="2341" w:firstLineChars="648"/>
        <w:rPr>
          <w:rFonts w:asciiTheme="minorEastAsia" w:hAnsiTheme="minorEastAsia" w:eastAsiaTheme="minorEastAsia"/>
          <w:b/>
          <w:sz w:val="36"/>
          <w:szCs w:val="36"/>
          <w:u w:val="single"/>
        </w:rPr>
      </w:pPr>
      <w:r>
        <w:rPr>
          <w:rFonts w:hint="eastAsia" w:asciiTheme="minorEastAsia" w:hAnsiTheme="minorEastAsia" w:eastAsiaTheme="minorEastAsia"/>
          <w:b/>
          <w:sz w:val="36"/>
          <w:szCs w:val="36"/>
        </w:rPr>
        <w:t>投标人名称：</w:t>
      </w:r>
    </w:p>
    <w:p>
      <w:pPr>
        <w:tabs>
          <w:tab w:val="left" w:pos="900"/>
        </w:tabs>
        <w:spacing w:line="360" w:lineRule="auto"/>
        <w:ind w:firstLine="2341" w:firstLineChars="648"/>
        <w:rPr>
          <w:rFonts w:asciiTheme="minorEastAsia" w:hAnsiTheme="minorEastAsia" w:eastAsiaTheme="minorEastAsia"/>
          <w:b/>
          <w:sz w:val="36"/>
          <w:szCs w:val="36"/>
        </w:rPr>
      </w:pPr>
      <w:r>
        <w:rPr>
          <w:rFonts w:hint="eastAsia" w:asciiTheme="minorEastAsia" w:hAnsiTheme="minorEastAsia" w:eastAsiaTheme="minorEastAsia"/>
          <w:b/>
          <w:sz w:val="36"/>
          <w:szCs w:val="36"/>
        </w:rPr>
        <w:t>地址：</w:t>
      </w:r>
    </w:p>
    <w:p>
      <w:pPr>
        <w:tabs>
          <w:tab w:val="left" w:pos="900"/>
        </w:tabs>
        <w:spacing w:line="360" w:lineRule="auto"/>
        <w:ind w:firstLine="2341" w:firstLineChars="648"/>
        <w:rPr>
          <w:rFonts w:asciiTheme="minorEastAsia" w:hAnsiTheme="minorEastAsia" w:eastAsiaTheme="minorEastAsia"/>
          <w:b/>
          <w:sz w:val="36"/>
          <w:szCs w:val="36"/>
        </w:rPr>
      </w:pPr>
      <w:r>
        <w:rPr>
          <w:rFonts w:hint="eastAsia" w:asciiTheme="minorEastAsia" w:hAnsiTheme="minorEastAsia" w:eastAsiaTheme="minorEastAsia"/>
          <w:b/>
          <w:sz w:val="36"/>
          <w:szCs w:val="36"/>
        </w:rPr>
        <w:t>日期：</w:t>
      </w:r>
    </w:p>
    <w:p>
      <w:pPr>
        <w:tabs>
          <w:tab w:val="left" w:pos="900"/>
        </w:tabs>
        <w:spacing w:line="360" w:lineRule="auto"/>
        <w:ind w:firstLine="2341" w:firstLineChars="648"/>
        <w:rPr>
          <w:rFonts w:asciiTheme="minorEastAsia" w:hAnsiTheme="minorEastAsia" w:eastAsiaTheme="minorEastAsia"/>
          <w:b/>
          <w:sz w:val="36"/>
          <w:szCs w:val="36"/>
        </w:rPr>
      </w:pPr>
    </w:p>
    <w:p>
      <w:pPr>
        <w:tabs>
          <w:tab w:val="left" w:pos="900"/>
        </w:tabs>
        <w:spacing w:line="360" w:lineRule="auto"/>
        <w:ind w:firstLine="2341" w:firstLineChars="648"/>
        <w:rPr>
          <w:rFonts w:asciiTheme="minorEastAsia" w:hAnsiTheme="minorEastAsia" w:eastAsiaTheme="minorEastAsia"/>
          <w:b/>
          <w:sz w:val="36"/>
          <w:szCs w:val="36"/>
        </w:rPr>
      </w:pPr>
    </w:p>
    <w:p>
      <w:pPr>
        <w:tabs>
          <w:tab w:val="left" w:pos="900"/>
        </w:tabs>
        <w:spacing w:line="360" w:lineRule="auto"/>
        <w:jc w:val="center"/>
        <w:rPr>
          <w:rFonts w:asciiTheme="minorEastAsia" w:hAnsiTheme="minorEastAsia" w:eastAsiaTheme="minorEastAsia"/>
          <w:b/>
          <w:sz w:val="32"/>
          <w:szCs w:val="36"/>
        </w:rPr>
      </w:pPr>
      <w:r>
        <w:rPr>
          <w:rFonts w:hint="eastAsia" w:asciiTheme="minorEastAsia" w:hAnsiTheme="minorEastAsia" w:eastAsiaTheme="minorEastAsia"/>
          <w:b/>
          <w:sz w:val="32"/>
          <w:szCs w:val="36"/>
        </w:rPr>
        <w:t>报价标目录</w:t>
      </w:r>
    </w:p>
    <w:p>
      <w:pPr>
        <w:tabs>
          <w:tab w:val="left" w:pos="900"/>
        </w:tabs>
        <w:spacing w:line="360" w:lineRule="auto"/>
        <w:ind w:left="1260"/>
        <w:rPr>
          <w:rFonts w:asciiTheme="minorEastAsia" w:hAnsiTheme="minorEastAsia" w:eastAsiaTheme="minorEastAsia"/>
          <w:b/>
          <w:sz w:val="36"/>
          <w:szCs w:val="36"/>
        </w:rPr>
      </w:pPr>
    </w:p>
    <w:p>
      <w:pPr>
        <w:tabs>
          <w:tab w:val="left" w:pos="900"/>
        </w:tabs>
        <w:spacing w:line="360" w:lineRule="auto"/>
        <w:ind w:left="12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一、开标一览表</w:t>
      </w:r>
    </w:p>
    <w:p>
      <w:pPr>
        <w:tabs>
          <w:tab w:val="left" w:pos="900"/>
        </w:tabs>
        <w:spacing w:line="360" w:lineRule="auto"/>
        <w:ind w:left="12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二、投标分项报价表</w:t>
      </w:r>
    </w:p>
    <w:p>
      <w:pPr>
        <w:tabs>
          <w:tab w:val="left" w:pos="900"/>
        </w:tabs>
        <w:spacing w:line="360" w:lineRule="auto"/>
        <w:ind w:left="12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三、招标文件规定的价格扣除证明材料（若有）</w:t>
      </w:r>
    </w:p>
    <w:p>
      <w:pPr>
        <w:tabs>
          <w:tab w:val="left" w:pos="900"/>
        </w:tabs>
        <w:spacing w:line="360" w:lineRule="auto"/>
        <w:ind w:left="12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四、招标文件规定的加分证明材料（若有）</w:t>
      </w:r>
    </w:p>
    <w:p>
      <w:pPr>
        <w:pStyle w:val="2"/>
        <w:ind w:firstLine="210"/>
      </w:pPr>
    </w:p>
    <w:p>
      <w:pPr>
        <w:pStyle w:val="2"/>
        <w:ind w:firstLine="210"/>
      </w:pPr>
    </w:p>
    <w:p>
      <w:pPr>
        <w:tabs>
          <w:tab w:val="left" w:pos="900"/>
        </w:tabs>
        <w:spacing w:line="360" w:lineRule="auto"/>
        <w:ind w:firstLine="2642" w:firstLineChars="940"/>
        <w:rPr>
          <w:rFonts w:asciiTheme="minorEastAsia" w:hAnsiTheme="minorEastAsia" w:eastAsiaTheme="minorEastAsia"/>
          <w:b/>
          <w:sz w:val="28"/>
          <w:szCs w:val="28"/>
        </w:rPr>
      </w:pPr>
    </w:p>
    <w:p>
      <w:pPr>
        <w:tabs>
          <w:tab w:val="left" w:pos="900"/>
        </w:tabs>
        <w:spacing w:line="360" w:lineRule="auto"/>
        <w:jc w:val="center"/>
        <w:rPr>
          <w:rFonts w:asciiTheme="minorEastAsia" w:hAnsiTheme="minorEastAsia" w:eastAsiaTheme="minorEastAsia"/>
          <w:b/>
          <w:sz w:val="48"/>
          <w:szCs w:val="48"/>
        </w:rPr>
      </w:pPr>
    </w:p>
    <w:p>
      <w:pPr>
        <w:widowControl/>
        <w:spacing w:after="150"/>
        <w:jc w:val="center"/>
        <w:rPr>
          <w:rFonts w:cs="宋体" w:asciiTheme="minorEastAsia" w:hAnsiTheme="minorEastAsia" w:eastAsiaTheme="minorEastAsia"/>
          <w:kern w:val="0"/>
          <w:sz w:val="24"/>
          <w:szCs w:val="24"/>
        </w:rPr>
      </w:pPr>
      <w:r>
        <w:rPr>
          <w:rFonts w:asciiTheme="minorEastAsia" w:hAnsiTheme="minorEastAsia" w:eastAsiaTheme="minorEastAsia"/>
          <w:b/>
          <w:bCs/>
          <w:sz w:val="48"/>
          <w:szCs w:val="48"/>
        </w:rPr>
        <w:br w:type="page"/>
      </w:r>
      <w:r>
        <w:rPr>
          <w:rFonts w:hint="eastAsia" w:cs="宋体" w:asciiTheme="minorEastAsia" w:hAnsiTheme="minorEastAsia" w:eastAsiaTheme="minorEastAsia"/>
          <w:b/>
          <w:bCs/>
          <w:kern w:val="0"/>
          <w:szCs w:val="21"/>
        </w:rPr>
        <w:t>一、开标一览表</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招标编号：</w:t>
      </w:r>
      <w:r>
        <w:rPr>
          <w:rFonts w:cs="宋体" w:asciiTheme="minorEastAsia" w:hAnsiTheme="minorEastAsia" w:eastAsiaTheme="minorEastAsia"/>
          <w:kern w:val="0"/>
          <w:szCs w:val="21"/>
          <w:u w:val="single"/>
        </w:rPr>
        <w:t>                   </w:t>
      </w:r>
    </w:p>
    <w:p>
      <w:pPr>
        <w:widowControl/>
        <w:spacing w:after="150"/>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货币及单位：人民币元</w:t>
      </w:r>
    </w:p>
    <w:tbl>
      <w:tblPr>
        <w:tblStyle w:val="52"/>
        <w:tblW w:w="0" w:type="auto"/>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1246"/>
        <w:gridCol w:w="4387"/>
        <w:gridCol w:w="1135"/>
        <w:gridCol w:w="3188"/>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4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合同包</w:t>
            </w:r>
          </w:p>
        </w:tc>
        <w:tc>
          <w:tcPr>
            <w:tcW w:w="438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投标报价</w:t>
            </w:r>
          </w:p>
        </w:tc>
        <w:tc>
          <w:tcPr>
            <w:tcW w:w="113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投标</w:t>
            </w: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保证金</w:t>
            </w:r>
          </w:p>
        </w:tc>
        <w:tc>
          <w:tcPr>
            <w:tcW w:w="318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852" w:hRule="atLeast"/>
        </w:trPr>
        <w:tc>
          <w:tcPr>
            <w:tcW w:w="124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w:t>
            </w:r>
          </w:p>
        </w:tc>
        <w:tc>
          <w:tcPr>
            <w:tcW w:w="438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投标总价（大写金额）：</w:t>
            </w:r>
            <w:r>
              <w:rPr>
                <w:rFonts w:cs="宋体" w:asciiTheme="minorEastAsia" w:hAnsiTheme="minorEastAsia" w:eastAsiaTheme="minorEastAsia"/>
                <w:kern w:val="0"/>
                <w:szCs w:val="21"/>
                <w:u w:val="single"/>
              </w:rPr>
              <w:t>        </w:t>
            </w:r>
            <w:r>
              <w:rPr>
                <w:rFonts w:hint="eastAsia" w:cs="宋体" w:asciiTheme="minorEastAsia" w:hAnsiTheme="minorEastAsia" w:eastAsiaTheme="minorEastAsia"/>
                <w:kern w:val="0"/>
                <w:szCs w:val="21"/>
              </w:rPr>
              <w:t>。</w:t>
            </w:r>
          </w:p>
        </w:tc>
        <w:tc>
          <w:tcPr>
            <w:tcW w:w="1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3188"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a.</w:t>
            </w:r>
            <w:r>
              <w:rPr>
                <w:rFonts w:hint="eastAsia" w:cs="宋体" w:asciiTheme="minorEastAsia" w:hAnsiTheme="minorEastAsia" w:eastAsiaTheme="minorEastAsia"/>
                <w:kern w:val="0"/>
                <w:szCs w:val="21"/>
              </w:rPr>
              <w:t>投标报价的明细：详见《投标分项报价表》。</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b.</w:t>
            </w:r>
            <w:r>
              <w:rPr>
                <w:rFonts w:hint="eastAsia" w:cs="宋体" w:asciiTheme="minorEastAsia" w:hAnsiTheme="minorEastAsia" w:eastAsiaTheme="minorEastAsia"/>
                <w:kern w:val="0"/>
                <w:szCs w:val="21"/>
              </w:rPr>
              <w:t>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124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w:t>
            </w:r>
          </w:p>
        </w:tc>
        <w:tc>
          <w:tcPr>
            <w:tcW w:w="438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投标总价（大写金额）：</w:t>
            </w:r>
            <w:r>
              <w:rPr>
                <w:rFonts w:cs="宋体" w:asciiTheme="minorEastAsia" w:hAnsiTheme="minorEastAsia" w:eastAsiaTheme="minorEastAsia"/>
                <w:kern w:val="0"/>
                <w:szCs w:val="21"/>
                <w:u w:val="single"/>
              </w:rPr>
              <w:t>        </w:t>
            </w:r>
            <w:r>
              <w:rPr>
                <w:rFonts w:hint="eastAsia" w:cs="宋体" w:asciiTheme="minorEastAsia" w:hAnsiTheme="minorEastAsia" w:eastAsiaTheme="minorEastAsia"/>
                <w:kern w:val="0"/>
                <w:szCs w:val="21"/>
              </w:rPr>
              <w:t>。</w:t>
            </w:r>
          </w:p>
        </w:tc>
        <w:tc>
          <w:tcPr>
            <w:tcW w:w="11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3188" w:type="dxa"/>
            <w:vMerge w:val="continue"/>
            <w:tcBorders>
              <w:top w:val="nil"/>
              <w:left w:val="nil"/>
              <w:bottom w:val="single" w:color="auto" w:sz="6" w:space="0"/>
              <w:right w:val="single" w:color="auto" w:sz="6" w:space="0"/>
            </w:tcBorders>
            <w:vAlign w:val="center"/>
          </w:tcPr>
          <w:p>
            <w:pPr>
              <w:widowControl/>
              <w:jc w:val="left"/>
              <w:rPr>
                <w:rFonts w:cs="宋体" w:asciiTheme="minorEastAsia" w:hAnsiTheme="minorEastAsia" w:eastAsiaTheme="minorEastAsia"/>
                <w:kern w:val="0"/>
                <w:sz w:val="24"/>
                <w:szCs w:val="24"/>
              </w:rPr>
            </w:pPr>
          </w:p>
        </w:tc>
      </w:tr>
    </w:tbl>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、本表应按照下列规定填写：</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1.1</w:t>
      </w:r>
      <w:r>
        <w:rPr>
          <w:rFonts w:hint="eastAsia" w:cs="宋体" w:asciiTheme="minorEastAsia" w:hAnsiTheme="minorEastAsia" w:eastAsiaTheme="minorEastAsia"/>
          <w:kern w:val="0"/>
          <w:szCs w:val="21"/>
        </w:rPr>
        <w:t>投标人应按照本表格式填写所投的合同包的“投标报价”。</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1.2</w:t>
      </w:r>
      <w:r>
        <w:rPr>
          <w:rFonts w:hint="eastAsia" w:cs="宋体" w:asciiTheme="minorEastAsia" w:hAnsiTheme="minorEastAsia" w:eastAsiaTheme="minorEastAsia"/>
          <w:kern w:val="0"/>
          <w:szCs w:val="21"/>
        </w:rPr>
        <w:t>本表中列示的“合同包”应与《投标分项报价表》中列示的“合同包”保持一致，即：若本表中列示的“合同包”为“</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”时，《投标分项报价表》中列示的“合同包”亦应为“</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”，以此类推。</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1.3</w:t>
      </w:r>
      <w:r>
        <w:rPr>
          <w:rFonts w:hint="eastAsia" w:cs="宋体" w:asciiTheme="minorEastAsia" w:hAnsiTheme="minorEastAsia" w:eastAsiaTheme="minorEastAsia"/>
          <w:kern w:val="0"/>
          <w:szCs w:val="21"/>
        </w:rPr>
        <w:t>“大写金额”指“投标报价”应用“壹、贰、叁、肆、伍、陆、柒、捌、玖、拾、佰、仟、万、亿、元、角、分、零”等进行填写。</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、纸质投标文件正本中的本表应为原件。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投标人：</w:t>
      </w:r>
      <w:r>
        <w:rPr>
          <w:rFonts w:hint="eastAsia" w:cs="宋体" w:asciiTheme="minorEastAsia" w:hAnsiTheme="minorEastAsia" w:eastAsiaTheme="minorEastAsia"/>
          <w:kern w:val="0"/>
          <w:szCs w:val="21"/>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投标人代表签字：</w:t>
      </w:r>
      <w:r>
        <w:rPr>
          <w:rFonts w:cs="宋体" w:asciiTheme="minorEastAsia" w:hAnsiTheme="minorEastAsia" w:eastAsiaTheme="minorEastAsia"/>
          <w:kern w:val="0"/>
          <w:szCs w:val="21"/>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日期：</w:t>
      </w:r>
      <w:r>
        <w:rPr>
          <w:rFonts w:cs="宋体" w:asciiTheme="minorEastAsia" w:hAnsiTheme="minorEastAsia" w:eastAsiaTheme="minorEastAsia"/>
          <w:kern w:val="0"/>
          <w:szCs w:val="21"/>
          <w:u w:val="single"/>
        </w:rPr>
        <w:t>    </w:t>
      </w:r>
      <w:r>
        <w:rPr>
          <w:rFonts w:hint="eastAsia" w:cs="宋体" w:asciiTheme="minorEastAsia" w:hAnsiTheme="minorEastAsia" w:eastAsiaTheme="minorEastAsia"/>
          <w:kern w:val="0"/>
          <w:szCs w:val="21"/>
        </w:rPr>
        <w:t>年</w:t>
      </w:r>
      <w:r>
        <w:rPr>
          <w:rFonts w:cs="宋体" w:asciiTheme="minorEastAsia" w:hAnsiTheme="minorEastAsia" w:eastAsiaTheme="minorEastAsia"/>
          <w:kern w:val="0"/>
          <w:szCs w:val="21"/>
          <w:u w:val="single"/>
        </w:rPr>
        <w:t>   </w:t>
      </w:r>
      <w:r>
        <w:rPr>
          <w:rFonts w:hint="eastAsia" w:cs="宋体" w:asciiTheme="minorEastAsia" w:hAnsiTheme="minorEastAsia" w:eastAsiaTheme="minorEastAsia"/>
          <w:kern w:val="0"/>
          <w:szCs w:val="21"/>
        </w:rPr>
        <w:t>月</w:t>
      </w:r>
      <w:r>
        <w:rPr>
          <w:rFonts w:cs="宋体" w:asciiTheme="minorEastAsia" w:hAnsiTheme="minorEastAsia" w:eastAsiaTheme="minorEastAsia"/>
          <w:kern w:val="0"/>
          <w:szCs w:val="21"/>
          <w:u w:val="single"/>
        </w:rPr>
        <w:t>   </w:t>
      </w:r>
      <w:r>
        <w:rPr>
          <w:rFonts w:hint="eastAsia" w:cs="宋体" w:asciiTheme="minorEastAsia" w:hAnsiTheme="minorEastAsia" w:eastAsiaTheme="minorEastAsia"/>
          <w:kern w:val="0"/>
          <w:szCs w:val="21"/>
        </w:rPr>
        <w:t>日</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 </w:t>
      </w:r>
    </w:p>
    <w:p>
      <w:pPr>
        <w:widowControl/>
        <w:spacing w:after="150"/>
        <w:jc w:val="center"/>
        <w:rPr>
          <w:rFonts w:cs="宋体" w:asciiTheme="minorEastAsia" w:hAnsiTheme="minorEastAsia" w:eastAsiaTheme="minorEastAsia"/>
          <w:b/>
          <w:bCs/>
          <w:kern w:val="0"/>
          <w:szCs w:val="21"/>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Cs w:val="21"/>
        </w:rPr>
        <w:t>二、投标分项报价表</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招标编号：</w:t>
      </w:r>
      <w:r>
        <w:rPr>
          <w:rFonts w:cs="宋体" w:asciiTheme="minorEastAsia" w:hAnsiTheme="minorEastAsia" w:eastAsiaTheme="minorEastAsia"/>
          <w:kern w:val="0"/>
          <w:szCs w:val="21"/>
          <w:u w:val="single"/>
        </w:rPr>
        <w:t>                   </w:t>
      </w:r>
    </w:p>
    <w:p>
      <w:pPr>
        <w:widowControl/>
        <w:spacing w:after="150"/>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货币及单位：人民币元</w:t>
      </w:r>
    </w:p>
    <w:tbl>
      <w:tblPr>
        <w:tblStyle w:val="52"/>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492"/>
        <w:gridCol w:w="1119"/>
        <w:gridCol w:w="1818"/>
        <w:gridCol w:w="1486"/>
        <w:gridCol w:w="998"/>
        <w:gridCol w:w="1155"/>
        <w:gridCol w:w="665"/>
        <w:gridCol w:w="1277"/>
        <w:gridCol w:w="94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247"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合同包</w:t>
            </w:r>
          </w:p>
        </w:tc>
        <w:tc>
          <w:tcPr>
            <w:tcW w:w="562"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品目号</w:t>
            </w:r>
          </w:p>
        </w:tc>
        <w:tc>
          <w:tcPr>
            <w:tcW w:w="913"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投标标的</w:t>
            </w:r>
          </w:p>
        </w:tc>
        <w:tc>
          <w:tcPr>
            <w:tcW w:w="746"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规格</w:t>
            </w:r>
          </w:p>
        </w:tc>
        <w:tc>
          <w:tcPr>
            <w:tcW w:w="501"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来源地</w:t>
            </w:r>
          </w:p>
        </w:tc>
        <w:tc>
          <w:tcPr>
            <w:tcW w:w="580"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单价</w:t>
            </w: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（现场）</w:t>
            </w:r>
          </w:p>
        </w:tc>
        <w:tc>
          <w:tcPr>
            <w:tcW w:w="334"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数量</w:t>
            </w:r>
          </w:p>
        </w:tc>
        <w:tc>
          <w:tcPr>
            <w:tcW w:w="641"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总价</w:t>
            </w: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（现场）</w:t>
            </w:r>
          </w:p>
        </w:tc>
        <w:tc>
          <w:tcPr>
            <w:tcW w:w="475"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备注</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247" w:type="pct"/>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w:t>
            </w:r>
          </w:p>
        </w:tc>
        <w:tc>
          <w:tcPr>
            <w:tcW w:w="56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*-1</w:t>
            </w:r>
          </w:p>
        </w:tc>
        <w:tc>
          <w:tcPr>
            <w:tcW w:w="91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746"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501"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580"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334"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641"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475"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247" w:type="pct"/>
            <w:vMerge w:val="continue"/>
            <w:tcBorders>
              <w:top w:val="nil"/>
              <w:left w:val="single" w:color="auto" w:sz="6"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 w:val="24"/>
                <w:szCs w:val="24"/>
              </w:rPr>
            </w:pPr>
          </w:p>
        </w:tc>
        <w:tc>
          <w:tcPr>
            <w:tcW w:w="56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91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746"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501"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580"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334"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641"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475"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247"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w:t>
            </w:r>
          </w:p>
        </w:tc>
        <w:tc>
          <w:tcPr>
            <w:tcW w:w="56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91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746"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501"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580"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334"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641"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475"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r>
    </w:tbl>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、本表应按照下列规定填写：</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1.1</w:t>
      </w:r>
      <w:r>
        <w:rPr>
          <w:rFonts w:hint="eastAsia" w:cs="宋体" w:asciiTheme="minorEastAsia" w:hAnsiTheme="minorEastAsia" w:eastAsiaTheme="minorEastAsia"/>
          <w:kern w:val="0"/>
          <w:szCs w:val="21"/>
        </w:rPr>
        <w:t>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”时，本表中列示的“合同包”亦应为“</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”，以此类推。</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1.2</w:t>
      </w:r>
      <w:r>
        <w:rPr>
          <w:rFonts w:hint="eastAsia" w:cs="宋体" w:asciiTheme="minorEastAsia" w:hAnsiTheme="minorEastAsia" w:eastAsiaTheme="minorEastAsia"/>
          <w:kern w:val="0"/>
          <w:szCs w:val="21"/>
        </w:rPr>
        <w:t>“投标标的”为货物的：</w:t>
      </w:r>
      <w:r>
        <w:rPr>
          <w:rFonts w:hint="eastAsia" w:cs="宋体" w:asciiTheme="minorEastAsia" w:hAnsiTheme="minorEastAsia" w:eastAsiaTheme="minorEastAsia"/>
          <w:b/>
          <w:bCs/>
          <w:kern w:val="0"/>
          <w:szCs w:val="21"/>
        </w:rPr>
        <w:t>“规格”</w:t>
      </w:r>
      <w:r>
        <w:rPr>
          <w:rFonts w:hint="eastAsia" w:cs="宋体" w:asciiTheme="minorEastAsia" w:hAnsiTheme="minorEastAsia" w:eastAsiaTheme="minorEastAsia"/>
          <w:kern w:val="0"/>
          <w:szCs w:val="21"/>
        </w:rPr>
        <w:t>项下应填写货物制造厂商赋予的品牌（属于节能、环保清单产品的货物，填写的品牌名称应与清单载明的品牌名称保持一致）及具体型号。</w:t>
      </w:r>
      <w:r>
        <w:rPr>
          <w:rFonts w:hint="eastAsia" w:cs="宋体" w:asciiTheme="minorEastAsia" w:hAnsiTheme="minorEastAsia" w:eastAsiaTheme="minorEastAsia"/>
          <w:b/>
          <w:bCs/>
          <w:kern w:val="0"/>
          <w:szCs w:val="21"/>
        </w:rPr>
        <w:t>“来源地”</w:t>
      </w:r>
      <w:r>
        <w:rPr>
          <w:rFonts w:hint="eastAsia" w:cs="宋体" w:asciiTheme="minorEastAsia" w:hAnsiTheme="minorEastAsia" w:eastAsiaTheme="minorEastAsia"/>
          <w:kern w:val="0"/>
          <w:szCs w:val="21"/>
        </w:rPr>
        <w:t>应填写货物的原产地。</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1.3</w:t>
      </w:r>
      <w:r>
        <w:rPr>
          <w:rFonts w:hint="eastAsia" w:cs="宋体" w:asciiTheme="minorEastAsia" w:hAnsiTheme="minorEastAsia" w:eastAsiaTheme="minorEastAsia"/>
          <w:kern w:val="0"/>
          <w:szCs w:val="21"/>
        </w:rPr>
        <w:t>“投标标的”为服务的：</w:t>
      </w:r>
      <w:r>
        <w:rPr>
          <w:rFonts w:hint="eastAsia" w:cs="宋体" w:asciiTheme="minorEastAsia" w:hAnsiTheme="minorEastAsia" w:eastAsiaTheme="minorEastAsia"/>
          <w:b/>
          <w:bCs/>
          <w:kern w:val="0"/>
          <w:szCs w:val="21"/>
        </w:rPr>
        <w:t>“规格”</w:t>
      </w:r>
      <w:r>
        <w:rPr>
          <w:rFonts w:hint="eastAsia" w:cs="宋体" w:asciiTheme="minorEastAsia" w:hAnsiTheme="minorEastAsia" w:eastAsiaTheme="minorEastAsia"/>
          <w:kern w:val="0"/>
          <w:szCs w:val="21"/>
        </w:rPr>
        <w:t>项下应填写服务提供者提供的服务标准及品牌（若有）。</w:t>
      </w:r>
      <w:r>
        <w:rPr>
          <w:rFonts w:hint="eastAsia" w:cs="宋体" w:asciiTheme="minorEastAsia" w:hAnsiTheme="minorEastAsia" w:eastAsiaTheme="minorEastAsia"/>
          <w:b/>
          <w:bCs/>
          <w:kern w:val="0"/>
          <w:szCs w:val="21"/>
        </w:rPr>
        <w:t>“来源地”</w:t>
      </w:r>
      <w:r>
        <w:rPr>
          <w:rFonts w:hint="eastAsia" w:cs="宋体" w:asciiTheme="minorEastAsia" w:hAnsiTheme="minorEastAsia" w:eastAsiaTheme="minorEastAsia"/>
          <w:kern w:val="0"/>
          <w:szCs w:val="21"/>
        </w:rPr>
        <w:t>应填写服务提供者的所在地。</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1.4</w:t>
      </w:r>
      <w:r>
        <w:rPr>
          <w:rFonts w:hint="eastAsia" w:cs="宋体" w:asciiTheme="minorEastAsia" w:hAnsiTheme="minorEastAsia" w:eastAsiaTheme="minorEastAsia"/>
          <w:kern w:val="0"/>
          <w:szCs w:val="21"/>
        </w:rPr>
        <w:t>同一合同包中，</w:t>
      </w:r>
      <w:r>
        <w:rPr>
          <w:rFonts w:hint="eastAsia" w:cs="宋体" w:asciiTheme="minorEastAsia" w:hAnsiTheme="minorEastAsia" w:eastAsiaTheme="minorEastAsia"/>
          <w:b/>
          <w:bCs/>
          <w:kern w:val="0"/>
          <w:szCs w:val="21"/>
        </w:rPr>
        <w:t>“单价（现场）”</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b/>
          <w:bCs/>
          <w:kern w:val="0"/>
          <w:szCs w:val="21"/>
        </w:rPr>
        <w:t>“数量”</w:t>
      </w:r>
      <w:r>
        <w:rPr>
          <w:rFonts w:cs="宋体" w:asciiTheme="minorEastAsia" w:hAnsiTheme="minorEastAsia" w:eastAsiaTheme="minorEastAsia"/>
          <w:kern w:val="0"/>
          <w:szCs w:val="21"/>
        </w:rPr>
        <w:t>=</w:t>
      </w:r>
      <w:r>
        <w:rPr>
          <w:rFonts w:hint="eastAsia" w:cs="宋体" w:asciiTheme="minorEastAsia" w:hAnsiTheme="minorEastAsia" w:eastAsiaTheme="minorEastAsia"/>
          <w:b/>
          <w:bCs/>
          <w:kern w:val="0"/>
          <w:szCs w:val="21"/>
        </w:rPr>
        <w:t>“总价（现场）”</w:t>
      </w:r>
      <w:r>
        <w:rPr>
          <w:rFonts w:hint="eastAsia" w:cs="宋体" w:asciiTheme="minorEastAsia" w:hAnsiTheme="minorEastAsia" w:eastAsiaTheme="minorEastAsia"/>
          <w:kern w:val="0"/>
          <w:szCs w:val="21"/>
        </w:rPr>
        <w:t>，全部品目号</w:t>
      </w:r>
      <w:r>
        <w:rPr>
          <w:rFonts w:hint="eastAsia" w:cs="宋体" w:asciiTheme="minorEastAsia" w:hAnsiTheme="minorEastAsia" w:eastAsiaTheme="minorEastAsia"/>
          <w:b/>
          <w:bCs/>
          <w:kern w:val="0"/>
          <w:szCs w:val="21"/>
        </w:rPr>
        <w:t>“总价（现场）”</w:t>
      </w:r>
      <w:r>
        <w:rPr>
          <w:rFonts w:hint="eastAsia" w:cs="宋体" w:asciiTheme="minorEastAsia" w:hAnsiTheme="minorEastAsia" w:eastAsiaTheme="minorEastAsia"/>
          <w:kern w:val="0"/>
          <w:szCs w:val="21"/>
        </w:rPr>
        <w:t>的合计金额应与《开标一览表》中相应合同包列示的</w:t>
      </w:r>
      <w:r>
        <w:rPr>
          <w:rFonts w:hint="eastAsia" w:cs="宋体" w:asciiTheme="minorEastAsia" w:hAnsiTheme="minorEastAsia" w:eastAsiaTheme="minorEastAsia"/>
          <w:b/>
          <w:bCs/>
          <w:kern w:val="0"/>
          <w:szCs w:val="21"/>
        </w:rPr>
        <w:t>“投标总价”</w:t>
      </w:r>
      <w:r>
        <w:rPr>
          <w:rFonts w:hint="eastAsia" w:cs="宋体" w:asciiTheme="minorEastAsia" w:hAnsiTheme="minorEastAsia" w:eastAsiaTheme="minorEastAsia"/>
          <w:kern w:val="0"/>
          <w:szCs w:val="21"/>
        </w:rPr>
        <w:t>保持一致。</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1.5</w:t>
      </w:r>
      <w:r>
        <w:rPr>
          <w:rFonts w:hint="eastAsia" w:cs="宋体" w:asciiTheme="minorEastAsia" w:hAnsiTheme="minorEastAsia" w:eastAsiaTheme="minorEastAsia"/>
          <w:kern w:val="0"/>
          <w:szCs w:val="21"/>
        </w:rPr>
        <w:t>若招标文件要求投标人对“备品备件价格、专用工具价格、技术服务费、安装调试费、检验培训费、运输费、保险费、税收”等进行报价的，请在本表的</w:t>
      </w:r>
      <w:r>
        <w:rPr>
          <w:rFonts w:hint="eastAsia" w:cs="宋体" w:asciiTheme="minorEastAsia" w:hAnsiTheme="minorEastAsia" w:eastAsiaTheme="minorEastAsia"/>
          <w:b/>
          <w:bCs/>
          <w:kern w:val="0"/>
          <w:szCs w:val="21"/>
        </w:rPr>
        <w:t>“备注”</w:t>
      </w:r>
      <w:r>
        <w:rPr>
          <w:rFonts w:hint="eastAsia" w:cs="宋体" w:asciiTheme="minorEastAsia" w:hAnsiTheme="minorEastAsia" w:eastAsiaTheme="minorEastAsia"/>
          <w:kern w:val="0"/>
          <w:szCs w:val="21"/>
        </w:rPr>
        <w:t>项下填写。</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、纸质投标文件正本中的本表应为原件。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Cs w:val="21"/>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投标人：</w:t>
      </w:r>
      <w:r>
        <w:rPr>
          <w:rFonts w:hint="eastAsia" w:cs="宋体" w:asciiTheme="minorEastAsia" w:hAnsiTheme="minorEastAsia" w:eastAsiaTheme="minorEastAsia"/>
          <w:kern w:val="0"/>
          <w:szCs w:val="21"/>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投标人代表签字：</w:t>
      </w:r>
      <w:r>
        <w:rPr>
          <w:rFonts w:cs="宋体" w:asciiTheme="minorEastAsia" w:hAnsiTheme="minorEastAsia" w:eastAsiaTheme="minorEastAsia"/>
          <w:kern w:val="0"/>
          <w:szCs w:val="21"/>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Cs w:val="21"/>
        </w:rPr>
        <w:t>日期：</w:t>
      </w:r>
      <w:r>
        <w:rPr>
          <w:rFonts w:cs="宋体" w:asciiTheme="minorEastAsia" w:hAnsiTheme="minorEastAsia" w:eastAsiaTheme="minorEastAsia"/>
          <w:kern w:val="0"/>
          <w:szCs w:val="21"/>
          <w:u w:val="single"/>
        </w:rPr>
        <w:t>    </w:t>
      </w:r>
      <w:r>
        <w:rPr>
          <w:rFonts w:hint="eastAsia" w:cs="宋体" w:asciiTheme="minorEastAsia" w:hAnsiTheme="minorEastAsia" w:eastAsiaTheme="minorEastAsia"/>
          <w:kern w:val="0"/>
          <w:szCs w:val="21"/>
        </w:rPr>
        <w:t>年</w:t>
      </w:r>
      <w:r>
        <w:rPr>
          <w:rFonts w:cs="宋体" w:asciiTheme="minorEastAsia" w:hAnsiTheme="minorEastAsia" w:eastAsiaTheme="minorEastAsia"/>
          <w:kern w:val="0"/>
          <w:szCs w:val="21"/>
          <w:u w:val="single"/>
        </w:rPr>
        <w:t>   </w:t>
      </w:r>
      <w:r>
        <w:rPr>
          <w:rFonts w:hint="eastAsia" w:cs="宋体" w:asciiTheme="minorEastAsia" w:hAnsiTheme="minorEastAsia" w:eastAsiaTheme="minorEastAsia"/>
          <w:kern w:val="0"/>
          <w:szCs w:val="21"/>
        </w:rPr>
        <w:t>月</w:t>
      </w:r>
      <w:r>
        <w:rPr>
          <w:rFonts w:cs="宋体" w:asciiTheme="minorEastAsia" w:hAnsiTheme="minorEastAsia" w:eastAsiaTheme="minorEastAsia"/>
          <w:kern w:val="0"/>
          <w:szCs w:val="21"/>
          <w:u w:val="single"/>
        </w:rPr>
        <w:t>   </w:t>
      </w:r>
      <w:r>
        <w:rPr>
          <w:rFonts w:hint="eastAsia" w:cs="宋体" w:asciiTheme="minorEastAsia" w:hAnsiTheme="minorEastAsia" w:eastAsiaTheme="minorEastAsia"/>
          <w:kern w:val="0"/>
          <w:szCs w:val="21"/>
        </w:rPr>
        <w:t>日</w:t>
      </w:r>
    </w:p>
    <w:p>
      <w:pPr>
        <w:pStyle w:val="499"/>
        <w:ind w:firstLine="210"/>
        <w:jc w:val="center"/>
        <w:rPr>
          <w:rFonts w:hint="default" w:asciiTheme="minorEastAsia" w:hAnsiTheme="minorEastAsia" w:cstheme="minorEastAsia"/>
          <w:sz w:val="24"/>
          <w:szCs w:val="24"/>
        </w:rPr>
      </w:pPr>
      <w:r>
        <w:rPr>
          <w:rFonts w:cs="宋体" w:asciiTheme="minorEastAsia" w:hAnsiTheme="minorEastAsia"/>
          <w:szCs w:val="21"/>
        </w:rPr>
        <w:t> </w:t>
      </w:r>
      <w:r>
        <w:rPr>
          <w:rFonts w:asciiTheme="minorEastAsia" w:hAnsiTheme="minorEastAsia" w:cstheme="minorEastAsia"/>
          <w:b/>
          <w:sz w:val="24"/>
          <w:szCs w:val="24"/>
        </w:rPr>
        <w:t>三、招标文件规定的价格扣除证明材料（若有）</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三-1优先类节能产品、环境标志产品价格扣除证明材料（若有）</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三-1-①优先类节能产品、环境标志产品统计表（价格扣除适用，若有）</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项目编号：</w:t>
      </w:r>
      <w:r>
        <w:rPr>
          <w:rFonts w:hint="eastAsia" w:asciiTheme="minorEastAsia" w:hAnsiTheme="minorEastAsia" w:eastAsiaTheme="minorEastAsia" w:cstheme="minorEastAsia"/>
          <w:kern w:val="0"/>
          <w:sz w:val="24"/>
          <w:szCs w:val="24"/>
          <w:u w:val="single"/>
        </w:rPr>
        <w:t>　　　　　　　　</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货币及单位：人民币元</w:t>
      </w:r>
    </w:p>
    <w:tbl>
      <w:tblPr>
        <w:tblStyle w:val="5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asciiTheme="minorEastAsia" w:hAnsiTheme="minorEastAsia" w:eastAsiaTheme="minorEastAsia" w:cstheme="minorEastAsia"/>
                <w:sz w:val="24"/>
                <w:szCs w:val="24"/>
              </w:rPr>
            </w:pPr>
          </w:p>
        </w:tc>
        <w:tc>
          <w:tcPr>
            <w:tcW w:w="7122" w:type="dxa"/>
            <w:gridSpan w:val="6"/>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采购包</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品目号</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货物名称</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单价（现场）</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总价（现场）</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pPr>
              <w:rPr>
                <w:rFonts w:asciiTheme="minorEastAsia" w:hAnsiTheme="minorEastAsia" w:eastAsiaTheme="minorEastAsia" w:cstheme="minorEastAsia"/>
                <w:sz w:val="24"/>
                <w:szCs w:val="24"/>
              </w:rPr>
            </w:pP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w:t>
            </w:r>
          </w:p>
        </w:tc>
        <w:tc>
          <w:tcPr>
            <w:tcW w:w="7122" w:type="dxa"/>
            <w:gridSpan w:val="6"/>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a.采购包内属于节能、环境标志产品的报价总金额：</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b.采购包投标总价（报价总金额）：</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c.“采购包内属于节能、环境标志产品的报价总金额”占“采购包投标总价（报价总金额）”的比例（以%列示）：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w:t>
            </w:r>
          </w:p>
        </w:tc>
      </w:tr>
    </w:tbl>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※注意：</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1、对节能、环境标志产品计算价格扣除时，只依据电子投标文件“三-1-②优先类节能产品、环境标志产品证明材料（价格扣除适用，若有）”。</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2、本表以采购包为单位，不同采购包请分别填写；同一采购包请按照其品目号顺序分别填写。</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3、具体统计、计算：</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3.1若节能、环境标志产品仅是构成投标产品的部件、组件或零件，则该投标产品不享受鼓励优惠政策。同一品目中各认证证书不重复计算价格扣除。强制类节能产品不享受价格扣除。</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3.2计算结果若除不尽，可四舍五入保留到小数点后两位。</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3.3投标人应按照招标文件要求认真统计、计算，否则评标委员会不予认定。</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3.4若无节能、环境标志产品，不填写本表，否则，视为提供虚假材料。</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w:t>
      </w:r>
      <w:r>
        <w:rPr>
          <w:rFonts w:hint="eastAsia" w:asciiTheme="minorEastAsia" w:hAnsiTheme="minorEastAsia" w:eastAsiaTheme="minorEastAsia" w:cstheme="minorEastAsia"/>
          <w:kern w:val="0"/>
          <w:sz w:val="24"/>
          <w:szCs w:val="24"/>
          <w:u w:val="single"/>
        </w:rPr>
        <w:t>（全称并加盖单位公章）</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日期：</w:t>
      </w:r>
      <w:r>
        <w:rPr>
          <w:rFonts w:hint="eastAsia" w:asciiTheme="minorEastAsia" w:hAnsiTheme="minorEastAsia" w:eastAsiaTheme="minorEastAsia" w:cstheme="minorEastAsia"/>
          <w:kern w:val="0"/>
          <w:sz w:val="24"/>
          <w:szCs w:val="24"/>
          <w:u w:val="single"/>
        </w:rPr>
        <w:t>　　年　　月　　日</w:t>
      </w:r>
    </w:p>
    <w:p>
      <w:pPr>
        <w:widowControl/>
        <w:rPr>
          <w:rFonts w:asciiTheme="minorEastAsia" w:hAnsiTheme="minorEastAsia" w:eastAsiaTheme="minorEastAsia" w:cstheme="minorEastAsia"/>
          <w:kern w:val="0"/>
          <w:sz w:val="24"/>
          <w:szCs w:val="24"/>
        </w:rPr>
      </w:pP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三-1-②优先类节能产品、环境标志产品证明材料（价格扣除适用，若有）</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三-2小型、微型企业产品等价格扣除证明材料（若有）</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三-2-①中小企业声明函（价格扣除适用，若有）</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中小企业声明函（货物）</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本公司（联合体）郑重声明，根据《政府采购促进中小企业发展管理办法》（财库﹝2020﹞46</w:t>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 xml:space="preserve"> 号）的规定，本公司（联合体）参加</w:t>
      </w:r>
      <w:r>
        <w:rPr>
          <w:rFonts w:hint="eastAsia" w:asciiTheme="minorEastAsia" w:hAnsiTheme="minorEastAsia" w:eastAsiaTheme="minorEastAsia" w:cstheme="minorEastAsia"/>
          <w:kern w:val="0"/>
          <w:sz w:val="24"/>
          <w:szCs w:val="24"/>
          <w:u w:val="single"/>
        </w:rPr>
        <w:t>（单位名称）</w:t>
      </w:r>
      <w:r>
        <w:rPr>
          <w:rFonts w:hint="eastAsia" w:asciiTheme="minorEastAsia" w:hAnsiTheme="minorEastAsia" w:eastAsiaTheme="minorEastAsia" w:cstheme="minorEastAsia"/>
          <w:kern w:val="0"/>
          <w:sz w:val="24"/>
          <w:szCs w:val="24"/>
        </w:rPr>
        <w:t>的</w:t>
      </w:r>
      <w:r>
        <w:rPr>
          <w:rFonts w:hint="eastAsia" w:asciiTheme="minorEastAsia" w:hAnsiTheme="minorEastAsia" w:eastAsiaTheme="minorEastAsia" w:cstheme="minorEastAsia"/>
          <w:kern w:val="0"/>
          <w:sz w:val="24"/>
          <w:szCs w:val="24"/>
          <w:u w:val="single"/>
        </w:rPr>
        <w:t>（项目名称）</w:t>
      </w:r>
      <w:r>
        <w:rPr>
          <w:rFonts w:hint="eastAsia" w:asciiTheme="minorEastAsia" w:hAnsiTheme="minorEastAsia" w:eastAsiaTheme="minorEastAsia" w:cstheme="minorEastAsia"/>
          <w:kern w:val="0"/>
          <w:sz w:val="24"/>
          <w:szCs w:val="24"/>
        </w:rPr>
        <w:t>采购活动，提供的货物全部由符合政策要求的中小企业制造。相关企业（含联合体中的中小企业、签订分包意向协议的中小企业）的具体情况如下：</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（采购文件中明确的所属行业）</w:t>
      </w:r>
      <w:r>
        <w:rPr>
          <w:rFonts w:hint="eastAsia" w:asciiTheme="minorEastAsia" w:hAnsiTheme="minorEastAsia" w:eastAsiaTheme="minorEastAsia" w:cstheme="minorEastAsia"/>
          <w:kern w:val="0"/>
          <w:sz w:val="24"/>
          <w:szCs w:val="24"/>
        </w:rPr>
        <w:t>行业；制造商为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w:t>
      </w:r>
      <w:r>
        <w:rPr>
          <w:rFonts w:hint="eastAsia" w:asciiTheme="minorEastAsia" w:hAnsiTheme="minorEastAsia" w:eastAsiaTheme="minorEastAsia" w:cstheme="minorEastAsia"/>
          <w:kern w:val="0"/>
          <w:sz w:val="24"/>
          <w:szCs w:val="24"/>
          <w:vertAlign w:val="superscript"/>
        </w:rPr>
        <w:t>1</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（采购文件中明确的所属行业）</w:t>
      </w:r>
      <w:r>
        <w:rPr>
          <w:rFonts w:hint="eastAsia" w:asciiTheme="minorEastAsia" w:hAnsiTheme="minorEastAsia" w:eastAsiaTheme="minorEastAsia" w:cstheme="minorEastAsia"/>
          <w:kern w:val="0"/>
          <w:sz w:val="24"/>
          <w:szCs w:val="24"/>
        </w:rPr>
        <w:t>行业；制造商为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以上企业，不属于大企业的分支机构，不存在控股股东为大企业的情形，也不存在与大企业的负责人为同一人的情形。</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本企业对上述声明内容的真实性负责。如有虚假，将依法承担相应责任。</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w:t>
      </w:r>
      <w:r>
        <w:rPr>
          <w:rFonts w:hint="eastAsia" w:asciiTheme="minorEastAsia" w:hAnsiTheme="minorEastAsia" w:eastAsiaTheme="minorEastAsia" w:cstheme="minorEastAsia"/>
          <w:kern w:val="0"/>
          <w:sz w:val="24"/>
          <w:szCs w:val="24"/>
          <w:u w:val="single"/>
        </w:rPr>
        <w:t>（全称并加盖单位公章）</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日期：</w:t>
      </w:r>
      <w:r>
        <w:rPr>
          <w:rFonts w:hint="eastAsia" w:asciiTheme="minorEastAsia" w:hAnsiTheme="minorEastAsia" w:eastAsiaTheme="minorEastAsia" w:cstheme="minorEastAsia"/>
          <w:kern w:val="0"/>
          <w:sz w:val="24"/>
          <w:szCs w:val="24"/>
          <w:u w:val="single"/>
        </w:rPr>
        <w:t>　　年　　月　　日</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※注意：</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1、从业人员、营业收入、资产总额填报上一年度数据，无上一年度数据的新成立企业可不填报。</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rPr>
          <w:rFonts w:asciiTheme="minorEastAsia" w:hAnsiTheme="minorEastAsia" w:eastAsiaTheme="minorEastAsia" w:cstheme="minorEastAsia"/>
          <w:kern w:val="0"/>
          <w:sz w:val="24"/>
          <w:szCs w:val="24"/>
        </w:rPr>
      </w:pP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中小企业声明函（工程、服务）</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本公司（联合体）郑重声明，根据《政府采购促进中小企业发展管理办法》（财库﹝2020﹞46</w:t>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 xml:space="preserve"> 号）的规定，本公司（联合体）参加</w:t>
      </w:r>
      <w:r>
        <w:rPr>
          <w:rFonts w:hint="eastAsia" w:asciiTheme="minorEastAsia" w:hAnsiTheme="minorEastAsia" w:eastAsiaTheme="minorEastAsia" w:cstheme="minorEastAsia"/>
          <w:kern w:val="0"/>
          <w:sz w:val="24"/>
          <w:szCs w:val="24"/>
          <w:u w:val="single"/>
        </w:rPr>
        <w:t>（单位名称）</w:t>
      </w:r>
      <w:r>
        <w:rPr>
          <w:rFonts w:hint="eastAsia" w:asciiTheme="minorEastAsia" w:hAnsiTheme="minorEastAsia" w:eastAsiaTheme="minorEastAsia" w:cstheme="minorEastAsia"/>
          <w:kern w:val="0"/>
          <w:sz w:val="24"/>
          <w:szCs w:val="24"/>
        </w:rPr>
        <w:t>的</w:t>
      </w:r>
      <w:r>
        <w:rPr>
          <w:rFonts w:hint="eastAsia" w:asciiTheme="minorEastAsia" w:hAnsiTheme="minorEastAsia" w:eastAsiaTheme="minorEastAsia" w:cstheme="minorEastAsia"/>
          <w:kern w:val="0"/>
          <w:sz w:val="24"/>
          <w:szCs w:val="24"/>
          <w:u w:val="single"/>
        </w:rPr>
        <w:t>（项目名称）</w:t>
      </w:r>
      <w:r>
        <w:rPr>
          <w:rFonts w:hint="eastAsia" w:asciiTheme="minorEastAsia" w:hAnsiTheme="minorEastAsia" w:eastAsiaTheme="minorEastAsia" w:cstheme="minor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（采购文件中明确的所属行业）</w:t>
      </w:r>
      <w:r>
        <w:rPr>
          <w:rFonts w:hint="eastAsia" w:asciiTheme="minorEastAsia" w:hAnsiTheme="minorEastAsia" w:eastAsiaTheme="minorEastAsia" w:cstheme="minorEastAsia"/>
          <w:kern w:val="0"/>
          <w:sz w:val="24"/>
          <w:szCs w:val="24"/>
        </w:rPr>
        <w:t>；承建（承接）企业为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w:t>
      </w:r>
      <w:r>
        <w:rPr>
          <w:rFonts w:hint="eastAsia" w:asciiTheme="minorEastAsia" w:hAnsiTheme="minorEastAsia" w:eastAsiaTheme="minorEastAsia" w:cstheme="minorEastAsia"/>
          <w:kern w:val="0"/>
          <w:sz w:val="24"/>
          <w:szCs w:val="24"/>
          <w:vertAlign w:val="superscript"/>
        </w:rPr>
        <w:t>1</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（采购文件中明确的所属行业）</w:t>
      </w:r>
      <w:r>
        <w:rPr>
          <w:rFonts w:hint="eastAsia" w:asciiTheme="minorEastAsia" w:hAnsiTheme="minorEastAsia" w:eastAsiaTheme="minorEastAsia" w:cstheme="minorEastAsia"/>
          <w:kern w:val="0"/>
          <w:sz w:val="24"/>
          <w:szCs w:val="24"/>
        </w:rPr>
        <w:t>；承建（承接）企业为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以上企业，不属于大企业的分支机构，不存在控股股东为大企业的情形，也不存在与大企业的负责人为同一人的情形。</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本企业对上述声明内容的真实性负责。如有虚假，将依法承担相应责任。</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w:t>
      </w:r>
      <w:r>
        <w:rPr>
          <w:rFonts w:hint="eastAsia" w:asciiTheme="minorEastAsia" w:hAnsiTheme="minorEastAsia" w:eastAsiaTheme="minorEastAsia" w:cstheme="minorEastAsia"/>
          <w:kern w:val="0"/>
          <w:sz w:val="24"/>
          <w:szCs w:val="24"/>
          <w:u w:val="single"/>
        </w:rPr>
        <w:t>（全称并加盖单位公章）</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日期：</w:t>
      </w:r>
      <w:r>
        <w:rPr>
          <w:rFonts w:hint="eastAsia" w:asciiTheme="minorEastAsia" w:hAnsiTheme="minorEastAsia" w:eastAsiaTheme="minorEastAsia" w:cstheme="minorEastAsia"/>
          <w:kern w:val="0"/>
          <w:sz w:val="24"/>
          <w:szCs w:val="24"/>
          <w:u w:val="single"/>
        </w:rPr>
        <w:t>　　年　　月　　日</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※注意：</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1、从业人员、营业收入、资产总额填报上一年度数据，无上一年度数据的新成立企业可不填报。</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rPr>
          <w:rFonts w:asciiTheme="minorEastAsia" w:hAnsiTheme="minorEastAsia" w:eastAsiaTheme="minorEastAsia" w:cstheme="minorEastAsia"/>
          <w:kern w:val="0"/>
          <w:sz w:val="24"/>
          <w:szCs w:val="24"/>
        </w:rPr>
      </w:pP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三-2-②小型、微型企业等证明材料（价格扣除适用，若有）</w:t>
      </w:r>
    </w:p>
    <w:p>
      <w:pPr>
        <w:widowControl/>
        <w:ind w:firstLine="480"/>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编制说明</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1、投标人应按照招标文件要求提供相应证明材料，证明材料应与《中小企业声明函》的内容相一致，否则视为《中小企业声明函》内容不真实。</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2、投标人为监狱企业的，根据其提供的由省级以上监狱管理局、戒毒管理局（含新疆生产建设兵团）出具的属于监狱企业的证明文件进行认定，监狱企业视同小型、微型企业。</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附：</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残疾人福利性单位声明函（价格扣除适用，若有）</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本投标人郑重声明，根据《财政部 民政部</w:t>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ab/>
      </w:r>
      <w:r>
        <w:rPr>
          <w:rFonts w:hint="eastAsia" w:asciiTheme="minorEastAsia" w:hAnsiTheme="minorEastAsia" w:eastAsiaTheme="minorEastAsia" w:cstheme="minorEastAsia"/>
          <w:kern w:val="0"/>
          <w:sz w:val="24"/>
          <w:szCs w:val="24"/>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）由本投标人承建的（填写“所投采购包、品目号”）工程</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）由本投标人承接的（填写“所投采购包、品目号”）服务；</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本投标人对上述声明的真实性负责。如有虚假，将依法承担相应责任。</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1、请投标人按照实际情况编制填写本声明函，并在相应的（）中打“√”。</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2、若《残疾人福利性单位声明函》内容不真实，视为提供虚假材料。</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w:t>
      </w:r>
      <w:r>
        <w:rPr>
          <w:rFonts w:hint="eastAsia" w:asciiTheme="minorEastAsia" w:hAnsiTheme="minorEastAsia" w:eastAsiaTheme="minorEastAsia" w:cstheme="minorEastAsia"/>
          <w:kern w:val="0"/>
          <w:sz w:val="24"/>
          <w:szCs w:val="24"/>
          <w:u w:val="single"/>
        </w:rPr>
        <w:t>（全称并加盖单位公章）</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日期：</w:t>
      </w:r>
      <w:r>
        <w:rPr>
          <w:rFonts w:hint="eastAsia" w:asciiTheme="minorEastAsia" w:hAnsiTheme="minorEastAsia" w:eastAsiaTheme="minorEastAsia" w:cstheme="minorEastAsia"/>
          <w:kern w:val="0"/>
          <w:sz w:val="24"/>
          <w:szCs w:val="24"/>
          <w:u w:val="single"/>
        </w:rPr>
        <w:t>　　年　　月　　日</w:t>
      </w:r>
    </w:p>
    <w:p>
      <w:pPr>
        <w:widowControl/>
        <w:rPr>
          <w:rFonts w:asciiTheme="minorEastAsia" w:hAnsiTheme="minorEastAsia" w:eastAsiaTheme="minorEastAsia" w:cstheme="minorEastAsia"/>
          <w:kern w:val="0"/>
          <w:sz w:val="24"/>
          <w:szCs w:val="24"/>
        </w:rPr>
      </w:pP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附：</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监狱企业证明材料</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投标人为监狱企业，提供本单位制造的货物（承接的服务），并在电子投标文件中提供省级以上监狱管理局、戒毒管理局（含新疆生产建设兵团）出具的属于监狱企业的证明文件。</w:t>
      </w:r>
    </w:p>
    <w:p>
      <w:pPr>
        <w:widowControl/>
        <w:rPr>
          <w:rFonts w:asciiTheme="minorEastAsia" w:hAnsiTheme="minorEastAsia" w:eastAsiaTheme="minorEastAsia" w:cstheme="minorEastAsia"/>
          <w:kern w:val="0"/>
          <w:sz w:val="24"/>
          <w:szCs w:val="24"/>
        </w:rPr>
      </w:pP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三-3招标文件规定的其他价格扣除证明材料（若有）</w:t>
      </w:r>
    </w:p>
    <w:p>
      <w:pPr>
        <w:widowControl/>
        <w:ind w:firstLine="480"/>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编制说明</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若投标人可享受招标文件规定的除“节能（非强制类）、环境标志产品价格扣除”及“小型、微型企业产品等价格扣除”外的其他价格扣除优惠，则投标人应按照招标文件要求提供相应证明材料。</w:t>
      </w:r>
    </w:p>
    <w:p>
      <w:pPr>
        <w:widowControl/>
        <w:rPr>
          <w:rFonts w:asciiTheme="minorEastAsia" w:hAnsiTheme="minorEastAsia" w:eastAsiaTheme="minorEastAsia" w:cstheme="minorEastAsia"/>
          <w:kern w:val="0"/>
          <w:sz w:val="24"/>
          <w:szCs w:val="24"/>
        </w:rPr>
      </w:pPr>
    </w:p>
    <w:p>
      <w:pPr>
        <w:widowControl/>
        <w:rPr>
          <w:rFonts w:asciiTheme="minorEastAsia" w:hAnsiTheme="minorEastAsia" w:eastAsiaTheme="minorEastAsia" w:cstheme="minorEastAsia"/>
          <w:kern w:val="0"/>
          <w:sz w:val="24"/>
          <w:szCs w:val="24"/>
        </w:rPr>
      </w:pP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四、招标文件规定的加分证明材料（若有）</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四-1优先类节能产品、环境标志产品加分证明材料（若有）</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四-1-①优先类节能产品、环境标志产品统计表（加分适用，若有）</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项目编号：</w:t>
      </w:r>
      <w:r>
        <w:rPr>
          <w:rFonts w:hint="eastAsia" w:asciiTheme="minorEastAsia" w:hAnsiTheme="minorEastAsia" w:eastAsiaTheme="minorEastAsia" w:cstheme="minorEastAsia"/>
          <w:kern w:val="0"/>
          <w:sz w:val="24"/>
          <w:szCs w:val="24"/>
          <w:u w:val="single"/>
        </w:rPr>
        <w:t>　　　　　　　　</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货币及单位：人民币元</w:t>
      </w:r>
    </w:p>
    <w:tbl>
      <w:tblPr>
        <w:tblStyle w:val="5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asciiTheme="minorEastAsia" w:hAnsiTheme="minorEastAsia" w:eastAsiaTheme="minorEastAsia" w:cstheme="minorEastAsia"/>
                <w:sz w:val="24"/>
                <w:szCs w:val="24"/>
              </w:rPr>
            </w:pPr>
          </w:p>
        </w:tc>
        <w:tc>
          <w:tcPr>
            <w:tcW w:w="7122" w:type="dxa"/>
            <w:gridSpan w:val="6"/>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采购包</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品目号</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货物名称</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单价（现场）</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总价（现场）</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pPr>
              <w:rPr>
                <w:rFonts w:asciiTheme="minorEastAsia" w:hAnsiTheme="minorEastAsia" w:eastAsiaTheme="minorEastAsia" w:cstheme="minorEastAsia"/>
                <w:sz w:val="24"/>
                <w:szCs w:val="24"/>
              </w:rPr>
            </w:pPr>
          </w:p>
        </w:tc>
        <w:tc>
          <w:tcPr>
            <w:tcW w:w="1187" w:type="dxa"/>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c>
          <w:tcPr>
            <w:tcW w:w="1187" w:type="dxa"/>
          </w:tcPr>
          <w:p>
            <w:pPr>
              <w:rPr>
                <w:rFonts w:asciiTheme="minorEastAsia" w:hAnsiTheme="minorEastAsia" w:eastAsiaTheme="minorEastAsia" w:cstheme="minorEastAsia"/>
                <w:sz w:val="24"/>
                <w:szCs w:val="24"/>
              </w:rPr>
            </w:pPr>
          </w:p>
        </w:tc>
      </w:tr>
    </w:tbl>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※注意：</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1、对节能、环境标志产品计算价格扣除时，只依据电子投标文件“四-1-②优先类节能产品、环境标志产品加分证明材料（加分适用，若有）”。</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2、本表以采购包为单位，不同采购包请分别填写；同一采购包请按照其品目号顺序分别填写。</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3、具体统计、计算：</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3.1若节能、环境标志产品仅是构成投标产品的部件、组件或零件，则该投标产品不享受鼓励优惠政策。同一品目中各认证证书不重复计算价格扣除。强制类节能产品不享受价格扣除。</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3.2计算结果若除不尽，可四舍五入保留到小数点后两位。</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3.3投标人应按照招标文件要求认真统计、计算，否则评标委员会不予认定。</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3.4若无节能、环境标志产品，不填写本表，否则，视为提供虚假材料。</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w:t>
      </w:r>
      <w:r>
        <w:rPr>
          <w:rFonts w:hint="eastAsia" w:asciiTheme="minorEastAsia" w:hAnsiTheme="minorEastAsia" w:eastAsiaTheme="minorEastAsia" w:cstheme="minorEastAsia"/>
          <w:kern w:val="0"/>
          <w:sz w:val="24"/>
          <w:szCs w:val="24"/>
          <w:u w:val="single"/>
        </w:rPr>
        <w:t>（全称并加盖单位公章）</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日期：</w:t>
      </w:r>
      <w:r>
        <w:rPr>
          <w:rFonts w:hint="eastAsia" w:asciiTheme="minorEastAsia" w:hAnsiTheme="minorEastAsia" w:eastAsiaTheme="minorEastAsia" w:cstheme="minorEastAsia"/>
          <w:kern w:val="0"/>
          <w:sz w:val="24"/>
          <w:szCs w:val="24"/>
          <w:u w:val="single"/>
        </w:rPr>
        <w:t>　　年　　月　　日</w:t>
      </w:r>
    </w:p>
    <w:p>
      <w:pPr>
        <w:widowControl/>
        <w:rPr>
          <w:rFonts w:asciiTheme="minorEastAsia" w:hAnsiTheme="minorEastAsia" w:eastAsiaTheme="minorEastAsia" w:cstheme="minorEastAsia"/>
          <w:kern w:val="0"/>
          <w:sz w:val="24"/>
          <w:szCs w:val="24"/>
        </w:rPr>
      </w:pP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四-1-②优先类节能产品、环境标志产品证明材料（加分适用，若有）</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四-2招标文件规定的其他加分证明材料（若有）</w:t>
      </w:r>
    </w:p>
    <w:p>
      <w:pPr>
        <w:widowControl/>
        <w:ind w:firstLine="480"/>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编制说明</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若投标人可享受招标文件规定的除“优先类节能产品、环境标志产品加分”外的其他加分优惠，则投标人应按照招标文件要求提供相应证明材料。</w:t>
      </w:r>
    </w:p>
    <w:p>
      <w:pPr>
        <w:widowControl/>
        <w:spacing w:after="150"/>
        <w:jc w:val="center"/>
        <w:rPr>
          <w:rFonts w:cs="宋体" w:asciiTheme="minorEastAsia" w:hAnsiTheme="minorEastAsia" w:eastAsiaTheme="minorEastAsia"/>
          <w:szCs w:val="21"/>
        </w:rPr>
      </w:pPr>
    </w:p>
    <w:p>
      <w:pPr>
        <w:jc w:val="center"/>
        <w:rPr>
          <w:rFonts w:cs="宋体" w:asciiTheme="minorEastAsia" w:hAnsiTheme="minorEastAsia" w:eastAsiaTheme="minorEastAsia"/>
          <w:b/>
          <w:sz w:val="72"/>
          <w:szCs w:val="18"/>
        </w:rPr>
      </w:pPr>
      <w:r>
        <w:rPr>
          <w:rFonts w:hint="eastAsia" w:cs="宋体" w:asciiTheme="minorEastAsia" w:hAnsiTheme="minorEastAsia" w:eastAsiaTheme="minorEastAsia"/>
          <w:b/>
          <w:sz w:val="72"/>
          <w:szCs w:val="18"/>
        </w:rPr>
        <w:t>福州市鼓楼区华大街道外环境“四害”消杀服务项目</w:t>
      </w:r>
    </w:p>
    <w:p>
      <w:pPr>
        <w:spacing w:line="360" w:lineRule="auto"/>
        <w:jc w:val="center"/>
        <w:rPr>
          <w:rFonts w:asciiTheme="minorEastAsia" w:hAnsiTheme="minorEastAsia" w:eastAsiaTheme="minorEastAsia"/>
          <w:b/>
          <w:sz w:val="72"/>
          <w:szCs w:val="24"/>
        </w:rPr>
      </w:pPr>
    </w:p>
    <w:p>
      <w:pPr>
        <w:spacing w:line="360" w:lineRule="auto"/>
        <w:jc w:val="center"/>
        <w:rPr>
          <w:rFonts w:asciiTheme="minorEastAsia" w:hAnsiTheme="minorEastAsia" w:eastAsiaTheme="minorEastAsia"/>
          <w:b/>
          <w:sz w:val="72"/>
          <w:szCs w:val="24"/>
        </w:rPr>
      </w:pPr>
      <w:r>
        <w:rPr>
          <w:rFonts w:hint="eastAsia" w:asciiTheme="minorEastAsia" w:hAnsiTheme="minorEastAsia" w:eastAsiaTheme="minorEastAsia"/>
          <w:b/>
          <w:sz w:val="72"/>
          <w:szCs w:val="24"/>
        </w:rPr>
        <w:t>投标文件</w:t>
      </w:r>
    </w:p>
    <w:p>
      <w:pPr>
        <w:tabs>
          <w:tab w:val="left" w:pos="900"/>
        </w:tabs>
        <w:spacing w:line="360" w:lineRule="auto"/>
        <w:rPr>
          <w:rFonts w:asciiTheme="minorEastAsia" w:hAnsiTheme="minorEastAsia" w:eastAsiaTheme="minorEastAsia"/>
          <w:sz w:val="52"/>
          <w:szCs w:val="52"/>
        </w:rPr>
      </w:pPr>
    </w:p>
    <w:p>
      <w:pPr>
        <w:tabs>
          <w:tab w:val="left" w:pos="900"/>
        </w:tabs>
        <w:spacing w:line="360" w:lineRule="auto"/>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（第二册技术商务部分）</w:t>
      </w:r>
    </w:p>
    <w:p>
      <w:pPr>
        <w:tabs>
          <w:tab w:val="left" w:pos="900"/>
        </w:tabs>
        <w:spacing w:line="360" w:lineRule="auto"/>
        <w:rPr>
          <w:rFonts w:asciiTheme="minorEastAsia" w:hAnsiTheme="minorEastAsia" w:eastAsiaTheme="minorEastAsia"/>
          <w:szCs w:val="21"/>
        </w:rPr>
      </w:pPr>
    </w:p>
    <w:p>
      <w:pPr>
        <w:tabs>
          <w:tab w:val="left" w:pos="900"/>
        </w:tabs>
        <w:spacing w:line="360" w:lineRule="auto"/>
        <w:ind w:firstLine="2341" w:firstLineChars="648"/>
        <w:rPr>
          <w:rFonts w:asciiTheme="minorEastAsia" w:hAnsiTheme="minorEastAsia" w:eastAsiaTheme="minorEastAsia"/>
          <w:b/>
          <w:sz w:val="36"/>
          <w:szCs w:val="36"/>
        </w:rPr>
      </w:pPr>
      <w:r>
        <w:rPr>
          <w:rFonts w:hint="eastAsia" w:asciiTheme="minorEastAsia" w:hAnsiTheme="minorEastAsia" w:eastAsiaTheme="minorEastAsia"/>
          <w:b/>
          <w:sz w:val="36"/>
          <w:szCs w:val="36"/>
        </w:rPr>
        <w:t>项目名称：</w:t>
      </w:r>
    </w:p>
    <w:p>
      <w:pPr>
        <w:tabs>
          <w:tab w:val="left" w:pos="900"/>
        </w:tabs>
        <w:spacing w:line="360" w:lineRule="auto"/>
        <w:ind w:firstLine="2341" w:firstLineChars="648"/>
        <w:rPr>
          <w:rFonts w:asciiTheme="minorEastAsia" w:hAnsiTheme="minorEastAsia" w:eastAsiaTheme="minorEastAsia"/>
          <w:b/>
          <w:sz w:val="36"/>
          <w:szCs w:val="36"/>
        </w:rPr>
      </w:pPr>
      <w:r>
        <w:rPr>
          <w:rFonts w:hint="eastAsia" w:asciiTheme="minorEastAsia" w:hAnsiTheme="minorEastAsia" w:eastAsiaTheme="minorEastAsia"/>
          <w:b/>
          <w:sz w:val="36"/>
          <w:szCs w:val="36"/>
        </w:rPr>
        <w:t>招标编号：</w:t>
      </w:r>
    </w:p>
    <w:p>
      <w:pPr>
        <w:tabs>
          <w:tab w:val="left" w:pos="900"/>
        </w:tabs>
        <w:spacing w:line="360" w:lineRule="auto"/>
        <w:ind w:firstLine="2341" w:firstLineChars="648"/>
        <w:rPr>
          <w:rFonts w:asciiTheme="minorEastAsia" w:hAnsiTheme="minorEastAsia" w:eastAsiaTheme="minorEastAsia"/>
          <w:b/>
          <w:sz w:val="36"/>
          <w:szCs w:val="36"/>
        </w:rPr>
      </w:pPr>
    </w:p>
    <w:p>
      <w:pPr>
        <w:tabs>
          <w:tab w:val="left" w:pos="900"/>
        </w:tabs>
        <w:spacing w:line="360" w:lineRule="auto"/>
        <w:ind w:firstLine="2341" w:firstLineChars="648"/>
        <w:rPr>
          <w:rFonts w:asciiTheme="minorEastAsia" w:hAnsiTheme="minorEastAsia" w:eastAsiaTheme="minorEastAsia"/>
          <w:b/>
          <w:sz w:val="36"/>
          <w:szCs w:val="36"/>
          <w:u w:val="single"/>
        </w:rPr>
      </w:pPr>
      <w:r>
        <w:rPr>
          <w:rFonts w:hint="eastAsia" w:asciiTheme="minorEastAsia" w:hAnsiTheme="minorEastAsia" w:eastAsiaTheme="minorEastAsia"/>
          <w:b/>
          <w:sz w:val="36"/>
          <w:szCs w:val="36"/>
        </w:rPr>
        <w:t>所投合同包：</w:t>
      </w:r>
    </w:p>
    <w:p>
      <w:pPr>
        <w:tabs>
          <w:tab w:val="left" w:pos="900"/>
        </w:tabs>
        <w:spacing w:line="360" w:lineRule="auto"/>
        <w:ind w:firstLine="2341" w:firstLineChars="648"/>
        <w:rPr>
          <w:rFonts w:asciiTheme="minorEastAsia" w:hAnsiTheme="minorEastAsia" w:eastAsiaTheme="minorEastAsia"/>
          <w:b/>
          <w:sz w:val="36"/>
          <w:szCs w:val="36"/>
        </w:rPr>
      </w:pPr>
    </w:p>
    <w:p>
      <w:pPr>
        <w:tabs>
          <w:tab w:val="left" w:pos="900"/>
          <w:tab w:val="left" w:pos="6840"/>
        </w:tabs>
        <w:spacing w:line="360" w:lineRule="auto"/>
        <w:ind w:firstLine="2341" w:firstLineChars="648"/>
        <w:rPr>
          <w:rFonts w:asciiTheme="minorEastAsia" w:hAnsiTheme="minorEastAsia" w:eastAsiaTheme="minorEastAsia"/>
          <w:b/>
          <w:sz w:val="36"/>
          <w:szCs w:val="36"/>
          <w:u w:val="single"/>
        </w:rPr>
      </w:pPr>
      <w:r>
        <w:rPr>
          <w:rFonts w:hint="eastAsia" w:asciiTheme="minorEastAsia" w:hAnsiTheme="minorEastAsia" w:eastAsiaTheme="minorEastAsia"/>
          <w:b/>
          <w:sz w:val="36"/>
          <w:szCs w:val="36"/>
        </w:rPr>
        <w:t>投标人名称：</w:t>
      </w:r>
    </w:p>
    <w:p>
      <w:pPr>
        <w:tabs>
          <w:tab w:val="left" w:pos="900"/>
        </w:tabs>
        <w:spacing w:line="360" w:lineRule="auto"/>
        <w:ind w:firstLine="2341" w:firstLineChars="648"/>
        <w:rPr>
          <w:rFonts w:asciiTheme="minorEastAsia" w:hAnsiTheme="minorEastAsia" w:eastAsiaTheme="minorEastAsia"/>
          <w:b/>
          <w:sz w:val="36"/>
          <w:szCs w:val="36"/>
        </w:rPr>
      </w:pPr>
      <w:r>
        <w:rPr>
          <w:rFonts w:hint="eastAsia" w:asciiTheme="minorEastAsia" w:hAnsiTheme="minorEastAsia" w:eastAsiaTheme="minorEastAsia"/>
          <w:b/>
          <w:sz w:val="36"/>
          <w:szCs w:val="36"/>
        </w:rPr>
        <w:t>地址：</w:t>
      </w:r>
    </w:p>
    <w:p>
      <w:pPr>
        <w:tabs>
          <w:tab w:val="left" w:pos="900"/>
        </w:tabs>
        <w:spacing w:line="360" w:lineRule="auto"/>
        <w:ind w:firstLine="2341" w:firstLineChars="648"/>
        <w:rPr>
          <w:rFonts w:asciiTheme="minorEastAsia" w:hAnsiTheme="minorEastAsia" w:eastAsiaTheme="minorEastAsia"/>
          <w:b/>
          <w:sz w:val="36"/>
          <w:szCs w:val="36"/>
        </w:rPr>
      </w:pPr>
      <w:r>
        <w:rPr>
          <w:rFonts w:hint="eastAsia" w:asciiTheme="minorEastAsia" w:hAnsiTheme="minorEastAsia" w:eastAsiaTheme="minorEastAsia"/>
          <w:b/>
          <w:sz w:val="36"/>
          <w:szCs w:val="36"/>
        </w:rPr>
        <w:t>日期：</w:t>
      </w:r>
    </w:p>
    <w:p>
      <w:pPr>
        <w:tabs>
          <w:tab w:val="left" w:pos="900"/>
        </w:tabs>
        <w:spacing w:line="360" w:lineRule="auto"/>
        <w:ind w:firstLine="2341" w:firstLineChars="648"/>
        <w:rPr>
          <w:rFonts w:asciiTheme="minorEastAsia" w:hAnsiTheme="minorEastAsia" w:eastAsiaTheme="minorEastAsia"/>
          <w:b/>
          <w:sz w:val="36"/>
          <w:szCs w:val="36"/>
        </w:rPr>
      </w:pPr>
    </w:p>
    <w:p>
      <w:pPr>
        <w:tabs>
          <w:tab w:val="left" w:pos="900"/>
        </w:tabs>
        <w:spacing w:line="360" w:lineRule="auto"/>
        <w:ind w:firstLine="2341" w:firstLineChars="648"/>
        <w:rPr>
          <w:rFonts w:asciiTheme="minorEastAsia" w:hAnsiTheme="minorEastAsia" w:eastAsiaTheme="minorEastAsia"/>
          <w:b/>
          <w:sz w:val="36"/>
          <w:szCs w:val="36"/>
        </w:rPr>
      </w:pPr>
    </w:p>
    <w:p>
      <w:pPr>
        <w:tabs>
          <w:tab w:val="left" w:pos="900"/>
        </w:tabs>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技术商务标目录</w:t>
      </w:r>
    </w:p>
    <w:p>
      <w:pPr>
        <w:tabs>
          <w:tab w:val="left" w:pos="900"/>
        </w:tabs>
        <w:spacing w:line="360" w:lineRule="auto"/>
        <w:jc w:val="center"/>
        <w:rPr>
          <w:rFonts w:asciiTheme="minorEastAsia" w:hAnsiTheme="minorEastAsia" w:eastAsiaTheme="minorEastAsia"/>
          <w:b/>
          <w:sz w:val="52"/>
          <w:szCs w:val="52"/>
        </w:rPr>
      </w:pPr>
    </w:p>
    <w:p>
      <w:pPr>
        <w:tabs>
          <w:tab w:val="left" w:pos="900"/>
        </w:tabs>
        <w:spacing w:beforeLines="50" w:line="360" w:lineRule="auto"/>
        <w:ind w:left="850" w:leftChars="405"/>
        <w:rPr>
          <w:rFonts w:asciiTheme="minorEastAsia" w:hAnsiTheme="minorEastAsia" w:eastAsiaTheme="minorEastAsia"/>
          <w:sz w:val="28"/>
          <w:szCs w:val="28"/>
        </w:rPr>
      </w:pPr>
      <w:r>
        <w:rPr>
          <w:rFonts w:hint="eastAsia" w:asciiTheme="minorEastAsia" w:hAnsiTheme="minorEastAsia" w:eastAsiaTheme="minorEastAsia"/>
          <w:sz w:val="28"/>
          <w:szCs w:val="28"/>
        </w:rPr>
        <w:t>一、投标函</w:t>
      </w:r>
    </w:p>
    <w:p>
      <w:pPr>
        <w:tabs>
          <w:tab w:val="left" w:pos="900"/>
        </w:tabs>
        <w:spacing w:beforeLines="50" w:line="360" w:lineRule="auto"/>
        <w:ind w:left="850" w:leftChars="405"/>
        <w:rPr>
          <w:rFonts w:asciiTheme="minorEastAsia" w:hAnsiTheme="minorEastAsia" w:eastAsiaTheme="minorEastAsia"/>
          <w:sz w:val="28"/>
          <w:szCs w:val="28"/>
        </w:rPr>
      </w:pPr>
      <w:r>
        <w:rPr>
          <w:rFonts w:hint="eastAsia" w:asciiTheme="minorEastAsia" w:hAnsiTheme="minorEastAsia" w:eastAsiaTheme="minorEastAsia"/>
          <w:sz w:val="28"/>
          <w:szCs w:val="28"/>
        </w:rPr>
        <w:t>二、投标人的资格及资信证明文件</w:t>
      </w:r>
    </w:p>
    <w:p>
      <w:pPr>
        <w:tabs>
          <w:tab w:val="left" w:pos="900"/>
        </w:tabs>
        <w:spacing w:beforeLines="50" w:line="360" w:lineRule="auto"/>
        <w:ind w:left="850" w:leftChars="405"/>
        <w:rPr>
          <w:rFonts w:asciiTheme="minorEastAsia" w:hAnsiTheme="minorEastAsia" w:eastAsiaTheme="minorEastAsia"/>
          <w:sz w:val="28"/>
          <w:szCs w:val="28"/>
        </w:rPr>
      </w:pPr>
      <w:r>
        <w:rPr>
          <w:rFonts w:hint="eastAsia" w:asciiTheme="minorEastAsia" w:hAnsiTheme="minorEastAsia" w:eastAsiaTheme="minorEastAsia"/>
          <w:sz w:val="28"/>
          <w:szCs w:val="28"/>
        </w:rPr>
        <w:t>三、投标保证金</w:t>
      </w:r>
    </w:p>
    <w:p>
      <w:pPr>
        <w:tabs>
          <w:tab w:val="left" w:pos="900"/>
        </w:tabs>
        <w:spacing w:beforeLines="50" w:line="360" w:lineRule="auto"/>
        <w:ind w:left="850" w:leftChars="405"/>
        <w:rPr>
          <w:rFonts w:asciiTheme="minorEastAsia" w:hAnsiTheme="minorEastAsia" w:eastAsiaTheme="minorEastAsia"/>
          <w:sz w:val="28"/>
          <w:szCs w:val="28"/>
        </w:rPr>
      </w:pPr>
      <w:r>
        <w:rPr>
          <w:rFonts w:hint="eastAsia" w:asciiTheme="minorEastAsia" w:hAnsiTheme="minorEastAsia" w:eastAsiaTheme="minorEastAsia"/>
          <w:sz w:val="28"/>
          <w:szCs w:val="28"/>
        </w:rPr>
        <w:t>四、技术和服务要求响应表</w:t>
      </w:r>
    </w:p>
    <w:p>
      <w:pPr>
        <w:tabs>
          <w:tab w:val="left" w:pos="900"/>
        </w:tabs>
        <w:spacing w:beforeLines="50" w:line="360" w:lineRule="auto"/>
        <w:ind w:left="850" w:leftChars="405"/>
        <w:rPr>
          <w:rFonts w:asciiTheme="minorEastAsia" w:hAnsiTheme="minorEastAsia" w:eastAsiaTheme="minorEastAsia"/>
          <w:sz w:val="28"/>
          <w:szCs w:val="28"/>
        </w:rPr>
      </w:pPr>
      <w:r>
        <w:rPr>
          <w:rFonts w:hint="eastAsia" w:asciiTheme="minorEastAsia" w:hAnsiTheme="minorEastAsia" w:eastAsiaTheme="minorEastAsia"/>
          <w:sz w:val="28"/>
          <w:szCs w:val="28"/>
        </w:rPr>
        <w:t>五、商务条件响应表</w:t>
      </w:r>
    </w:p>
    <w:p>
      <w:pPr>
        <w:tabs>
          <w:tab w:val="left" w:pos="900"/>
        </w:tabs>
        <w:spacing w:beforeLines="50" w:line="360" w:lineRule="auto"/>
        <w:ind w:left="850" w:leftChars="405"/>
        <w:rPr>
          <w:rFonts w:asciiTheme="minorEastAsia" w:hAnsiTheme="minorEastAsia" w:eastAsiaTheme="minorEastAsia"/>
          <w:sz w:val="28"/>
          <w:szCs w:val="28"/>
        </w:rPr>
      </w:pPr>
      <w:r>
        <w:rPr>
          <w:rFonts w:hint="eastAsia" w:asciiTheme="minorEastAsia" w:hAnsiTheme="minorEastAsia" w:eastAsiaTheme="minorEastAsia"/>
          <w:sz w:val="28"/>
          <w:szCs w:val="28"/>
        </w:rPr>
        <w:t>六、投标人提交的其他资料（若有）</w:t>
      </w:r>
    </w:p>
    <w:p>
      <w:pPr>
        <w:tabs>
          <w:tab w:val="left" w:pos="900"/>
        </w:tabs>
        <w:spacing w:beforeLines="50" w:line="360" w:lineRule="auto"/>
        <w:ind w:left="850" w:leftChars="405"/>
        <w:rPr>
          <w:rFonts w:asciiTheme="minorEastAsia" w:hAnsiTheme="minorEastAsia" w:eastAsiaTheme="minorEastAsia"/>
          <w:sz w:val="28"/>
          <w:szCs w:val="28"/>
        </w:rPr>
      </w:pPr>
    </w:p>
    <w:p>
      <w:pPr>
        <w:tabs>
          <w:tab w:val="left" w:pos="900"/>
        </w:tabs>
        <w:spacing w:beforeLines="50" w:line="360" w:lineRule="auto"/>
        <w:ind w:left="850" w:leftChars="405"/>
        <w:rPr>
          <w:rFonts w:asciiTheme="minorEastAsia" w:hAnsiTheme="minorEastAsia" w:eastAsiaTheme="minorEastAsia"/>
          <w:sz w:val="28"/>
          <w:szCs w:val="28"/>
        </w:rPr>
      </w:pPr>
    </w:p>
    <w:p>
      <w:pPr>
        <w:tabs>
          <w:tab w:val="left" w:pos="900"/>
        </w:tabs>
        <w:spacing w:beforeLines="50" w:line="360" w:lineRule="auto"/>
        <w:ind w:left="850" w:leftChars="405"/>
        <w:rPr>
          <w:rFonts w:asciiTheme="minorEastAsia" w:hAnsiTheme="minorEastAsia" w:eastAsiaTheme="minorEastAsia"/>
          <w:sz w:val="28"/>
          <w:szCs w:val="28"/>
        </w:rPr>
      </w:pPr>
    </w:p>
    <w:p>
      <w:pPr>
        <w:tabs>
          <w:tab w:val="left" w:pos="900"/>
        </w:tabs>
        <w:spacing w:line="360" w:lineRule="auto"/>
        <w:ind w:left="-2" w:leftChars="-1"/>
        <w:rPr>
          <w:rFonts w:asciiTheme="minorEastAsia" w:hAnsiTheme="minorEastAsia" w:eastAsiaTheme="minorEastAsia"/>
          <w:b/>
          <w:szCs w:val="21"/>
        </w:rPr>
      </w:pPr>
      <w:r>
        <w:rPr>
          <w:rFonts w:asciiTheme="minorEastAsia" w:hAnsiTheme="minorEastAsia" w:eastAsiaTheme="minorEastAsia"/>
          <w:b/>
          <w:szCs w:val="21"/>
        </w:rPr>
        <w:br w:type="page"/>
      </w: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一、投标函</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致：</w:t>
      </w:r>
      <w:r>
        <w:rPr>
          <w:rFonts w:cs="宋体" w:asciiTheme="minorEastAsia" w:hAnsiTheme="minorEastAsia" w:eastAsiaTheme="minorEastAsia"/>
          <w:kern w:val="0"/>
          <w:sz w:val="24"/>
          <w:szCs w:val="24"/>
          <w:u w:val="single"/>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兹收到贵单位关于</w:t>
      </w:r>
      <w:r>
        <w:rPr>
          <w:rFonts w:hint="eastAsia" w:cs="宋体" w:asciiTheme="minorEastAsia" w:hAnsiTheme="minorEastAsia" w:eastAsiaTheme="minorEastAsia"/>
          <w:kern w:val="0"/>
          <w:sz w:val="24"/>
          <w:szCs w:val="24"/>
          <w:u w:val="single"/>
        </w:rPr>
        <w:t>（填写“项目名称”）</w:t>
      </w:r>
      <w:r>
        <w:rPr>
          <w:rFonts w:hint="eastAsia" w:cs="宋体" w:asciiTheme="minorEastAsia" w:hAnsiTheme="minorEastAsia" w:eastAsiaTheme="minorEastAsia"/>
          <w:kern w:val="0"/>
          <w:sz w:val="24"/>
          <w:szCs w:val="24"/>
        </w:rPr>
        <w:t>项目（招标编号：</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）的投标邀请，本投标人代表</w:t>
      </w:r>
      <w:r>
        <w:rPr>
          <w:rFonts w:hint="eastAsia" w:cs="宋体" w:asciiTheme="minorEastAsia" w:hAnsiTheme="minorEastAsia" w:eastAsiaTheme="minorEastAsia"/>
          <w:kern w:val="0"/>
          <w:sz w:val="24"/>
          <w:szCs w:val="24"/>
          <w:u w:val="single"/>
        </w:rPr>
        <w:t>（填写“全名”）</w:t>
      </w:r>
      <w:r>
        <w:rPr>
          <w:rFonts w:hint="eastAsia" w:cs="宋体" w:asciiTheme="minorEastAsia" w:hAnsiTheme="minorEastAsia" w:eastAsiaTheme="minorEastAsia"/>
          <w:kern w:val="0"/>
          <w:sz w:val="24"/>
          <w:szCs w:val="24"/>
        </w:rPr>
        <w:t>已获得我方正式授权并代表投标人</w:t>
      </w:r>
      <w:r>
        <w:rPr>
          <w:rFonts w:hint="eastAsia" w:cs="宋体" w:asciiTheme="minorEastAsia" w:hAnsiTheme="minorEastAsia" w:eastAsiaTheme="minorEastAsia"/>
          <w:kern w:val="0"/>
          <w:sz w:val="24"/>
          <w:szCs w:val="24"/>
          <w:u w:val="single"/>
        </w:rPr>
        <w:t>（填写“全称”）</w:t>
      </w:r>
      <w:r>
        <w:rPr>
          <w:rFonts w:hint="eastAsia" w:cs="宋体" w:asciiTheme="minorEastAsia" w:hAnsiTheme="minorEastAsia" w:eastAsiaTheme="minorEastAsia"/>
          <w:kern w:val="0"/>
          <w:sz w:val="24"/>
          <w:szCs w:val="24"/>
        </w:rPr>
        <w:t>参加投标，并提交招标文件规定份数的投标文件正本和副本。我方提交的全部投标文件均由下述部分组成：</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）报价部分</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①开标一览表</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②投标分项报价表</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③招标文件规定的价格扣除证明材料（若有）</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④招标文件规定的加分证明材料（若有）</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（2）技术商务部分</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①投标函</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②投标人的资格及资信证明文件</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③投标保证金</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④技术和服务要求响应表</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⑤商务条件响应表</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⑥投标人提交的其他资料（若有）</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通信地址：</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邮编：</w:t>
      </w:r>
      <w:r>
        <w:rPr>
          <w:rFonts w:cs="宋体" w:asciiTheme="minorEastAsia" w:hAnsiTheme="minorEastAsia" w:eastAsiaTheme="minorEastAsia"/>
          <w:kern w:val="0"/>
          <w:sz w:val="24"/>
          <w:szCs w:val="24"/>
          <w:u w:val="single"/>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联系方法：</w:t>
      </w:r>
      <w:r>
        <w:rPr>
          <w:rFonts w:hint="eastAsia" w:cs="宋体" w:asciiTheme="minorEastAsia" w:hAnsiTheme="minorEastAsia" w:eastAsiaTheme="minorEastAsia"/>
          <w:kern w:val="0"/>
          <w:sz w:val="24"/>
          <w:szCs w:val="24"/>
          <w:u w:val="single"/>
        </w:rPr>
        <w:t>（包括但不限于：联系人、联系电话、手机、传真、电子邮箱等）</w:t>
      </w:r>
    </w:p>
    <w:p>
      <w:pPr>
        <w:widowControl/>
        <w:spacing w:after="150"/>
        <w:ind w:firstLine="42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widowControl/>
        <w:spacing w:after="150"/>
        <w:jc w:val="center"/>
        <w:rPr>
          <w:rFonts w:cs="宋体" w:asciiTheme="minorEastAsia" w:hAnsiTheme="minorEastAsia" w:eastAsiaTheme="minorEastAsia"/>
          <w:b/>
          <w:bCs/>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二、投标人的资格及资信证明文件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二</w:t>
      </w:r>
      <w:r>
        <w:rPr>
          <w:rFonts w:cs="宋体" w:asciiTheme="minorEastAsia" w:hAnsiTheme="minorEastAsia" w:eastAsiaTheme="minorEastAsia"/>
          <w:b/>
          <w:bCs/>
          <w:kern w:val="0"/>
          <w:sz w:val="24"/>
          <w:szCs w:val="24"/>
        </w:rPr>
        <w:t>-1</w:t>
      </w:r>
      <w:r>
        <w:rPr>
          <w:rFonts w:hint="eastAsia" w:cs="宋体" w:asciiTheme="minorEastAsia" w:hAnsiTheme="minorEastAsia" w:eastAsiaTheme="minorEastAsia"/>
          <w:b/>
          <w:bCs/>
          <w:kern w:val="0"/>
          <w:sz w:val="24"/>
          <w:szCs w:val="24"/>
        </w:rPr>
        <w:t>单位负责人授权书（若有）</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致：</w:t>
      </w:r>
      <w:r>
        <w:rPr>
          <w:rFonts w:cs="宋体" w:asciiTheme="minorEastAsia" w:hAnsiTheme="minorEastAsia" w:eastAsiaTheme="minorEastAsia"/>
          <w:kern w:val="0"/>
          <w:sz w:val="24"/>
          <w:szCs w:val="24"/>
          <w:u w:val="single"/>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我方的单位负责人</w:t>
      </w:r>
      <w:r>
        <w:rPr>
          <w:rFonts w:hint="eastAsia" w:cs="宋体" w:asciiTheme="minorEastAsia" w:hAnsiTheme="minorEastAsia" w:eastAsiaTheme="minorEastAsia"/>
          <w:kern w:val="0"/>
          <w:sz w:val="24"/>
          <w:szCs w:val="24"/>
          <w:u w:val="single"/>
        </w:rPr>
        <w:t>（填写“单位负责人全名”）</w:t>
      </w:r>
      <w:r>
        <w:rPr>
          <w:rFonts w:hint="eastAsia" w:cs="宋体" w:asciiTheme="minorEastAsia" w:hAnsiTheme="minorEastAsia" w:eastAsiaTheme="minorEastAsia"/>
          <w:kern w:val="0"/>
          <w:sz w:val="24"/>
          <w:szCs w:val="24"/>
        </w:rPr>
        <w:t>授权</w:t>
      </w:r>
      <w:r>
        <w:rPr>
          <w:rFonts w:hint="eastAsia" w:cs="宋体" w:asciiTheme="minorEastAsia" w:hAnsiTheme="minorEastAsia" w:eastAsiaTheme="minorEastAsia"/>
          <w:kern w:val="0"/>
          <w:sz w:val="24"/>
          <w:szCs w:val="24"/>
          <w:u w:val="single"/>
        </w:rPr>
        <w:t>（填写“投标人代表全名”）</w:t>
      </w:r>
      <w:r>
        <w:rPr>
          <w:rFonts w:hint="eastAsia" w:cs="宋体" w:asciiTheme="minorEastAsia" w:hAnsiTheme="minorEastAsia" w:eastAsiaTheme="minorEastAsia"/>
          <w:kern w:val="0"/>
          <w:sz w:val="24"/>
          <w:szCs w:val="24"/>
        </w:rPr>
        <w:t>为投标人代表，代表我方参加</w:t>
      </w:r>
      <w:r>
        <w:rPr>
          <w:rFonts w:hint="eastAsia" w:cs="宋体" w:asciiTheme="minorEastAsia" w:hAnsiTheme="minorEastAsia" w:eastAsiaTheme="minorEastAsia"/>
          <w:kern w:val="0"/>
          <w:sz w:val="24"/>
          <w:szCs w:val="24"/>
          <w:u w:val="single"/>
        </w:rPr>
        <w:t>（填写“项目名称”）</w:t>
      </w:r>
      <w:r>
        <w:rPr>
          <w:rFonts w:hint="eastAsia" w:cs="宋体" w:asciiTheme="minorEastAsia" w:hAnsiTheme="minorEastAsia" w:eastAsiaTheme="minorEastAsia"/>
          <w:kern w:val="0"/>
          <w:sz w:val="24"/>
          <w:szCs w:val="24"/>
        </w:rPr>
        <w:t>项目（招标编号：</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投标人代表无转委权。特此授权。</w:t>
      </w: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（以下无正文）</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单位负责人：</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身份证号：</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手机：</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身份证号：</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手机：</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授权方</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单位负责人签字或盖章：</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接受授权方</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签署日期：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附：单位负责人、投标人代表的身份证正反面复印件</w:t>
      </w:r>
    </w:p>
    <w:tbl>
      <w:tblPr>
        <w:tblStyle w:val="52"/>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995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000"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 </w:t>
            </w: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要求：真实有效且内容完整、清晰、整洁。</w:t>
            </w:r>
          </w:p>
          <w:p>
            <w:pPr>
              <w:widowControl/>
              <w:spacing w:after="150"/>
              <w:jc w:val="center"/>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 </w:t>
            </w:r>
          </w:p>
        </w:tc>
      </w:tr>
    </w:tbl>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、企业（银行、保险、石油石化、电力、电信等行业除外）、事业单位和社会团体法人的“单位负责人”指</w:t>
      </w:r>
      <w:r>
        <w:rPr>
          <w:rFonts w:hint="eastAsia" w:cs="宋体" w:asciiTheme="minorEastAsia" w:hAnsiTheme="minorEastAsia" w:eastAsiaTheme="minorEastAsia"/>
          <w:b/>
          <w:bCs/>
          <w:kern w:val="0"/>
          <w:sz w:val="24"/>
          <w:szCs w:val="24"/>
        </w:rPr>
        <w:t>单位负责人</w:t>
      </w:r>
      <w:r>
        <w:rPr>
          <w:rFonts w:hint="eastAsia" w:cs="宋体" w:asciiTheme="minorEastAsia" w:hAnsiTheme="minorEastAsia" w:eastAsiaTheme="minorEastAsia"/>
          <w:kern w:val="0"/>
          <w:sz w:val="24"/>
          <w:szCs w:val="24"/>
        </w:rPr>
        <w:t>，即与实际提交的“营业执照等证明文件”载明的一致。</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、投标人（自然人除外）：若投标人代表为单位负责人授权的委托代理人，应提供本授权书；若投标人代表为单位负责人，应在此项下提交其身份证正反面复印件，可不提供本授权书。</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rPr>
        <w:t>、投标人为自然人的，可不填写本授权书。</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w:t>
      </w:r>
      <w:r>
        <w:rPr>
          <w:rFonts w:hint="eastAsia" w:cs="宋体" w:asciiTheme="minorEastAsia" w:hAnsiTheme="minorEastAsia" w:eastAsiaTheme="minorEastAsia"/>
          <w:kern w:val="0"/>
          <w:sz w:val="24"/>
          <w:szCs w:val="24"/>
        </w:rPr>
        <w:t>、纸质投标文件正本中的本授权书（若有）应为原件。</w:t>
      </w:r>
    </w:p>
    <w:p>
      <w:pPr>
        <w:widowControl/>
        <w:spacing w:after="150"/>
        <w:jc w:val="center"/>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二</w:t>
      </w:r>
      <w:r>
        <w:rPr>
          <w:rFonts w:cs="宋体" w:asciiTheme="minorEastAsia" w:hAnsiTheme="minorEastAsia" w:eastAsiaTheme="minorEastAsia"/>
          <w:b/>
          <w:bCs/>
          <w:kern w:val="0"/>
          <w:sz w:val="24"/>
          <w:szCs w:val="24"/>
        </w:rPr>
        <w:t>-2</w:t>
      </w:r>
      <w:r>
        <w:rPr>
          <w:rFonts w:hint="eastAsia" w:cs="宋体" w:asciiTheme="minorEastAsia" w:hAnsiTheme="minorEastAsia" w:eastAsiaTheme="minorEastAsia"/>
          <w:b/>
          <w:bCs/>
          <w:kern w:val="0"/>
          <w:sz w:val="24"/>
          <w:szCs w:val="24"/>
        </w:rPr>
        <w:t>营业执照等证明文件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致：</w:t>
      </w:r>
      <w:r>
        <w:rPr>
          <w:rFonts w:cs="宋体" w:asciiTheme="minorEastAsia" w:hAnsiTheme="minorEastAsia" w:eastAsiaTheme="minorEastAsia"/>
          <w:kern w:val="0"/>
          <w:sz w:val="24"/>
          <w:szCs w:val="24"/>
          <w:u w:val="single"/>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）投标人为法人（包括企业、事业单位和社会团体）的</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现附上由</w:t>
      </w:r>
      <w:r>
        <w:rPr>
          <w:rFonts w:hint="eastAsia" w:cs="宋体" w:asciiTheme="minorEastAsia" w:hAnsiTheme="minorEastAsia" w:eastAsiaTheme="minorEastAsia"/>
          <w:kern w:val="0"/>
          <w:sz w:val="24"/>
          <w:szCs w:val="24"/>
          <w:u w:val="single"/>
        </w:rPr>
        <w:t>（填写“签发机关全称”）</w:t>
      </w:r>
      <w:r>
        <w:rPr>
          <w:rFonts w:hint="eastAsia" w:cs="宋体" w:asciiTheme="minorEastAsia" w:hAnsiTheme="minorEastAsia" w:eastAsiaTheme="minorEastAsia"/>
          <w:kern w:val="0"/>
          <w:sz w:val="24"/>
          <w:szCs w:val="24"/>
        </w:rPr>
        <w:t>签发的我方统一社会信用代码</w:t>
      </w:r>
      <w:r>
        <w:rPr>
          <w:rFonts w:hint="eastAsia" w:cs="宋体" w:asciiTheme="minorEastAsia" w:hAnsiTheme="minorEastAsia" w:eastAsiaTheme="minorEastAsia"/>
          <w:kern w:val="0"/>
          <w:sz w:val="24"/>
          <w:szCs w:val="24"/>
          <w:u w:val="single"/>
        </w:rPr>
        <w:t>（请填写具体证照名称）</w:t>
      </w:r>
      <w:r>
        <w:rPr>
          <w:rFonts w:hint="eastAsia" w:cs="宋体" w:asciiTheme="minorEastAsia" w:hAnsiTheme="minorEastAsia" w:eastAsiaTheme="minorEastAsia"/>
          <w:kern w:val="0"/>
          <w:sz w:val="24"/>
          <w:szCs w:val="24"/>
        </w:rPr>
        <w:t>复印件，该证明材料真实有效，否则我方负全部责任。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）投标人为非法人（包括其他组织、自然人）的</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□现附上由</w:t>
      </w:r>
      <w:r>
        <w:rPr>
          <w:rFonts w:hint="eastAsia" w:cs="宋体" w:asciiTheme="minorEastAsia" w:hAnsiTheme="minorEastAsia" w:eastAsiaTheme="minorEastAsia"/>
          <w:kern w:val="0"/>
          <w:sz w:val="24"/>
          <w:szCs w:val="24"/>
          <w:u w:val="single"/>
        </w:rPr>
        <w:t>（填写“签发机关全称”）</w:t>
      </w:r>
      <w:r>
        <w:rPr>
          <w:rFonts w:hint="eastAsia" w:cs="宋体" w:asciiTheme="minorEastAsia" w:hAnsiTheme="minorEastAsia" w:eastAsiaTheme="minorEastAsia"/>
          <w:kern w:val="0"/>
          <w:sz w:val="24"/>
          <w:szCs w:val="24"/>
        </w:rPr>
        <w:t>签发的我方</w:t>
      </w:r>
      <w:r>
        <w:rPr>
          <w:rFonts w:hint="eastAsia" w:cs="宋体" w:asciiTheme="minorEastAsia" w:hAnsiTheme="minorEastAsia" w:eastAsiaTheme="minorEastAsia"/>
          <w:kern w:val="0"/>
          <w:sz w:val="24"/>
          <w:szCs w:val="24"/>
          <w:u w:val="single"/>
        </w:rPr>
        <w:t>（请填写非自然人的非法人的具体证照名称）</w:t>
      </w:r>
      <w:r>
        <w:rPr>
          <w:rFonts w:hint="eastAsia" w:cs="宋体" w:asciiTheme="minorEastAsia" w:hAnsiTheme="minorEastAsia" w:eastAsiaTheme="minorEastAsia"/>
          <w:kern w:val="0"/>
          <w:sz w:val="24"/>
          <w:szCs w:val="24"/>
        </w:rPr>
        <w:t>复印件，该证明材料真实有效，否则我方负全部责任。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□现附上由</w:t>
      </w:r>
      <w:r>
        <w:rPr>
          <w:rFonts w:hint="eastAsia" w:cs="宋体" w:asciiTheme="minorEastAsia" w:hAnsiTheme="minorEastAsia" w:eastAsiaTheme="minorEastAsia"/>
          <w:kern w:val="0"/>
          <w:sz w:val="24"/>
          <w:szCs w:val="24"/>
          <w:u w:val="single"/>
        </w:rPr>
        <w:t>（填写“签发机关全称”）</w:t>
      </w:r>
      <w:r>
        <w:rPr>
          <w:rFonts w:hint="eastAsia" w:cs="宋体" w:asciiTheme="minorEastAsia" w:hAnsiTheme="minorEastAsia" w:eastAsiaTheme="minorEastAsia"/>
          <w:kern w:val="0"/>
          <w:sz w:val="24"/>
          <w:szCs w:val="24"/>
        </w:rPr>
        <w:t>签发的我方</w:t>
      </w:r>
      <w:r>
        <w:rPr>
          <w:rFonts w:hint="eastAsia" w:cs="宋体" w:asciiTheme="minorEastAsia" w:hAnsiTheme="minorEastAsia" w:eastAsiaTheme="minorEastAsia"/>
          <w:kern w:val="0"/>
          <w:sz w:val="24"/>
          <w:szCs w:val="24"/>
          <w:u w:val="single"/>
        </w:rPr>
        <w:t>（请填写自然人的身份证件名称）</w:t>
      </w:r>
      <w:r>
        <w:rPr>
          <w:rFonts w:hint="eastAsia" w:cs="宋体" w:asciiTheme="minorEastAsia" w:hAnsiTheme="minorEastAsia" w:eastAsiaTheme="minorEastAsia"/>
          <w:kern w:val="0"/>
          <w:sz w:val="24"/>
          <w:szCs w:val="24"/>
        </w:rPr>
        <w:t>复印件，该证明材料真实有效，否则我方负全部责任。</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、请投标人按照实际情况编制填写，在相应的（）中打“√”并选择相应的“□”（若有）后，再按照本格式的要求提供相应证明材料的复印件。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、投标人提供的相应证明材料复印件均应符合：内容完整、清晰、整洁，并由投标人加盖其单位公章。</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center"/>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二</w:t>
      </w:r>
      <w:r>
        <w:rPr>
          <w:rFonts w:cs="宋体" w:asciiTheme="minorEastAsia" w:hAnsiTheme="minorEastAsia" w:eastAsiaTheme="minorEastAsia"/>
          <w:b/>
          <w:bCs/>
          <w:kern w:val="0"/>
          <w:sz w:val="24"/>
          <w:szCs w:val="24"/>
        </w:rPr>
        <w:t>-3</w:t>
      </w:r>
      <w:r>
        <w:rPr>
          <w:rFonts w:hint="eastAsia" w:cs="宋体" w:asciiTheme="minorEastAsia" w:hAnsiTheme="minorEastAsia" w:eastAsiaTheme="minorEastAsia"/>
          <w:b/>
          <w:bCs/>
          <w:kern w:val="0"/>
          <w:sz w:val="24"/>
          <w:szCs w:val="24"/>
        </w:rPr>
        <w:t>财务状况报告（财务报告、或资信证明、或投标担保函）</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致：</w:t>
      </w:r>
      <w:r>
        <w:rPr>
          <w:rFonts w:cs="宋体" w:asciiTheme="minorEastAsia" w:hAnsiTheme="minorEastAsia" w:eastAsiaTheme="minorEastAsia"/>
          <w:kern w:val="0"/>
          <w:sz w:val="24"/>
          <w:szCs w:val="24"/>
          <w:u w:val="single"/>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）投标人提供财务报告的</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□企业适用：现附上我方</w:t>
      </w:r>
      <w:r>
        <w:rPr>
          <w:rFonts w:hint="eastAsia" w:cs="宋体" w:asciiTheme="minorEastAsia" w:hAnsiTheme="minorEastAsia" w:eastAsiaTheme="minorEastAsia"/>
          <w:kern w:val="0"/>
          <w:sz w:val="24"/>
          <w:szCs w:val="24"/>
          <w:u w:val="single"/>
        </w:rPr>
        <w:t>（填写“具体的年度、或半年度、或季度”）</w:t>
      </w:r>
      <w:r>
        <w:rPr>
          <w:rFonts w:hint="eastAsia" w:cs="宋体" w:asciiTheme="minorEastAsia" w:hAnsiTheme="minorEastAsia" w:eastAsiaTheme="minorEastAsia"/>
          <w:kern w:val="0"/>
          <w:sz w:val="24"/>
          <w:szCs w:val="24"/>
        </w:rPr>
        <w:t>财务报告复印件，包括资产负债表、利润表、现金流量表、所有者权益变动表（若有）及其附注（若有），上述证明材料真实有效，否则我方负全部责任。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□事业单位适用：现附上我方</w:t>
      </w:r>
      <w:r>
        <w:rPr>
          <w:rFonts w:hint="eastAsia" w:cs="宋体" w:asciiTheme="minorEastAsia" w:hAnsiTheme="minorEastAsia" w:eastAsiaTheme="minorEastAsia"/>
          <w:kern w:val="0"/>
          <w:sz w:val="24"/>
          <w:szCs w:val="24"/>
          <w:u w:val="single"/>
        </w:rPr>
        <w:t>（填写“具体的年度、或半年度、或季度”）</w:t>
      </w:r>
      <w:r>
        <w:rPr>
          <w:rFonts w:hint="eastAsia" w:cs="宋体" w:asciiTheme="minorEastAsia" w:hAnsiTheme="minorEastAsia" w:eastAsiaTheme="minorEastAsia"/>
          <w:kern w:val="0"/>
          <w:sz w:val="24"/>
          <w:szCs w:val="24"/>
        </w:rPr>
        <w:t>财务报告复印件，包括资产负债表、收入支出表（或收入费用表）、财政补助收入支出表（若有），上述证明材料真实有效，否则我方负全部责任。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□社会团体适用：现附上我方</w:t>
      </w:r>
      <w:r>
        <w:rPr>
          <w:rFonts w:hint="eastAsia" w:cs="宋体" w:asciiTheme="minorEastAsia" w:hAnsiTheme="minorEastAsia" w:eastAsiaTheme="minorEastAsia"/>
          <w:kern w:val="0"/>
          <w:sz w:val="24"/>
          <w:szCs w:val="24"/>
          <w:u w:val="single"/>
        </w:rPr>
        <w:t>（填写“具体的年度、或半年度、或季度”）</w:t>
      </w:r>
      <w:r>
        <w:rPr>
          <w:rFonts w:hint="eastAsia" w:cs="宋体" w:asciiTheme="minorEastAsia" w:hAnsiTheme="minorEastAsia" w:eastAsiaTheme="minorEastAsia"/>
          <w:kern w:val="0"/>
          <w:sz w:val="24"/>
          <w:szCs w:val="24"/>
        </w:rPr>
        <w:t>财务报告复印件，包括资产负债表、业务活动表、现金流量表，上述证明材料真实有效，否则我方负全部责任。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）投标人提供资信证明的</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□自然人适用：现附上我方银行：</w:t>
      </w:r>
      <w:r>
        <w:rPr>
          <w:rFonts w:hint="eastAsia" w:cs="宋体" w:asciiTheme="minorEastAsia" w:hAnsiTheme="minorEastAsia" w:eastAsiaTheme="minorEastAsia"/>
          <w:kern w:val="0"/>
          <w:sz w:val="24"/>
          <w:szCs w:val="24"/>
          <w:u w:val="single"/>
        </w:rPr>
        <w:t>（填写自然人的“个人账户的开户银行全称”）</w:t>
      </w:r>
      <w:r>
        <w:rPr>
          <w:rFonts w:hint="eastAsia" w:cs="宋体" w:asciiTheme="minorEastAsia" w:hAnsiTheme="minorEastAsia" w:eastAsiaTheme="minorEastAsia"/>
          <w:kern w:val="0"/>
          <w:sz w:val="24"/>
          <w:szCs w:val="24"/>
        </w:rPr>
        <w:t>出具的资信证明复印件，上述证明材料真实有效，否则我方负全部责任。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）投标人提供投标担保函的</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现附上由财政部门认可的采购专业担保机构：</w:t>
      </w:r>
      <w:r>
        <w:rPr>
          <w:rFonts w:hint="eastAsia" w:cs="宋体" w:asciiTheme="minorEastAsia" w:hAnsiTheme="minorEastAsia" w:eastAsiaTheme="minorEastAsia"/>
          <w:kern w:val="0"/>
          <w:sz w:val="24"/>
          <w:szCs w:val="24"/>
          <w:u w:val="single"/>
        </w:rPr>
        <w:t>（填写“担保机构全称”）</w:t>
      </w:r>
      <w:r>
        <w:rPr>
          <w:rFonts w:hint="eastAsia" w:cs="宋体" w:asciiTheme="minorEastAsia" w:hAnsiTheme="minorEastAsia" w:eastAsiaTheme="minorEastAsia"/>
          <w:kern w:val="0"/>
          <w:sz w:val="24"/>
          <w:szCs w:val="24"/>
        </w:rPr>
        <w:t>出具的投标担保函复印件，上述证明材料真实有效，否则我方负全部责任。</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、请投标人按照实际情况编制填写，在相应的（）中打“√”并选择相应的“□”（若有）后，再按照本格式的要求提供相应证明材料的复印件。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、投标人提供的财务报告复印件（成立年限按照投标截止时间推算）应符合下列规定：</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2.1</w:t>
      </w:r>
      <w:r>
        <w:rPr>
          <w:rFonts w:hint="eastAsia" w:cs="宋体" w:asciiTheme="minorEastAsia" w:hAnsiTheme="minorEastAsia" w:eastAsiaTheme="minorEastAsia"/>
          <w:kern w:val="0"/>
          <w:sz w:val="24"/>
          <w:szCs w:val="24"/>
        </w:rPr>
        <w:t>成立年限满</w:t>
      </w: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年及以上的投标人，提供经审计的上一年度的年度财务报告。</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2.2</w:t>
      </w:r>
      <w:r>
        <w:rPr>
          <w:rFonts w:hint="eastAsia" w:cs="宋体" w:asciiTheme="minorEastAsia" w:hAnsiTheme="minorEastAsia" w:eastAsiaTheme="minorEastAsia"/>
          <w:kern w:val="0"/>
          <w:sz w:val="24"/>
          <w:szCs w:val="24"/>
        </w:rPr>
        <w:t>成立年限满半年但不足</w:t>
      </w: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年的投标人，提供该半年度中任一季度的季度财务报告或该半年度的半年度财务报告。</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※无法按照本格式第</w:t>
      </w:r>
      <w:r>
        <w:rPr>
          <w:rFonts w:cs="宋体" w:asciiTheme="minorEastAsia" w:hAnsiTheme="minorEastAsia" w:eastAsiaTheme="minorEastAsia"/>
          <w:b/>
          <w:bCs/>
          <w:kern w:val="0"/>
          <w:sz w:val="24"/>
          <w:szCs w:val="24"/>
        </w:rPr>
        <w:t>2.1</w:t>
      </w:r>
      <w:r>
        <w:rPr>
          <w:rFonts w:hint="eastAsia" w:cs="宋体" w:asciiTheme="minorEastAsia" w:hAnsiTheme="minorEastAsia" w:eastAsiaTheme="minorEastAsia"/>
          <w:b/>
          <w:bCs/>
          <w:kern w:val="0"/>
          <w:sz w:val="24"/>
          <w:szCs w:val="24"/>
        </w:rPr>
        <w:t>、</w:t>
      </w:r>
      <w:r>
        <w:rPr>
          <w:rFonts w:cs="宋体" w:asciiTheme="minorEastAsia" w:hAnsiTheme="minorEastAsia" w:eastAsiaTheme="minorEastAsia"/>
          <w:b/>
          <w:bCs/>
          <w:kern w:val="0"/>
          <w:sz w:val="24"/>
          <w:szCs w:val="24"/>
        </w:rPr>
        <w:t>2.2</w:t>
      </w:r>
      <w:r>
        <w:rPr>
          <w:rFonts w:hint="eastAsia" w:cs="宋体" w:asciiTheme="minorEastAsia" w:hAnsiTheme="minorEastAsia" w:eastAsiaTheme="minorEastAsia"/>
          <w:b/>
          <w:bCs/>
          <w:kern w:val="0"/>
          <w:sz w:val="24"/>
          <w:szCs w:val="24"/>
        </w:rPr>
        <w:t>条规定提供财务报告复印件的投标人（包括但不限于：成立年限满</w:t>
      </w:r>
      <w:r>
        <w:rPr>
          <w:rFonts w:cs="宋体" w:asciiTheme="minorEastAsia" w:hAnsiTheme="minorEastAsia" w:eastAsiaTheme="minorEastAsia"/>
          <w:b/>
          <w:bCs/>
          <w:kern w:val="0"/>
          <w:sz w:val="24"/>
          <w:szCs w:val="24"/>
        </w:rPr>
        <w:t>1</w:t>
      </w:r>
      <w:r>
        <w:rPr>
          <w:rFonts w:hint="eastAsia" w:cs="宋体" w:asciiTheme="minorEastAsia" w:hAnsiTheme="minorEastAsia" w:eastAsiaTheme="minorEastAsia"/>
          <w:b/>
          <w:bCs/>
          <w:kern w:val="0"/>
          <w:sz w:val="24"/>
          <w:szCs w:val="24"/>
        </w:rPr>
        <w:t>年及以上的投标人、成立年限满半年但不足</w:t>
      </w:r>
      <w:r>
        <w:rPr>
          <w:rFonts w:cs="宋体" w:asciiTheme="minorEastAsia" w:hAnsiTheme="minorEastAsia" w:eastAsiaTheme="minorEastAsia"/>
          <w:b/>
          <w:bCs/>
          <w:kern w:val="0"/>
          <w:sz w:val="24"/>
          <w:szCs w:val="24"/>
        </w:rPr>
        <w:t>1</w:t>
      </w:r>
      <w:r>
        <w:rPr>
          <w:rFonts w:hint="eastAsia" w:cs="宋体" w:asciiTheme="minorEastAsia" w:hAnsiTheme="minorEastAsia" w:eastAsiaTheme="minorEastAsia"/>
          <w:b/>
          <w:bCs/>
          <w:kern w:val="0"/>
          <w:sz w:val="24"/>
          <w:szCs w:val="24"/>
        </w:rPr>
        <w:t>年的投标人、成立年限不足半年的投标人），应按照本格式的要求选择提供资信证明复印件或投标担保函复印件，其中：非自然人的投标人选择提供资信证明的，还应附上其开户（基本存款账户）许可证复印件。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、“财政部门认可的采购专业担保机构”应符合《财政部关于开展采购信用担保试点工作方案》（财库</w:t>
      </w:r>
      <w:r>
        <w:rPr>
          <w:rFonts w:cs="宋体" w:asciiTheme="minorEastAsia" w:hAnsiTheme="minorEastAsia" w:eastAsiaTheme="minorEastAsia"/>
          <w:kern w:val="0"/>
          <w:sz w:val="24"/>
          <w:szCs w:val="24"/>
        </w:rPr>
        <w:t>[2012]124</w:t>
      </w:r>
      <w:r>
        <w:rPr>
          <w:rFonts w:hint="eastAsia" w:cs="宋体" w:asciiTheme="minorEastAsia" w:hAnsiTheme="minorEastAsia" w:eastAsiaTheme="minorEastAsia"/>
          <w:kern w:val="0"/>
          <w:sz w:val="24"/>
          <w:szCs w:val="24"/>
        </w:rPr>
        <w:t>号）的规定。</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rPr>
        <w:t>、投标人提供的相应证明材料复印件均应符合：内容完整、清晰、整洁，并由投标人加盖其单位公章。</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center"/>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二</w:t>
      </w:r>
      <w:r>
        <w:rPr>
          <w:rFonts w:cs="宋体" w:asciiTheme="minorEastAsia" w:hAnsiTheme="minorEastAsia" w:eastAsiaTheme="minorEastAsia"/>
          <w:b/>
          <w:bCs/>
          <w:kern w:val="0"/>
          <w:sz w:val="24"/>
          <w:szCs w:val="24"/>
        </w:rPr>
        <w:t>-4</w:t>
      </w:r>
      <w:r>
        <w:rPr>
          <w:rFonts w:hint="eastAsia" w:cs="宋体" w:asciiTheme="minorEastAsia" w:hAnsiTheme="minorEastAsia" w:eastAsiaTheme="minorEastAsia"/>
          <w:b/>
          <w:bCs/>
          <w:kern w:val="0"/>
          <w:sz w:val="24"/>
          <w:szCs w:val="24"/>
        </w:rPr>
        <w:t>依法缴纳税收证明材料</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致：</w:t>
      </w:r>
      <w:r>
        <w:rPr>
          <w:rFonts w:cs="宋体" w:asciiTheme="minorEastAsia" w:hAnsiTheme="minorEastAsia" w:eastAsiaTheme="minorEastAsia"/>
          <w:kern w:val="0"/>
          <w:sz w:val="24"/>
          <w:szCs w:val="24"/>
          <w:u w:val="single"/>
        </w:rPr>
        <w:t>                     </w:t>
      </w:r>
    </w:p>
    <w:p>
      <w:pPr>
        <w:widowControl/>
        <w:spacing w:after="150"/>
        <w:ind w:firstLine="42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、依法缴纳税收的投标人</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）法人（包括企业、事业单位和社会团体）的</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现附上自</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日至</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日期间我方缴纳的</w:t>
      </w:r>
      <w:r>
        <w:rPr>
          <w:rFonts w:hint="eastAsia" w:cs="宋体" w:asciiTheme="minorEastAsia" w:hAnsiTheme="minorEastAsia" w:eastAsiaTheme="minorEastAsia"/>
          <w:kern w:val="0"/>
          <w:sz w:val="24"/>
          <w:szCs w:val="24"/>
          <w:u w:val="single"/>
        </w:rPr>
        <w:t>（按照投标人实际缴纳的税种名称填写，如：增值税、所得税等）</w:t>
      </w:r>
      <w:r>
        <w:rPr>
          <w:rFonts w:hint="eastAsia" w:cs="宋体" w:asciiTheme="minorEastAsia" w:hAnsiTheme="minorEastAsia" w:eastAsiaTheme="minorEastAsia"/>
          <w:kern w:val="0"/>
          <w:sz w:val="24"/>
          <w:szCs w:val="24"/>
        </w:rPr>
        <w:t>税收凭据复印件，上述证明材料真实有效，否则我方负全部责任。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）非法人（包括其他组织、自然人）的</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现附上自</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日至</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日期间我方缴纳的</w:t>
      </w:r>
      <w:r>
        <w:rPr>
          <w:rFonts w:hint="eastAsia" w:cs="宋体" w:asciiTheme="minorEastAsia" w:hAnsiTheme="minorEastAsia" w:eastAsiaTheme="minorEastAsia"/>
          <w:kern w:val="0"/>
          <w:sz w:val="24"/>
          <w:szCs w:val="24"/>
          <w:u w:val="single"/>
        </w:rPr>
        <w:t>（按照投标人实际缴纳的税种名称填写）</w:t>
      </w:r>
      <w:r>
        <w:rPr>
          <w:rFonts w:hint="eastAsia" w:cs="宋体" w:asciiTheme="minorEastAsia" w:hAnsiTheme="minorEastAsia" w:eastAsiaTheme="minorEastAsia"/>
          <w:kern w:val="0"/>
          <w:sz w:val="24"/>
          <w:szCs w:val="24"/>
        </w:rPr>
        <w:t>税收凭据复印件，上述证明材料真实有效，否则我方负全部责任。</w:t>
      </w:r>
    </w:p>
    <w:p>
      <w:pPr>
        <w:widowControl/>
        <w:spacing w:after="150"/>
        <w:ind w:firstLine="42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、依法免税的投标人</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）现附上我方依法免税证明材料复印件，上述证明材料真实有效，否则我方负全部责任。</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、请投标人按照实际情况编制填写，在相应的（）中打“√”，并按照本格式的要求提供相应证明材料的复印件。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、投标人提供的税收凭据复印件应符合下列规定：</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2.1</w:t>
      </w:r>
      <w:r>
        <w:rPr>
          <w:rFonts w:hint="eastAsia" w:cs="宋体" w:asciiTheme="minorEastAsia" w:hAnsiTheme="minorEastAsia" w:eastAsiaTheme="minorEastAsia"/>
          <w:kern w:val="0"/>
          <w:sz w:val="24"/>
          <w:szCs w:val="24"/>
        </w:rPr>
        <w:t>投标截止时间前（不含投标截止时间的当月）已依法缴纳税收的投标人，提供投标截止时间前六个月（不含投标截止时间的当月）中任一月份的税收凭据复印件。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2.2</w:t>
      </w:r>
      <w:r>
        <w:rPr>
          <w:rFonts w:hint="eastAsia" w:cs="宋体" w:asciiTheme="minorEastAsia" w:hAnsiTheme="minorEastAsia" w:eastAsiaTheme="minorEastAsia"/>
          <w:kern w:val="0"/>
          <w:sz w:val="24"/>
          <w:szCs w:val="24"/>
        </w:rPr>
        <w:t>投标截止时间的当月成立且已依法缴纳税收的投标人，提供投标截止时间当月的税收凭据复印件。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2.3</w:t>
      </w:r>
      <w:r>
        <w:rPr>
          <w:rFonts w:hint="eastAsia" w:cs="宋体" w:asciiTheme="minorEastAsia" w:hAnsiTheme="minorEastAsia" w:eastAsiaTheme="minorEastAsia"/>
          <w:kern w:val="0"/>
          <w:sz w:val="24"/>
          <w:szCs w:val="24"/>
        </w:rPr>
        <w:t>投标截止时间的当月成立但因税务机关原因导致其尚未依法缴纳税收的投标人，提供依法缴纳税收承诺书原件（格式自拟），该承诺书视同税收凭据。</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w:t>
      </w:r>
      <w:r>
        <w:rPr>
          <w:rFonts w:hint="eastAsia" w:cs="宋体" w:asciiTheme="minorEastAsia" w:hAnsiTheme="minorEastAsia" w:eastAsiaTheme="minorEastAsia"/>
          <w:b/>
          <w:bCs/>
          <w:kern w:val="0"/>
          <w:sz w:val="24"/>
          <w:szCs w:val="24"/>
        </w:rPr>
        <w:t>“依法缴纳税收证明材料”</w:t>
      </w:r>
      <w:r>
        <w:rPr>
          <w:rFonts w:hint="eastAsia" w:cs="宋体" w:asciiTheme="minorEastAsia" w:hAnsiTheme="minorEastAsia" w:eastAsiaTheme="minorEastAsia"/>
          <w:kern w:val="0"/>
          <w:sz w:val="24"/>
          <w:szCs w:val="24"/>
        </w:rPr>
        <w:t>有欠缴记录的，视为</w:t>
      </w:r>
      <w:r>
        <w:rPr>
          <w:rFonts w:hint="eastAsia" w:cs="宋体" w:asciiTheme="minorEastAsia" w:hAnsiTheme="minorEastAsia" w:eastAsiaTheme="minorEastAsia"/>
          <w:b/>
          <w:bCs/>
          <w:kern w:val="0"/>
          <w:sz w:val="24"/>
          <w:szCs w:val="24"/>
        </w:rPr>
        <w:t>未依法缴纳税收。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rPr>
        <w:t>、投标人提供的相应证明材料复印件均应符合：内容完整、清晰、整洁，并由投标人加盖其单位公章。</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二</w:t>
      </w:r>
      <w:r>
        <w:rPr>
          <w:rFonts w:cs="宋体" w:asciiTheme="minorEastAsia" w:hAnsiTheme="minorEastAsia" w:eastAsiaTheme="minorEastAsia"/>
          <w:b/>
          <w:bCs/>
          <w:kern w:val="0"/>
          <w:sz w:val="24"/>
          <w:szCs w:val="24"/>
        </w:rPr>
        <w:t>-5</w:t>
      </w:r>
      <w:r>
        <w:rPr>
          <w:rFonts w:hint="eastAsia" w:cs="宋体" w:asciiTheme="minorEastAsia" w:hAnsiTheme="minorEastAsia" w:eastAsiaTheme="minorEastAsia"/>
          <w:b/>
          <w:bCs/>
          <w:kern w:val="0"/>
          <w:sz w:val="24"/>
          <w:szCs w:val="24"/>
        </w:rPr>
        <w:t>依法缴纳社会保障资金证明材料</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致：</w:t>
      </w:r>
      <w:r>
        <w:rPr>
          <w:rFonts w:cs="宋体" w:asciiTheme="minorEastAsia" w:hAnsiTheme="minorEastAsia" w:eastAsiaTheme="minorEastAsia"/>
          <w:kern w:val="0"/>
          <w:sz w:val="24"/>
          <w:szCs w:val="24"/>
          <w:u w:val="single"/>
        </w:rPr>
        <w:t>                     </w:t>
      </w:r>
    </w:p>
    <w:p>
      <w:pPr>
        <w:widowControl/>
        <w:spacing w:after="150"/>
        <w:ind w:firstLine="42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、依法缴纳社会保障资金的投标人</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）法人（包括企业、事业单位和社会团体）的</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现附上自</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日至</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日我方缴纳的社会保险凭据（限：税务机关</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社会保障资金管理机关的专用收据或社会保险缴纳清单，或社会保险的银行缴款收讫凭证）复印件，上述证明材料真实有效，否则我方负全部责任。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）非法人（包括其他组织、自然人）的</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自</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日至</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日我方缴纳的社会保险凭据（限：税务机关</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社会保障资金管理机关的专用收据或社会保险缴纳清单，或社会保险的银行缴款收讫凭证）复印件，上述证明材料真实有效，否则我方负全部责任。</w:t>
      </w:r>
    </w:p>
    <w:p>
      <w:pPr>
        <w:widowControl/>
        <w:spacing w:after="150"/>
        <w:ind w:firstLine="42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、依法不需要缴纳社会保障资金的投标人</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）现附上我方依法不需要缴纳社会保障资金证明材料复印件，上述证明材料真实有效，否则我方负全部责任。</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、请投标人按照实际情况编制填写，在相应的（）中打“√”，并按照本格式的要求提供相应证明材料的复印件。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、投标人提供的社会保险凭据复印件应符合下列规定：</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2.1</w:t>
      </w:r>
      <w:r>
        <w:rPr>
          <w:rFonts w:hint="eastAsia" w:cs="宋体" w:asciiTheme="minorEastAsia" w:hAnsiTheme="minorEastAsia" w:eastAsiaTheme="minorEastAsia"/>
          <w:kern w:val="0"/>
          <w:sz w:val="24"/>
          <w:szCs w:val="24"/>
        </w:rPr>
        <w:t>投标截止时间前（不含投标截止时间的当月）已依法缴纳社会保障资金的投标人，提供投标截止时间前六个月（不含投标截止时间的当月）中任一月份的社会保险凭据复印件。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2.2</w:t>
      </w:r>
      <w:r>
        <w:rPr>
          <w:rFonts w:hint="eastAsia" w:cs="宋体" w:asciiTheme="minorEastAsia" w:hAnsiTheme="minorEastAsia" w:eastAsiaTheme="minorEastAsia"/>
          <w:kern w:val="0"/>
          <w:sz w:val="24"/>
          <w:szCs w:val="24"/>
        </w:rPr>
        <w:t>投标截止时间的当月成立且已依法缴纳社会保障资金的投标人，提供投标截止时间当月的社会保险凭据复印件。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2.3</w:t>
      </w:r>
      <w:r>
        <w:rPr>
          <w:rFonts w:hint="eastAsia" w:cs="宋体" w:asciiTheme="minorEastAsia" w:hAnsiTheme="minorEastAsia" w:eastAsiaTheme="minorEastAsia"/>
          <w:kern w:val="0"/>
          <w:sz w:val="24"/>
          <w:szCs w:val="24"/>
        </w:rPr>
        <w:t>投标截止时间的当月成立但因税务机关</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社会保障资金管理机关原因导致其尚未依法缴纳社会保障资金的投标人，提供依法缴纳社会保障资金承诺书原件（格式自拟），该承诺书视同社会保险凭据。</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w:t>
      </w:r>
      <w:r>
        <w:rPr>
          <w:rFonts w:hint="eastAsia" w:cs="宋体" w:asciiTheme="minorEastAsia" w:hAnsiTheme="minorEastAsia" w:eastAsiaTheme="minorEastAsia"/>
          <w:b/>
          <w:bCs/>
          <w:kern w:val="0"/>
          <w:sz w:val="24"/>
          <w:szCs w:val="24"/>
        </w:rPr>
        <w:t>“依法缴纳社会保障资金证明材料”</w:t>
      </w:r>
      <w:r>
        <w:rPr>
          <w:rFonts w:hint="eastAsia" w:cs="宋体" w:asciiTheme="minorEastAsia" w:hAnsiTheme="minorEastAsia" w:eastAsiaTheme="minorEastAsia"/>
          <w:kern w:val="0"/>
          <w:sz w:val="24"/>
          <w:szCs w:val="24"/>
        </w:rPr>
        <w:t>有欠缴记录的，视为</w:t>
      </w:r>
      <w:r>
        <w:rPr>
          <w:rFonts w:hint="eastAsia" w:cs="宋体" w:asciiTheme="minorEastAsia" w:hAnsiTheme="minorEastAsia" w:eastAsiaTheme="minorEastAsia"/>
          <w:b/>
          <w:bCs/>
          <w:kern w:val="0"/>
          <w:sz w:val="24"/>
          <w:szCs w:val="24"/>
        </w:rPr>
        <w:t>未依法缴纳社会保障资金。</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rPr>
        <w:t>、投标人提供的相应证明材料复印件均应符合：内容完整、清晰、整洁，并由投标人加盖其单位公章。</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center"/>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二</w:t>
      </w:r>
      <w:r>
        <w:rPr>
          <w:rFonts w:cs="宋体" w:asciiTheme="minorEastAsia" w:hAnsiTheme="minorEastAsia" w:eastAsiaTheme="minorEastAsia"/>
          <w:b/>
          <w:bCs/>
          <w:kern w:val="0"/>
          <w:sz w:val="24"/>
          <w:szCs w:val="24"/>
        </w:rPr>
        <w:t>-</w:t>
      </w:r>
      <w:r>
        <w:rPr>
          <w:rFonts w:hint="eastAsia" w:cs="宋体" w:asciiTheme="minorEastAsia" w:hAnsiTheme="minorEastAsia" w:eastAsiaTheme="minorEastAsia"/>
          <w:b/>
          <w:bCs/>
          <w:kern w:val="0"/>
          <w:sz w:val="24"/>
          <w:szCs w:val="24"/>
        </w:rPr>
        <w:t>6参加采购活动前三年内在经营活动中没有重大违法记录书面声明</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致：</w:t>
      </w:r>
      <w:r>
        <w:rPr>
          <w:rFonts w:cs="宋体" w:asciiTheme="minorEastAsia" w:hAnsiTheme="minorEastAsia" w:eastAsiaTheme="minorEastAsia"/>
          <w:kern w:val="0"/>
          <w:sz w:val="24"/>
          <w:szCs w:val="24"/>
          <w:u w:val="single"/>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参加采购活动前三年内，我方在经营活动中没有重大违法记录，也无行贿犯罪记录，即没有因违法经营受到刑事处罚或责令停产停业、吊销许可证或执照、较大数额罚款等行政处罚。否则产生不利后果由我方承担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特此声明。</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、“重大违法记录”指投标人因违法经营受到刑事处罚或责令停产停业、吊销许可证或执照、较大数额罚款等行政处罚。</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、投标文件正本中的本声明应为原件。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、请投标人根据实际情况如实声明，否则</w:t>
      </w:r>
      <w:r>
        <w:rPr>
          <w:rFonts w:hint="eastAsia" w:cs="宋体" w:asciiTheme="minorEastAsia" w:hAnsiTheme="minorEastAsia" w:eastAsiaTheme="minorEastAsia"/>
          <w:b/>
          <w:bCs/>
          <w:kern w:val="0"/>
          <w:sz w:val="24"/>
          <w:szCs w:val="24"/>
        </w:rPr>
        <w:t>视为提供虚假材料。</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widowControl/>
        <w:spacing w:after="150"/>
        <w:jc w:val="center"/>
        <w:rPr>
          <w:rFonts w:cs="宋体" w:asciiTheme="minorEastAsia" w:hAnsiTheme="minorEastAsia" w:eastAsiaTheme="minorEastAsia"/>
          <w:b/>
          <w:bCs/>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二</w:t>
      </w:r>
      <w:r>
        <w:rPr>
          <w:rFonts w:cs="宋体" w:asciiTheme="minorEastAsia" w:hAnsiTheme="minorEastAsia" w:eastAsiaTheme="minorEastAsia"/>
          <w:b/>
          <w:bCs/>
          <w:kern w:val="0"/>
          <w:sz w:val="24"/>
          <w:szCs w:val="24"/>
        </w:rPr>
        <w:t>-</w:t>
      </w:r>
      <w:r>
        <w:rPr>
          <w:rFonts w:hint="eastAsia" w:cs="宋体" w:asciiTheme="minorEastAsia" w:hAnsiTheme="minorEastAsia" w:eastAsiaTheme="minorEastAsia"/>
          <w:b/>
          <w:bCs/>
          <w:kern w:val="0"/>
          <w:sz w:val="24"/>
          <w:szCs w:val="24"/>
        </w:rPr>
        <w:t>7检察机关行贿犯罪档案查询结果告知函</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检察机关行贿犯罪档案查询结果告知函（以下简称：“告知函”）由投标人向住所地或业务发生地检察院申请查询，具体以检察院出具的为准。</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、未提供行贿犯罪档案查询结果或查询结果表明投标人有行贿犯罪记录的，</w:t>
      </w:r>
      <w:r>
        <w:rPr>
          <w:rFonts w:hint="eastAsia" w:cs="宋体" w:asciiTheme="minorEastAsia" w:hAnsiTheme="minorEastAsia" w:eastAsiaTheme="minorEastAsia"/>
          <w:b/>
          <w:bCs/>
          <w:kern w:val="0"/>
          <w:sz w:val="24"/>
          <w:szCs w:val="24"/>
        </w:rPr>
        <w:t>投标无效。</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、若从检察机关指定网站下载打印或截图告知函，则告知函应为从前述指定网站获取的查询结果原始页面的打印件（或截图），否则</w:t>
      </w:r>
      <w:r>
        <w:rPr>
          <w:rFonts w:hint="eastAsia" w:cs="宋体" w:asciiTheme="minorEastAsia" w:hAnsiTheme="minorEastAsia" w:eastAsiaTheme="minorEastAsia"/>
          <w:b/>
          <w:bCs/>
          <w:kern w:val="0"/>
          <w:sz w:val="24"/>
          <w:szCs w:val="24"/>
        </w:rPr>
        <w:t>投标无效。</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、告知函应在有效期内且内容完整、清晰、整洁，否则</w:t>
      </w:r>
      <w:r>
        <w:rPr>
          <w:rFonts w:hint="eastAsia" w:cs="宋体" w:asciiTheme="minorEastAsia" w:hAnsiTheme="minorEastAsia" w:eastAsiaTheme="minorEastAsia"/>
          <w:b/>
          <w:bCs/>
          <w:kern w:val="0"/>
          <w:sz w:val="24"/>
          <w:szCs w:val="24"/>
        </w:rPr>
        <w:t>投标无效。</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rPr>
        <w:t>、有效期内的告知函复印件（含扫描件）及符合招标文件第七章规定的打印件（或截图），无论内容中是否注明“复印件无效”，</w:t>
      </w:r>
      <w:r>
        <w:rPr>
          <w:rFonts w:hint="eastAsia" w:cs="宋体" w:asciiTheme="minorEastAsia" w:hAnsiTheme="minorEastAsia" w:eastAsiaTheme="minorEastAsia"/>
          <w:b/>
          <w:bCs/>
          <w:kern w:val="0"/>
          <w:sz w:val="24"/>
          <w:szCs w:val="24"/>
        </w:rPr>
        <w:t>均视同有效。</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w:t>
      </w:r>
      <w:r>
        <w:rPr>
          <w:rFonts w:hint="eastAsia" w:cs="宋体" w:asciiTheme="minorEastAsia" w:hAnsiTheme="minorEastAsia" w:eastAsiaTheme="minorEastAsia"/>
          <w:kern w:val="0"/>
          <w:sz w:val="24"/>
          <w:szCs w:val="24"/>
        </w:rPr>
        <w:t>、无法获取有效期内检察机关行贿犯罪档案查询结果告知函的，应在《参加采购活动前三年内在经营活动中没有重大违法记录书面声明》中对近三年无行贿犯罪记录进行声明。</w:t>
      </w:r>
    </w:p>
    <w:p>
      <w:pPr>
        <w:widowControl/>
        <w:spacing w:after="150"/>
        <w:jc w:val="center"/>
        <w:rPr>
          <w:rFonts w:cs="宋体" w:asciiTheme="minorEastAsia" w:hAnsiTheme="minorEastAsia" w:eastAsiaTheme="minorEastAsia"/>
          <w:kern w:val="0"/>
          <w:sz w:val="24"/>
          <w:szCs w:val="24"/>
        </w:rPr>
      </w:pP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center"/>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二</w:t>
      </w:r>
      <w:r>
        <w:rPr>
          <w:rFonts w:cs="宋体" w:asciiTheme="minorEastAsia" w:hAnsiTheme="minorEastAsia" w:eastAsiaTheme="minorEastAsia"/>
          <w:b/>
          <w:bCs/>
          <w:kern w:val="0"/>
          <w:sz w:val="24"/>
          <w:szCs w:val="24"/>
        </w:rPr>
        <w:t>-8</w:t>
      </w:r>
      <w:r>
        <w:rPr>
          <w:rFonts w:hint="eastAsia" w:cs="宋体" w:asciiTheme="minorEastAsia" w:hAnsiTheme="minorEastAsia" w:eastAsiaTheme="minorEastAsia"/>
          <w:b/>
          <w:bCs/>
          <w:kern w:val="0"/>
          <w:sz w:val="24"/>
          <w:szCs w:val="24"/>
        </w:rPr>
        <w:t>信用记录查询结果</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致：</w:t>
      </w:r>
      <w:r>
        <w:rPr>
          <w:rFonts w:cs="宋体" w:asciiTheme="minorEastAsia" w:hAnsiTheme="minorEastAsia" w:eastAsiaTheme="minorEastAsia"/>
          <w:kern w:val="0"/>
          <w:sz w:val="24"/>
          <w:szCs w:val="24"/>
          <w:u w:val="single"/>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现附上截至</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时我方通过“信用中国”网站（</w:t>
      </w:r>
      <w:r>
        <w:rPr>
          <w:rFonts w:cs="宋体" w:asciiTheme="minorEastAsia" w:hAnsiTheme="minorEastAsia" w:eastAsiaTheme="minorEastAsia"/>
          <w:kern w:val="0"/>
          <w:sz w:val="24"/>
          <w:szCs w:val="24"/>
        </w:rPr>
        <w:t>www.creditchina.gov.cn</w:t>
      </w:r>
      <w:r>
        <w:rPr>
          <w:rFonts w:hint="eastAsia" w:cs="宋体" w:asciiTheme="minorEastAsia" w:hAnsiTheme="minorEastAsia" w:eastAsiaTheme="minorEastAsia"/>
          <w:kern w:val="0"/>
          <w:sz w:val="24"/>
          <w:szCs w:val="24"/>
        </w:rPr>
        <w:t>）获取的我方信用信息查询结果</w:t>
      </w:r>
      <w:r>
        <w:rPr>
          <w:rFonts w:hint="eastAsia" w:cs="宋体" w:asciiTheme="minorEastAsia" w:hAnsiTheme="minorEastAsia" w:eastAsiaTheme="minorEastAsia"/>
          <w:kern w:val="0"/>
          <w:sz w:val="24"/>
          <w:szCs w:val="24"/>
          <w:u w:val="single"/>
        </w:rPr>
        <w:t>（填写具体份数）</w:t>
      </w:r>
      <w:r>
        <w:rPr>
          <w:rFonts w:hint="eastAsia" w:cs="宋体" w:asciiTheme="minorEastAsia" w:hAnsiTheme="minorEastAsia" w:eastAsiaTheme="minorEastAsia"/>
          <w:kern w:val="0"/>
          <w:sz w:val="24"/>
          <w:szCs w:val="24"/>
        </w:rPr>
        <w:t>份、通过中国政府采购网（</w:t>
      </w:r>
      <w:r>
        <w:rPr>
          <w:rFonts w:cs="宋体" w:asciiTheme="minorEastAsia" w:hAnsiTheme="minorEastAsia" w:eastAsiaTheme="minorEastAsia"/>
          <w:kern w:val="0"/>
          <w:sz w:val="24"/>
          <w:szCs w:val="24"/>
        </w:rPr>
        <w:t>www.ccgp.gov.cn</w:t>
      </w:r>
      <w:r>
        <w:rPr>
          <w:rFonts w:hint="eastAsia" w:cs="宋体" w:asciiTheme="minorEastAsia" w:hAnsiTheme="minorEastAsia" w:eastAsiaTheme="minorEastAsia"/>
          <w:kern w:val="0"/>
          <w:sz w:val="24"/>
          <w:szCs w:val="24"/>
        </w:rPr>
        <w:t>）获取的我方信用信息查询结果</w:t>
      </w:r>
      <w:r>
        <w:rPr>
          <w:rFonts w:hint="eastAsia" w:cs="宋体" w:asciiTheme="minorEastAsia" w:hAnsiTheme="minorEastAsia" w:eastAsiaTheme="minorEastAsia"/>
          <w:kern w:val="0"/>
          <w:sz w:val="24"/>
          <w:szCs w:val="24"/>
          <w:u w:val="single"/>
        </w:rPr>
        <w:t>（填写具体份数）</w:t>
      </w:r>
      <w:r>
        <w:rPr>
          <w:rFonts w:hint="eastAsia" w:cs="宋体" w:asciiTheme="minorEastAsia" w:hAnsiTheme="minorEastAsia" w:eastAsiaTheme="minorEastAsia"/>
          <w:kern w:val="0"/>
          <w:sz w:val="24"/>
          <w:szCs w:val="24"/>
        </w:rPr>
        <w:t>份，上述信用信息查询结果真实有效，否则我方负全部责任。</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投标人应在招标文件要求的截止时点前分别通过“信用中国”网站（</w:t>
      </w:r>
      <w:r>
        <w:rPr>
          <w:rFonts w:cs="宋体" w:asciiTheme="minorEastAsia" w:hAnsiTheme="minorEastAsia" w:eastAsiaTheme="minorEastAsia"/>
          <w:kern w:val="0"/>
          <w:sz w:val="24"/>
          <w:szCs w:val="24"/>
        </w:rPr>
        <w:t>www.creditchina.gov.cn</w:t>
      </w:r>
      <w:r>
        <w:rPr>
          <w:rFonts w:hint="eastAsia" w:cs="宋体" w:asciiTheme="minorEastAsia" w:hAnsiTheme="minorEastAsia" w:eastAsiaTheme="minorEastAsia"/>
          <w:kern w:val="0"/>
          <w:sz w:val="24"/>
          <w:szCs w:val="24"/>
        </w:rPr>
        <w:t>）、中国政府采购网（</w:t>
      </w:r>
      <w:r>
        <w:rPr>
          <w:rFonts w:cs="宋体" w:asciiTheme="minorEastAsia" w:hAnsiTheme="minorEastAsia" w:eastAsiaTheme="minorEastAsia"/>
          <w:kern w:val="0"/>
          <w:sz w:val="24"/>
          <w:szCs w:val="24"/>
        </w:rPr>
        <w:t>www.ccgp.gov.cn</w:t>
      </w:r>
      <w:r>
        <w:rPr>
          <w:rFonts w:hint="eastAsia" w:cs="宋体" w:asciiTheme="minorEastAsia" w:hAnsiTheme="minorEastAsia" w:eastAsiaTheme="minorEastAsia"/>
          <w:kern w:val="0"/>
          <w:sz w:val="24"/>
          <w:szCs w:val="24"/>
        </w:rPr>
        <w:t>）查询并打印相应的信用记录，投标人提供的查询结果应为其通过上述网站获取的信用信息查询结果原始页面的打印件（或截图）。</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center"/>
        <w:rPr>
          <w:rFonts w:cs="宋体" w:asciiTheme="minorEastAsia" w:hAnsiTheme="minorEastAsia" w:eastAsiaTheme="minorEastAsia"/>
          <w:b/>
          <w:bCs/>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二</w:t>
      </w:r>
      <w:r>
        <w:rPr>
          <w:rFonts w:cs="宋体" w:asciiTheme="minorEastAsia" w:hAnsiTheme="minorEastAsia" w:eastAsiaTheme="minorEastAsia"/>
          <w:b/>
          <w:bCs/>
          <w:kern w:val="0"/>
          <w:sz w:val="24"/>
          <w:szCs w:val="24"/>
        </w:rPr>
        <w:t>-</w:t>
      </w:r>
      <w:r>
        <w:rPr>
          <w:rFonts w:hint="eastAsia" w:cs="宋体" w:asciiTheme="minorEastAsia" w:hAnsiTheme="minorEastAsia" w:eastAsiaTheme="minorEastAsia"/>
          <w:b/>
          <w:bCs/>
          <w:kern w:val="0"/>
          <w:sz w:val="24"/>
          <w:szCs w:val="24"/>
        </w:rPr>
        <w:t>9具备履行合同所必需设备和专业技术能力的声明函（若有）</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致：</w:t>
      </w:r>
      <w:r>
        <w:rPr>
          <w:rFonts w:cs="宋体" w:asciiTheme="minorEastAsia" w:hAnsiTheme="minorEastAsia" w:eastAsiaTheme="minorEastAsia"/>
          <w:kern w:val="0"/>
          <w:sz w:val="24"/>
          <w:szCs w:val="24"/>
          <w:u w:val="single"/>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我方具备履行合同所必需的设备和专业技术能力，否则产生不利后果由我方承担责任。</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特此声明。</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、招标文件未要求投标人提供“具备履行合同所必需的设备和专业技术能力专项证明材料”的，投标人应提供本声明函。</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、招标文件要求投标人提供“具备履行合同所必需的设备和专业技术能力专项证明材料”的，投标人可不提供本声明函。</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、纸质投标文件正本中的本声明函（若有）应为原件。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rPr>
        <w:t>、请投标人根据实际情况如实声明，否则</w:t>
      </w:r>
      <w:r>
        <w:rPr>
          <w:rFonts w:hint="eastAsia" w:cs="宋体" w:asciiTheme="minorEastAsia" w:hAnsiTheme="minorEastAsia" w:eastAsiaTheme="minorEastAsia"/>
          <w:b/>
          <w:bCs/>
          <w:kern w:val="0"/>
          <w:sz w:val="24"/>
          <w:szCs w:val="24"/>
        </w:rPr>
        <w:t>视为提供虚假材料。</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widowControl/>
        <w:spacing w:after="150"/>
        <w:jc w:val="center"/>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b/>
          <w:bCs/>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二</w:t>
      </w:r>
      <w:r>
        <w:rPr>
          <w:rFonts w:cs="宋体" w:asciiTheme="minorEastAsia" w:hAnsiTheme="minorEastAsia" w:eastAsiaTheme="minorEastAsia"/>
          <w:b/>
          <w:bCs/>
          <w:kern w:val="0"/>
          <w:sz w:val="24"/>
          <w:szCs w:val="24"/>
        </w:rPr>
        <w:t>-10</w:t>
      </w:r>
      <w:r>
        <w:rPr>
          <w:rFonts w:hint="eastAsia" w:cs="宋体" w:asciiTheme="minorEastAsia" w:hAnsiTheme="minorEastAsia" w:eastAsiaTheme="minorEastAsia"/>
          <w:b/>
          <w:bCs/>
          <w:kern w:val="0"/>
          <w:sz w:val="24"/>
          <w:szCs w:val="24"/>
        </w:rPr>
        <w:t>招标文件规定的其他资格证明文件（若有）</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 </w:t>
      </w: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编制说明</w:t>
      </w:r>
    </w:p>
    <w:p>
      <w:pPr>
        <w:widowControl/>
        <w:spacing w:after="150"/>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除招标文件另有规定外，招标文件要求提交的除前述资格证明文件外的其他资格证明文件（若有）加盖投标人的单位公章后应在此项下提交。</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 </w:t>
      </w:r>
    </w:p>
    <w:p>
      <w:pPr>
        <w:widowControl/>
        <w:spacing w:after="150"/>
        <w:jc w:val="center"/>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（一）以资格条件落实中小企业扶持政策时适用（若有）</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中小企业声明函（货物）</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kern w:val="0"/>
          <w:sz w:val="24"/>
          <w:szCs w:val="24"/>
          <w:u w:val="single"/>
        </w:rPr>
        <w:t>（单位名称）</w:t>
      </w:r>
      <w:r>
        <w:rPr>
          <w:rFonts w:hint="eastAsia" w:asciiTheme="minorEastAsia" w:hAnsiTheme="minorEastAsia" w:eastAsiaTheme="minorEastAsia" w:cstheme="minorEastAsia"/>
          <w:kern w:val="0"/>
          <w:sz w:val="24"/>
          <w:szCs w:val="24"/>
        </w:rPr>
        <w:t>的</w:t>
      </w:r>
      <w:r>
        <w:rPr>
          <w:rFonts w:hint="eastAsia" w:asciiTheme="minorEastAsia" w:hAnsiTheme="minorEastAsia" w:eastAsiaTheme="minorEastAsia" w:cstheme="minorEastAsia"/>
          <w:kern w:val="0"/>
          <w:sz w:val="24"/>
          <w:szCs w:val="24"/>
          <w:u w:val="single"/>
        </w:rPr>
        <w:t>（项目名称）</w:t>
      </w:r>
      <w:r>
        <w:rPr>
          <w:rFonts w:hint="eastAsia" w:asciiTheme="minorEastAsia" w:hAnsiTheme="minorEastAsia" w:eastAsiaTheme="minorEastAsia" w:cstheme="minorEastAsia"/>
          <w:kern w:val="0"/>
          <w:sz w:val="24"/>
          <w:szCs w:val="24"/>
        </w:rPr>
        <w:t>采购活动，提供的货物全部由符合政策要求的中小企业制造。相关企业（含联合体中的中小企业、签订分包意向协议的中小企业）的具体情况如下：</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（采购文件中明确的所属行业）</w:t>
      </w:r>
      <w:r>
        <w:rPr>
          <w:rFonts w:hint="eastAsia" w:asciiTheme="minorEastAsia" w:hAnsiTheme="minorEastAsia" w:eastAsiaTheme="minorEastAsia" w:cstheme="minorEastAsia"/>
          <w:kern w:val="0"/>
          <w:sz w:val="24"/>
          <w:szCs w:val="24"/>
        </w:rPr>
        <w:t>行业；制造商为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万元1，属于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（采购文件中明确的所属行业）</w:t>
      </w:r>
      <w:r>
        <w:rPr>
          <w:rFonts w:hint="eastAsia" w:asciiTheme="minorEastAsia" w:hAnsiTheme="minorEastAsia" w:eastAsiaTheme="minorEastAsia" w:cstheme="minorEastAsia"/>
          <w:kern w:val="0"/>
          <w:sz w:val="24"/>
          <w:szCs w:val="24"/>
        </w:rPr>
        <w:t>行业；制造商为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以上企业，不属于大企业的分支机构，不存在控股股东为大企业的情形，也不存在与大企业的负责人为同一人的情形。</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本企业对上述声明内容的真实性负责。如有虚假，将依法承担相应责任。</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w:t>
      </w:r>
      <w:r>
        <w:rPr>
          <w:rFonts w:hint="eastAsia" w:asciiTheme="minorEastAsia" w:hAnsiTheme="minorEastAsia" w:eastAsiaTheme="minorEastAsia" w:cstheme="minorEastAsia"/>
          <w:kern w:val="0"/>
          <w:sz w:val="24"/>
          <w:szCs w:val="24"/>
          <w:u w:val="single"/>
        </w:rPr>
        <w:t>（全称并加盖单位公章）</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日期：</w:t>
      </w:r>
      <w:r>
        <w:rPr>
          <w:rFonts w:hint="eastAsia" w:asciiTheme="minorEastAsia" w:hAnsiTheme="minorEastAsia" w:eastAsiaTheme="minorEastAsia" w:cstheme="minorEastAsia"/>
          <w:kern w:val="0"/>
          <w:sz w:val="24"/>
          <w:szCs w:val="24"/>
          <w:u w:val="single"/>
        </w:rPr>
        <w:t>　　年　　月　　日</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※注意：</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1、从业人员、营业收入、资产总额填报上一年度数据，无上一年度数据的新成立企业可不填报。</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rPr>
          <w:rFonts w:asciiTheme="minorEastAsia" w:hAnsiTheme="minorEastAsia" w:eastAsiaTheme="minorEastAsia" w:cstheme="minorEastAsia"/>
          <w:kern w:val="0"/>
          <w:sz w:val="24"/>
          <w:szCs w:val="24"/>
        </w:rPr>
      </w:pP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中小企业声明函（工程、服务）</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kern w:val="0"/>
          <w:sz w:val="24"/>
          <w:szCs w:val="24"/>
          <w:u w:val="single"/>
        </w:rPr>
        <w:t>（单位名称）</w:t>
      </w:r>
      <w:r>
        <w:rPr>
          <w:rFonts w:hint="eastAsia" w:asciiTheme="minorEastAsia" w:hAnsiTheme="minorEastAsia" w:eastAsiaTheme="minorEastAsia" w:cstheme="minorEastAsia"/>
          <w:kern w:val="0"/>
          <w:sz w:val="24"/>
          <w:szCs w:val="24"/>
        </w:rPr>
        <w:t>的</w:t>
      </w:r>
      <w:r>
        <w:rPr>
          <w:rFonts w:hint="eastAsia" w:asciiTheme="minorEastAsia" w:hAnsiTheme="minorEastAsia" w:eastAsiaTheme="minorEastAsia" w:cstheme="minorEastAsia"/>
          <w:kern w:val="0"/>
          <w:sz w:val="24"/>
          <w:szCs w:val="24"/>
          <w:u w:val="single"/>
        </w:rPr>
        <w:t>（项目名称）</w:t>
      </w:r>
      <w:r>
        <w:rPr>
          <w:rFonts w:hint="eastAsia" w:asciiTheme="minorEastAsia" w:hAnsiTheme="minorEastAsia" w:eastAsiaTheme="minorEastAsia" w:cstheme="minorEastAsia"/>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（采购文件中明确的所属行业）</w:t>
      </w:r>
      <w:r>
        <w:rPr>
          <w:rFonts w:hint="eastAsia" w:asciiTheme="minorEastAsia" w:hAnsiTheme="minorEastAsia" w:eastAsiaTheme="minorEastAsia" w:cstheme="minorEastAsia"/>
          <w:kern w:val="0"/>
          <w:sz w:val="24"/>
          <w:szCs w:val="24"/>
        </w:rPr>
        <w:t>；承建（承接）企业为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万元1，属于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u w:val="single"/>
        </w:rPr>
        <w:t>（标的名称）</w:t>
      </w:r>
      <w:r>
        <w:rPr>
          <w:rFonts w:hint="eastAsia" w:asciiTheme="minorEastAsia" w:hAnsiTheme="minorEastAsia" w:eastAsiaTheme="minorEastAsia" w:cstheme="minorEastAsia"/>
          <w:kern w:val="0"/>
          <w:sz w:val="24"/>
          <w:szCs w:val="24"/>
        </w:rPr>
        <w:t>，属于</w:t>
      </w:r>
      <w:r>
        <w:rPr>
          <w:rFonts w:hint="eastAsia" w:asciiTheme="minorEastAsia" w:hAnsiTheme="minorEastAsia" w:eastAsiaTheme="minorEastAsia" w:cstheme="minorEastAsia"/>
          <w:kern w:val="0"/>
          <w:sz w:val="24"/>
          <w:szCs w:val="24"/>
          <w:u w:val="single"/>
        </w:rPr>
        <w:t>（采购文件中明确的所属行业）</w:t>
      </w:r>
      <w:r>
        <w:rPr>
          <w:rFonts w:hint="eastAsia" w:asciiTheme="minorEastAsia" w:hAnsiTheme="minorEastAsia" w:eastAsiaTheme="minorEastAsia" w:cstheme="minorEastAsia"/>
          <w:kern w:val="0"/>
          <w:sz w:val="24"/>
          <w:szCs w:val="24"/>
        </w:rPr>
        <w:t>；承建（承接）企业为</w:t>
      </w:r>
      <w:r>
        <w:rPr>
          <w:rFonts w:hint="eastAsia" w:asciiTheme="minorEastAsia" w:hAnsiTheme="minorEastAsia" w:eastAsiaTheme="minorEastAsia" w:cstheme="minorEastAsia"/>
          <w:kern w:val="0"/>
          <w:sz w:val="24"/>
          <w:szCs w:val="24"/>
          <w:u w:val="single"/>
        </w:rPr>
        <w:t>（企业名称）</w:t>
      </w:r>
      <w:r>
        <w:rPr>
          <w:rFonts w:hint="eastAsia" w:asciiTheme="minorEastAsia" w:hAnsiTheme="minorEastAsia" w:eastAsiaTheme="minorEastAsia" w:cstheme="minorEastAsia"/>
          <w:kern w:val="0"/>
          <w:sz w:val="24"/>
          <w:szCs w:val="24"/>
        </w:rPr>
        <w:t>，从业人员</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人，营业收入为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万元，资产总额为</w:t>
      </w:r>
      <w:r>
        <w:rPr>
          <w:rFonts w:hint="eastAsia" w:asciiTheme="minorEastAsia" w:hAnsiTheme="minorEastAsia" w:eastAsiaTheme="minorEastAsia" w:cstheme="minorEastAsia"/>
          <w:kern w:val="0"/>
          <w:sz w:val="24"/>
          <w:szCs w:val="24"/>
          <w:u w:val="single"/>
        </w:rPr>
        <w:t>　　　　　</w:t>
      </w:r>
      <w:r>
        <w:rPr>
          <w:rFonts w:hint="eastAsia" w:asciiTheme="minorEastAsia" w:hAnsiTheme="minorEastAsia" w:eastAsiaTheme="minorEastAsia" w:cstheme="minorEastAsia"/>
          <w:kern w:val="0"/>
          <w:sz w:val="24"/>
          <w:szCs w:val="24"/>
        </w:rPr>
        <w:t>万元，属于</w:t>
      </w:r>
      <w:r>
        <w:rPr>
          <w:rFonts w:hint="eastAsia" w:asciiTheme="minorEastAsia" w:hAnsiTheme="minorEastAsia" w:eastAsiaTheme="minorEastAsia" w:cstheme="minorEastAsia"/>
          <w:kern w:val="0"/>
          <w:sz w:val="24"/>
          <w:szCs w:val="24"/>
          <w:u w:val="single"/>
        </w:rPr>
        <w:t>（中型企业、小型企业、微型企业）</w:t>
      </w: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以上企业，不属于大企业的分支机构，不存在控股股东为大企业的情形，也不存在与大企业的负责人为同一人的情形。</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本企业对上述声明内容的真实性负责。如有虚假，将依法承担相应责任。</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w:t>
      </w:r>
      <w:r>
        <w:rPr>
          <w:rFonts w:hint="eastAsia" w:asciiTheme="minorEastAsia" w:hAnsiTheme="minorEastAsia" w:eastAsiaTheme="minorEastAsia" w:cstheme="minorEastAsia"/>
          <w:kern w:val="0"/>
          <w:sz w:val="24"/>
          <w:szCs w:val="24"/>
          <w:u w:val="single"/>
        </w:rPr>
        <w:t>（全称并加盖单位公章）</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日期：</w:t>
      </w:r>
      <w:r>
        <w:rPr>
          <w:rFonts w:hint="eastAsia" w:asciiTheme="minorEastAsia" w:hAnsiTheme="minorEastAsia" w:eastAsiaTheme="minorEastAsia" w:cstheme="minorEastAsia"/>
          <w:kern w:val="0"/>
          <w:sz w:val="24"/>
          <w:szCs w:val="24"/>
          <w:u w:val="single"/>
        </w:rPr>
        <w:t>　　年　　月　　日</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※注意：</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1、从业人员、营业收入、资产总额填报上一年度数据，无上一年度数据的新成立企业可不填报。</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rPr>
          <w:rFonts w:asciiTheme="minorEastAsia" w:hAnsiTheme="minorEastAsia" w:eastAsiaTheme="minorEastAsia" w:cstheme="minorEastAsia"/>
          <w:kern w:val="0"/>
          <w:sz w:val="24"/>
          <w:szCs w:val="24"/>
        </w:rPr>
      </w:pP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残疾人福利性单位声明函</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）由本投标人承建的（填写“所投采购包、品目号”）工程</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）由本投标人承接的（填写“所投采购包、品目号”）服务；</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本投标人对上述声明的真实性负责。如有虚假，将依法承担相应责任。</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1、请投标人按照实际情况编制填写本声明函，并在相应的（）中打“√”。</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2、若《残疾人福利性单位声明函》内容不真实，视为提供虚假材料。</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w:t>
      </w:r>
      <w:r>
        <w:rPr>
          <w:rFonts w:hint="eastAsia" w:asciiTheme="minorEastAsia" w:hAnsiTheme="minorEastAsia" w:eastAsiaTheme="minorEastAsia" w:cstheme="minorEastAsia"/>
          <w:kern w:val="0"/>
          <w:sz w:val="24"/>
          <w:szCs w:val="24"/>
          <w:u w:val="single"/>
        </w:rPr>
        <w:t>（全称并加盖单位公章）</w:t>
      </w:r>
    </w:p>
    <w:p>
      <w:pPr>
        <w:widowControl/>
        <w:ind w:firstLine="480"/>
        <w:jc w:val="righ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日期：</w:t>
      </w:r>
      <w:r>
        <w:rPr>
          <w:rFonts w:hint="eastAsia" w:asciiTheme="minorEastAsia" w:hAnsiTheme="minorEastAsia" w:eastAsiaTheme="minorEastAsia" w:cstheme="minorEastAsia"/>
          <w:kern w:val="0"/>
          <w:sz w:val="24"/>
          <w:szCs w:val="24"/>
          <w:u w:val="single"/>
        </w:rPr>
        <w:t>　　年　　月　　日</w:t>
      </w:r>
    </w:p>
    <w:p>
      <w:pPr>
        <w:widowControl/>
        <w:ind w:firstLine="48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附：</w:t>
      </w:r>
    </w:p>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监狱企业证明材料（若有）</w:t>
      </w:r>
    </w:p>
    <w:p>
      <w:pPr>
        <w:spacing w:line="400" w:lineRule="exact"/>
        <w:ind w:firstLine="480"/>
        <w:jc w:val="right"/>
        <w:rPr>
          <w:sz w:val="24"/>
          <w:szCs w:val="24"/>
        </w:rPr>
      </w:pPr>
      <w:r>
        <w:rPr>
          <w:rFonts w:hint="eastAsia" w:asciiTheme="minorEastAsia" w:hAnsiTheme="minorEastAsia" w:eastAsiaTheme="minorEastAsia" w:cstheme="minorEastAsia"/>
          <w:sz w:val="24"/>
          <w:szCs w:val="24"/>
        </w:rPr>
        <w:t>投标人为监狱企业，提供本单位制造的货物（承接的服务），并在电子投标文件中提供省级以上监狱管理局、戒毒管理局（含新疆生产建设兵团）出具的属于监狱企业的证明文件。</w:t>
      </w:r>
    </w:p>
    <w:p>
      <w:pPr>
        <w:spacing w:line="400" w:lineRule="exact"/>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（二）资格承诺函</w:t>
      </w:r>
    </w:p>
    <w:p>
      <w:pPr>
        <w:widowControl/>
        <w:shd w:val="clear" w:color="auto" w:fill="FFFFFF"/>
        <w:spacing w:after="150"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w:t>
      </w:r>
    </w:p>
    <w:p>
      <w:pPr>
        <w:widowControl/>
        <w:shd w:val="clear" w:color="auto" w:fill="FFFFFF"/>
        <w:spacing w:after="150"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附件：</w:t>
      </w:r>
    </w:p>
    <w:p>
      <w:pPr>
        <w:widowControl/>
        <w:shd w:val="clear" w:color="auto" w:fill="FFFFFF"/>
        <w:spacing w:after="150"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福建省政府采购供应商资格承诺函</w:t>
      </w:r>
    </w:p>
    <w:p>
      <w:pPr>
        <w:widowControl/>
        <w:shd w:val="clear" w:color="auto" w:fill="FFFFFF"/>
        <w:spacing w:after="150" w:line="360" w:lineRule="exact"/>
        <w:jc w:val="left"/>
        <w:rPr>
          <w:rFonts w:cs="宋体" w:asciiTheme="minorEastAsia" w:hAnsiTheme="minorEastAsia"/>
          <w:kern w:val="0"/>
          <w:sz w:val="24"/>
          <w:szCs w:val="24"/>
        </w:rPr>
      </w:pPr>
    </w:p>
    <w:p>
      <w:pPr>
        <w:widowControl/>
        <w:shd w:val="clear" w:color="auto" w:fill="FFFFFF"/>
        <w:spacing w:after="150"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致(采购人或政府采购代理机构):</w:t>
      </w:r>
    </w:p>
    <w:p>
      <w:pPr>
        <w:widowControl/>
        <w:shd w:val="clear" w:color="auto" w:fill="FFFFFF"/>
        <w:spacing w:after="150"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单位名称(自然人姓名):</w:t>
      </w:r>
    </w:p>
    <w:p>
      <w:pPr>
        <w:widowControl/>
        <w:shd w:val="clear" w:color="auto" w:fill="FFFFFF"/>
        <w:spacing w:after="150"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统一社会信用代码(身份证号码):</w:t>
      </w:r>
    </w:p>
    <w:p>
      <w:pPr>
        <w:widowControl/>
        <w:shd w:val="clear" w:color="auto" w:fill="FFFFFF"/>
        <w:spacing w:after="150"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法定代表人(负责人):</w:t>
      </w:r>
    </w:p>
    <w:p>
      <w:pPr>
        <w:widowControl/>
        <w:shd w:val="clear" w:color="auto" w:fill="FFFFFF"/>
        <w:spacing w:after="150"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联系地址和电话:</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我单位(本人)自愿参加本次政府采购活动，严格遵守《中华人民共和国政府采购法》及相关法律法规，坚守公开、公平公正和诚实信用等原则，依法诚信经营，并郑重承诺:</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一、我单位(本人)具备采购文件要求以及《中华人民共和国政府采购法》第二十二条规定的条件:</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1.具有独立承担民事责任的能力;</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2.具有良好的商业信誉和健全的财务会计制度;</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3.具有履行合同所必需的设备和专业技术能力;</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4.有依法缴纳税收和社会保障资金的良好记录;</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5.参加政府采购活动前三年内，在经营活动中没有重大违法记录；</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6.法律、行政法规规定的其他条件。</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供应商名称(单位公章):</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年   月   日</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注:</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1.我单位(本人)专指参加政府采购活动的供应商(含自然人)；</w:t>
      </w:r>
    </w:p>
    <w:p>
      <w:pPr>
        <w:widowControl/>
        <w:shd w:val="clear" w:color="auto" w:fill="FFFFFF"/>
        <w:spacing w:after="150" w:line="36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2.资格承诺的供应商应在投标(响应)文件中按此模板提供承诺函，否则，视为未按照招标文件规定提交投标人的资格及资信文件，按资格审查不通过处理。</w:t>
      </w:r>
    </w:p>
    <w:p>
      <w:pPr>
        <w:pStyle w:val="2"/>
        <w:ind w:firstLine="210"/>
      </w:pPr>
    </w:p>
    <w:p>
      <w:pPr>
        <w:widowControl/>
        <w:spacing w:after="150"/>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三</w:t>
      </w:r>
      <w:r>
        <w:rPr>
          <w:rFonts w:hint="eastAsia" w:cs="宋体" w:asciiTheme="minorEastAsia" w:hAnsiTheme="minorEastAsia" w:eastAsiaTheme="minorEastAsia"/>
          <w:b/>
          <w:bCs/>
          <w:kern w:val="0"/>
          <w:sz w:val="24"/>
          <w:szCs w:val="24"/>
        </w:rPr>
        <w:t>、投标保证金</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编制说明</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、在此项下提交的</w:t>
      </w:r>
      <w:r>
        <w:rPr>
          <w:rFonts w:hint="eastAsia" w:cs="宋体" w:asciiTheme="minorEastAsia" w:hAnsiTheme="minorEastAsia" w:eastAsiaTheme="minorEastAsia"/>
          <w:b/>
          <w:bCs/>
          <w:kern w:val="0"/>
          <w:sz w:val="24"/>
          <w:szCs w:val="24"/>
        </w:rPr>
        <w:t>“投标保证金”</w:t>
      </w:r>
      <w:r>
        <w:rPr>
          <w:rFonts w:hint="eastAsia" w:cs="宋体" w:asciiTheme="minorEastAsia" w:hAnsiTheme="minorEastAsia" w:eastAsiaTheme="minorEastAsia"/>
          <w:kern w:val="0"/>
          <w:sz w:val="24"/>
          <w:szCs w:val="24"/>
        </w:rPr>
        <w:t>材料可使用转账凭证复印件。</w:t>
      </w:r>
    </w:p>
    <w:p>
      <w:pPr>
        <w:tabs>
          <w:tab w:val="left" w:pos="900"/>
        </w:tabs>
        <w:spacing w:line="360" w:lineRule="auto"/>
        <w:rPr>
          <w:rFonts w:asciiTheme="minorEastAsia" w:hAnsiTheme="minorEastAsia" w:eastAsiaTheme="minorEastAsia"/>
          <w:sz w:val="24"/>
          <w:szCs w:val="24"/>
          <w:u w:val="single"/>
        </w:rPr>
      </w:pPr>
    </w:p>
    <w:p>
      <w:pPr>
        <w:tabs>
          <w:tab w:val="left" w:pos="900"/>
        </w:tabs>
        <w:spacing w:line="360" w:lineRule="auto"/>
        <w:jc w:val="center"/>
        <w:rPr>
          <w:rFonts w:asciiTheme="minorEastAsia" w:hAnsiTheme="minorEastAsia" w:eastAsiaTheme="minorEastAsia"/>
          <w:b/>
          <w:sz w:val="24"/>
          <w:szCs w:val="24"/>
        </w:rPr>
      </w:pPr>
    </w:p>
    <w:p>
      <w:pPr>
        <w:tabs>
          <w:tab w:val="left" w:pos="900"/>
        </w:tabs>
        <w:spacing w:line="360" w:lineRule="auto"/>
        <w:jc w:val="center"/>
        <w:rPr>
          <w:rFonts w:cs="宋体" w:asciiTheme="minorEastAsia" w:hAnsiTheme="minorEastAsia" w:eastAsiaTheme="minorEastAsia"/>
          <w:kern w:val="0"/>
          <w:sz w:val="24"/>
          <w:szCs w:val="24"/>
        </w:rPr>
      </w:pPr>
      <w:r>
        <w:rPr>
          <w:rFonts w:hint="eastAsia" w:asciiTheme="minorEastAsia" w:hAnsiTheme="minorEastAsia" w:eastAsiaTheme="minorEastAsia"/>
          <w:b/>
          <w:sz w:val="24"/>
          <w:szCs w:val="24"/>
        </w:rPr>
        <w:t>四、</w:t>
      </w:r>
      <w:r>
        <w:rPr>
          <w:rFonts w:hint="eastAsia" w:cs="宋体" w:asciiTheme="minorEastAsia" w:hAnsiTheme="minorEastAsia" w:eastAsiaTheme="minorEastAsia"/>
          <w:b/>
          <w:bCs/>
          <w:kern w:val="0"/>
          <w:sz w:val="24"/>
          <w:szCs w:val="24"/>
        </w:rPr>
        <w:t>技术和服务要求响应表</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招标编号：</w:t>
      </w:r>
      <w:r>
        <w:rPr>
          <w:rFonts w:cs="宋体" w:asciiTheme="minorEastAsia" w:hAnsiTheme="minorEastAsia" w:eastAsiaTheme="minorEastAsia"/>
          <w:kern w:val="0"/>
          <w:sz w:val="24"/>
          <w:szCs w:val="24"/>
          <w:u w:val="single"/>
        </w:rPr>
        <w:t>                   </w:t>
      </w:r>
    </w:p>
    <w:tbl>
      <w:tblPr>
        <w:tblStyle w:val="52"/>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121"/>
        <w:gridCol w:w="1000"/>
        <w:gridCol w:w="3471"/>
        <w:gridCol w:w="2156"/>
        <w:gridCol w:w="2208"/>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56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合同包</w:t>
            </w:r>
          </w:p>
        </w:tc>
        <w:tc>
          <w:tcPr>
            <w:tcW w:w="502"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品目号</w:t>
            </w:r>
          </w:p>
        </w:tc>
        <w:tc>
          <w:tcPr>
            <w:tcW w:w="1743"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技术和服务要求</w:t>
            </w:r>
          </w:p>
        </w:tc>
        <w:tc>
          <w:tcPr>
            <w:tcW w:w="1083"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投标响应</w:t>
            </w:r>
          </w:p>
        </w:tc>
        <w:tc>
          <w:tcPr>
            <w:tcW w:w="1109"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是否偏离及说明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63" w:type="pct"/>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w:t>
            </w:r>
          </w:p>
        </w:tc>
        <w:tc>
          <w:tcPr>
            <w:tcW w:w="50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p>
        </w:tc>
        <w:tc>
          <w:tcPr>
            <w:tcW w:w="174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108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1109"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63" w:type="pct"/>
            <w:vMerge w:val="continue"/>
            <w:tcBorders>
              <w:top w:val="nil"/>
              <w:left w:val="single" w:color="auto" w:sz="6"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 w:val="24"/>
                <w:szCs w:val="24"/>
              </w:rPr>
            </w:pPr>
          </w:p>
        </w:tc>
        <w:tc>
          <w:tcPr>
            <w:tcW w:w="50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174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108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1109"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63"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50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174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108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1109"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r>
    </w:tbl>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、本表应按照下列规定填写：</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1.1</w:t>
      </w:r>
      <w:r>
        <w:rPr>
          <w:rFonts w:hint="eastAsia" w:cs="宋体" w:asciiTheme="minorEastAsia" w:hAnsiTheme="minorEastAsia" w:eastAsiaTheme="minorEastAsia"/>
          <w:kern w:val="0"/>
          <w:sz w:val="24"/>
          <w:szCs w:val="24"/>
        </w:rPr>
        <w:t>“技术和服务要求”项下填写的内容应与招标文件第三章“技术和服务要求”的内容保持一致。</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1.2</w:t>
      </w:r>
      <w:r>
        <w:rPr>
          <w:rFonts w:hint="eastAsia" w:cs="宋体" w:asciiTheme="minorEastAsia" w:hAnsiTheme="minorEastAsia" w:eastAsiaTheme="minorEastAsia"/>
          <w:kern w:val="0"/>
          <w:sz w:val="24"/>
          <w:szCs w:val="24"/>
        </w:rPr>
        <w:t>“投标响应”项下应填写具体的响应内容并与“技术和服务要求”项下填写的内容逐项对应；对“技术和服务要求”项下涉及“≥或＞”、“≤或＜”及某个区间值范围内的内容，应填写具体的数值。</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1.3</w:t>
      </w:r>
      <w:r>
        <w:rPr>
          <w:rFonts w:hint="eastAsia" w:cs="宋体" w:asciiTheme="minorEastAsia" w:hAnsiTheme="minorEastAsia" w:eastAsiaTheme="minorEastAsia"/>
          <w:kern w:val="0"/>
          <w:sz w:val="24"/>
          <w:szCs w:val="24"/>
        </w:rPr>
        <w:t>“是否偏离及说明”项下应按下列规定填写：优于的，填写“正偏离”；符合的，填写“无偏离”；低于的，填写“负偏离”。</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、投标人需要说明的内容若需特殊表达，应先在本表中进行相应说明，再</w:t>
      </w:r>
      <w:r>
        <w:rPr>
          <w:rFonts w:cs="宋体" w:asciiTheme="minorEastAsia" w:hAnsiTheme="minorEastAsia" w:eastAsiaTheme="minorEastAsia"/>
          <w:kern w:val="0"/>
          <w:sz w:val="24"/>
          <w:szCs w:val="24"/>
        </w:rPr>
        <w:t>    </w:t>
      </w:r>
      <w:r>
        <w:rPr>
          <w:rFonts w:hint="eastAsia" w:cs="宋体" w:asciiTheme="minorEastAsia" w:hAnsiTheme="minorEastAsia" w:eastAsiaTheme="minorEastAsia"/>
          <w:kern w:val="0"/>
          <w:sz w:val="24"/>
          <w:szCs w:val="24"/>
        </w:rPr>
        <w:t>另页应答，否则</w:t>
      </w:r>
      <w:r>
        <w:rPr>
          <w:rFonts w:hint="eastAsia" w:cs="宋体" w:asciiTheme="minorEastAsia" w:hAnsiTheme="minorEastAsia" w:eastAsiaTheme="minorEastAsia"/>
          <w:b/>
          <w:bCs/>
          <w:kern w:val="0"/>
          <w:sz w:val="24"/>
          <w:szCs w:val="24"/>
        </w:rPr>
        <w:t>投标无效</w:t>
      </w:r>
      <w:r>
        <w:rPr>
          <w:rFonts w:hint="eastAsia" w:cs="宋体" w:asciiTheme="minorEastAsia" w:hAnsiTheme="minorEastAsia" w:eastAsiaTheme="minorEastAsia"/>
          <w:kern w:val="0"/>
          <w:sz w:val="24"/>
          <w:szCs w:val="24"/>
        </w:rPr>
        <w:t>。</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、纸质投标文件正本中的本表应为原件。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widowControl/>
        <w:spacing w:after="150"/>
        <w:jc w:val="left"/>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五、商务条件响应表</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招标编号：</w:t>
      </w:r>
      <w:r>
        <w:rPr>
          <w:rFonts w:cs="宋体" w:asciiTheme="minorEastAsia" w:hAnsiTheme="minorEastAsia" w:eastAsiaTheme="minorEastAsia"/>
          <w:kern w:val="0"/>
          <w:sz w:val="24"/>
          <w:szCs w:val="24"/>
          <w:u w:val="single"/>
        </w:rPr>
        <w:t>                   </w:t>
      </w:r>
    </w:p>
    <w:tbl>
      <w:tblPr>
        <w:tblStyle w:val="52"/>
        <w:tblW w:w="5000"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1121"/>
        <w:gridCol w:w="1000"/>
        <w:gridCol w:w="3471"/>
        <w:gridCol w:w="2156"/>
        <w:gridCol w:w="2208"/>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6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合同包</w:t>
            </w:r>
          </w:p>
        </w:tc>
        <w:tc>
          <w:tcPr>
            <w:tcW w:w="502"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品目号</w:t>
            </w:r>
          </w:p>
        </w:tc>
        <w:tc>
          <w:tcPr>
            <w:tcW w:w="1743"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商务条件</w:t>
            </w:r>
          </w:p>
        </w:tc>
        <w:tc>
          <w:tcPr>
            <w:tcW w:w="1083"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投标响应</w:t>
            </w:r>
          </w:p>
        </w:tc>
        <w:tc>
          <w:tcPr>
            <w:tcW w:w="1109" w:type="pc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是否偏离及说明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63" w:type="pct"/>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w:t>
            </w:r>
          </w:p>
        </w:tc>
        <w:tc>
          <w:tcPr>
            <w:tcW w:w="50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p>
        </w:tc>
        <w:tc>
          <w:tcPr>
            <w:tcW w:w="174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108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1109"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63" w:type="pct"/>
            <w:vMerge w:val="continue"/>
            <w:tcBorders>
              <w:top w:val="nil"/>
              <w:left w:val="single" w:color="auto" w:sz="6" w:space="0"/>
              <w:bottom w:val="single" w:color="auto" w:sz="6" w:space="0"/>
              <w:right w:val="single" w:color="auto" w:sz="6" w:space="0"/>
            </w:tcBorders>
            <w:vAlign w:val="center"/>
          </w:tcPr>
          <w:p>
            <w:pPr>
              <w:widowControl/>
              <w:jc w:val="left"/>
              <w:rPr>
                <w:rFonts w:cs="宋体" w:asciiTheme="minorEastAsia" w:hAnsiTheme="minorEastAsia" w:eastAsiaTheme="minorEastAsia"/>
                <w:kern w:val="0"/>
                <w:sz w:val="24"/>
                <w:szCs w:val="24"/>
              </w:rPr>
            </w:pPr>
          </w:p>
        </w:tc>
        <w:tc>
          <w:tcPr>
            <w:tcW w:w="50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174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108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c>
          <w:tcPr>
            <w:tcW w:w="1109" w:type="pct"/>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cs="宋体" w:asciiTheme="minorEastAsia" w:hAnsiTheme="minorEastAsia" w:eastAsiaTheme="minorEastAsia"/>
                <w:kern w:val="0"/>
                <w:sz w:val="24"/>
                <w:szCs w:val="24"/>
              </w:rPr>
            </w:pP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c>
          <w:tcPr>
            <w:tcW w:w="563" w:type="pc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tc>
        <w:tc>
          <w:tcPr>
            <w:tcW w:w="502"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174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1083"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c>
          <w:tcPr>
            <w:tcW w:w="1109" w:type="pc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cs="宋体" w:asciiTheme="minorEastAsia" w:hAnsiTheme="minorEastAsia" w:eastAsiaTheme="minorEastAsia"/>
                <w:kern w:val="0"/>
                <w:sz w:val="24"/>
                <w:szCs w:val="24"/>
              </w:rPr>
            </w:pPr>
          </w:p>
        </w:tc>
      </w:tr>
    </w:tbl>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、本表应按照下列规定填写：</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1.1</w:t>
      </w:r>
      <w:r>
        <w:rPr>
          <w:rFonts w:hint="eastAsia" w:cs="宋体" w:asciiTheme="minorEastAsia" w:hAnsiTheme="minorEastAsia" w:eastAsiaTheme="minorEastAsia"/>
          <w:kern w:val="0"/>
          <w:sz w:val="24"/>
          <w:szCs w:val="24"/>
        </w:rPr>
        <w:t>“商务条件”项下填写的内容应与招标文件第三章“商务条件”的内容保持一致。</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1.2</w:t>
      </w:r>
      <w:r>
        <w:rPr>
          <w:rFonts w:hint="eastAsia" w:cs="宋体" w:asciiTheme="minorEastAsia" w:hAnsiTheme="minorEastAsia" w:eastAsiaTheme="minorEastAsia"/>
          <w:kern w:val="0"/>
          <w:sz w:val="24"/>
          <w:szCs w:val="24"/>
        </w:rPr>
        <w:t>“投标响应”项下应填写具体的响应内容并与“商务条件”项下填写的内容逐项对应；对“商务条件”项下涉及“≥或＞”、“≤或＜”及某个区间值范围内的内容，应填写具体的数值。</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1.3</w:t>
      </w:r>
      <w:r>
        <w:rPr>
          <w:rFonts w:hint="eastAsia" w:cs="宋体" w:asciiTheme="minorEastAsia" w:hAnsiTheme="minorEastAsia" w:eastAsiaTheme="minorEastAsia"/>
          <w:kern w:val="0"/>
          <w:sz w:val="24"/>
          <w:szCs w:val="24"/>
        </w:rPr>
        <w:t>“是否偏离及说明”项下应按下列规定填写：优于的，填写“正偏离”；符合的，填写“无偏离”；低于的，填写“负偏离”。</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、投标人需要说明的内容若需特殊表达，应先在本表中进行相应说明，再另页应答，否则</w:t>
      </w:r>
      <w:r>
        <w:rPr>
          <w:rFonts w:hint="eastAsia" w:cs="宋体" w:asciiTheme="minorEastAsia" w:hAnsiTheme="minorEastAsia" w:eastAsiaTheme="minorEastAsia"/>
          <w:b/>
          <w:bCs/>
          <w:kern w:val="0"/>
          <w:sz w:val="24"/>
          <w:szCs w:val="24"/>
        </w:rPr>
        <w:t>投标无效</w:t>
      </w:r>
      <w:r>
        <w:rPr>
          <w:rFonts w:hint="eastAsia" w:cs="宋体" w:asciiTheme="minorEastAsia" w:hAnsiTheme="minorEastAsia" w:eastAsiaTheme="minorEastAsia"/>
          <w:kern w:val="0"/>
          <w:sz w:val="24"/>
          <w:szCs w:val="24"/>
        </w:rPr>
        <w:t>。</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、纸质投标文件正本中的本表应为原件。</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widowControl/>
        <w:spacing w:after="150"/>
        <w:jc w:val="left"/>
        <w:rPr>
          <w:rFonts w:cs="宋体" w:asciiTheme="minorEastAsia" w:hAnsiTheme="minorEastAsia" w:eastAsiaTheme="minorEastAsia"/>
          <w:kern w:val="0"/>
          <w:sz w:val="24"/>
          <w:szCs w:val="24"/>
        </w:rPr>
      </w:pPr>
    </w:p>
    <w:p>
      <w:pPr>
        <w:widowControl/>
        <w:spacing w:after="150"/>
        <w:jc w:val="left"/>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b/>
          <w:bCs/>
          <w:kern w:val="0"/>
          <w:sz w:val="24"/>
          <w:szCs w:val="24"/>
        </w:rPr>
        <w:t>六、投标人提交的其他资料（若有）</w:t>
      </w:r>
    </w:p>
    <w:p>
      <w:pPr>
        <w:widowControl/>
        <w:spacing w:after="150"/>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编制说明</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、招标文件要求提交的除</w:t>
      </w:r>
      <w:r>
        <w:rPr>
          <w:rFonts w:hint="eastAsia" w:cs="宋体" w:asciiTheme="minorEastAsia" w:hAnsiTheme="minorEastAsia" w:eastAsiaTheme="minorEastAsia"/>
          <w:b/>
          <w:bCs/>
          <w:kern w:val="0"/>
          <w:sz w:val="24"/>
          <w:szCs w:val="24"/>
        </w:rPr>
        <w:t>“资格及资信证明部分”、“报价部分”</w:t>
      </w:r>
      <w:r>
        <w:rPr>
          <w:rFonts w:hint="eastAsia" w:cs="宋体" w:asciiTheme="minorEastAsia" w:hAnsiTheme="minorEastAsia" w:eastAsiaTheme="minorEastAsia"/>
          <w:kern w:val="0"/>
          <w:sz w:val="24"/>
          <w:szCs w:val="24"/>
        </w:rPr>
        <w:t>外的其他证明材料或资料加盖投标人的单位公章后应在此项下提交。</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2</w:t>
      </w:r>
      <w:r>
        <w:rPr>
          <w:rFonts w:hint="eastAsia" w:cs="宋体" w:asciiTheme="minorEastAsia" w:hAnsiTheme="minorEastAsia" w:eastAsiaTheme="minorEastAsia"/>
          <w:kern w:val="0"/>
          <w:sz w:val="24"/>
          <w:szCs w:val="24"/>
        </w:rPr>
        <w:t>、招标文件要求投标人提供方案（包括但不限于：组织、实施、技术、服务方案等）的，投标人应在此项下提交。</w:t>
      </w:r>
    </w:p>
    <w:p>
      <w:pPr>
        <w:widowControl/>
        <w:spacing w:after="15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、除招标文件另有规定外，投标人认为需要提交的其他证明材料或资料加盖投标人的单位公章后应在此项下提交。</w:t>
      </w:r>
    </w:p>
    <w:p>
      <w:pPr>
        <w:tabs>
          <w:tab w:val="left" w:pos="900"/>
        </w:tabs>
        <w:spacing w:line="360" w:lineRule="auto"/>
        <w:jc w:val="center"/>
        <w:rPr>
          <w:rFonts w:ascii="宋体" w:hAnsi="宋体" w:cs="宋体"/>
          <w:b/>
          <w:bCs/>
          <w:kern w:val="0"/>
          <w:sz w:val="24"/>
          <w:szCs w:val="24"/>
        </w:rPr>
      </w:pPr>
      <w:r>
        <w:rPr>
          <w:rFonts w:hint="eastAsia" w:ascii="宋体" w:hAnsi="宋体" w:cs="宋体"/>
          <w:b/>
          <w:bCs/>
          <w:kern w:val="0"/>
          <w:sz w:val="24"/>
          <w:szCs w:val="24"/>
        </w:rPr>
        <w:t>6-1招标服务费承诺书</w:t>
      </w:r>
    </w:p>
    <w:p>
      <w:pPr>
        <w:tabs>
          <w:tab w:val="left" w:pos="900"/>
        </w:tabs>
        <w:spacing w:line="360" w:lineRule="auto"/>
        <w:rPr>
          <w:rFonts w:ascii="宋体" w:hAnsi="宋体"/>
          <w:sz w:val="24"/>
          <w:szCs w:val="24"/>
        </w:rPr>
      </w:pPr>
      <w:r>
        <w:rPr>
          <w:rFonts w:hint="eastAsia" w:ascii="宋体" w:hAnsi="宋体"/>
          <w:sz w:val="24"/>
          <w:szCs w:val="24"/>
        </w:rPr>
        <w:t>致：福建华真招标代理有限公司</w:t>
      </w:r>
    </w:p>
    <w:p>
      <w:pPr>
        <w:tabs>
          <w:tab w:val="left" w:pos="900"/>
        </w:tabs>
        <w:spacing w:line="360" w:lineRule="auto"/>
        <w:ind w:firstLine="410" w:firstLineChars="171"/>
        <w:rPr>
          <w:rFonts w:ascii="宋体" w:hAnsi="宋体"/>
          <w:sz w:val="24"/>
          <w:szCs w:val="24"/>
        </w:rPr>
      </w:pPr>
      <w:r>
        <w:rPr>
          <w:rFonts w:hint="eastAsia" w:ascii="宋体" w:hAnsi="宋体"/>
          <w:sz w:val="24"/>
          <w:szCs w:val="24"/>
        </w:rPr>
        <w:t>我们在贵公司组织的项目招标中投标（招标编号：），如获中标，我们保证按招标文件规定的时间和服务费的收取标准在领取中标通知书的同时，以银行</w:t>
      </w:r>
      <w:bookmarkStart w:id="71" w:name="_GoBack"/>
      <w:r>
        <w:rPr>
          <w:rFonts w:hint="eastAsia" w:ascii="宋体" w:hAnsi="宋体"/>
          <w:sz w:val="24"/>
          <w:szCs w:val="24"/>
        </w:rPr>
        <w:t>转</w:t>
      </w:r>
      <w:r>
        <w:rPr>
          <w:rFonts w:hint="eastAsia" w:ascii="宋体" w:hAnsi="宋体"/>
          <w:sz w:val="24"/>
          <w:szCs w:val="24"/>
          <w:lang w:eastAsia="zh-CN"/>
        </w:rPr>
        <w:t>账</w:t>
      </w:r>
      <w:bookmarkEnd w:id="71"/>
      <w:r>
        <w:rPr>
          <w:rFonts w:hint="eastAsia" w:ascii="宋体" w:hAnsi="宋体"/>
          <w:sz w:val="24"/>
          <w:szCs w:val="24"/>
        </w:rPr>
        <w:t>、现金或经贵公司认可的其他付款方式，向贵公司缴交中标服务费。</w:t>
      </w:r>
    </w:p>
    <w:p>
      <w:pPr>
        <w:tabs>
          <w:tab w:val="left" w:pos="5355"/>
        </w:tabs>
        <w:spacing w:line="360" w:lineRule="auto"/>
        <w:ind w:firstLine="540"/>
        <w:rPr>
          <w:rFonts w:ascii="宋体" w:hAnsi="宋体"/>
          <w:bCs/>
          <w:kern w:val="0"/>
          <w:sz w:val="24"/>
          <w:szCs w:val="24"/>
        </w:rPr>
      </w:pPr>
      <w:r>
        <w:rPr>
          <w:rFonts w:hint="eastAsia" w:ascii="宋体" w:hAnsi="宋体"/>
          <w:bCs/>
          <w:kern w:val="0"/>
          <w:sz w:val="24"/>
          <w:szCs w:val="24"/>
        </w:rPr>
        <w:t>我方如违反承诺，所提交的上述项目的投标保证金将不予退还我方，还愿赔偿福建华真招标代理有限公司本项目中标服务费200%的赔偿款。我方对此无异议。</w:t>
      </w:r>
    </w:p>
    <w:p>
      <w:pPr>
        <w:tabs>
          <w:tab w:val="left" w:pos="5355"/>
        </w:tabs>
        <w:spacing w:line="360" w:lineRule="auto"/>
        <w:ind w:firstLine="540"/>
        <w:rPr>
          <w:rFonts w:ascii="宋体" w:hAnsi="宋体"/>
          <w:bCs/>
          <w:kern w:val="0"/>
          <w:sz w:val="24"/>
          <w:szCs w:val="24"/>
        </w:rPr>
      </w:pPr>
      <w:r>
        <w:rPr>
          <w:rFonts w:hint="eastAsia" w:ascii="宋体" w:hAnsi="宋体"/>
          <w:bCs/>
          <w:kern w:val="0"/>
          <w:sz w:val="24"/>
          <w:szCs w:val="24"/>
        </w:rPr>
        <w:t>特此承诺！</w:t>
      </w:r>
    </w:p>
    <w:p>
      <w:pPr>
        <w:widowControl/>
        <w:spacing w:line="460" w:lineRule="exact"/>
        <w:rPr>
          <w:rFonts w:ascii="宋体" w:hAnsi="宋体" w:cs="宋体"/>
          <w:kern w:val="0"/>
          <w:sz w:val="24"/>
          <w:szCs w:val="24"/>
        </w:rPr>
      </w:pPr>
      <w:r>
        <w:rPr>
          <w:rFonts w:hint="eastAsia" w:ascii="宋体" w:hAnsi="宋体" w:cs="宋体"/>
          <w:kern w:val="0"/>
          <w:sz w:val="24"/>
          <w:szCs w:val="24"/>
        </w:rPr>
        <w:t>★注意：</w:t>
      </w:r>
    </w:p>
    <w:p>
      <w:pPr>
        <w:widowControl/>
        <w:spacing w:line="460" w:lineRule="exact"/>
        <w:rPr>
          <w:rFonts w:ascii="宋体" w:hAnsi="宋体" w:cs="宋体"/>
          <w:kern w:val="0"/>
          <w:sz w:val="24"/>
          <w:szCs w:val="24"/>
        </w:rPr>
      </w:pPr>
      <w:r>
        <w:rPr>
          <w:rFonts w:hint="eastAsia" w:ascii="宋体" w:hAnsi="宋体" w:cs="宋体"/>
          <w:kern w:val="0"/>
          <w:sz w:val="24"/>
          <w:szCs w:val="24"/>
        </w:rPr>
        <w:t>1、投标文件正本中的本承诺书应为原件，否则投标无效。</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w:t>
      </w:r>
      <w:r>
        <w:rPr>
          <w:rFonts w:hint="eastAsia" w:cs="宋体" w:asciiTheme="minorEastAsia" w:hAnsiTheme="minorEastAsia" w:eastAsiaTheme="minorEastAsia"/>
          <w:kern w:val="0"/>
          <w:sz w:val="24"/>
          <w:szCs w:val="24"/>
          <w:u w:val="single"/>
        </w:rPr>
        <w:t>（全称并加盖单位公章）</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投标人代表签字：</w:t>
      </w:r>
      <w:r>
        <w:rPr>
          <w:rFonts w:cs="宋体" w:asciiTheme="minorEastAsia" w:hAnsiTheme="minorEastAsia" w:eastAsiaTheme="minorEastAsia"/>
          <w:kern w:val="0"/>
          <w:sz w:val="24"/>
          <w:szCs w:val="24"/>
          <w:u w:val="single"/>
        </w:rPr>
        <w:t>                   </w:t>
      </w:r>
    </w:p>
    <w:p>
      <w:pPr>
        <w:widowControl/>
        <w:spacing w:after="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日期：</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年</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月</w:t>
      </w:r>
      <w:r>
        <w:rPr>
          <w:rFonts w:cs="宋体" w:asciiTheme="minorEastAsia" w:hAnsiTheme="minorEastAsia" w:eastAsiaTheme="minorEastAsia"/>
          <w:kern w:val="0"/>
          <w:sz w:val="24"/>
          <w:szCs w:val="24"/>
          <w:u w:val="single"/>
        </w:rPr>
        <w:t>   </w:t>
      </w:r>
      <w:r>
        <w:rPr>
          <w:rFonts w:hint="eastAsia" w:cs="宋体" w:asciiTheme="minorEastAsia" w:hAnsiTheme="minorEastAsia" w:eastAsiaTheme="minorEastAsia"/>
          <w:kern w:val="0"/>
          <w:sz w:val="24"/>
          <w:szCs w:val="24"/>
        </w:rPr>
        <w:t>日</w:t>
      </w:r>
    </w:p>
    <w:p>
      <w:pPr>
        <w:pStyle w:val="48"/>
        <w:spacing w:before="75" w:beforeAutospacing="0" w:after="75" w:afterAutospacing="0" w:line="435" w:lineRule="atLeast"/>
        <w:rPr>
          <w:rFonts w:asciiTheme="minorEastAsia" w:hAnsiTheme="minorEastAsia" w:eastAsiaTheme="minorEastAsia"/>
          <w:szCs w:val="21"/>
          <w:u w:val="single"/>
        </w:rPr>
      </w:pPr>
    </w:p>
    <w:sectPr>
      <w:headerReference r:id="rId5" w:type="default"/>
      <w:footerReference r:id="rId6" w:type="default"/>
      <w:type w:val="continuous"/>
      <w:pgSz w:w="11906" w:h="16838"/>
      <w:pgMar w:top="1440" w:right="1080" w:bottom="1440" w:left="1080" w:header="851" w:footer="79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G Times">
    <w:altName w:val="DejaVu Sans"/>
    <w:panose1 w:val="02020603050405020304"/>
    <w:charset w:val="00"/>
    <w:family w:val="roman"/>
    <w:pitch w:val="default"/>
    <w:sig w:usb0="00000000" w:usb1="00000000" w:usb2="00000000" w:usb3="00000000" w:csb0="00000001"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微软雅黑">
    <w:altName w:val="黑体"/>
    <w:panose1 w:val="020B0503020204020204"/>
    <w:charset w:val="86"/>
    <w:family w:val="swiss"/>
    <w:pitch w:val="default"/>
    <w:sig w:usb0="00000000" w:usb1="00000000" w:usb2="00000016" w:usb3="00000000" w:csb0="0004001F" w:csb1="00000000"/>
  </w:font>
  <w:font w:name="Arial Black">
    <w:altName w:val="DejaVu Sans"/>
    <w:panose1 w:val="020B0A04020102020204"/>
    <w:charset w:val="00"/>
    <w:family w:val="swiss"/>
    <w:pitch w:val="default"/>
    <w:sig w:usb0="00000000" w:usb1="00000000" w:usb2="00000000" w:usb3="00000000" w:csb0="0000009F" w:csb1="00000000"/>
  </w:font>
  <w:font w:name="Tahoma">
    <w:altName w:val="DejaVu Sans"/>
    <w:panose1 w:val="020B0604030504040204"/>
    <w:charset w:val="00"/>
    <w:family w:val="swiss"/>
    <w:pitch w:val="default"/>
    <w:sig w:usb0="00000000" w:usb1="00000000" w:usb2="00000029" w:usb3="00000000" w:csb0="000101FF" w:csb1="0000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仿宋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0" w:usb3="00000000" w:csb0="00000001" w:csb1="00000000"/>
  </w:font>
  <w:font w:name="Arial Narrow">
    <w:altName w:val="DejaVu Sans"/>
    <w:panose1 w:val="020B0606020202030204"/>
    <w:charset w:val="00"/>
    <w:family w:val="swiss"/>
    <w:pitch w:val="default"/>
    <w:sig w:usb0="00000000" w:usb1="00000000" w:usb2="00000000" w:usb3="00000000" w:csb0="0000009F" w:csb1="00000000"/>
  </w:font>
  <w:font w:name="ˎ̥,Verdana,Arial">
    <w:altName w:val="DejaVu Sans"/>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altName w:val="方正仿宋_GBK"/>
    <w:panose1 w:val="00000000000000000000"/>
    <w:charset w:val="86"/>
    <w:family w:val="script"/>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 w:name="Monotype Sorts">
    <w:altName w:val="MathJax_Vector"/>
    <w:panose1 w:val="00000000000000000000"/>
    <w:charset w:val="02"/>
    <w:family w:val="auto"/>
    <w:pitch w:val="default"/>
    <w:sig w:usb0="00000000" w:usb1="00000000" w:usb2="00000000" w:usb3="00000000" w:csb0="80000000" w:csb1="00000000"/>
  </w:font>
  <w:font w:name="Arial Unicode MS">
    <w:altName w:val="DejaVu Sans"/>
    <w:panose1 w:val="020B0604020202020204"/>
    <w:charset w:val="86"/>
    <w:family w:val="swiss"/>
    <w:pitch w:val="default"/>
    <w:sig w:usb0="00000000" w:usb1="00000000" w:usb2="0000003F" w:usb3="00000000" w:csb0="003F01FF" w:csb1="00000000"/>
  </w:font>
  <w:font w:name="Helvetica">
    <w:altName w:val="Liberation Sans"/>
    <w:panose1 w:val="020B0604020202020204"/>
    <w:charset w:val="00"/>
    <w:family w:val="swiss"/>
    <w:pitch w:val="default"/>
    <w:sig w:usb0="00000000" w:usb1="00000000" w:usb2="00000000" w:usb3="00000000" w:csb0="00000001" w:csb1="00000000"/>
  </w:font>
  <w:font w:name="Liberation Sans">
    <w:panose1 w:val="020B0604020202020204"/>
    <w:charset w:val="00"/>
    <w:family w:val="auto"/>
    <w:pitch w:val="default"/>
    <w:sig w:usb0="A00002AF" w:usb1="500078FB" w:usb2="00000000" w:usb3="00000000" w:csb0="6000009F" w:csb1="DFD70000"/>
  </w:font>
  <w:font w:name="MetaPlusLF">
    <w:altName w:val="C059"/>
    <w:panose1 w:val="00000000000000000000"/>
    <w:charset w:val="00"/>
    <w:family w:val="auto"/>
    <w:pitch w:val="default"/>
    <w:sig w:usb0="00000000" w:usb1="00000000" w:usb2="00000000" w:usb3="00000000" w:csb0="00000097" w:csb1="00000000"/>
  </w:font>
  <w:font w:name="C059">
    <w:panose1 w:val="00000500000000000000"/>
    <w:charset w:val="00"/>
    <w:family w:val="auto"/>
    <w:pitch w:val="default"/>
    <w:sig w:usb0="00000287" w:usb1="00000800" w:usb2="00000000" w:usb3="00000000" w:csb0="6000009F" w:csb1="00000000"/>
  </w:font>
  <w:font w:name="Times newman">
    <w:altName w:val="DejaVu Sans"/>
    <w:panose1 w:val="00000000000000000000"/>
    <w:charset w:val="00"/>
    <w:family w:val="roman"/>
    <w:pitch w:val="default"/>
    <w:sig w:usb0="00000000" w:usb1="00000000" w:usb2="00000000" w:usb3="00000000" w:csb0="00040001" w:csb1="00000000"/>
  </w:font>
  <w:font w:name="Wingdings 2">
    <w:altName w:val="MathJax_Vector"/>
    <w:panose1 w:val="05020102010507070707"/>
    <w:charset w:val="02"/>
    <w:family w:val="roman"/>
    <w:pitch w:val="default"/>
    <w:sig w:usb0="00000000" w:usb1="00000000" w:usb2="00000000" w:usb3="00000000" w:csb0="8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371"/>
    </w:sdtPr>
    <w:sdtContent>
      <w:p>
        <w:pPr>
          <w:pStyle w:val="37"/>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szCs w:val="21"/>
        <w:shd w:val="pct10"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ACEEEFE8"/>
    <w:multiLevelType w:val="singleLevel"/>
    <w:tmpl w:val="ACEEEFE8"/>
    <w:lvl w:ilvl="0" w:tentative="0">
      <w:start w:val="2"/>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420"/>
        </w:tabs>
        <w:ind w:left="420" w:hanging="420"/>
      </w:pPr>
      <w:rPr>
        <w:rFonts w:hint="eastAsia"/>
      </w:rPr>
    </w:lvl>
    <w:lvl w:ilvl="1" w:tentative="0">
      <w:start w:val="1"/>
      <w:numFmt w:val="bullet"/>
      <w:lvlText w:val=""/>
      <w:lvlPicBulletId w:val="0"/>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97"/>
      <w:lvlText w:val="%5)"/>
      <w:lvlJc w:val="left"/>
      <w:pPr>
        <w:tabs>
          <w:tab w:val="left" w:pos="2100"/>
        </w:tabs>
        <w:ind w:left="2100" w:hanging="420"/>
      </w:pPr>
    </w:lvl>
    <w:lvl w:ilvl="5" w:tentative="0">
      <w:start w:val="1"/>
      <w:numFmt w:val="lowerRoman"/>
      <w:pStyle w:val="301"/>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F"/>
    <w:multiLevelType w:val="singleLevel"/>
    <w:tmpl w:val="0000000F"/>
    <w:lvl w:ilvl="0" w:tentative="0">
      <w:start w:val="1"/>
      <w:numFmt w:val="bullet"/>
      <w:pStyle w:val="482"/>
      <w:lvlText w:val="–"/>
      <w:lvlJc w:val="left"/>
      <w:pPr>
        <w:tabs>
          <w:tab w:val="left" w:pos="360"/>
        </w:tabs>
        <w:ind w:left="113" w:hanging="113"/>
      </w:pPr>
      <w:rPr>
        <w:rFonts w:hint="default" w:ascii="MetaPlusLF" w:hAnsi="MetaPlusLF"/>
        <w:b w:val="0"/>
        <w:i w:val="0"/>
        <w:color w:val="auto"/>
        <w:spacing w:val="0"/>
        <w:w w:val="100"/>
        <w:position w:val="0"/>
        <w:sz w:val="15"/>
        <w:u w:val="none"/>
      </w:rPr>
    </w:lvl>
  </w:abstractNum>
  <w:abstractNum w:abstractNumId="3">
    <w:nsid w:val="053C0911"/>
    <w:multiLevelType w:val="multilevel"/>
    <w:tmpl w:val="053C0911"/>
    <w:lvl w:ilvl="0" w:tentative="0">
      <w:start w:val="1"/>
      <w:numFmt w:val="decimal"/>
      <w:pStyle w:val="386"/>
      <w:lvlText w:val="SY1A-EQU-FUN-%1"/>
      <w:lvlJc w:val="left"/>
      <w:pPr>
        <w:tabs>
          <w:tab w:val="left" w:pos="1985"/>
        </w:tabs>
        <w:ind w:left="1985" w:hanging="1985"/>
      </w:pPr>
      <w:rPr>
        <w:rFonts w:hint="default" w:ascii="Times New Roman" w:hAnsi="Times New Roman" w:eastAsia="宋体"/>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A6033BE"/>
    <w:multiLevelType w:val="multilevel"/>
    <w:tmpl w:val="0A6033BE"/>
    <w:lvl w:ilvl="0" w:tentative="0">
      <w:start w:val="1"/>
      <w:numFmt w:val="decimal"/>
      <w:pStyle w:val="400"/>
      <w:lvlText w:val="%1）"/>
      <w:lvlJc w:val="left"/>
      <w:pPr>
        <w:tabs>
          <w:tab w:val="left" w:pos="420"/>
        </w:tabs>
        <w:ind w:left="420" w:hanging="420"/>
      </w:pPr>
      <w:rPr>
        <w:rFonts w:hint="default" w:ascii="Times New Roman" w:hAnsi="Times New Roman" w:eastAsia="宋体"/>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3D92318"/>
    <w:multiLevelType w:val="multilevel"/>
    <w:tmpl w:val="13D92318"/>
    <w:lvl w:ilvl="0" w:tentative="0">
      <w:start w:val="1"/>
      <w:numFmt w:val="bullet"/>
      <w:pStyle w:val="44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08E2084"/>
    <w:multiLevelType w:val="multilevel"/>
    <w:tmpl w:val="208E2084"/>
    <w:lvl w:ilvl="0" w:tentative="0">
      <w:start w:val="1"/>
      <w:numFmt w:val="decimal"/>
      <w:lvlText w:val="SY1A-SYS-PER-%1"/>
      <w:lvlJc w:val="left"/>
      <w:pPr>
        <w:tabs>
          <w:tab w:val="left" w:pos="1985"/>
        </w:tabs>
        <w:ind w:left="1985" w:hanging="1985"/>
      </w:pPr>
      <w:rPr>
        <w:rFonts w:hint="default" w:ascii="Times New Roman" w:hAnsi="Times New Roman"/>
        <w:b w:val="0"/>
        <w:i w:val="0"/>
        <w:sz w:val="21"/>
        <w:szCs w:val="21"/>
      </w:rPr>
    </w:lvl>
    <w:lvl w:ilvl="1" w:tentative="0">
      <w:start w:val="1"/>
      <w:numFmt w:val="lowerLetter"/>
      <w:pStyle w:val="375"/>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3BD07E8"/>
    <w:multiLevelType w:val="multilevel"/>
    <w:tmpl w:val="33BD07E8"/>
    <w:lvl w:ilvl="0" w:tentative="0">
      <w:start w:val="1"/>
      <w:numFmt w:val="decimal"/>
      <w:pStyle w:val="352"/>
      <w:lvlText w:val="%1."/>
      <w:lvlJc w:val="left"/>
      <w:pPr>
        <w:tabs>
          <w:tab w:val="left" w:pos="907"/>
        </w:tabs>
        <w:ind w:left="907" w:hanging="453"/>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A9D59D1"/>
    <w:multiLevelType w:val="multilevel"/>
    <w:tmpl w:val="3A9D59D1"/>
    <w:lvl w:ilvl="0" w:tentative="0">
      <w:start w:val="1"/>
      <w:numFmt w:val="bullet"/>
      <w:pStyle w:val="321"/>
      <w:lvlText w:val=""/>
      <w:lvlJc w:val="left"/>
      <w:pPr>
        <w:tabs>
          <w:tab w:val="left" w:pos="1928"/>
        </w:tabs>
        <w:ind w:left="1928" w:hanging="374"/>
      </w:pPr>
      <w:rPr>
        <w:rFonts w:hint="default" w:ascii="Wingdings" w:hAnsi="Wingdings"/>
        <w:sz w:val="24"/>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560"/>
        </w:tabs>
        <w:ind w:left="1560" w:hanging="420"/>
      </w:pPr>
      <w:rPr>
        <w:rFonts w:hint="default" w:ascii="Wingdings" w:hAnsi="Wingdings"/>
      </w:rPr>
    </w:lvl>
    <w:lvl w:ilvl="3" w:tentative="0">
      <w:start w:val="1"/>
      <w:numFmt w:val="bullet"/>
      <w:lvlText w:val=""/>
      <w:lvlJc w:val="left"/>
      <w:pPr>
        <w:tabs>
          <w:tab w:val="left" w:pos="1980"/>
        </w:tabs>
        <w:ind w:left="1980" w:hanging="420"/>
      </w:pPr>
      <w:rPr>
        <w:rFonts w:hint="default" w:ascii="Wingdings" w:hAnsi="Wingdings"/>
      </w:rPr>
    </w:lvl>
    <w:lvl w:ilvl="4" w:tentative="0">
      <w:start w:val="1"/>
      <w:numFmt w:val="bullet"/>
      <w:lvlText w:val=""/>
      <w:lvlJc w:val="left"/>
      <w:pPr>
        <w:tabs>
          <w:tab w:val="left" w:pos="2400"/>
        </w:tabs>
        <w:ind w:left="2400" w:hanging="420"/>
      </w:pPr>
      <w:rPr>
        <w:rFonts w:hint="default" w:ascii="Wingdings" w:hAnsi="Wingdings"/>
      </w:rPr>
    </w:lvl>
    <w:lvl w:ilvl="5" w:tentative="0">
      <w:start w:val="1"/>
      <w:numFmt w:val="bullet"/>
      <w:lvlText w:val=""/>
      <w:lvlJc w:val="left"/>
      <w:pPr>
        <w:tabs>
          <w:tab w:val="left" w:pos="2820"/>
        </w:tabs>
        <w:ind w:left="2820" w:hanging="420"/>
      </w:pPr>
      <w:rPr>
        <w:rFonts w:hint="default" w:ascii="Wingdings" w:hAnsi="Wingdings"/>
      </w:rPr>
    </w:lvl>
    <w:lvl w:ilvl="6" w:tentative="0">
      <w:start w:val="1"/>
      <w:numFmt w:val="bullet"/>
      <w:lvlText w:val=""/>
      <w:lvlJc w:val="left"/>
      <w:pPr>
        <w:tabs>
          <w:tab w:val="left" w:pos="3240"/>
        </w:tabs>
        <w:ind w:left="3240" w:hanging="420"/>
      </w:pPr>
      <w:rPr>
        <w:rFonts w:hint="default" w:ascii="Wingdings" w:hAnsi="Wingdings"/>
      </w:rPr>
    </w:lvl>
    <w:lvl w:ilvl="7" w:tentative="0">
      <w:start w:val="1"/>
      <w:numFmt w:val="bullet"/>
      <w:lvlText w:val=""/>
      <w:lvlJc w:val="left"/>
      <w:pPr>
        <w:tabs>
          <w:tab w:val="left" w:pos="3660"/>
        </w:tabs>
        <w:ind w:left="3660" w:hanging="420"/>
      </w:pPr>
      <w:rPr>
        <w:rFonts w:hint="default" w:ascii="Wingdings" w:hAnsi="Wingdings"/>
      </w:rPr>
    </w:lvl>
    <w:lvl w:ilvl="8" w:tentative="0">
      <w:start w:val="1"/>
      <w:numFmt w:val="bullet"/>
      <w:lvlText w:val=""/>
      <w:lvlJc w:val="left"/>
      <w:pPr>
        <w:tabs>
          <w:tab w:val="left" w:pos="4080"/>
        </w:tabs>
        <w:ind w:left="4080" w:hanging="420"/>
      </w:pPr>
      <w:rPr>
        <w:rFonts w:hint="default" w:ascii="Wingdings" w:hAnsi="Wingdings"/>
      </w:rPr>
    </w:lvl>
  </w:abstractNum>
  <w:abstractNum w:abstractNumId="9">
    <w:nsid w:val="49591AFD"/>
    <w:multiLevelType w:val="multilevel"/>
    <w:tmpl w:val="49591AFD"/>
    <w:lvl w:ilvl="0" w:tentative="0">
      <w:start w:val="1"/>
      <w:numFmt w:val="chineseCountingThousand"/>
      <w:pStyle w:val="7"/>
      <w:suff w:val="nothing"/>
      <w:lvlText w:val="第%1部分"/>
      <w:lvlJc w:val="left"/>
      <w:pPr>
        <w:ind w:left="0" w:firstLine="0"/>
      </w:pPr>
      <w:rPr>
        <w:rFonts w:hint="eastAsia" w:ascii="黑体" w:eastAsia="黑体"/>
        <w:sz w:val="32"/>
      </w:rPr>
    </w:lvl>
    <w:lvl w:ilvl="1" w:tentative="0">
      <w:start w:val="1"/>
      <w:numFmt w:val="upperLetter"/>
      <w:pStyle w:val="8"/>
      <w:suff w:val="nothing"/>
      <w:lvlText w:val="%2"/>
      <w:lvlJc w:val="left"/>
      <w:pPr>
        <w:ind w:left="0" w:firstLine="0"/>
      </w:pPr>
      <w:rPr>
        <w:rFonts w:hint="default" w:ascii="CG Times" w:hAnsi="CG Times"/>
        <w:b/>
        <w:i w:val="0"/>
        <w:sz w:val="28"/>
      </w:rPr>
    </w:lvl>
    <w:lvl w:ilvl="2" w:tentative="0">
      <w:start w:val="1"/>
      <w:numFmt w:val="decimal"/>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pStyle w:val="12"/>
      <w:suff w:val="nothing"/>
      <w:lvlText w:val=""/>
      <w:lvlJc w:val="left"/>
      <w:pPr>
        <w:ind w:left="0" w:firstLine="0"/>
      </w:pPr>
      <w:rPr>
        <w:rFonts w:hint="eastAsia"/>
      </w:rPr>
    </w:lvl>
    <w:lvl w:ilvl="5" w:tentative="0">
      <w:start w:val="1"/>
      <w:numFmt w:val="none"/>
      <w:pStyle w:val="13"/>
      <w:suff w:val="nothing"/>
      <w:lvlText w:val=""/>
      <w:lvlJc w:val="left"/>
      <w:pPr>
        <w:ind w:left="0" w:firstLine="0"/>
      </w:pPr>
      <w:rPr>
        <w:rFonts w:hint="eastAsia"/>
      </w:rPr>
    </w:lvl>
    <w:lvl w:ilvl="6" w:tentative="0">
      <w:start w:val="1"/>
      <w:numFmt w:val="none"/>
      <w:pStyle w:val="14"/>
      <w:suff w:val="nothing"/>
      <w:lvlText w:val=""/>
      <w:lvlJc w:val="left"/>
      <w:pPr>
        <w:ind w:left="0" w:firstLine="0"/>
      </w:pPr>
      <w:rPr>
        <w:rFonts w:hint="eastAsia"/>
      </w:rPr>
    </w:lvl>
    <w:lvl w:ilvl="7" w:tentative="0">
      <w:start w:val="1"/>
      <w:numFmt w:val="none"/>
      <w:pStyle w:val="15"/>
      <w:suff w:val="nothing"/>
      <w:lvlText w:val=""/>
      <w:lvlJc w:val="left"/>
      <w:pPr>
        <w:ind w:left="0" w:firstLine="0"/>
      </w:pPr>
      <w:rPr>
        <w:rFonts w:hint="eastAsia"/>
      </w:rPr>
    </w:lvl>
    <w:lvl w:ilvl="8" w:tentative="0">
      <w:start w:val="1"/>
      <w:numFmt w:val="none"/>
      <w:pStyle w:val="16"/>
      <w:suff w:val="nothing"/>
      <w:lvlText w:val=""/>
      <w:lvlJc w:val="left"/>
      <w:pPr>
        <w:ind w:left="0" w:firstLine="0"/>
      </w:pPr>
      <w:rPr>
        <w:rFonts w:hint="eastAsia"/>
      </w:rPr>
    </w:lvl>
  </w:abstractNum>
  <w:abstractNum w:abstractNumId="10">
    <w:nsid w:val="559B732E"/>
    <w:multiLevelType w:val="singleLevel"/>
    <w:tmpl w:val="559B732E"/>
    <w:lvl w:ilvl="0" w:tentative="0">
      <w:start w:val="1"/>
      <w:numFmt w:val="decimal"/>
      <w:pStyle w:val="267"/>
      <w:suff w:val="nothing"/>
      <w:lvlText w:val="(%1)"/>
      <w:lvlJc w:val="left"/>
    </w:lvl>
  </w:abstractNum>
  <w:abstractNum w:abstractNumId="11">
    <w:nsid w:val="55A380C3"/>
    <w:multiLevelType w:val="singleLevel"/>
    <w:tmpl w:val="55A380C3"/>
    <w:lvl w:ilvl="0" w:tentative="0">
      <w:start w:val="2"/>
      <w:numFmt w:val="decimal"/>
      <w:pStyle w:val="287"/>
      <w:suff w:val="nothing"/>
      <w:lvlText w:val="%1、"/>
      <w:lvlJc w:val="left"/>
    </w:lvl>
  </w:abstractNum>
  <w:abstractNum w:abstractNumId="12">
    <w:nsid w:val="5625B2EF"/>
    <w:multiLevelType w:val="singleLevel"/>
    <w:tmpl w:val="5625B2EF"/>
    <w:lvl w:ilvl="0" w:tentative="0">
      <w:start w:val="1"/>
      <w:numFmt w:val="decimal"/>
      <w:pStyle w:val="280"/>
      <w:suff w:val="nothing"/>
      <w:lvlText w:val="（%1）"/>
      <w:lvlJc w:val="left"/>
    </w:lvl>
  </w:abstractNum>
  <w:abstractNum w:abstractNumId="13">
    <w:nsid w:val="578B3BD2"/>
    <w:multiLevelType w:val="multilevel"/>
    <w:tmpl w:val="578B3BD2"/>
    <w:lvl w:ilvl="0" w:tentative="0">
      <w:start w:val="1"/>
      <w:numFmt w:val="decimal"/>
      <w:pStyle w:val="368"/>
      <w:lvlText w:val="%1"/>
      <w:lvlJc w:val="left"/>
      <w:pPr>
        <w:tabs>
          <w:tab w:val="left" w:pos="480"/>
        </w:tabs>
        <w:ind w:left="480" w:hanging="480"/>
      </w:pPr>
      <w:rPr>
        <w:rFonts w:hint="eastAsia"/>
        <w:sz w:val="44"/>
        <w:szCs w:val="44"/>
      </w:rPr>
    </w:lvl>
    <w:lvl w:ilvl="1" w:tentative="0">
      <w:start w:val="1"/>
      <w:numFmt w:val="decimal"/>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4">
    <w:nsid w:val="67A20BF0"/>
    <w:multiLevelType w:val="multilevel"/>
    <w:tmpl w:val="67A20BF0"/>
    <w:lvl w:ilvl="0" w:tentative="0">
      <w:start w:val="1"/>
      <w:numFmt w:val="bullet"/>
      <w:pStyle w:val="304"/>
      <w:suff w:val="space"/>
      <w:lvlText w:val=""/>
      <w:lvlJc w:val="left"/>
      <w:pPr>
        <w:ind w:left="737" w:hanging="283"/>
      </w:pPr>
      <w:rPr>
        <w:rFonts w:hint="default" w:ascii="Monotype Sorts" w:hAnsi="Monotype Sorts"/>
        <w:b w:val="0"/>
        <w:i w:val="0"/>
        <w:sz w:val="24"/>
      </w:rPr>
    </w:lvl>
    <w:lvl w:ilvl="1" w:tentative="0">
      <w:start w:val="1"/>
      <w:numFmt w:val="bullet"/>
      <w:suff w:val="space"/>
      <w:lvlText w:val=""/>
      <w:lvlJc w:val="left"/>
      <w:pPr>
        <w:ind w:left="1021" w:hanging="284"/>
      </w:pPr>
      <w:rPr>
        <w:rFonts w:hint="default" w:ascii="Monotype Sorts" w:hAnsi="Monotype Sorts"/>
        <w:b w:val="0"/>
        <w:i w:val="0"/>
        <w:sz w:val="24"/>
      </w:rPr>
    </w:lvl>
    <w:lvl w:ilvl="2" w:tentative="0">
      <w:start w:val="1"/>
      <w:numFmt w:val="bullet"/>
      <w:suff w:val="space"/>
      <w:lvlText w:val=""/>
      <w:lvlJc w:val="left"/>
      <w:pPr>
        <w:ind w:left="1361" w:hanging="340"/>
      </w:pPr>
      <w:rPr>
        <w:rFonts w:hint="default" w:ascii="Wingdings" w:hAnsi="Wingdings"/>
        <w:sz w:val="21"/>
      </w:rPr>
    </w:lvl>
    <w:lvl w:ilvl="3" w:tentative="0">
      <w:start w:val="1"/>
      <w:numFmt w:val="bullet"/>
      <w:lvlText w:val=""/>
      <w:lvlJc w:val="left"/>
      <w:pPr>
        <w:tabs>
          <w:tab w:val="left" w:pos="1721"/>
        </w:tabs>
        <w:ind w:left="1588" w:hanging="227"/>
      </w:pPr>
      <w:rPr>
        <w:rFonts w:hint="default" w:ascii="Wingdings" w:hAnsi="Wingdings"/>
        <w:sz w:val="24"/>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9"/>
  </w:num>
  <w:num w:numId="2">
    <w:abstractNumId w:val="10"/>
  </w:num>
  <w:num w:numId="3">
    <w:abstractNumId w:val="12"/>
  </w:num>
  <w:num w:numId="4">
    <w:abstractNumId w:val="11"/>
  </w:num>
  <w:num w:numId="5">
    <w:abstractNumId w:val="1"/>
  </w:num>
  <w:num w:numId="6">
    <w:abstractNumId w:val="14"/>
  </w:num>
  <w:num w:numId="7">
    <w:abstractNumId w:val="8"/>
  </w:num>
  <w:num w:numId="8">
    <w:abstractNumId w:val="7"/>
  </w:num>
  <w:num w:numId="9">
    <w:abstractNumId w:val="13"/>
  </w:num>
  <w:num w:numId="10">
    <w:abstractNumId w:val="6"/>
  </w:num>
  <w:num w:numId="11">
    <w:abstractNumId w:val="3"/>
  </w:num>
  <w:num w:numId="12">
    <w:abstractNumId w:val="4"/>
  </w:num>
  <w:num w:numId="13">
    <w:abstractNumId w:val="5"/>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xMTcyYzQzNDE2OWI1MjhjYmMwOTMyY2YzMGQ3MTcifQ=="/>
  </w:docVars>
  <w:rsids>
    <w:rsidRoot w:val="00172A27"/>
    <w:rsid w:val="00000E71"/>
    <w:rsid w:val="00001E7D"/>
    <w:rsid w:val="0000516F"/>
    <w:rsid w:val="0000580A"/>
    <w:rsid w:val="000106A6"/>
    <w:rsid w:val="000122B4"/>
    <w:rsid w:val="00015312"/>
    <w:rsid w:val="000159A6"/>
    <w:rsid w:val="0001660A"/>
    <w:rsid w:val="00016C1D"/>
    <w:rsid w:val="00017E4B"/>
    <w:rsid w:val="000213D7"/>
    <w:rsid w:val="00021922"/>
    <w:rsid w:val="0002381F"/>
    <w:rsid w:val="000250FF"/>
    <w:rsid w:val="00025456"/>
    <w:rsid w:val="00026E97"/>
    <w:rsid w:val="000327D8"/>
    <w:rsid w:val="00033C1D"/>
    <w:rsid w:val="00036BD1"/>
    <w:rsid w:val="000423D5"/>
    <w:rsid w:val="0004342F"/>
    <w:rsid w:val="00046369"/>
    <w:rsid w:val="000520D5"/>
    <w:rsid w:val="000527AF"/>
    <w:rsid w:val="00053056"/>
    <w:rsid w:val="00054541"/>
    <w:rsid w:val="00055A2E"/>
    <w:rsid w:val="00057728"/>
    <w:rsid w:val="0006400B"/>
    <w:rsid w:val="000649B0"/>
    <w:rsid w:val="00070AE3"/>
    <w:rsid w:val="00072F37"/>
    <w:rsid w:val="0007341A"/>
    <w:rsid w:val="00073716"/>
    <w:rsid w:val="000737A9"/>
    <w:rsid w:val="00075A8A"/>
    <w:rsid w:val="00080E05"/>
    <w:rsid w:val="0008570D"/>
    <w:rsid w:val="00086C8C"/>
    <w:rsid w:val="00087FC6"/>
    <w:rsid w:val="00094D30"/>
    <w:rsid w:val="00095E95"/>
    <w:rsid w:val="000A0F06"/>
    <w:rsid w:val="000A14C6"/>
    <w:rsid w:val="000A1F2E"/>
    <w:rsid w:val="000A3734"/>
    <w:rsid w:val="000A3D73"/>
    <w:rsid w:val="000A57F4"/>
    <w:rsid w:val="000A5C78"/>
    <w:rsid w:val="000A6D84"/>
    <w:rsid w:val="000A75F5"/>
    <w:rsid w:val="000B5401"/>
    <w:rsid w:val="000C02DF"/>
    <w:rsid w:val="000C45C7"/>
    <w:rsid w:val="000C4B2C"/>
    <w:rsid w:val="000C6D04"/>
    <w:rsid w:val="000D3C9C"/>
    <w:rsid w:val="000D4A5F"/>
    <w:rsid w:val="000D5BD9"/>
    <w:rsid w:val="000D6566"/>
    <w:rsid w:val="000D6CA4"/>
    <w:rsid w:val="000E0D8A"/>
    <w:rsid w:val="000E3F46"/>
    <w:rsid w:val="000E5834"/>
    <w:rsid w:val="000F054D"/>
    <w:rsid w:val="000F18A9"/>
    <w:rsid w:val="000F3365"/>
    <w:rsid w:val="000F348C"/>
    <w:rsid w:val="000F452F"/>
    <w:rsid w:val="000F797D"/>
    <w:rsid w:val="000F7D8B"/>
    <w:rsid w:val="00100BC4"/>
    <w:rsid w:val="0010180F"/>
    <w:rsid w:val="001028D3"/>
    <w:rsid w:val="00103EF7"/>
    <w:rsid w:val="001053FC"/>
    <w:rsid w:val="001054A4"/>
    <w:rsid w:val="0010684F"/>
    <w:rsid w:val="001073A8"/>
    <w:rsid w:val="00111F4C"/>
    <w:rsid w:val="0012054B"/>
    <w:rsid w:val="00121444"/>
    <w:rsid w:val="00122467"/>
    <w:rsid w:val="00125ADF"/>
    <w:rsid w:val="00126257"/>
    <w:rsid w:val="001308F0"/>
    <w:rsid w:val="001324DA"/>
    <w:rsid w:val="0013342A"/>
    <w:rsid w:val="001350F9"/>
    <w:rsid w:val="00135E34"/>
    <w:rsid w:val="00137275"/>
    <w:rsid w:val="0013742D"/>
    <w:rsid w:val="00140938"/>
    <w:rsid w:val="001425DE"/>
    <w:rsid w:val="00142AB6"/>
    <w:rsid w:val="00142BE5"/>
    <w:rsid w:val="0014690F"/>
    <w:rsid w:val="00146A69"/>
    <w:rsid w:val="00147122"/>
    <w:rsid w:val="00147164"/>
    <w:rsid w:val="00147B1F"/>
    <w:rsid w:val="00152EAD"/>
    <w:rsid w:val="00153D3D"/>
    <w:rsid w:val="001543FA"/>
    <w:rsid w:val="001548B1"/>
    <w:rsid w:val="001574AB"/>
    <w:rsid w:val="00160325"/>
    <w:rsid w:val="001652E6"/>
    <w:rsid w:val="00170C12"/>
    <w:rsid w:val="00171CB4"/>
    <w:rsid w:val="00172215"/>
    <w:rsid w:val="0017276F"/>
    <w:rsid w:val="00172A27"/>
    <w:rsid w:val="00172A6B"/>
    <w:rsid w:val="0017331D"/>
    <w:rsid w:val="001748A4"/>
    <w:rsid w:val="00174ED8"/>
    <w:rsid w:val="0018267B"/>
    <w:rsid w:val="001847CB"/>
    <w:rsid w:val="001907B0"/>
    <w:rsid w:val="00191DE1"/>
    <w:rsid w:val="00192AEC"/>
    <w:rsid w:val="00192FB4"/>
    <w:rsid w:val="00197DB4"/>
    <w:rsid w:val="001A0652"/>
    <w:rsid w:val="001A0A5F"/>
    <w:rsid w:val="001A2CF9"/>
    <w:rsid w:val="001A3ECE"/>
    <w:rsid w:val="001A55A1"/>
    <w:rsid w:val="001A6159"/>
    <w:rsid w:val="001A67A0"/>
    <w:rsid w:val="001B36A1"/>
    <w:rsid w:val="001B45D5"/>
    <w:rsid w:val="001B4A39"/>
    <w:rsid w:val="001B7E73"/>
    <w:rsid w:val="001C02B2"/>
    <w:rsid w:val="001C3B3D"/>
    <w:rsid w:val="001E0B92"/>
    <w:rsid w:val="001E468B"/>
    <w:rsid w:val="001E4978"/>
    <w:rsid w:val="001F258E"/>
    <w:rsid w:val="001F3DD7"/>
    <w:rsid w:val="001F4521"/>
    <w:rsid w:val="001F5F41"/>
    <w:rsid w:val="001F7355"/>
    <w:rsid w:val="001F7A89"/>
    <w:rsid w:val="002000B7"/>
    <w:rsid w:val="00202F34"/>
    <w:rsid w:val="002059CE"/>
    <w:rsid w:val="0021169E"/>
    <w:rsid w:val="00212F01"/>
    <w:rsid w:val="00216895"/>
    <w:rsid w:val="002171A7"/>
    <w:rsid w:val="00220043"/>
    <w:rsid w:val="0022237C"/>
    <w:rsid w:val="00222A13"/>
    <w:rsid w:val="00223096"/>
    <w:rsid w:val="00225D13"/>
    <w:rsid w:val="002263AA"/>
    <w:rsid w:val="00235043"/>
    <w:rsid w:val="00237562"/>
    <w:rsid w:val="00237B88"/>
    <w:rsid w:val="00242AD1"/>
    <w:rsid w:val="002431A4"/>
    <w:rsid w:val="00247E6D"/>
    <w:rsid w:val="0025181A"/>
    <w:rsid w:val="00252328"/>
    <w:rsid w:val="002523D7"/>
    <w:rsid w:val="0025384A"/>
    <w:rsid w:val="002546B6"/>
    <w:rsid w:val="0026031E"/>
    <w:rsid w:val="00264651"/>
    <w:rsid w:val="00266285"/>
    <w:rsid w:val="0027343E"/>
    <w:rsid w:val="00274AEA"/>
    <w:rsid w:val="00276801"/>
    <w:rsid w:val="002805D2"/>
    <w:rsid w:val="002845AE"/>
    <w:rsid w:val="002877A4"/>
    <w:rsid w:val="00287B6C"/>
    <w:rsid w:val="00291D9F"/>
    <w:rsid w:val="0029270E"/>
    <w:rsid w:val="00293C88"/>
    <w:rsid w:val="00294744"/>
    <w:rsid w:val="00296159"/>
    <w:rsid w:val="00296AD9"/>
    <w:rsid w:val="002A0354"/>
    <w:rsid w:val="002A26EB"/>
    <w:rsid w:val="002A2855"/>
    <w:rsid w:val="002A2ABB"/>
    <w:rsid w:val="002A4DA4"/>
    <w:rsid w:val="002B0A3D"/>
    <w:rsid w:val="002B156E"/>
    <w:rsid w:val="002B60D5"/>
    <w:rsid w:val="002B6C5E"/>
    <w:rsid w:val="002C088A"/>
    <w:rsid w:val="002C0CB3"/>
    <w:rsid w:val="002C558D"/>
    <w:rsid w:val="002D0DD1"/>
    <w:rsid w:val="002D5A0D"/>
    <w:rsid w:val="002E03BE"/>
    <w:rsid w:val="002E1C24"/>
    <w:rsid w:val="002E1EB3"/>
    <w:rsid w:val="002E4D83"/>
    <w:rsid w:val="002E605B"/>
    <w:rsid w:val="002E636A"/>
    <w:rsid w:val="002F07A7"/>
    <w:rsid w:val="002F2818"/>
    <w:rsid w:val="002F355E"/>
    <w:rsid w:val="002F3B9C"/>
    <w:rsid w:val="002F47C9"/>
    <w:rsid w:val="002F49CB"/>
    <w:rsid w:val="002F5642"/>
    <w:rsid w:val="002F5E2B"/>
    <w:rsid w:val="0030024A"/>
    <w:rsid w:val="00300484"/>
    <w:rsid w:val="00302803"/>
    <w:rsid w:val="0030294B"/>
    <w:rsid w:val="00303DDF"/>
    <w:rsid w:val="00305DFD"/>
    <w:rsid w:val="00306617"/>
    <w:rsid w:val="00311906"/>
    <w:rsid w:val="00313340"/>
    <w:rsid w:val="003134F3"/>
    <w:rsid w:val="00313A47"/>
    <w:rsid w:val="00313F40"/>
    <w:rsid w:val="00313FDF"/>
    <w:rsid w:val="00315541"/>
    <w:rsid w:val="00315861"/>
    <w:rsid w:val="00321B6D"/>
    <w:rsid w:val="00321F68"/>
    <w:rsid w:val="00325EBF"/>
    <w:rsid w:val="003260E5"/>
    <w:rsid w:val="00326109"/>
    <w:rsid w:val="00327738"/>
    <w:rsid w:val="00330550"/>
    <w:rsid w:val="003321E6"/>
    <w:rsid w:val="00333EB4"/>
    <w:rsid w:val="00336F2D"/>
    <w:rsid w:val="00337C2B"/>
    <w:rsid w:val="00341B6E"/>
    <w:rsid w:val="00345358"/>
    <w:rsid w:val="0034763E"/>
    <w:rsid w:val="003519AE"/>
    <w:rsid w:val="003530F4"/>
    <w:rsid w:val="00353FD2"/>
    <w:rsid w:val="00355970"/>
    <w:rsid w:val="003577B9"/>
    <w:rsid w:val="003605F8"/>
    <w:rsid w:val="003613BE"/>
    <w:rsid w:val="0036192D"/>
    <w:rsid w:val="0036274F"/>
    <w:rsid w:val="00365216"/>
    <w:rsid w:val="00365477"/>
    <w:rsid w:val="003701B3"/>
    <w:rsid w:val="003749CD"/>
    <w:rsid w:val="00376482"/>
    <w:rsid w:val="00380F09"/>
    <w:rsid w:val="00383AE9"/>
    <w:rsid w:val="003871D3"/>
    <w:rsid w:val="0039277E"/>
    <w:rsid w:val="00392E07"/>
    <w:rsid w:val="003931E7"/>
    <w:rsid w:val="003A35AA"/>
    <w:rsid w:val="003A5248"/>
    <w:rsid w:val="003A6992"/>
    <w:rsid w:val="003A725E"/>
    <w:rsid w:val="003A7579"/>
    <w:rsid w:val="003B1D0A"/>
    <w:rsid w:val="003B20F9"/>
    <w:rsid w:val="003B409A"/>
    <w:rsid w:val="003B5756"/>
    <w:rsid w:val="003B62A5"/>
    <w:rsid w:val="003B6FB0"/>
    <w:rsid w:val="003C060F"/>
    <w:rsid w:val="003C492E"/>
    <w:rsid w:val="003C546C"/>
    <w:rsid w:val="003C6524"/>
    <w:rsid w:val="003C7833"/>
    <w:rsid w:val="003D7D9E"/>
    <w:rsid w:val="003E311D"/>
    <w:rsid w:val="003E44F4"/>
    <w:rsid w:val="003E5E99"/>
    <w:rsid w:val="003F0F90"/>
    <w:rsid w:val="003F5854"/>
    <w:rsid w:val="003F5C50"/>
    <w:rsid w:val="004016E9"/>
    <w:rsid w:val="004032E5"/>
    <w:rsid w:val="00413DC0"/>
    <w:rsid w:val="004153D6"/>
    <w:rsid w:val="004163E5"/>
    <w:rsid w:val="00417036"/>
    <w:rsid w:val="004204F0"/>
    <w:rsid w:val="00422FCF"/>
    <w:rsid w:val="00423DF5"/>
    <w:rsid w:val="00425A2B"/>
    <w:rsid w:val="00432D18"/>
    <w:rsid w:val="004343C3"/>
    <w:rsid w:val="0043578C"/>
    <w:rsid w:val="00436331"/>
    <w:rsid w:val="00441E22"/>
    <w:rsid w:val="0044388C"/>
    <w:rsid w:val="004438EA"/>
    <w:rsid w:val="00446CDA"/>
    <w:rsid w:val="00451502"/>
    <w:rsid w:val="00451B9D"/>
    <w:rsid w:val="004558C7"/>
    <w:rsid w:val="00457226"/>
    <w:rsid w:val="00457731"/>
    <w:rsid w:val="0046031D"/>
    <w:rsid w:val="00462F48"/>
    <w:rsid w:val="00463BB7"/>
    <w:rsid w:val="0046479F"/>
    <w:rsid w:val="0046757B"/>
    <w:rsid w:val="0046788E"/>
    <w:rsid w:val="00474B10"/>
    <w:rsid w:val="0047795C"/>
    <w:rsid w:val="00481ED2"/>
    <w:rsid w:val="0048490A"/>
    <w:rsid w:val="0048557C"/>
    <w:rsid w:val="004870E4"/>
    <w:rsid w:val="00490610"/>
    <w:rsid w:val="00492332"/>
    <w:rsid w:val="00493824"/>
    <w:rsid w:val="00497A95"/>
    <w:rsid w:val="004A0A5A"/>
    <w:rsid w:val="004A1273"/>
    <w:rsid w:val="004A1735"/>
    <w:rsid w:val="004A38D9"/>
    <w:rsid w:val="004A4975"/>
    <w:rsid w:val="004A599E"/>
    <w:rsid w:val="004A72FC"/>
    <w:rsid w:val="004A7CC3"/>
    <w:rsid w:val="004B02D0"/>
    <w:rsid w:val="004B2E60"/>
    <w:rsid w:val="004B470E"/>
    <w:rsid w:val="004B4789"/>
    <w:rsid w:val="004B7E58"/>
    <w:rsid w:val="004C04D1"/>
    <w:rsid w:val="004C62AF"/>
    <w:rsid w:val="004D3E76"/>
    <w:rsid w:val="004D49B6"/>
    <w:rsid w:val="004D6464"/>
    <w:rsid w:val="004E1DCE"/>
    <w:rsid w:val="004E3744"/>
    <w:rsid w:val="004E71CE"/>
    <w:rsid w:val="004E7EBB"/>
    <w:rsid w:val="004F05E2"/>
    <w:rsid w:val="0050592E"/>
    <w:rsid w:val="00506C1F"/>
    <w:rsid w:val="0051025A"/>
    <w:rsid w:val="005135C5"/>
    <w:rsid w:val="00520D79"/>
    <w:rsid w:val="00521C95"/>
    <w:rsid w:val="00537840"/>
    <w:rsid w:val="00537C39"/>
    <w:rsid w:val="00540B8E"/>
    <w:rsid w:val="00541B6A"/>
    <w:rsid w:val="00544544"/>
    <w:rsid w:val="005447D9"/>
    <w:rsid w:val="00544B99"/>
    <w:rsid w:val="00545948"/>
    <w:rsid w:val="00552648"/>
    <w:rsid w:val="00554EC2"/>
    <w:rsid w:val="00555387"/>
    <w:rsid w:val="00555EFD"/>
    <w:rsid w:val="005603D7"/>
    <w:rsid w:val="00561718"/>
    <w:rsid w:val="00561FB7"/>
    <w:rsid w:val="00563245"/>
    <w:rsid w:val="00563856"/>
    <w:rsid w:val="0056448E"/>
    <w:rsid w:val="00567F32"/>
    <w:rsid w:val="0057122E"/>
    <w:rsid w:val="0057443B"/>
    <w:rsid w:val="00576D92"/>
    <w:rsid w:val="005778DB"/>
    <w:rsid w:val="00581889"/>
    <w:rsid w:val="00582577"/>
    <w:rsid w:val="00582859"/>
    <w:rsid w:val="005864ED"/>
    <w:rsid w:val="005876AE"/>
    <w:rsid w:val="005904EB"/>
    <w:rsid w:val="00591B6D"/>
    <w:rsid w:val="00592576"/>
    <w:rsid w:val="00592D86"/>
    <w:rsid w:val="00593521"/>
    <w:rsid w:val="00593831"/>
    <w:rsid w:val="00593A21"/>
    <w:rsid w:val="00595934"/>
    <w:rsid w:val="005A1B12"/>
    <w:rsid w:val="005A1EF0"/>
    <w:rsid w:val="005A3BEB"/>
    <w:rsid w:val="005A56ED"/>
    <w:rsid w:val="005A7FEA"/>
    <w:rsid w:val="005B1811"/>
    <w:rsid w:val="005B21DB"/>
    <w:rsid w:val="005B2E07"/>
    <w:rsid w:val="005B3DE6"/>
    <w:rsid w:val="005B5516"/>
    <w:rsid w:val="005B64B5"/>
    <w:rsid w:val="005B691F"/>
    <w:rsid w:val="005B6EFC"/>
    <w:rsid w:val="005C2785"/>
    <w:rsid w:val="005C2F87"/>
    <w:rsid w:val="005C41D6"/>
    <w:rsid w:val="005D17C7"/>
    <w:rsid w:val="005D204A"/>
    <w:rsid w:val="005D268F"/>
    <w:rsid w:val="005D446B"/>
    <w:rsid w:val="005E20D3"/>
    <w:rsid w:val="005F2461"/>
    <w:rsid w:val="005F2603"/>
    <w:rsid w:val="005F4BD0"/>
    <w:rsid w:val="005F6618"/>
    <w:rsid w:val="005F6BE1"/>
    <w:rsid w:val="005F7C83"/>
    <w:rsid w:val="00600AA2"/>
    <w:rsid w:val="00603146"/>
    <w:rsid w:val="00604657"/>
    <w:rsid w:val="0060480A"/>
    <w:rsid w:val="006048B8"/>
    <w:rsid w:val="0060579C"/>
    <w:rsid w:val="00606CB4"/>
    <w:rsid w:val="00607906"/>
    <w:rsid w:val="00607CF9"/>
    <w:rsid w:val="00607CFC"/>
    <w:rsid w:val="00610F82"/>
    <w:rsid w:val="006127B6"/>
    <w:rsid w:val="00614BE7"/>
    <w:rsid w:val="0061561E"/>
    <w:rsid w:val="006174D2"/>
    <w:rsid w:val="00617A23"/>
    <w:rsid w:val="00617FE8"/>
    <w:rsid w:val="006235E6"/>
    <w:rsid w:val="00627BB3"/>
    <w:rsid w:val="00627FCA"/>
    <w:rsid w:val="006308F1"/>
    <w:rsid w:val="00634818"/>
    <w:rsid w:val="00635ED1"/>
    <w:rsid w:val="00637A7D"/>
    <w:rsid w:val="00637CDF"/>
    <w:rsid w:val="00640736"/>
    <w:rsid w:val="00646451"/>
    <w:rsid w:val="006468AA"/>
    <w:rsid w:val="0065396B"/>
    <w:rsid w:val="0065543B"/>
    <w:rsid w:val="006579CF"/>
    <w:rsid w:val="00657AEE"/>
    <w:rsid w:val="00660AAE"/>
    <w:rsid w:val="00661B42"/>
    <w:rsid w:val="00664CA1"/>
    <w:rsid w:val="00665D7D"/>
    <w:rsid w:val="00666745"/>
    <w:rsid w:val="00667531"/>
    <w:rsid w:val="00667D3B"/>
    <w:rsid w:val="00674F6D"/>
    <w:rsid w:val="00676E3A"/>
    <w:rsid w:val="00677C52"/>
    <w:rsid w:val="00682884"/>
    <w:rsid w:val="006833CE"/>
    <w:rsid w:val="00683546"/>
    <w:rsid w:val="00683976"/>
    <w:rsid w:val="00685AA8"/>
    <w:rsid w:val="0069393F"/>
    <w:rsid w:val="006975E3"/>
    <w:rsid w:val="006A2452"/>
    <w:rsid w:val="006A5D16"/>
    <w:rsid w:val="006B75CF"/>
    <w:rsid w:val="006C158A"/>
    <w:rsid w:val="006D2936"/>
    <w:rsid w:val="006D3031"/>
    <w:rsid w:val="006D3990"/>
    <w:rsid w:val="006D4F9D"/>
    <w:rsid w:val="006E1A20"/>
    <w:rsid w:val="006E27CE"/>
    <w:rsid w:val="006E315A"/>
    <w:rsid w:val="006E45E4"/>
    <w:rsid w:val="006E5F56"/>
    <w:rsid w:val="006E6428"/>
    <w:rsid w:val="006E692A"/>
    <w:rsid w:val="006E6A64"/>
    <w:rsid w:val="006F2945"/>
    <w:rsid w:val="006F3DBD"/>
    <w:rsid w:val="006F4FED"/>
    <w:rsid w:val="006F55AA"/>
    <w:rsid w:val="006F68C8"/>
    <w:rsid w:val="00701367"/>
    <w:rsid w:val="00701B3C"/>
    <w:rsid w:val="00704EF5"/>
    <w:rsid w:val="007056A9"/>
    <w:rsid w:val="00706628"/>
    <w:rsid w:val="0071482A"/>
    <w:rsid w:val="00716288"/>
    <w:rsid w:val="00716410"/>
    <w:rsid w:val="00720735"/>
    <w:rsid w:val="00721283"/>
    <w:rsid w:val="00722370"/>
    <w:rsid w:val="00722AE5"/>
    <w:rsid w:val="00722BA8"/>
    <w:rsid w:val="00723CA6"/>
    <w:rsid w:val="00724CF7"/>
    <w:rsid w:val="007302F6"/>
    <w:rsid w:val="007348CE"/>
    <w:rsid w:val="00735E53"/>
    <w:rsid w:val="00736ED4"/>
    <w:rsid w:val="007375EB"/>
    <w:rsid w:val="00740840"/>
    <w:rsid w:val="00740A67"/>
    <w:rsid w:val="00740F21"/>
    <w:rsid w:val="00742178"/>
    <w:rsid w:val="00747580"/>
    <w:rsid w:val="0075093C"/>
    <w:rsid w:val="007519A3"/>
    <w:rsid w:val="00757F4B"/>
    <w:rsid w:val="00761344"/>
    <w:rsid w:val="00764BCF"/>
    <w:rsid w:val="007673F8"/>
    <w:rsid w:val="0077360F"/>
    <w:rsid w:val="0077432B"/>
    <w:rsid w:val="00776552"/>
    <w:rsid w:val="007772AC"/>
    <w:rsid w:val="007777B2"/>
    <w:rsid w:val="00777F38"/>
    <w:rsid w:val="00783273"/>
    <w:rsid w:val="00790718"/>
    <w:rsid w:val="007910B4"/>
    <w:rsid w:val="0079386E"/>
    <w:rsid w:val="00793CA6"/>
    <w:rsid w:val="00794DA6"/>
    <w:rsid w:val="007950F2"/>
    <w:rsid w:val="007A1CD5"/>
    <w:rsid w:val="007A30A7"/>
    <w:rsid w:val="007A6925"/>
    <w:rsid w:val="007B23D5"/>
    <w:rsid w:val="007B2C34"/>
    <w:rsid w:val="007B2C77"/>
    <w:rsid w:val="007B416B"/>
    <w:rsid w:val="007B4D26"/>
    <w:rsid w:val="007B60B0"/>
    <w:rsid w:val="007C0F3E"/>
    <w:rsid w:val="007C2A26"/>
    <w:rsid w:val="007D0511"/>
    <w:rsid w:val="007D13A0"/>
    <w:rsid w:val="007D279F"/>
    <w:rsid w:val="007E0A0A"/>
    <w:rsid w:val="007E3B1C"/>
    <w:rsid w:val="007E4F87"/>
    <w:rsid w:val="007E5D7E"/>
    <w:rsid w:val="007E7C36"/>
    <w:rsid w:val="007F1B04"/>
    <w:rsid w:val="007F1C1D"/>
    <w:rsid w:val="007F249E"/>
    <w:rsid w:val="007F310E"/>
    <w:rsid w:val="007F549E"/>
    <w:rsid w:val="007F54FB"/>
    <w:rsid w:val="007F6637"/>
    <w:rsid w:val="0081060F"/>
    <w:rsid w:val="00811AFB"/>
    <w:rsid w:val="0081381C"/>
    <w:rsid w:val="008153E3"/>
    <w:rsid w:val="00815A55"/>
    <w:rsid w:val="0081717B"/>
    <w:rsid w:val="008172E7"/>
    <w:rsid w:val="0081736A"/>
    <w:rsid w:val="00817A19"/>
    <w:rsid w:val="0082029E"/>
    <w:rsid w:val="00822FF8"/>
    <w:rsid w:val="00824B21"/>
    <w:rsid w:val="00827CCA"/>
    <w:rsid w:val="00832084"/>
    <w:rsid w:val="008326FF"/>
    <w:rsid w:val="0083329A"/>
    <w:rsid w:val="00835507"/>
    <w:rsid w:val="00835FF9"/>
    <w:rsid w:val="00844F6F"/>
    <w:rsid w:val="00846DCC"/>
    <w:rsid w:val="0085442D"/>
    <w:rsid w:val="00860C8C"/>
    <w:rsid w:val="008671D8"/>
    <w:rsid w:val="008677F3"/>
    <w:rsid w:val="00872425"/>
    <w:rsid w:val="00874663"/>
    <w:rsid w:val="008756C6"/>
    <w:rsid w:val="008764F1"/>
    <w:rsid w:val="00880BBC"/>
    <w:rsid w:val="00890C49"/>
    <w:rsid w:val="00897336"/>
    <w:rsid w:val="008A0837"/>
    <w:rsid w:val="008A266A"/>
    <w:rsid w:val="008A5656"/>
    <w:rsid w:val="008A74FE"/>
    <w:rsid w:val="008B1CCB"/>
    <w:rsid w:val="008B40ED"/>
    <w:rsid w:val="008B4C3C"/>
    <w:rsid w:val="008C2F5C"/>
    <w:rsid w:val="008C5BEE"/>
    <w:rsid w:val="008C604B"/>
    <w:rsid w:val="008C6A94"/>
    <w:rsid w:val="008C6B0A"/>
    <w:rsid w:val="008D216D"/>
    <w:rsid w:val="008D3E01"/>
    <w:rsid w:val="008D3E3A"/>
    <w:rsid w:val="008D4ECD"/>
    <w:rsid w:val="008D54A8"/>
    <w:rsid w:val="008D6BF0"/>
    <w:rsid w:val="008D777E"/>
    <w:rsid w:val="008E127E"/>
    <w:rsid w:val="008E1A94"/>
    <w:rsid w:val="008E2BEF"/>
    <w:rsid w:val="008E2E8A"/>
    <w:rsid w:val="008E35BF"/>
    <w:rsid w:val="008E4E22"/>
    <w:rsid w:val="008F0AC2"/>
    <w:rsid w:val="008F0E9C"/>
    <w:rsid w:val="008F29AA"/>
    <w:rsid w:val="008F40FA"/>
    <w:rsid w:val="00900611"/>
    <w:rsid w:val="00904A17"/>
    <w:rsid w:val="00905187"/>
    <w:rsid w:val="00911157"/>
    <w:rsid w:val="00916356"/>
    <w:rsid w:val="0091797B"/>
    <w:rsid w:val="00917DAE"/>
    <w:rsid w:val="00922E2A"/>
    <w:rsid w:val="00923925"/>
    <w:rsid w:val="009239B1"/>
    <w:rsid w:val="00926118"/>
    <w:rsid w:val="00930251"/>
    <w:rsid w:val="0093058E"/>
    <w:rsid w:val="00930EDE"/>
    <w:rsid w:val="009325C0"/>
    <w:rsid w:val="009459AC"/>
    <w:rsid w:val="00950048"/>
    <w:rsid w:val="00955C37"/>
    <w:rsid w:val="009569E5"/>
    <w:rsid w:val="009612DC"/>
    <w:rsid w:val="00962B74"/>
    <w:rsid w:val="00965B08"/>
    <w:rsid w:val="00966756"/>
    <w:rsid w:val="00967F2E"/>
    <w:rsid w:val="00971206"/>
    <w:rsid w:val="00976534"/>
    <w:rsid w:val="0098317E"/>
    <w:rsid w:val="00985361"/>
    <w:rsid w:val="00986239"/>
    <w:rsid w:val="00992EF3"/>
    <w:rsid w:val="00996181"/>
    <w:rsid w:val="00997EC8"/>
    <w:rsid w:val="009A147D"/>
    <w:rsid w:val="009A285D"/>
    <w:rsid w:val="009A74BC"/>
    <w:rsid w:val="009B2B58"/>
    <w:rsid w:val="009B30E4"/>
    <w:rsid w:val="009B31E4"/>
    <w:rsid w:val="009B392E"/>
    <w:rsid w:val="009B727D"/>
    <w:rsid w:val="009B77DF"/>
    <w:rsid w:val="009C135E"/>
    <w:rsid w:val="009C257D"/>
    <w:rsid w:val="009C50D6"/>
    <w:rsid w:val="009C6CCE"/>
    <w:rsid w:val="009C777D"/>
    <w:rsid w:val="009C7DDA"/>
    <w:rsid w:val="009D4069"/>
    <w:rsid w:val="009D46BA"/>
    <w:rsid w:val="009D4C70"/>
    <w:rsid w:val="009D4FCC"/>
    <w:rsid w:val="009D6A0A"/>
    <w:rsid w:val="009D7AF1"/>
    <w:rsid w:val="009D7EAE"/>
    <w:rsid w:val="009E07E9"/>
    <w:rsid w:val="009E20BB"/>
    <w:rsid w:val="009E5560"/>
    <w:rsid w:val="009E79A2"/>
    <w:rsid w:val="009F01A9"/>
    <w:rsid w:val="009F1D84"/>
    <w:rsid w:val="009F405A"/>
    <w:rsid w:val="009F753E"/>
    <w:rsid w:val="00A018CF"/>
    <w:rsid w:val="00A02BA2"/>
    <w:rsid w:val="00A10EFA"/>
    <w:rsid w:val="00A15E79"/>
    <w:rsid w:val="00A1731A"/>
    <w:rsid w:val="00A17AB1"/>
    <w:rsid w:val="00A20B07"/>
    <w:rsid w:val="00A21CA9"/>
    <w:rsid w:val="00A2531D"/>
    <w:rsid w:val="00A26864"/>
    <w:rsid w:val="00A30847"/>
    <w:rsid w:val="00A30E7C"/>
    <w:rsid w:val="00A32B83"/>
    <w:rsid w:val="00A34F9A"/>
    <w:rsid w:val="00A35730"/>
    <w:rsid w:val="00A411D8"/>
    <w:rsid w:val="00A41207"/>
    <w:rsid w:val="00A41AEB"/>
    <w:rsid w:val="00A47461"/>
    <w:rsid w:val="00A51056"/>
    <w:rsid w:val="00A51456"/>
    <w:rsid w:val="00A528C5"/>
    <w:rsid w:val="00A5604D"/>
    <w:rsid w:val="00A6071E"/>
    <w:rsid w:val="00A62110"/>
    <w:rsid w:val="00A62C47"/>
    <w:rsid w:val="00A62EF6"/>
    <w:rsid w:val="00A6459D"/>
    <w:rsid w:val="00A73EDE"/>
    <w:rsid w:val="00A77BDD"/>
    <w:rsid w:val="00A81560"/>
    <w:rsid w:val="00A82214"/>
    <w:rsid w:val="00A83F38"/>
    <w:rsid w:val="00A850FC"/>
    <w:rsid w:val="00A90620"/>
    <w:rsid w:val="00A92F31"/>
    <w:rsid w:val="00A94E3B"/>
    <w:rsid w:val="00A9620B"/>
    <w:rsid w:val="00AA2178"/>
    <w:rsid w:val="00AA3861"/>
    <w:rsid w:val="00AA3B0B"/>
    <w:rsid w:val="00AA4165"/>
    <w:rsid w:val="00AA5A44"/>
    <w:rsid w:val="00AA6DCB"/>
    <w:rsid w:val="00AB404D"/>
    <w:rsid w:val="00AB7469"/>
    <w:rsid w:val="00AC019D"/>
    <w:rsid w:val="00AC19F9"/>
    <w:rsid w:val="00AC2221"/>
    <w:rsid w:val="00AC4011"/>
    <w:rsid w:val="00AC5EA3"/>
    <w:rsid w:val="00AC7AD1"/>
    <w:rsid w:val="00AD0E9F"/>
    <w:rsid w:val="00AD4DF7"/>
    <w:rsid w:val="00AD5C05"/>
    <w:rsid w:val="00AD5CA2"/>
    <w:rsid w:val="00AE1CC4"/>
    <w:rsid w:val="00AE207C"/>
    <w:rsid w:val="00AE6821"/>
    <w:rsid w:val="00AF045F"/>
    <w:rsid w:val="00AF29C3"/>
    <w:rsid w:val="00B00604"/>
    <w:rsid w:val="00B02C00"/>
    <w:rsid w:val="00B0320D"/>
    <w:rsid w:val="00B06999"/>
    <w:rsid w:val="00B06D43"/>
    <w:rsid w:val="00B1333E"/>
    <w:rsid w:val="00B15518"/>
    <w:rsid w:val="00B160C9"/>
    <w:rsid w:val="00B16BA5"/>
    <w:rsid w:val="00B205BB"/>
    <w:rsid w:val="00B22BA1"/>
    <w:rsid w:val="00B23B31"/>
    <w:rsid w:val="00B3001A"/>
    <w:rsid w:val="00B40DA7"/>
    <w:rsid w:val="00B43407"/>
    <w:rsid w:val="00B448B1"/>
    <w:rsid w:val="00B5049F"/>
    <w:rsid w:val="00B50760"/>
    <w:rsid w:val="00B51527"/>
    <w:rsid w:val="00B5183B"/>
    <w:rsid w:val="00B51892"/>
    <w:rsid w:val="00B52925"/>
    <w:rsid w:val="00B53865"/>
    <w:rsid w:val="00B65EE8"/>
    <w:rsid w:val="00B66779"/>
    <w:rsid w:val="00B66CDD"/>
    <w:rsid w:val="00B672B2"/>
    <w:rsid w:val="00B704F4"/>
    <w:rsid w:val="00B71520"/>
    <w:rsid w:val="00B72DEA"/>
    <w:rsid w:val="00B901CF"/>
    <w:rsid w:val="00B921A1"/>
    <w:rsid w:val="00B92C3C"/>
    <w:rsid w:val="00B93012"/>
    <w:rsid w:val="00B955D4"/>
    <w:rsid w:val="00B958B4"/>
    <w:rsid w:val="00BA4BAA"/>
    <w:rsid w:val="00BA4F1F"/>
    <w:rsid w:val="00BA6053"/>
    <w:rsid w:val="00BA6243"/>
    <w:rsid w:val="00BA6503"/>
    <w:rsid w:val="00BB0BA1"/>
    <w:rsid w:val="00BB2349"/>
    <w:rsid w:val="00BB2394"/>
    <w:rsid w:val="00BB2613"/>
    <w:rsid w:val="00BB6BE0"/>
    <w:rsid w:val="00BB7C26"/>
    <w:rsid w:val="00BC0563"/>
    <w:rsid w:val="00BC2B5D"/>
    <w:rsid w:val="00BC2EBF"/>
    <w:rsid w:val="00BC41AC"/>
    <w:rsid w:val="00BF276D"/>
    <w:rsid w:val="00BF32FE"/>
    <w:rsid w:val="00BF333E"/>
    <w:rsid w:val="00C00203"/>
    <w:rsid w:val="00C12F40"/>
    <w:rsid w:val="00C14371"/>
    <w:rsid w:val="00C145FC"/>
    <w:rsid w:val="00C17817"/>
    <w:rsid w:val="00C23537"/>
    <w:rsid w:val="00C24826"/>
    <w:rsid w:val="00C24DFB"/>
    <w:rsid w:val="00C260D2"/>
    <w:rsid w:val="00C26225"/>
    <w:rsid w:val="00C2688D"/>
    <w:rsid w:val="00C27113"/>
    <w:rsid w:val="00C36C8D"/>
    <w:rsid w:val="00C37AEE"/>
    <w:rsid w:val="00C4190F"/>
    <w:rsid w:val="00C448B3"/>
    <w:rsid w:val="00C45481"/>
    <w:rsid w:val="00C473C9"/>
    <w:rsid w:val="00C47F77"/>
    <w:rsid w:val="00C56F32"/>
    <w:rsid w:val="00C57B00"/>
    <w:rsid w:val="00C60E62"/>
    <w:rsid w:val="00C70AC7"/>
    <w:rsid w:val="00C7114A"/>
    <w:rsid w:val="00C71339"/>
    <w:rsid w:val="00C735DC"/>
    <w:rsid w:val="00C74DA8"/>
    <w:rsid w:val="00C75CE0"/>
    <w:rsid w:val="00C76E6F"/>
    <w:rsid w:val="00C83321"/>
    <w:rsid w:val="00C84043"/>
    <w:rsid w:val="00C922AA"/>
    <w:rsid w:val="00C9272E"/>
    <w:rsid w:val="00C97669"/>
    <w:rsid w:val="00CA141F"/>
    <w:rsid w:val="00CA234E"/>
    <w:rsid w:val="00CB00A7"/>
    <w:rsid w:val="00CB1846"/>
    <w:rsid w:val="00CB64BE"/>
    <w:rsid w:val="00CB73B2"/>
    <w:rsid w:val="00CB7CC2"/>
    <w:rsid w:val="00CC0EC6"/>
    <w:rsid w:val="00CC289D"/>
    <w:rsid w:val="00CC4935"/>
    <w:rsid w:val="00CC5CCD"/>
    <w:rsid w:val="00CC661C"/>
    <w:rsid w:val="00CC6C19"/>
    <w:rsid w:val="00CC781F"/>
    <w:rsid w:val="00CD2AA9"/>
    <w:rsid w:val="00CD5B02"/>
    <w:rsid w:val="00CD656E"/>
    <w:rsid w:val="00CD769E"/>
    <w:rsid w:val="00CE0F54"/>
    <w:rsid w:val="00CE16D9"/>
    <w:rsid w:val="00CE17AC"/>
    <w:rsid w:val="00CF1705"/>
    <w:rsid w:val="00CF1E45"/>
    <w:rsid w:val="00CF43AB"/>
    <w:rsid w:val="00D02279"/>
    <w:rsid w:val="00D02443"/>
    <w:rsid w:val="00D03008"/>
    <w:rsid w:val="00D04B62"/>
    <w:rsid w:val="00D05B44"/>
    <w:rsid w:val="00D10FED"/>
    <w:rsid w:val="00D1318B"/>
    <w:rsid w:val="00D1424A"/>
    <w:rsid w:val="00D14676"/>
    <w:rsid w:val="00D1590D"/>
    <w:rsid w:val="00D167EC"/>
    <w:rsid w:val="00D210D6"/>
    <w:rsid w:val="00D22B93"/>
    <w:rsid w:val="00D23FF5"/>
    <w:rsid w:val="00D245AE"/>
    <w:rsid w:val="00D25FBF"/>
    <w:rsid w:val="00D31B9B"/>
    <w:rsid w:val="00D32918"/>
    <w:rsid w:val="00D33EE2"/>
    <w:rsid w:val="00D344E6"/>
    <w:rsid w:val="00D346B8"/>
    <w:rsid w:val="00D35B34"/>
    <w:rsid w:val="00D3676D"/>
    <w:rsid w:val="00D36A27"/>
    <w:rsid w:val="00D40E69"/>
    <w:rsid w:val="00D412DF"/>
    <w:rsid w:val="00D419EB"/>
    <w:rsid w:val="00D44CC2"/>
    <w:rsid w:val="00D4623F"/>
    <w:rsid w:val="00D470D4"/>
    <w:rsid w:val="00D479A1"/>
    <w:rsid w:val="00D500DA"/>
    <w:rsid w:val="00D5183E"/>
    <w:rsid w:val="00D528C4"/>
    <w:rsid w:val="00D52C2F"/>
    <w:rsid w:val="00D56EB5"/>
    <w:rsid w:val="00D574C0"/>
    <w:rsid w:val="00D57636"/>
    <w:rsid w:val="00D579F4"/>
    <w:rsid w:val="00D62E9E"/>
    <w:rsid w:val="00D63A82"/>
    <w:rsid w:val="00D66889"/>
    <w:rsid w:val="00D679F3"/>
    <w:rsid w:val="00D71170"/>
    <w:rsid w:val="00D745BB"/>
    <w:rsid w:val="00D74C75"/>
    <w:rsid w:val="00D803A3"/>
    <w:rsid w:val="00D80B86"/>
    <w:rsid w:val="00D8152E"/>
    <w:rsid w:val="00D8287A"/>
    <w:rsid w:val="00D86413"/>
    <w:rsid w:val="00D8721A"/>
    <w:rsid w:val="00D87500"/>
    <w:rsid w:val="00D9348B"/>
    <w:rsid w:val="00D94499"/>
    <w:rsid w:val="00D95B29"/>
    <w:rsid w:val="00DA0F3C"/>
    <w:rsid w:val="00DA35AF"/>
    <w:rsid w:val="00DA5702"/>
    <w:rsid w:val="00DA5B57"/>
    <w:rsid w:val="00DA695B"/>
    <w:rsid w:val="00DB231B"/>
    <w:rsid w:val="00DB6548"/>
    <w:rsid w:val="00DB6B9E"/>
    <w:rsid w:val="00DB77F2"/>
    <w:rsid w:val="00DB7885"/>
    <w:rsid w:val="00DC1874"/>
    <w:rsid w:val="00DC1D1F"/>
    <w:rsid w:val="00DC4D42"/>
    <w:rsid w:val="00DE31A3"/>
    <w:rsid w:val="00DE48DC"/>
    <w:rsid w:val="00DE4B66"/>
    <w:rsid w:val="00DE6E48"/>
    <w:rsid w:val="00DF5D1A"/>
    <w:rsid w:val="00DF7E2B"/>
    <w:rsid w:val="00E00D09"/>
    <w:rsid w:val="00E01AC2"/>
    <w:rsid w:val="00E02691"/>
    <w:rsid w:val="00E07846"/>
    <w:rsid w:val="00E12288"/>
    <w:rsid w:val="00E1595B"/>
    <w:rsid w:val="00E2069B"/>
    <w:rsid w:val="00E22140"/>
    <w:rsid w:val="00E235CD"/>
    <w:rsid w:val="00E23988"/>
    <w:rsid w:val="00E2507E"/>
    <w:rsid w:val="00E2582C"/>
    <w:rsid w:val="00E31B12"/>
    <w:rsid w:val="00E34FB2"/>
    <w:rsid w:val="00E360CA"/>
    <w:rsid w:val="00E36916"/>
    <w:rsid w:val="00E4620E"/>
    <w:rsid w:val="00E50B5D"/>
    <w:rsid w:val="00E524F0"/>
    <w:rsid w:val="00E56FED"/>
    <w:rsid w:val="00E578A1"/>
    <w:rsid w:val="00E605EB"/>
    <w:rsid w:val="00E60ABD"/>
    <w:rsid w:val="00E62934"/>
    <w:rsid w:val="00E63285"/>
    <w:rsid w:val="00E64215"/>
    <w:rsid w:val="00E653F0"/>
    <w:rsid w:val="00E663A3"/>
    <w:rsid w:val="00E66BFD"/>
    <w:rsid w:val="00E70D93"/>
    <w:rsid w:val="00E71908"/>
    <w:rsid w:val="00E71FCE"/>
    <w:rsid w:val="00E820E9"/>
    <w:rsid w:val="00E821DE"/>
    <w:rsid w:val="00E82DE9"/>
    <w:rsid w:val="00E84FCA"/>
    <w:rsid w:val="00E878CC"/>
    <w:rsid w:val="00E900F8"/>
    <w:rsid w:val="00E931C1"/>
    <w:rsid w:val="00E96A94"/>
    <w:rsid w:val="00EA0E9C"/>
    <w:rsid w:val="00EA1392"/>
    <w:rsid w:val="00EA1DBF"/>
    <w:rsid w:val="00EA3D74"/>
    <w:rsid w:val="00EA450E"/>
    <w:rsid w:val="00EA5768"/>
    <w:rsid w:val="00EA68CB"/>
    <w:rsid w:val="00EA6EFA"/>
    <w:rsid w:val="00EB1524"/>
    <w:rsid w:val="00EB3C05"/>
    <w:rsid w:val="00EB3C17"/>
    <w:rsid w:val="00EB45FF"/>
    <w:rsid w:val="00EB6E34"/>
    <w:rsid w:val="00EB6F50"/>
    <w:rsid w:val="00EB7080"/>
    <w:rsid w:val="00EB77BC"/>
    <w:rsid w:val="00EB7A79"/>
    <w:rsid w:val="00EC2C2B"/>
    <w:rsid w:val="00EC3192"/>
    <w:rsid w:val="00EC4A7B"/>
    <w:rsid w:val="00EC5433"/>
    <w:rsid w:val="00EC5551"/>
    <w:rsid w:val="00EC6B74"/>
    <w:rsid w:val="00ED2490"/>
    <w:rsid w:val="00ED3A4B"/>
    <w:rsid w:val="00ED483C"/>
    <w:rsid w:val="00EE01DC"/>
    <w:rsid w:val="00EE443C"/>
    <w:rsid w:val="00EE4678"/>
    <w:rsid w:val="00EE4C35"/>
    <w:rsid w:val="00EE664A"/>
    <w:rsid w:val="00EF0405"/>
    <w:rsid w:val="00EF0B5B"/>
    <w:rsid w:val="00EF0F1A"/>
    <w:rsid w:val="00EF30E1"/>
    <w:rsid w:val="00EF3173"/>
    <w:rsid w:val="00EF4D33"/>
    <w:rsid w:val="00EF53B6"/>
    <w:rsid w:val="00EF5A05"/>
    <w:rsid w:val="00EF7FD0"/>
    <w:rsid w:val="00F035BD"/>
    <w:rsid w:val="00F07F89"/>
    <w:rsid w:val="00F07FE4"/>
    <w:rsid w:val="00F101AC"/>
    <w:rsid w:val="00F102D0"/>
    <w:rsid w:val="00F1034C"/>
    <w:rsid w:val="00F1564A"/>
    <w:rsid w:val="00F20CB6"/>
    <w:rsid w:val="00F21D38"/>
    <w:rsid w:val="00F25E65"/>
    <w:rsid w:val="00F2692A"/>
    <w:rsid w:val="00F33F51"/>
    <w:rsid w:val="00F35903"/>
    <w:rsid w:val="00F36827"/>
    <w:rsid w:val="00F419C7"/>
    <w:rsid w:val="00F42EBB"/>
    <w:rsid w:val="00F50815"/>
    <w:rsid w:val="00F525A0"/>
    <w:rsid w:val="00F527D7"/>
    <w:rsid w:val="00F56569"/>
    <w:rsid w:val="00F61066"/>
    <w:rsid w:val="00F63CBE"/>
    <w:rsid w:val="00F675CD"/>
    <w:rsid w:val="00F67C13"/>
    <w:rsid w:val="00F728A7"/>
    <w:rsid w:val="00F73493"/>
    <w:rsid w:val="00F77382"/>
    <w:rsid w:val="00F81E9F"/>
    <w:rsid w:val="00F839A7"/>
    <w:rsid w:val="00F87DE2"/>
    <w:rsid w:val="00F90913"/>
    <w:rsid w:val="00F90E97"/>
    <w:rsid w:val="00F93BDF"/>
    <w:rsid w:val="00F97489"/>
    <w:rsid w:val="00F97623"/>
    <w:rsid w:val="00FA0A93"/>
    <w:rsid w:val="00FA15B9"/>
    <w:rsid w:val="00FA5226"/>
    <w:rsid w:val="00FA5BBF"/>
    <w:rsid w:val="00FA60EF"/>
    <w:rsid w:val="00FA7B76"/>
    <w:rsid w:val="00FB0E2F"/>
    <w:rsid w:val="00FB0E52"/>
    <w:rsid w:val="00FB484F"/>
    <w:rsid w:val="00FB5A01"/>
    <w:rsid w:val="00FB5B60"/>
    <w:rsid w:val="00FC182B"/>
    <w:rsid w:val="00FC3C1A"/>
    <w:rsid w:val="00FC63BB"/>
    <w:rsid w:val="00FD2145"/>
    <w:rsid w:val="00FD2E19"/>
    <w:rsid w:val="00FD305F"/>
    <w:rsid w:val="00FD39D2"/>
    <w:rsid w:val="00FD3D89"/>
    <w:rsid w:val="00FD5B43"/>
    <w:rsid w:val="00FE3E22"/>
    <w:rsid w:val="00FE421C"/>
    <w:rsid w:val="00FF186B"/>
    <w:rsid w:val="00FF33B9"/>
    <w:rsid w:val="00FF354A"/>
    <w:rsid w:val="011D4355"/>
    <w:rsid w:val="01527242"/>
    <w:rsid w:val="01AC0F9C"/>
    <w:rsid w:val="01B43187"/>
    <w:rsid w:val="01E44E53"/>
    <w:rsid w:val="025C271E"/>
    <w:rsid w:val="02907B8B"/>
    <w:rsid w:val="0306042C"/>
    <w:rsid w:val="036A508B"/>
    <w:rsid w:val="03986EBF"/>
    <w:rsid w:val="040079F5"/>
    <w:rsid w:val="04337D9D"/>
    <w:rsid w:val="04400D69"/>
    <w:rsid w:val="04402605"/>
    <w:rsid w:val="04B270C1"/>
    <w:rsid w:val="04CF69F1"/>
    <w:rsid w:val="04FC61D7"/>
    <w:rsid w:val="055E6B00"/>
    <w:rsid w:val="05A81450"/>
    <w:rsid w:val="05AB50DB"/>
    <w:rsid w:val="05B86C07"/>
    <w:rsid w:val="05C4086E"/>
    <w:rsid w:val="05E7350D"/>
    <w:rsid w:val="06714501"/>
    <w:rsid w:val="067A0757"/>
    <w:rsid w:val="069E3FD5"/>
    <w:rsid w:val="06B60738"/>
    <w:rsid w:val="06E30C7F"/>
    <w:rsid w:val="06E73E8C"/>
    <w:rsid w:val="07655D0B"/>
    <w:rsid w:val="07693F70"/>
    <w:rsid w:val="07751E23"/>
    <w:rsid w:val="077F17CC"/>
    <w:rsid w:val="078F7A7A"/>
    <w:rsid w:val="07A50719"/>
    <w:rsid w:val="07AF767B"/>
    <w:rsid w:val="07F20818"/>
    <w:rsid w:val="08026094"/>
    <w:rsid w:val="08D70227"/>
    <w:rsid w:val="090E4140"/>
    <w:rsid w:val="0A2C4990"/>
    <w:rsid w:val="0A586145"/>
    <w:rsid w:val="0A7B3839"/>
    <w:rsid w:val="0ABE2DF2"/>
    <w:rsid w:val="0B836EA8"/>
    <w:rsid w:val="0B8740C1"/>
    <w:rsid w:val="0B9C72DD"/>
    <w:rsid w:val="0BD107F3"/>
    <w:rsid w:val="0BE05499"/>
    <w:rsid w:val="0BF75D9F"/>
    <w:rsid w:val="0C052CF8"/>
    <w:rsid w:val="0C175030"/>
    <w:rsid w:val="0D1817B3"/>
    <w:rsid w:val="0D192E21"/>
    <w:rsid w:val="0D631E83"/>
    <w:rsid w:val="0D6F4328"/>
    <w:rsid w:val="0DB032E2"/>
    <w:rsid w:val="0E314C4D"/>
    <w:rsid w:val="0EB96E7D"/>
    <w:rsid w:val="0F331DEF"/>
    <w:rsid w:val="0F636803"/>
    <w:rsid w:val="0FAB04D5"/>
    <w:rsid w:val="0FDA152B"/>
    <w:rsid w:val="0FF024B1"/>
    <w:rsid w:val="10712928"/>
    <w:rsid w:val="10A81C60"/>
    <w:rsid w:val="10EA17D0"/>
    <w:rsid w:val="110509B7"/>
    <w:rsid w:val="11207A31"/>
    <w:rsid w:val="11505BF7"/>
    <w:rsid w:val="115A7505"/>
    <w:rsid w:val="11A24761"/>
    <w:rsid w:val="11D83B9D"/>
    <w:rsid w:val="121D4895"/>
    <w:rsid w:val="12313822"/>
    <w:rsid w:val="123B3068"/>
    <w:rsid w:val="123D3EC9"/>
    <w:rsid w:val="12870969"/>
    <w:rsid w:val="12962D75"/>
    <w:rsid w:val="12C6782B"/>
    <w:rsid w:val="1394083E"/>
    <w:rsid w:val="13A03433"/>
    <w:rsid w:val="14725519"/>
    <w:rsid w:val="14740A1C"/>
    <w:rsid w:val="14871C3B"/>
    <w:rsid w:val="148E15C6"/>
    <w:rsid w:val="14AD18F5"/>
    <w:rsid w:val="153A2191"/>
    <w:rsid w:val="156C6838"/>
    <w:rsid w:val="156E44B7"/>
    <w:rsid w:val="15E56D5D"/>
    <w:rsid w:val="172135A9"/>
    <w:rsid w:val="17D05FEB"/>
    <w:rsid w:val="1844295B"/>
    <w:rsid w:val="188D3433"/>
    <w:rsid w:val="189439DF"/>
    <w:rsid w:val="189C0DB1"/>
    <w:rsid w:val="19551BC8"/>
    <w:rsid w:val="19BE2108"/>
    <w:rsid w:val="19E3581C"/>
    <w:rsid w:val="19FC55B8"/>
    <w:rsid w:val="1A2849B5"/>
    <w:rsid w:val="1A38596D"/>
    <w:rsid w:val="1A3E66DC"/>
    <w:rsid w:val="1B657081"/>
    <w:rsid w:val="1B8243CB"/>
    <w:rsid w:val="1C2361BA"/>
    <w:rsid w:val="1C55468D"/>
    <w:rsid w:val="1CF91C60"/>
    <w:rsid w:val="1D0C7F21"/>
    <w:rsid w:val="1D105904"/>
    <w:rsid w:val="1D312446"/>
    <w:rsid w:val="1DEA6919"/>
    <w:rsid w:val="1DFA2FFB"/>
    <w:rsid w:val="1E2B6BE7"/>
    <w:rsid w:val="1EA913DC"/>
    <w:rsid w:val="1F0F77F4"/>
    <w:rsid w:val="1F20041B"/>
    <w:rsid w:val="1FE6313B"/>
    <w:rsid w:val="206A1E72"/>
    <w:rsid w:val="209D4D0F"/>
    <w:rsid w:val="20C44A3D"/>
    <w:rsid w:val="210E30BC"/>
    <w:rsid w:val="211132D8"/>
    <w:rsid w:val="2116671D"/>
    <w:rsid w:val="21740364"/>
    <w:rsid w:val="21E2721F"/>
    <w:rsid w:val="21FE5961"/>
    <w:rsid w:val="22551E62"/>
    <w:rsid w:val="225536BD"/>
    <w:rsid w:val="2267795B"/>
    <w:rsid w:val="228B288F"/>
    <w:rsid w:val="22A9461F"/>
    <w:rsid w:val="238B02A5"/>
    <w:rsid w:val="239C1CEF"/>
    <w:rsid w:val="243B4281"/>
    <w:rsid w:val="24427675"/>
    <w:rsid w:val="25570CD6"/>
    <w:rsid w:val="25FD7DDA"/>
    <w:rsid w:val="26927F5E"/>
    <w:rsid w:val="26930BA4"/>
    <w:rsid w:val="275D25EF"/>
    <w:rsid w:val="27A05D26"/>
    <w:rsid w:val="27FD13F8"/>
    <w:rsid w:val="28083682"/>
    <w:rsid w:val="281F63FB"/>
    <w:rsid w:val="28567D02"/>
    <w:rsid w:val="28AE5F0B"/>
    <w:rsid w:val="28B24A94"/>
    <w:rsid w:val="28DC6898"/>
    <w:rsid w:val="28F819E0"/>
    <w:rsid w:val="295C4868"/>
    <w:rsid w:val="296C2904"/>
    <w:rsid w:val="29AF7DF8"/>
    <w:rsid w:val="29CA0B55"/>
    <w:rsid w:val="2A087074"/>
    <w:rsid w:val="2A8B3650"/>
    <w:rsid w:val="2A8D0BA8"/>
    <w:rsid w:val="2AA30E2A"/>
    <w:rsid w:val="2B9D14DD"/>
    <w:rsid w:val="2C377149"/>
    <w:rsid w:val="2C3C088A"/>
    <w:rsid w:val="2CF76386"/>
    <w:rsid w:val="2D60377E"/>
    <w:rsid w:val="2D8F684C"/>
    <w:rsid w:val="2D9E4577"/>
    <w:rsid w:val="2E444168"/>
    <w:rsid w:val="2E9D6EF3"/>
    <w:rsid w:val="2F007E3C"/>
    <w:rsid w:val="2F766021"/>
    <w:rsid w:val="2F876CAA"/>
    <w:rsid w:val="2F9B3A1E"/>
    <w:rsid w:val="2FE97CA6"/>
    <w:rsid w:val="30416714"/>
    <w:rsid w:val="30AC3D02"/>
    <w:rsid w:val="30EC3CCF"/>
    <w:rsid w:val="31E23503"/>
    <w:rsid w:val="32355624"/>
    <w:rsid w:val="32705150"/>
    <w:rsid w:val="3283636F"/>
    <w:rsid w:val="328E0E7D"/>
    <w:rsid w:val="330A349F"/>
    <w:rsid w:val="33655493"/>
    <w:rsid w:val="33947A55"/>
    <w:rsid w:val="33EF31E8"/>
    <w:rsid w:val="344D7206"/>
    <w:rsid w:val="346307A2"/>
    <w:rsid w:val="346F76D6"/>
    <w:rsid w:val="34734997"/>
    <w:rsid w:val="35071987"/>
    <w:rsid w:val="355A54F6"/>
    <w:rsid w:val="355F614C"/>
    <w:rsid w:val="357E6FD1"/>
    <w:rsid w:val="35A74E28"/>
    <w:rsid w:val="35AF77A0"/>
    <w:rsid w:val="35DB23D1"/>
    <w:rsid w:val="361260C5"/>
    <w:rsid w:val="36C41867"/>
    <w:rsid w:val="36D44699"/>
    <w:rsid w:val="37031787"/>
    <w:rsid w:val="377C1D48"/>
    <w:rsid w:val="37AE2966"/>
    <w:rsid w:val="37EA1649"/>
    <w:rsid w:val="384719E3"/>
    <w:rsid w:val="384E6EF6"/>
    <w:rsid w:val="394036B6"/>
    <w:rsid w:val="39491F32"/>
    <w:rsid w:val="397F2AAC"/>
    <w:rsid w:val="3A045242"/>
    <w:rsid w:val="3AE30907"/>
    <w:rsid w:val="3AF647D1"/>
    <w:rsid w:val="3BC67CD2"/>
    <w:rsid w:val="3BF9256D"/>
    <w:rsid w:val="3C290FB7"/>
    <w:rsid w:val="3C9C5C51"/>
    <w:rsid w:val="3CA96714"/>
    <w:rsid w:val="3CD274D1"/>
    <w:rsid w:val="3D155CCF"/>
    <w:rsid w:val="3D865874"/>
    <w:rsid w:val="3E3D581D"/>
    <w:rsid w:val="3EB14296"/>
    <w:rsid w:val="3ED457F0"/>
    <w:rsid w:val="3EF47A92"/>
    <w:rsid w:val="3F4127D6"/>
    <w:rsid w:val="3F467EA7"/>
    <w:rsid w:val="3F8D2FD4"/>
    <w:rsid w:val="3FAF0F8B"/>
    <w:rsid w:val="3FCE0A5F"/>
    <w:rsid w:val="407E304E"/>
    <w:rsid w:val="40972E3F"/>
    <w:rsid w:val="40B939AE"/>
    <w:rsid w:val="40FE79F4"/>
    <w:rsid w:val="41303FF3"/>
    <w:rsid w:val="41494464"/>
    <w:rsid w:val="41835153"/>
    <w:rsid w:val="41C51792"/>
    <w:rsid w:val="41D07901"/>
    <w:rsid w:val="426339F7"/>
    <w:rsid w:val="42796AB3"/>
    <w:rsid w:val="43E235C7"/>
    <w:rsid w:val="444E13D6"/>
    <w:rsid w:val="44806C0F"/>
    <w:rsid w:val="44906321"/>
    <w:rsid w:val="44E34D4C"/>
    <w:rsid w:val="45960747"/>
    <w:rsid w:val="45A017D4"/>
    <w:rsid w:val="465251FF"/>
    <w:rsid w:val="469F5A1C"/>
    <w:rsid w:val="46A243E4"/>
    <w:rsid w:val="46E3355B"/>
    <w:rsid w:val="471F67F4"/>
    <w:rsid w:val="47720F0F"/>
    <w:rsid w:val="478C244E"/>
    <w:rsid w:val="47C55FCE"/>
    <w:rsid w:val="48454D59"/>
    <w:rsid w:val="4888168E"/>
    <w:rsid w:val="48A25E6A"/>
    <w:rsid w:val="48D850C1"/>
    <w:rsid w:val="492B4C8F"/>
    <w:rsid w:val="49816B99"/>
    <w:rsid w:val="498867BD"/>
    <w:rsid w:val="4ACC0DB8"/>
    <w:rsid w:val="4B5575AA"/>
    <w:rsid w:val="4B5B3163"/>
    <w:rsid w:val="4C8D1724"/>
    <w:rsid w:val="4D216E53"/>
    <w:rsid w:val="4D3B328B"/>
    <w:rsid w:val="4DB11467"/>
    <w:rsid w:val="4E191F10"/>
    <w:rsid w:val="4E52101C"/>
    <w:rsid w:val="4E994A6A"/>
    <w:rsid w:val="4EF40509"/>
    <w:rsid w:val="4F3552F3"/>
    <w:rsid w:val="4F360182"/>
    <w:rsid w:val="4F413B0F"/>
    <w:rsid w:val="4FB27D57"/>
    <w:rsid w:val="4FB555A2"/>
    <w:rsid w:val="50A22C57"/>
    <w:rsid w:val="50AB045C"/>
    <w:rsid w:val="50CE19CD"/>
    <w:rsid w:val="50CE3ECE"/>
    <w:rsid w:val="50E336C1"/>
    <w:rsid w:val="513C6B5E"/>
    <w:rsid w:val="518C2F2C"/>
    <w:rsid w:val="51B80734"/>
    <w:rsid w:val="522030C9"/>
    <w:rsid w:val="527A319D"/>
    <w:rsid w:val="52E15928"/>
    <w:rsid w:val="53FD7EA6"/>
    <w:rsid w:val="54036AE1"/>
    <w:rsid w:val="543E548D"/>
    <w:rsid w:val="54C06697"/>
    <w:rsid w:val="551268DF"/>
    <w:rsid w:val="55497DEA"/>
    <w:rsid w:val="55746149"/>
    <w:rsid w:val="562A74F5"/>
    <w:rsid w:val="564D11E9"/>
    <w:rsid w:val="564D277C"/>
    <w:rsid w:val="57953A4B"/>
    <w:rsid w:val="58046550"/>
    <w:rsid w:val="58B54896"/>
    <w:rsid w:val="58D236C2"/>
    <w:rsid w:val="59060A06"/>
    <w:rsid w:val="59114FB0"/>
    <w:rsid w:val="5942577F"/>
    <w:rsid w:val="59996DEC"/>
    <w:rsid w:val="59CD7F72"/>
    <w:rsid w:val="5A120507"/>
    <w:rsid w:val="5A5D394D"/>
    <w:rsid w:val="5A724B0F"/>
    <w:rsid w:val="5AB30F40"/>
    <w:rsid w:val="5AD90D18"/>
    <w:rsid w:val="5B092532"/>
    <w:rsid w:val="5BF81DB8"/>
    <w:rsid w:val="5C0A7ECA"/>
    <w:rsid w:val="5C0D5346"/>
    <w:rsid w:val="5C27624F"/>
    <w:rsid w:val="5C767840"/>
    <w:rsid w:val="5CBC0529"/>
    <w:rsid w:val="5CDA6971"/>
    <w:rsid w:val="5D782734"/>
    <w:rsid w:val="5D9B732D"/>
    <w:rsid w:val="5DAD3A91"/>
    <w:rsid w:val="5DB004C1"/>
    <w:rsid w:val="5F6C3865"/>
    <w:rsid w:val="601B502F"/>
    <w:rsid w:val="61C240B7"/>
    <w:rsid w:val="61D57A10"/>
    <w:rsid w:val="61F66F47"/>
    <w:rsid w:val="623025A4"/>
    <w:rsid w:val="627A477C"/>
    <w:rsid w:val="63A150C0"/>
    <w:rsid w:val="63D251F4"/>
    <w:rsid w:val="64815650"/>
    <w:rsid w:val="64AF7CA6"/>
    <w:rsid w:val="64DF440C"/>
    <w:rsid w:val="652D7E86"/>
    <w:rsid w:val="65434061"/>
    <w:rsid w:val="657202BE"/>
    <w:rsid w:val="658E5BBC"/>
    <w:rsid w:val="663771AF"/>
    <w:rsid w:val="66A27570"/>
    <w:rsid w:val="66DB6465"/>
    <w:rsid w:val="675D7CA3"/>
    <w:rsid w:val="67B95729"/>
    <w:rsid w:val="67E30D1E"/>
    <w:rsid w:val="684C1B2A"/>
    <w:rsid w:val="689934CB"/>
    <w:rsid w:val="68A827B8"/>
    <w:rsid w:val="69270594"/>
    <w:rsid w:val="69881BA6"/>
    <w:rsid w:val="69B11277"/>
    <w:rsid w:val="6A336575"/>
    <w:rsid w:val="6A9103B7"/>
    <w:rsid w:val="6AFF5C1B"/>
    <w:rsid w:val="6B213BD1"/>
    <w:rsid w:val="6B37032E"/>
    <w:rsid w:val="6B3F3F40"/>
    <w:rsid w:val="6B5C74DB"/>
    <w:rsid w:val="6B6002BE"/>
    <w:rsid w:val="6BAF6933"/>
    <w:rsid w:val="6BD61D70"/>
    <w:rsid w:val="6C3F2D24"/>
    <w:rsid w:val="6C6376EE"/>
    <w:rsid w:val="6C6E4192"/>
    <w:rsid w:val="6CA71DFE"/>
    <w:rsid w:val="6D5879D2"/>
    <w:rsid w:val="6D7256A0"/>
    <w:rsid w:val="6E164A8D"/>
    <w:rsid w:val="6E4945F5"/>
    <w:rsid w:val="6E686ECE"/>
    <w:rsid w:val="6E864A1F"/>
    <w:rsid w:val="6E9B5902"/>
    <w:rsid w:val="704613FD"/>
    <w:rsid w:val="708704FD"/>
    <w:rsid w:val="7119038A"/>
    <w:rsid w:val="71346BD7"/>
    <w:rsid w:val="7164080C"/>
    <w:rsid w:val="71693855"/>
    <w:rsid w:val="71934309"/>
    <w:rsid w:val="71C20399"/>
    <w:rsid w:val="71DB2947"/>
    <w:rsid w:val="7243317C"/>
    <w:rsid w:val="72B552C9"/>
    <w:rsid w:val="72C53ED8"/>
    <w:rsid w:val="736B711A"/>
    <w:rsid w:val="73997733"/>
    <w:rsid w:val="73EF387C"/>
    <w:rsid w:val="73F21B69"/>
    <w:rsid w:val="74533602"/>
    <w:rsid w:val="74686510"/>
    <w:rsid w:val="747016D0"/>
    <w:rsid w:val="747F7BD6"/>
    <w:rsid w:val="749F6996"/>
    <w:rsid w:val="74BB7047"/>
    <w:rsid w:val="75DC225A"/>
    <w:rsid w:val="75E86D3B"/>
    <w:rsid w:val="760E25CC"/>
    <w:rsid w:val="76373012"/>
    <w:rsid w:val="76962DA9"/>
    <w:rsid w:val="772B2E92"/>
    <w:rsid w:val="776158EB"/>
    <w:rsid w:val="77CD5EFC"/>
    <w:rsid w:val="77E56FFF"/>
    <w:rsid w:val="7818293D"/>
    <w:rsid w:val="787F0CAA"/>
    <w:rsid w:val="78D80DA6"/>
    <w:rsid w:val="78F12D78"/>
    <w:rsid w:val="799278B0"/>
    <w:rsid w:val="7A2B0F08"/>
    <w:rsid w:val="7A4F08E7"/>
    <w:rsid w:val="7A664A48"/>
    <w:rsid w:val="7B582F6D"/>
    <w:rsid w:val="7B7956A0"/>
    <w:rsid w:val="7B94204B"/>
    <w:rsid w:val="7C1F69DD"/>
    <w:rsid w:val="7CAC364E"/>
    <w:rsid w:val="7D1876CA"/>
    <w:rsid w:val="7D255F8C"/>
    <w:rsid w:val="7D845AEE"/>
    <w:rsid w:val="7DFD02FD"/>
    <w:rsid w:val="7EBC1F79"/>
    <w:rsid w:val="7F9D34FA"/>
    <w:rsid w:val="7FAD34CB"/>
    <w:rsid w:val="EF674B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link w:val="71"/>
    <w:qFormat/>
    <w:uiPriority w:val="0"/>
    <w:pPr>
      <w:keepNext/>
      <w:keepLines/>
      <w:numPr>
        <w:ilvl w:val="0"/>
        <w:numId w:val="1"/>
      </w:numPr>
      <w:spacing w:before="340" w:after="330" w:line="576" w:lineRule="auto"/>
      <w:jc w:val="center"/>
      <w:outlineLvl w:val="0"/>
    </w:pPr>
    <w:rPr>
      <w:rFonts w:eastAsia="黑体"/>
      <w:b/>
      <w:kern w:val="44"/>
      <w:sz w:val="36"/>
    </w:rPr>
  </w:style>
  <w:style w:type="paragraph" w:styleId="8">
    <w:name w:val="heading 2"/>
    <w:basedOn w:val="1"/>
    <w:next w:val="1"/>
    <w:link w:val="126"/>
    <w:qFormat/>
    <w:uiPriority w:val="0"/>
    <w:pPr>
      <w:keepNext/>
      <w:keepLines/>
      <w:numPr>
        <w:ilvl w:val="1"/>
        <w:numId w:val="1"/>
      </w:numPr>
      <w:spacing w:before="260" w:after="260" w:line="413" w:lineRule="auto"/>
      <w:jc w:val="center"/>
      <w:outlineLvl w:val="1"/>
    </w:pPr>
    <w:rPr>
      <w:rFonts w:ascii="CG Times" w:hAnsi="CG Times"/>
      <w:b/>
      <w:sz w:val="30"/>
    </w:rPr>
  </w:style>
  <w:style w:type="paragraph" w:styleId="9">
    <w:name w:val="heading 3"/>
    <w:basedOn w:val="1"/>
    <w:next w:val="1"/>
    <w:link w:val="90"/>
    <w:qFormat/>
    <w:uiPriority w:val="0"/>
    <w:pPr>
      <w:keepNext/>
      <w:keepLines/>
      <w:spacing w:before="260" w:after="260" w:line="413" w:lineRule="auto"/>
      <w:outlineLvl w:val="2"/>
    </w:pPr>
    <w:rPr>
      <w:b/>
      <w:sz w:val="32"/>
    </w:rPr>
  </w:style>
  <w:style w:type="paragraph" w:styleId="10">
    <w:name w:val="heading 4"/>
    <w:basedOn w:val="1"/>
    <w:next w:val="11"/>
    <w:link w:val="70"/>
    <w:qFormat/>
    <w:uiPriority w:val="0"/>
    <w:pPr>
      <w:keepNext/>
      <w:keepLines/>
      <w:tabs>
        <w:tab w:val="left" w:pos="425"/>
      </w:tabs>
      <w:spacing w:before="360" w:line="240" w:lineRule="exact"/>
      <w:ind w:left="425" w:hanging="425"/>
      <w:outlineLvl w:val="3"/>
    </w:pPr>
    <w:rPr>
      <w:rFonts w:ascii="宋体"/>
      <w:b/>
      <w:sz w:val="28"/>
    </w:rPr>
  </w:style>
  <w:style w:type="paragraph" w:styleId="12">
    <w:name w:val="heading 5"/>
    <w:basedOn w:val="1"/>
    <w:next w:val="11"/>
    <w:link w:val="72"/>
    <w:qFormat/>
    <w:uiPriority w:val="0"/>
    <w:pPr>
      <w:keepNext/>
      <w:keepLines/>
      <w:numPr>
        <w:ilvl w:val="4"/>
        <w:numId w:val="1"/>
      </w:numPr>
      <w:spacing w:before="280" w:after="290" w:line="372" w:lineRule="auto"/>
      <w:outlineLvl w:val="4"/>
    </w:pPr>
    <w:rPr>
      <w:b/>
      <w:sz w:val="28"/>
    </w:rPr>
  </w:style>
  <w:style w:type="paragraph" w:styleId="13">
    <w:name w:val="heading 6"/>
    <w:basedOn w:val="1"/>
    <w:next w:val="11"/>
    <w:link w:val="127"/>
    <w:qFormat/>
    <w:uiPriority w:val="0"/>
    <w:pPr>
      <w:keepNext/>
      <w:keepLines/>
      <w:numPr>
        <w:ilvl w:val="5"/>
        <w:numId w:val="1"/>
      </w:numPr>
      <w:spacing w:before="240" w:after="64" w:line="317" w:lineRule="auto"/>
      <w:outlineLvl w:val="5"/>
    </w:pPr>
    <w:rPr>
      <w:rFonts w:ascii="Arial" w:hAnsi="Arial" w:eastAsia="黑体"/>
      <w:b/>
      <w:sz w:val="24"/>
    </w:rPr>
  </w:style>
  <w:style w:type="paragraph" w:styleId="14">
    <w:name w:val="heading 7"/>
    <w:basedOn w:val="1"/>
    <w:next w:val="11"/>
    <w:link w:val="128"/>
    <w:qFormat/>
    <w:uiPriority w:val="0"/>
    <w:pPr>
      <w:keepNext/>
      <w:keepLines/>
      <w:numPr>
        <w:ilvl w:val="6"/>
        <w:numId w:val="1"/>
      </w:numPr>
      <w:spacing w:before="240" w:after="64" w:line="317" w:lineRule="auto"/>
      <w:outlineLvl w:val="6"/>
    </w:pPr>
    <w:rPr>
      <w:b/>
      <w:sz w:val="24"/>
    </w:rPr>
  </w:style>
  <w:style w:type="paragraph" w:styleId="15">
    <w:name w:val="heading 8"/>
    <w:basedOn w:val="1"/>
    <w:next w:val="11"/>
    <w:link w:val="129"/>
    <w:qFormat/>
    <w:uiPriority w:val="0"/>
    <w:pPr>
      <w:keepNext/>
      <w:keepLines/>
      <w:numPr>
        <w:ilvl w:val="7"/>
        <w:numId w:val="1"/>
      </w:numPr>
      <w:spacing w:before="240" w:after="64" w:line="317" w:lineRule="auto"/>
      <w:outlineLvl w:val="7"/>
    </w:pPr>
    <w:rPr>
      <w:rFonts w:ascii="Arial" w:hAnsi="Arial" w:eastAsia="黑体"/>
      <w:sz w:val="24"/>
    </w:rPr>
  </w:style>
  <w:style w:type="paragraph" w:styleId="16">
    <w:name w:val="heading 9"/>
    <w:basedOn w:val="1"/>
    <w:next w:val="11"/>
    <w:link w:val="130"/>
    <w:qFormat/>
    <w:uiPriority w:val="0"/>
    <w:pPr>
      <w:keepNext/>
      <w:keepLines/>
      <w:numPr>
        <w:ilvl w:val="8"/>
        <w:numId w:val="1"/>
      </w:numPr>
      <w:spacing w:before="240" w:after="64" w:line="317"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244"/>
    <w:qFormat/>
    <w:uiPriority w:val="0"/>
    <w:pPr>
      <w:ind w:firstLine="420" w:firstLineChars="100"/>
    </w:pPr>
    <w:rPr>
      <w:szCs w:val="24"/>
    </w:rPr>
  </w:style>
  <w:style w:type="paragraph" w:styleId="3">
    <w:name w:val="Body Text"/>
    <w:basedOn w:val="1"/>
    <w:next w:val="4"/>
    <w:link w:val="243"/>
    <w:qFormat/>
    <w:uiPriority w:val="0"/>
    <w:pPr>
      <w:spacing w:after="120"/>
    </w:pPr>
  </w:style>
  <w:style w:type="paragraph" w:styleId="4">
    <w:name w:val="Body Text 2"/>
    <w:basedOn w:val="1"/>
    <w:next w:val="3"/>
    <w:link w:val="241"/>
    <w:qFormat/>
    <w:uiPriority w:val="0"/>
    <w:pPr>
      <w:adjustRightInd w:val="0"/>
      <w:snapToGrid w:val="0"/>
      <w:spacing w:line="360" w:lineRule="exact"/>
    </w:pPr>
    <w:rPr>
      <w:rFonts w:ascii="宋体" w:hAnsi="宋体"/>
      <w:color w:val="000000"/>
      <w:sz w:val="24"/>
      <w:szCs w:val="24"/>
    </w:rPr>
  </w:style>
  <w:style w:type="paragraph" w:styleId="5">
    <w:name w:val="Body Text First Indent 2"/>
    <w:basedOn w:val="6"/>
    <w:link w:val="251"/>
    <w:qFormat/>
    <w:uiPriority w:val="0"/>
    <w:pPr>
      <w:spacing w:after="120" w:line="240" w:lineRule="auto"/>
      <w:ind w:left="420" w:leftChars="200" w:firstLine="420" w:firstLineChars="200"/>
    </w:pPr>
    <w:rPr>
      <w:rFonts w:ascii="Times New Roman" w:hAnsi="Times New Roman"/>
      <w:sz w:val="21"/>
      <w:szCs w:val="24"/>
    </w:rPr>
  </w:style>
  <w:style w:type="paragraph" w:styleId="6">
    <w:name w:val="Body Text Indent"/>
    <w:basedOn w:val="1"/>
    <w:link w:val="250"/>
    <w:qFormat/>
    <w:uiPriority w:val="0"/>
    <w:pPr>
      <w:spacing w:line="360" w:lineRule="auto"/>
      <w:ind w:firstLine="525"/>
    </w:pPr>
    <w:rPr>
      <w:rFonts w:ascii="宋体" w:hAnsi="宋体"/>
      <w:sz w:val="24"/>
    </w:rPr>
  </w:style>
  <w:style w:type="paragraph" w:styleId="11">
    <w:name w:val="Normal Indent"/>
    <w:basedOn w:val="1"/>
    <w:link w:val="88"/>
    <w:qFormat/>
    <w:uiPriority w:val="0"/>
    <w:pPr>
      <w:ind w:firstLine="420"/>
    </w:pPr>
  </w:style>
  <w:style w:type="paragraph" w:styleId="17">
    <w:name w:val="List 3"/>
    <w:basedOn w:val="1"/>
    <w:qFormat/>
    <w:uiPriority w:val="0"/>
    <w:pPr>
      <w:ind w:left="100" w:leftChars="400" w:hanging="200" w:hangingChars="200"/>
    </w:pPr>
    <w:rPr>
      <w:szCs w:val="24"/>
    </w:rPr>
  </w:style>
  <w:style w:type="paragraph" w:styleId="18">
    <w:name w:val="toc 7"/>
    <w:basedOn w:val="1"/>
    <w:next w:val="1"/>
    <w:qFormat/>
    <w:uiPriority w:val="0"/>
    <w:pPr>
      <w:ind w:left="2520" w:leftChars="1200"/>
    </w:pPr>
  </w:style>
  <w:style w:type="paragraph" w:styleId="19">
    <w:name w:val="Note Heading"/>
    <w:basedOn w:val="1"/>
    <w:next w:val="1"/>
    <w:link w:val="245"/>
    <w:qFormat/>
    <w:uiPriority w:val="0"/>
    <w:pPr>
      <w:adjustRightInd w:val="0"/>
      <w:jc w:val="center"/>
      <w:textAlignment w:val="baseline"/>
    </w:pPr>
    <w:rPr>
      <w:rFonts w:ascii="宋体" w:hAnsi="宋体" w:eastAsia="Times New Roman"/>
      <w:kern w:val="0"/>
      <w:sz w:val="24"/>
      <w:szCs w:val="24"/>
    </w:rPr>
  </w:style>
  <w:style w:type="paragraph" w:styleId="20">
    <w:name w:val="List Bullet 4"/>
    <w:basedOn w:val="1"/>
    <w:qFormat/>
    <w:uiPriority w:val="0"/>
    <w:pPr>
      <w:tabs>
        <w:tab w:val="left" w:pos="420"/>
        <w:tab w:val="left" w:pos="1620"/>
      </w:tabs>
    </w:pPr>
    <w:rPr>
      <w:szCs w:val="24"/>
    </w:rPr>
  </w:style>
  <w:style w:type="paragraph" w:styleId="21">
    <w:name w:val="caption"/>
    <w:basedOn w:val="1"/>
    <w:next w:val="1"/>
    <w:qFormat/>
    <w:uiPriority w:val="0"/>
    <w:pPr>
      <w:spacing w:before="152" w:after="160"/>
    </w:pPr>
    <w:rPr>
      <w:rFonts w:ascii="Arial" w:hAnsi="Arial" w:eastAsia="黑体" w:cs="Arial"/>
      <w:kern w:val="0"/>
      <w:sz w:val="20"/>
    </w:rPr>
  </w:style>
  <w:style w:type="paragraph" w:styleId="22">
    <w:name w:val="Document Map"/>
    <w:basedOn w:val="1"/>
    <w:link w:val="143"/>
    <w:qFormat/>
    <w:uiPriority w:val="0"/>
    <w:pPr>
      <w:shd w:val="clear" w:color="auto" w:fill="000080"/>
    </w:pPr>
  </w:style>
  <w:style w:type="paragraph" w:styleId="23">
    <w:name w:val="annotation text"/>
    <w:basedOn w:val="1"/>
    <w:link w:val="237"/>
    <w:qFormat/>
    <w:uiPriority w:val="99"/>
    <w:pPr>
      <w:jc w:val="left"/>
    </w:pPr>
  </w:style>
  <w:style w:type="paragraph" w:styleId="24">
    <w:name w:val="Salutation"/>
    <w:basedOn w:val="1"/>
    <w:next w:val="1"/>
    <w:link w:val="78"/>
    <w:qFormat/>
    <w:uiPriority w:val="0"/>
    <w:pPr>
      <w:adjustRightInd w:val="0"/>
      <w:spacing w:line="312" w:lineRule="atLeast"/>
      <w:textAlignment w:val="baseline"/>
    </w:pPr>
    <w:rPr>
      <w:rFonts w:ascii="宋体"/>
      <w:kern w:val="0"/>
      <w:sz w:val="24"/>
    </w:rPr>
  </w:style>
  <w:style w:type="paragraph" w:styleId="25">
    <w:name w:val="Body Text 3"/>
    <w:basedOn w:val="1"/>
    <w:link w:val="232"/>
    <w:qFormat/>
    <w:uiPriority w:val="0"/>
    <w:pPr>
      <w:adjustRightInd w:val="0"/>
      <w:spacing w:line="720" w:lineRule="exact"/>
      <w:jc w:val="center"/>
      <w:textAlignment w:val="baseline"/>
    </w:pPr>
    <w:rPr>
      <w:rFonts w:ascii="黑体" w:eastAsia="黑体"/>
      <w:sz w:val="84"/>
    </w:rPr>
  </w:style>
  <w:style w:type="paragraph" w:styleId="26">
    <w:name w:val="List 2"/>
    <w:basedOn w:val="1"/>
    <w:qFormat/>
    <w:uiPriority w:val="0"/>
    <w:pPr>
      <w:ind w:left="100" w:leftChars="200" w:hanging="200" w:hangingChars="200"/>
    </w:pPr>
    <w:rPr>
      <w:szCs w:val="24"/>
    </w:rPr>
  </w:style>
  <w:style w:type="paragraph" w:styleId="27">
    <w:name w:val="Block Text"/>
    <w:basedOn w:val="1"/>
    <w:qFormat/>
    <w:uiPriority w:val="0"/>
    <w:pPr>
      <w:ind w:left="392" w:leftChars="131" w:right="-34" w:rightChars="-16" w:hanging="117" w:hangingChars="65"/>
    </w:pPr>
    <w:rPr>
      <w:sz w:val="18"/>
      <w:szCs w:val="24"/>
    </w:rPr>
  </w:style>
  <w:style w:type="paragraph" w:styleId="28">
    <w:name w:val="List Bullet 2"/>
    <w:basedOn w:val="1"/>
    <w:qFormat/>
    <w:uiPriority w:val="0"/>
    <w:pPr>
      <w:tabs>
        <w:tab w:val="left" w:pos="780"/>
      </w:tabs>
      <w:adjustRightInd w:val="0"/>
      <w:spacing w:line="500" w:lineRule="exact"/>
      <w:ind w:firstLine="562" w:firstLineChars="200"/>
      <w:textAlignment w:val="baseline"/>
    </w:pPr>
    <w:rPr>
      <w:rFonts w:ascii="宋体" w:hAnsi="宋体"/>
      <w:b/>
      <w:sz w:val="28"/>
      <w:szCs w:val="28"/>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7"/>
    <w:qFormat/>
    <w:uiPriority w:val="0"/>
    <w:rPr>
      <w:rFonts w:ascii="宋体" w:hAnsi="Courier New"/>
    </w:rPr>
  </w:style>
  <w:style w:type="paragraph" w:styleId="32">
    <w:name w:val="toc 8"/>
    <w:basedOn w:val="1"/>
    <w:next w:val="1"/>
    <w:qFormat/>
    <w:uiPriority w:val="0"/>
    <w:pPr>
      <w:ind w:left="2940" w:leftChars="1400"/>
    </w:pPr>
  </w:style>
  <w:style w:type="paragraph" w:styleId="33">
    <w:name w:val="Date"/>
    <w:basedOn w:val="1"/>
    <w:next w:val="1"/>
    <w:link w:val="81"/>
    <w:qFormat/>
    <w:uiPriority w:val="0"/>
    <w:pPr>
      <w:ind w:left="100" w:leftChars="2500"/>
    </w:pPr>
    <w:rPr>
      <w:rFonts w:ascii="宋体" w:hAnsi="宋体"/>
      <w:sz w:val="24"/>
    </w:rPr>
  </w:style>
  <w:style w:type="paragraph" w:styleId="34">
    <w:name w:val="Body Text Indent 2"/>
    <w:basedOn w:val="1"/>
    <w:link w:val="192"/>
    <w:qFormat/>
    <w:uiPriority w:val="0"/>
    <w:pPr>
      <w:spacing w:line="360" w:lineRule="auto"/>
      <w:ind w:firstLine="480" w:firstLineChars="200"/>
      <w:jc w:val="left"/>
    </w:pPr>
    <w:rPr>
      <w:rFonts w:hAnsi="宋体"/>
      <w:sz w:val="24"/>
    </w:rPr>
  </w:style>
  <w:style w:type="paragraph" w:styleId="35">
    <w:name w:val="endnote text"/>
    <w:basedOn w:val="1"/>
    <w:link w:val="233"/>
    <w:qFormat/>
    <w:uiPriority w:val="0"/>
    <w:pPr>
      <w:snapToGrid w:val="0"/>
      <w:jc w:val="left"/>
    </w:pPr>
    <w:rPr>
      <w:szCs w:val="24"/>
    </w:rPr>
  </w:style>
  <w:style w:type="paragraph" w:styleId="36">
    <w:name w:val="Balloon Text"/>
    <w:basedOn w:val="1"/>
    <w:link w:val="199"/>
    <w:qFormat/>
    <w:uiPriority w:val="0"/>
    <w:rPr>
      <w:sz w:val="18"/>
    </w:rPr>
  </w:style>
  <w:style w:type="paragraph" w:styleId="37">
    <w:name w:val="footer"/>
    <w:basedOn w:val="1"/>
    <w:link w:val="187"/>
    <w:qFormat/>
    <w:uiPriority w:val="99"/>
    <w:pPr>
      <w:tabs>
        <w:tab w:val="center" w:pos="4153"/>
        <w:tab w:val="right" w:pos="8306"/>
      </w:tabs>
      <w:snapToGrid w:val="0"/>
      <w:jc w:val="left"/>
    </w:pPr>
    <w:rPr>
      <w:sz w:val="18"/>
    </w:rPr>
  </w:style>
  <w:style w:type="paragraph" w:styleId="38">
    <w:name w:val="header"/>
    <w:basedOn w:val="1"/>
    <w:link w:val="223"/>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style>
  <w:style w:type="paragraph" w:styleId="40">
    <w:name w:val="toc 4"/>
    <w:basedOn w:val="1"/>
    <w:next w:val="1"/>
    <w:qFormat/>
    <w:uiPriority w:val="0"/>
    <w:pPr>
      <w:ind w:left="1260" w:leftChars="600"/>
    </w:pPr>
  </w:style>
  <w:style w:type="paragraph" w:styleId="41">
    <w:name w:val="Subtitle"/>
    <w:basedOn w:val="1"/>
    <w:link w:val="236"/>
    <w:qFormat/>
    <w:uiPriority w:val="0"/>
    <w:pPr>
      <w:keepNext/>
      <w:widowControl/>
      <w:suppressLineNumbers/>
      <w:suppressAutoHyphens/>
      <w:adjustRightInd w:val="0"/>
      <w:jc w:val="center"/>
      <w:textAlignment w:val="baseline"/>
    </w:pPr>
    <w:rPr>
      <w:rFonts w:ascii="宋体" w:hAnsi="Courier New"/>
      <w:szCs w:val="24"/>
    </w:rPr>
  </w:style>
  <w:style w:type="paragraph" w:styleId="42">
    <w:name w:val="toc 6"/>
    <w:basedOn w:val="1"/>
    <w:next w:val="1"/>
    <w:qFormat/>
    <w:uiPriority w:val="0"/>
    <w:pPr>
      <w:ind w:left="2100" w:leftChars="1000"/>
    </w:pPr>
  </w:style>
  <w:style w:type="paragraph" w:styleId="43">
    <w:name w:val="Body Text Indent 3"/>
    <w:basedOn w:val="1"/>
    <w:link w:val="249"/>
    <w:qFormat/>
    <w:uiPriority w:val="0"/>
    <w:pPr>
      <w:ind w:firstLine="560" w:firstLineChars="200"/>
    </w:pPr>
    <w:rPr>
      <w:rFonts w:ascii="Arial" w:hAnsi="Arial"/>
      <w:color w:val="000000"/>
      <w:sz w:val="28"/>
      <w:szCs w:val="24"/>
    </w:rPr>
  </w:style>
  <w:style w:type="paragraph" w:styleId="44">
    <w:name w:val="table of figures"/>
    <w:basedOn w:val="1"/>
    <w:next w:val="1"/>
    <w:qFormat/>
    <w:uiPriority w:val="0"/>
    <w:pPr>
      <w:tabs>
        <w:tab w:val="right" w:leader="dot" w:pos="8948"/>
      </w:tabs>
      <w:adjustRightInd w:val="0"/>
      <w:ind w:left="480" w:hanging="480"/>
      <w:textAlignment w:val="baseline"/>
    </w:pPr>
    <w:rPr>
      <w:kern w:val="0"/>
      <w:szCs w:val="21"/>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HTML Preformatted"/>
    <w:basedOn w:val="1"/>
    <w:link w:val="2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9">
    <w:name w:val="index 1"/>
    <w:basedOn w:val="1"/>
    <w:next w:val="1"/>
    <w:qFormat/>
    <w:uiPriority w:val="0"/>
  </w:style>
  <w:style w:type="paragraph" w:styleId="50">
    <w:name w:val="Title"/>
    <w:basedOn w:val="1"/>
    <w:next w:val="1"/>
    <w:link w:val="252"/>
    <w:qFormat/>
    <w:uiPriority w:val="0"/>
    <w:pPr>
      <w:spacing w:before="240" w:after="60"/>
      <w:jc w:val="center"/>
      <w:outlineLvl w:val="0"/>
    </w:pPr>
    <w:rPr>
      <w:rFonts w:ascii="Cambria" w:hAnsi="Cambria"/>
      <w:b/>
      <w:bCs/>
      <w:sz w:val="32"/>
      <w:szCs w:val="32"/>
    </w:rPr>
  </w:style>
  <w:style w:type="paragraph" w:styleId="51">
    <w:name w:val="annotation subject"/>
    <w:basedOn w:val="23"/>
    <w:next w:val="23"/>
    <w:link w:val="212"/>
    <w:qFormat/>
    <w:uiPriority w:val="0"/>
    <w:rPr>
      <w:b/>
      <w:bCs/>
    </w:rPr>
  </w:style>
  <w:style w:type="table" w:styleId="53">
    <w:name w:val="Table Grid"/>
    <w:basedOn w:val="52"/>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b/>
    </w:rPr>
  </w:style>
  <w:style w:type="character" w:styleId="56">
    <w:name w:val="endnote reference"/>
    <w:qFormat/>
    <w:uiPriority w:val="0"/>
    <w:rPr>
      <w:vertAlign w:val="superscript"/>
    </w:rPr>
  </w:style>
  <w:style w:type="character" w:styleId="57">
    <w:name w:val="page number"/>
    <w:basedOn w:val="54"/>
    <w:qFormat/>
    <w:uiPriority w:val="0"/>
  </w:style>
  <w:style w:type="character" w:styleId="58">
    <w:name w:val="FollowedHyperlink"/>
    <w:basedOn w:val="54"/>
    <w:qFormat/>
    <w:uiPriority w:val="0"/>
    <w:rPr>
      <w:rFonts w:hint="eastAsia" w:ascii="微软雅黑" w:hAnsi="微软雅黑" w:eastAsia="微软雅黑" w:cs="微软雅黑"/>
      <w:color w:val="02396F"/>
      <w:u w:val="single"/>
    </w:rPr>
  </w:style>
  <w:style w:type="character" w:styleId="59">
    <w:name w:val="Emphasis"/>
    <w:qFormat/>
    <w:uiPriority w:val="0"/>
    <w:rPr>
      <w:rFonts w:ascii="Arial Black" w:hAnsi="Arial Black" w:eastAsia="黑体"/>
      <w:b/>
      <w:spacing w:val="0"/>
      <w:sz w:val="21"/>
      <w:lang w:eastAsia="zh-CN"/>
    </w:rPr>
  </w:style>
  <w:style w:type="character" w:styleId="60">
    <w:name w:val="Hyperlink"/>
    <w:basedOn w:val="54"/>
    <w:qFormat/>
    <w:uiPriority w:val="99"/>
    <w:rPr>
      <w:rFonts w:ascii="微软雅黑" w:hAnsi="微软雅黑" w:eastAsia="微软雅黑" w:cs="微软雅黑"/>
      <w:color w:val="02396F"/>
      <w:u w:val="single"/>
    </w:rPr>
  </w:style>
  <w:style w:type="character" w:styleId="61">
    <w:name w:val="annotation reference"/>
    <w:basedOn w:val="54"/>
    <w:qFormat/>
    <w:uiPriority w:val="0"/>
    <w:rPr>
      <w:sz w:val="21"/>
      <w:szCs w:val="21"/>
    </w:rPr>
  </w:style>
  <w:style w:type="paragraph" w:customStyle="1" w:styleId="62">
    <w:name w:val="默认段落字体 Para Char Char Char Char Char Char Char"/>
    <w:basedOn w:val="22"/>
    <w:qFormat/>
    <w:uiPriority w:val="0"/>
    <w:pPr>
      <w:adjustRightInd w:val="0"/>
      <w:spacing w:line="436" w:lineRule="exact"/>
      <w:ind w:left="357"/>
      <w:jc w:val="left"/>
      <w:textAlignment w:val="baseline"/>
      <w:outlineLvl w:val="3"/>
    </w:pPr>
    <w:rPr>
      <w:rFonts w:eastAsia="Times New Roman"/>
      <w:kern w:val="0"/>
      <w:sz w:val="20"/>
    </w:rPr>
  </w:style>
  <w:style w:type="paragraph" w:customStyle="1" w:styleId="63">
    <w:name w:val="Char Char Char Char1"/>
    <w:basedOn w:val="22"/>
    <w:qFormat/>
    <w:uiPriority w:val="0"/>
    <w:pPr>
      <w:adjustRightInd w:val="0"/>
      <w:snapToGrid w:val="0"/>
      <w:spacing w:line="360" w:lineRule="auto"/>
    </w:pPr>
    <w:rPr>
      <w:rFonts w:ascii="Tahoma" w:hAnsi="Tahoma"/>
      <w:sz w:val="24"/>
    </w:rPr>
  </w:style>
  <w:style w:type="paragraph" w:customStyle="1" w:styleId="64">
    <w:name w:val="默认段落字体 Para Char Char Char Char Char Char Char Char Char Char"/>
    <w:basedOn w:val="1"/>
    <w:qFormat/>
    <w:uiPriority w:val="0"/>
    <w:pPr>
      <w:adjustRightInd w:val="0"/>
      <w:spacing w:line="360" w:lineRule="auto"/>
    </w:pPr>
    <w:rPr>
      <w:kern w:val="0"/>
      <w:sz w:val="24"/>
    </w:rPr>
  </w:style>
  <w:style w:type="paragraph" w:customStyle="1" w:styleId="65">
    <w:name w:val="Char Char Char Char"/>
    <w:basedOn w:val="1"/>
    <w:qFormat/>
    <w:uiPriority w:val="0"/>
    <w:rPr>
      <w:rFonts w:ascii="Tahoma" w:hAnsi="Tahoma"/>
      <w:sz w:val="24"/>
    </w:rPr>
  </w:style>
  <w:style w:type="paragraph" w:customStyle="1" w:styleId="66">
    <w:name w:val="Char21"/>
    <w:basedOn w:val="1"/>
    <w:qFormat/>
    <w:uiPriority w:val="0"/>
    <w:rPr>
      <w:rFonts w:ascii="Tahoma" w:hAnsi="Tahoma"/>
      <w:sz w:val="24"/>
    </w:rPr>
  </w:style>
  <w:style w:type="paragraph" w:customStyle="1" w:styleId="67">
    <w:name w:val="Char2"/>
    <w:basedOn w:val="1"/>
    <w:qFormat/>
    <w:uiPriority w:val="0"/>
    <w:rPr>
      <w:rFonts w:ascii="Tahoma" w:hAnsi="Tahoma"/>
      <w:sz w:val="24"/>
    </w:rPr>
  </w:style>
  <w:style w:type="paragraph" w:customStyle="1" w:styleId="68">
    <w:name w:val="首行缩进"/>
    <w:basedOn w:val="1"/>
    <w:link w:val="183"/>
    <w:qFormat/>
    <w:uiPriority w:val="0"/>
    <w:pPr>
      <w:spacing w:line="360" w:lineRule="auto"/>
      <w:ind w:firstLine="200" w:firstLineChars="200"/>
    </w:pPr>
    <w:rPr>
      <w:rFonts w:ascii="宋体" w:hAnsi="宋体"/>
    </w:rPr>
  </w:style>
  <w:style w:type="paragraph" w:customStyle="1" w:styleId="69">
    <w:name w:val="Char Char Char Char2"/>
    <w:basedOn w:val="1"/>
    <w:qFormat/>
    <w:uiPriority w:val="0"/>
    <w:rPr>
      <w:rFonts w:ascii="Tahoma" w:hAnsi="Tahoma"/>
      <w:sz w:val="24"/>
    </w:rPr>
  </w:style>
  <w:style w:type="character" w:customStyle="1" w:styleId="70">
    <w:name w:val="标题 4 Char"/>
    <w:basedOn w:val="54"/>
    <w:link w:val="10"/>
    <w:qFormat/>
    <w:uiPriority w:val="0"/>
    <w:rPr>
      <w:rFonts w:ascii="宋体"/>
      <w:b/>
      <w:kern w:val="2"/>
      <w:sz w:val="28"/>
    </w:rPr>
  </w:style>
  <w:style w:type="character" w:customStyle="1" w:styleId="71">
    <w:name w:val="标题 1 Char"/>
    <w:basedOn w:val="54"/>
    <w:link w:val="7"/>
    <w:qFormat/>
    <w:uiPriority w:val="0"/>
    <w:rPr>
      <w:rFonts w:eastAsia="黑体"/>
      <w:b/>
      <w:kern w:val="44"/>
      <w:sz w:val="36"/>
    </w:rPr>
  </w:style>
  <w:style w:type="character" w:customStyle="1" w:styleId="72">
    <w:name w:val="标题 5 Char"/>
    <w:basedOn w:val="54"/>
    <w:link w:val="12"/>
    <w:qFormat/>
    <w:uiPriority w:val="0"/>
    <w:rPr>
      <w:b/>
      <w:kern w:val="2"/>
      <w:sz w:val="28"/>
    </w:rPr>
  </w:style>
  <w:style w:type="paragraph" w:customStyle="1" w:styleId="73">
    <w:name w:val="标题5"/>
    <w:basedOn w:val="11"/>
    <w:next w:val="1"/>
    <w:qFormat/>
    <w:uiPriority w:val="0"/>
    <w:pPr>
      <w:keepNext/>
      <w:keepLines/>
      <w:spacing w:line="360" w:lineRule="auto"/>
      <w:ind w:hanging="420" w:firstLineChars="200"/>
      <w:outlineLvl w:val="4"/>
    </w:pPr>
    <w:rPr>
      <w:sz w:val="24"/>
      <w:szCs w:val="28"/>
    </w:rPr>
  </w:style>
  <w:style w:type="paragraph" w:customStyle="1" w:styleId="74">
    <w:name w:val="样式4"/>
    <w:basedOn w:val="12"/>
    <w:next w:val="1"/>
    <w:qFormat/>
    <w:uiPriority w:val="0"/>
    <w:pPr>
      <w:numPr>
        <w:ilvl w:val="0"/>
        <w:numId w:val="0"/>
      </w:numPr>
      <w:tabs>
        <w:tab w:val="left" w:pos="420"/>
        <w:tab w:val="left" w:pos="1130"/>
      </w:tabs>
      <w:spacing w:before="0" w:after="0" w:line="360" w:lineRule="auto"/>
      <w:ind w:left="420" w:hanging="420" w:firstLineChars="200"/>
    </w:pPr>
    <w:rPr>
      <w:rFonts w:ascii="宋体" w:hAnsi="宋体"/>
      <w:b w:val="0"/>
      <w:sz w:val="24"/>
      <w:szCs w:val="24"/>
    </w:rPr>
  </w:style>
  <w:style w:type="character" w:customStyle="1" w:styleId="75">
    <w:name w:val="Char Char1"/>
    <w:basedOn w:val="54"/>
    <w:qFormat/>
    <w:uiPriority w:val="0"/>
    <w:rPr>
      <w:rFonts w:ascii="宋体" w:hAnsi="Courier New" w:eastAsia="宋体"/>
      <w:kern w:val="2"/>
      <w:sz w:val="21"/>
      <w:lang w:val="en-US" w:eastAsia="zh-CN"/>
    </w:rPr>
  </w:style>
  <w:style w:type="character" w:customStyle="1" w:styleId="76">
    <w:name w:val="h141"/>
    <w:basedOn w:val="54"/>
    <w:qFormat/>
    <w:uiPriority w:val="0"/>
    <w:rPr>
      <w:color w:val="262626"/>
      <w:sz w:val="21"/>
    </w:rPr>
  </w:style>
  <w:style w:type="character" w:customStyle="1" w:styleId="77">
    <w:name w:val="纯文本 Char"/>
    <w:basedOn w:val="54"/>
    <w:link w:val="31"/>
    <w:qFormat/>
    <w:uiPriority w:val="0"/>
    <w:rPr>
      <w:rFonts w:ascii="宋体" w:hAnsi="Courier New" w:eastAsia="宋体"/>
      <w:kern w:val="2"/>
      <w:sz w:val="21"/>
      <w:lang w:val="en-US" w:eastAsia="zh-CN" w:bidi="ar-SA"/>
    </w:rPr>
  </w:style>
  <w:style w:type="character" w:customStyle="1" w:styleId="78">
    <w:name w:val="称呼 Char"/>
    <w:basedOn w:val="54"/>
    <w:link w:val="24"/>
    <w:qFormat/>
    <w:uiPriority w:val="0"/>
    <w:rPr>
      <w:rFonts w:ascii="宋体" w:eastAsia="宋体"/>
      <w:sz w:val="24"/>
      <w:lang w:val="en-US" w:eastAsia="zh-CN" w:bidi="ar-SA"/>
    </w:rPr>
  </w:style>
  <w:style w:type="character" w:customStyle="1" w:styleId="79">
    <w:name w:val="redfilefwwh"/>
    <w:basedOn w:val="54"/>
    <w:qFormat/>
    <w:uiPriority w:val="0"/>
    <w:rPr>
      <w:color w:val="BA2636"/>
      <w:sz w:val="18"/>
      <w:szCs w:val="18"/>
    </w:rPr>
  </w:style>
  <w:style w:type="character" w:customStyle="1" w:styleId="80">
    <w:name w:val="gjfg"/>
    <w:basedOn w:val="54"/>
    <w:qFormat/>
    <w:uiPriority w:val="0"/>
  </w:style>
  <w:style w:type="character" w:customStyle="1" w:styleId="81">
    <w:name w:val="日期 Char"/>
    <w:basedOn w:val="54"/>
    <w:link w:val="33"/>
    <w:qFormat/>
    <w:uiPriority w:val="0"/>
    <w:rPr>
      <w:rFonts w:ascii="宋体" w:hAnsi="宋体" w:eastAsia="宋体"/>
      <w:kern w:val="2"/>
      <w:sz w:val="24"/>
      <w:lang w:val="en-US" w:eastAsia="zh-CN" w:bidi="ar-SA"/>
    </w:rPr>
  </w:style>
  <w:style w:type="character" w:customStyle="1" w:styleId="82">
    <w:name w:val="特点 Char1"/>
    <w:basedOn w:val="54"/>
    <w:qFormat/>
    <w:uiPriority w:val="0"/>
    <w:rPr>
      <w:rFonts w:eastAsia="宋体"/>
      <w:kern w:val="2"/>
      <w:sz w:val="21"/>
      <w:szCs w:val="24"/>
      <w:lang w:val="en-US" w:eastAsia="zh-CN" w:bidi="ar-SA"/>
    </w:rPr>
  </w:style>
  <w:style w:type="character" w:customStyle="1" w:styleId="83">
    <w:name w:val="纯文本 Char Char1"/>
    <w:basedOn w:val="54"/>
    <w:qFormat/>
    <w:uiPriority w:val="0"/>
    <w:rPr>
      <w:rFonts w:ascii="宋体" w:hAnsi="Courier New" w:eastAsia="宋体"/>
      <w:kern w:val="2"/>
      <w:sz w:val="21"/>
      <w:lang w:val="en-US" w:eastAsia="zh-CN"/>
    </w:rPr>
  </w:style>
  <w:style w:type="character" w:customStyle="1" w:styleId="84">
    <w:name w:val="displayarti"/>
    <w:basedOn w:val="54"/>
    <w:qFormat/>
    <w:uiPriority w:val="0"/>
    <w:rPr>
      <w:color w:val="FFFFFF"/>
      <w:shd w:val="clear" w:color="auto" w:fill="A00000"/>
    </w:rPr>
  </w:style>
  <w:style w:type="character" w:customStyle="1" w:styleId="85">
    <w:name w:val="p121"/>
    <w:basedOn w:val="54"/>
    <w:qFormat/>
    <w:uiPriority w:val="0"/>
    <w:rPr>
      <w:rFonts w:hint="default" w:ascii="ˎ̥" w:hAnsi="ˎ̥"/>
      <w:sz w:val="18"/>
    </w:rPr>
  </w:style>
  <w:style w:type="character" w:customStyle="1" w:styleId="86">
    <w:name w:val="cfdate"/>
    <w:basedOn w:val="54"/>
    <w:qFormat/>
    <w:uiPriority w:val="0"/>
    <w:rPr>
      <w:color w:val="333333"/>
      <w:sz w:val="18"/>
      <w:szCs w:val="18"/>
    </w:rPr>
  </w:style>
  <w:style w:type="character" w:customStyle="1" w:styleId="87">
    <w:name w:val="qxdate"/>
    <w:basedOn w:val="54"/>
    <w:qFormat/>
    <w:uiPriority w:val="0"/>
    <w:rPr>
      <w:color w:val="333333"/>
      <w:sz w:val="18"/>
      <w:szCs w:val="18"/>
    </w:rPr>
  </w:style>
  <w:style w:type="character" w:customStyle="1" w:styleId="88">
    <w:name w:val="正文缩进 Char"/>
    <w:basedOn w:val="54"/>
    <w:link w:val="11"/>
    <w:qFormat/>
    <w:uiPriority w:val="0"/>
    <w:rPr>
      <w:rFonts w:eastAsia="宋体"/>
      <w:kern w:val="2"/>
      <w:sz w:val="21"/>
      <w:lang w:val="en-US" w:eastAsia="zh-CN" w:bidi="ar-SA"/>
    </w:rPr>
  </w:style>
  <w:style w:type="character" w:customStyle="1" w:styleId="89">
    <w:name w:val="redfilenumber"/>
    <w:basedOn w:val="54"/>
    <w:qFormat/>
    <w:uiPriority w:val="0"/>
    <w:rPr>
      <w:color w:val="BA2636"/>
      <w:sz w:val="18"/>
      <w:szCs w:val="18"/>
    </w:rPr>
  </w:style>
  <w:style w:type="character" w:customStyle="1" w:styleId="90">
    <w:name w:val="标题 3 Char"/>
    <w:basedOn w:val="54"/>
    <w:link w:val="9"/>
    <w:qFormat/>
    <w:uiPriority w:val="0"/>
    <w:rPr>
      <w:b/>
      <w:sz w:val="32"/>
    </w:rPr>
  </w:style>
  <w:style w:type="character" w:customStyle="1" w:styleId="91">
    <w:name w:val="普通文字 Char Char"/>
    <w:basedOn w:val="54"/>
    <w:qFormat/>
    <w:uiPriority w:val="0"/>
    <w:rPr>
      <w:rFonts w:ascii="宋体" w:hAnsi="Courier New" w:eastAsia="宋体"/>
      <w:kern w:val="2"/>
      <w:sz w:val="21"/>
      <w:lang w:val="en-US" w:eastAsia="zh-CN"/>
    </w:rPr>
  </w:style>
  <w:style w:type="paragraph" w:customStyle="1" w:styleId="92">
    <w:name w:val="纯文本_2"/>
    <w:basedOn w:val="93"/>
    <w:qFormat/>
    <w:uiPriority w:val="0"/>
    <w:rPr>
      <w:rFonts w:ascii="宋体" w:hAnsi="Courier New"/>
      <w:szCs w:val="20"/>
    </w:rPr>
  </w:style>
  <w:style w:type="paragraph" w:customStyle="1" w:styleId="93">
    <w:name w:val="正文_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Char Char Char"/>
    <w:basedOn w:val="1"/>
    <w:qFormat/>
    <w:uiPriority w:val="0"/>
    <w:rPr>
      <w:rFonts w:ascii="Tahoma" w:hAnsi="Tahoma"/>
      <w:sz w:val="24"/>
    </w:rPr>
  </w:style>
  <w:style w:type="paragraph" w:customStyle="1" w:styleId="95">
    <w:name w:val="Char1 Char Char Char Char Char Char"/>
    <w:basedOn w:val="1"/>
    <w:qFormat/>
    <w:uiPriority w:val="0"/>
    <w:rPr>
      <w:rFonts w:ascii="Tahoma" w:hAnsi="Tahoma"/>
      <w:sz w:val="24"/>
    </w:rPr>
  </w:style>
  <w:style w:type="paragraph" w:customStyle="1" w:styleId="96">
    <w:name w:val="Char211"/>
    <w:basedOn w:val="1"/>
    <w:qFormat/>
    <w:uiPriority w:val="0"/>
    <w:rPr>
      <w:rFonts w:ascii="Tahoma" w:hAnsi="Tahoma"/>
      <w:sz w:val="24"/>
    </w:rPr>
  </w:style>
  <w:style w:type="paragraph" w:customStyle="1" w:styleId="97">
    <w:name w:val="p0"/>
    <w:basedOn w:val="1"/>
    <w:qFormat/>
    <w:uiPriority w:val="0"/>
    <w:pPr>
      <w:widowControl/>
    </w:pPr>
    <w:rPr>
      <w:kern w:val="0"/>
      <w:szCs w:val="21"/>
    </w:rPr>
  </w:style>
  <w:style w:type="paragraph" w:customStyle="1" w:styleId="98">
    <w:name w:val="Char Char Char Char Char Char Char"/>
    <w:basedOn w:val="1"/>
    <w:qFormat/>
    <w:uiPriority w:val="0"/>
    <w:rPr>
      <w:rFonts w:ascii="Tahoma" w:hAnsi="Tahoma"/>
      <w:sz w:val="24"/>
    </w:rPr>
  </w:style>
  <w:style w:type="paragraph" w:customStyle="1" w:styleId="99">
    <w:name w:val="样式3"/>
    <w:basedOn w:val="31"/>
    <w:qFormat/>
    <w:uiPriority w:val="0"/>
    <w:pPr>
      <w:spacing w:line="0" w:lineRule="atLeast"/>
      <w:outlineLvl w:val="0"/>
    </w:pPr>
    <w:rPr>
      <w:sz w:val="28"/>
    </w:rPr>
  </w:style>
  <w:style w:type="paragraph" w:customStyle="1" w:styleId="10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01">
    <w:name w:val="彩色列表 - 强调文字颜色 11"/>
    <w:basedOn w:val="1"/>
    <w:qFormat/>
    <w:uiPriority w:val="34"/>
    <w:pPr>
      <w:ind w:firstLine="420" w:firstLineChars="200"/>
    </w:pPr>
  </w:style>
  <w:style w:type="paragraph" w:customStyle="1" w:styleId="102">
    <w:name w:val="Char Char Char Char Char Char Char Char Char Char"/>
    <w:basedOn w:val="1"/>
    <w:qFormat/>
    <w:uiPriority w:val="0"/>
    <w:rPr>
      <w:rFonts w:ascii="Tahoma" w:hAnsi="Tahoma"/>
      <w:sz w:val="24"/>
    </w:rPr>
  </w:style>
  <w:style w:type="paragraph" w:customStyle="1" w:styleId="103">
    <w:name w:val="ptdl"/>
    <w:basedOn w:val="1"/>
    <w:qFormat/>
    <w:uiPriority w:val="0"/>
    <w:pPr>
      <w:spacing w:after="156"/>
      <w:ind w:firstLine="480"/>
    </w:pPr>
    <w:rPr>
      <w:sz w:val="24"/>
    </w:rPr>
  </w:style>
  <w:style w:type="paragraph" w:customStyle="1" w:styleId="104">
    <w:name w:val="Char Char Char Char11"/>
    <w:basedOn w:val="1"/>
    <w:qFormat/>
    <w:uiPriority w:val="0"/>
    <w:rPr>
      <w:rFonts w:ascii="Tahoma" w:hAnsi="Tahoma"/>
      <w:sz w:val="24"/>
    </w:rPr>
  </w:style>
  <w:style w:type="paragraph" w:customStyle="1" w:styleId="10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106">
    <w:name w:val="Char"/>
    <w:basedOn w:val="1"/>
    <w:qFormat/>
    <w:uiPriority w:val="0"/>
    <w:pPr>
      <w:widowControl/>
      <w:spacing w:after="160" w:line="240" w:lineRule="exact"/>
      <w:jc w:val="left"/>
    </w:pPr>
    <w:rPr>
      <w:rFonts w:ascii="Verdana" w:hAnsi="Verdana"/>
      <w:kern w:val="0"/>
      <w:sz w:val="20"/>
      <w:lang w:eastAsia="en-US"/>
    </w:rPr>
  </w:style>
  <w:style w:type="paragraph" w:customStyle="1" w:styleId="107">
    <w:name w:val="样式1"/>
    <w:basedOn w:val="1"/>
    <w:qFormat/>
    <w:uiPriority w:val="0"/>
    <w:pPr>
      <w:spacing w:line="360" w:lineRule="auto"/>
      <w:jc w:val="center"/>
    </w:pPr>
    <w:rPr>
      <w:rFonts w:ascii="宋体" w:hAnsi="宋体"/>
      <w:b/>
      <w:sz w:val="32"/>
      <w:szCs w:val="30"/>
    </w:rPr>
  </w:style>
  <w:style w:type="paragraph" w:customStyle="1" w:styleId="108">
    <w:name w:val="正文_62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
    <w:name w:val="Char1"/>
    <w:basedOn w:val="1"/>
    <w:qFormat/>
    <w:uiPriority w:val="0"/>
    <w:rPr>
      <w:rFonts w:ascii="Tahoma" w:hAnsi="Tahoma"/>
      <w:sz w:val="24"/>
    </w:rPr>
  </w:style>
  <w:style w:type="paragraph" w:customStyle="1" w:styleId="110">
    <w:name w:val="TOC 标题1"/>
    <w:basedOn w:val="7"/>
    <w:next w:val="1"/>
    <w:qFormat/>
    <w:uiPriority w:val="39"/>
    <w:pPr>
      <w:widowControl/>
      <w:numPr>
        <w:numId w:val="0"/>
      </w:numPr>
      <w:spacing w:before="480" w:after="0" w:line="276" w:lineRule="auto"/>
      <w:jc w:val="left"/>
      <w:outlineLvl w:val="9"/>
    </w:pPr>
    <w:rPr>
      <w:rFonts w:ascii="Cambria" w:hAnsi="Cambria" w:eastAsia="宋体"/>
      <w:bCs/>
      <w:color w:val="365F91"/>
      <w:kern w:val="0"/>
      <w:sz w:val="28"/>
      <w:szCs w:val="28"/>
    </w:rPr>
  </w:style>
  <w:style w:type="paragraph" w:customStyle="1" w:styleId="111">
    <w:name w:val="xl22"/>
    <w:basedOn w:val="1"/>
    <w:qFormat/>
    <w:uiPriority w:val="0"/>
    <w:pPr>
      <w:widowControl/>
      <w:spacing w:before="100" w:beforeAutospacing="1" w:after="100" w:afterAutospacing="1"/>
      <w:jc w:val="center"/>
    </w:pPr>
    <w:rPr>
      <w:rFonts w:ascii="宋体" w:hAnsi="宋体"/>
      <w:kern w:val="0"/>
      <w:sz w:val="24"/>
    </w:rPr>
  </w:style>
  <w:style w:type="paragraph" w:customStyle="1" w:styleId="112">
    <w:name w:val="Char32"/>
    <w:basedOn w:val="1"/>
    <w:qFormat/>
    <w:uiPriority w:val="0"/>
    <w:rPr>
      <w:rFonts w:ascii="Tahoma" w:hAnsi="Tahoma"/>
      <w:sz w:val="24"/>
    </w:rPr>
  </w:style>
  <w:style w:type="paragraph" w:customStyle="1" w:styleId="113">
    <w:name w:val="Document Label"/>
    <w:basedOn w:val="1"/>
    <w:qFormat/>
    <w:uiPriority w:val="0"/>
    <w:pPr>
      <w:keepNext/>
      <w:keepLines/>
      <w:widowControl/>
      <w:spacing w:before="400" w:after="120" w:line="240" w:lineRule="atLeast"/>
      <w:jc w:val="left"/>
    </w:pPr>
    <w:rPr>
      <w:rFonts w:ascii="Arial Black" w:hAnsi="Arial Black"/>
      <w:spacing w:val="-100"/>
      <w:kern w:val="28"/>
      <w:sz w:val="108"/>
    </w:rPr>
  </w:style>
  <w:style w:type="paragraph" w:customStyle="1" w:styleId="114">
    <w:name w:val="段落格式"/>
    <w:basedOn w:val="1"/>
    <w:qFormat/>
    <w:uiPriority w:val="0"/>
    <w:pPr>
      <w:wordWrap w:val="0"/>
      <w:spacing w:after="60" w:line="500" w:lineRule="exact"/>
      <w:ind w:firstLine="640" w:firstLineChars="200"/>
    </w:pPr>
    <w:rPr>
      <w:rFonts w:ascii="Calibri" w:hAnsi="Calibri" w:eastAsia="仿宋_GB2312"/>
      <w:sz w:val="32"/>
      <w:szCs w:val="32"/>
    </w:rPr>
  </w:style>
  <w:style w:type="paragraph" w:customStyle="1" w:styleId="115">
    <w:name w:val="正文_6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Fließtext"/>
    <w:basedOn w:val="1"/>
    <w:qFormat/>
    <w:uiPriority w:val="0"/>
    <w:pPr>
      <w:overflowPunct w:val="0"/>
      <w:autoSpaceDE w:val="0"/>
      <w:autoSpaceDN w:val="0"/>
      <w:adjustRightInd w:val="0"/>
      <w:textAlignment w:val="baseline"/>
    </w:pPr>
    <w:rPr>
      <w:kern w:val="28"/>
    </w:rPr>
  </w:style>
  <w:style w:type="paragraph" w:customStyle="1" w:styleId="117">
    <w:name w:val="Char1 Char Char Char Char Char Char11"/>
    <w:basedOn w:val="1"/>
    <w:qFormat/>
    <w:uiPriority w:val="0"/>
  </w:style>
  <w:style w:type="paragraph" w:customStyle="1" w:styleId="118">
    <w:name w:val="Normal1"/>
    <w:next w:val="1"/>
    <w:qFormat/>
    <w:uiPriority w:val="0"/>
    <w:pPr>
      <w:overflowPunct w:val="0"/>
      <w:autoSpaceDE w:val="0"/>
      <w:autoSpaceDN w:val="0"/>
      <w:adjustRightInd w:val="0"/>
      <w:textAlignment w:val="baseline"/>
    </w:pPr>
    <w:rPr>
      <w:rFonts w:ascii="Times" w:hAnsi="Times" w:eastAsia="宋体" w:cs="Times New Roman"/>
      <w:sz w:val="24"/>
      <w:lang w:val="fr-FR" w:eastAsia="zh-CN" w:bidi="ar-SA"/>
    </w:rPr>
  </w:style>
  <w:style w:type="paragraph" w:customStyle="1" w:styleId="119">
    <w:name w:val="标准"/>
    <w:basedOn w:val="1"/>
    <w:qFormat/>
    <w:uiPriority w:val="99"/>
    <w:pPr>
      <w:spacing w:line="360" w:lineRule="auto"/>
      <w:ind w:firstLine="200" w:firstLineChars="200"/>
    </w:pPr>
    <w:rPr>
      <w:rFonts w:cs="宋体"/>
    </w:rPr>
  </w:style>
  <w:style w:type="paragraph" w:styleId="120">
    <w:name w:val="List Paragraph"/>
    <w:basedOn w:val="1"/>
    <w:qFormat/>
    <w:uiPriority w:val="99"/>
    <w:pPr>
      <w:ind w:firstLine="420" w:firstLineChars="200"/>
    </w:pPr>
  </w:style>
  <w:style w:type="paragraph" w:customStyle="1" w:styleId="121">
    <w:name w:val="正文0"/>
    <w:basedOn w:val="1"/>
    <w:qFormat/>
    <w:uiPriority w:val="0"/>
    <w:pPr>
      <w:autoSpaceDE w:val="0"/>
      <w:autoSpaceDN w:val="0"/>
      <w:adjustRightInd w:val="0"/>
      <w:spacing w:before="240" w:after="60" w:line="360" w:lineRule="atLeast"/>
    </w:pPr>
    <w:rPr>
      <w:b/>
      <w:kern w:val="0"/>
      <w:sz w:val="24"/>
    </w:rPr>
  </w:style>
  <w:style w:type="paragraph" w:customStyle="1" w:styleId="122">
    <w:name w:val="标3"/>
    <w:basedOn w:val="1"/>
    <w:qFormat/>
    <w:uiPriority w:val="0"/>
    <w:pPr>
      <w:tabs>
        <w:tab w:val="left" w:pos="1965"/>
      </w:tabs>
      <w:adjustRightInd w:val="0"/>
      <w:snapToGrid w:val="0"/>
      <w:spacing w:before="50"/>
      <w:ind w:left="1965" w:hanging="420"/>
      <w:outlineLvl w:val="2"/>
    </w:pPr>
    <w:rPr>
      <w:rFonts w:ascii="Arial Narrow" w:hAnsi="Arial Narrow" w:eastAsia="仿宋_GB2312"/>
      <w:sz w:val="28"/>
    </w:rPr>
  </w:style>
  <w:style w:type="paragraph" w:customStyle="1" w:styleId="12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24">
    <w:name w:val="Char Char Char Char Char Char Char Char Char Char11"/>
    <w:basedOn w:val="1"/>
    <w:qFormat/>
    <w:uiPriority w:val="0"/>
    <w:rPr>
      <w:rFonts w:ascii="Tahoma" w:hAnsi="Tahoma"/>
      <w:sz w:val="24"/>
    </w:rPr>
  </w:style>
  <w:style w:type="paragraph" w:customStyle="1" w:styleId="125">
    <w:name w:val="Char111"/>
    <w:basedOn w:val="1"/>
    <w:qFormat/>
    <w:uiPriority w:val="0"/>
    <w:rPr>
      <w:rFonts w:ascii="Tahoma" w:hAnsi="Tahoma"/>
      <w:sz w:val="24"/>
    </w:rPr>
  </w:style>
  <w:style w:type="character" w:customStyle="1" w:styleId="126">
    <w:name w:val="标题 2 Char"/>
    <w:basedOn w:val="54"/>
    <w:link w:val="8"/>
    <w:qFormat/>
    <w:uiPriority w:val="0"/>
    <w:rPr>
      <w:rFonts w:ascii="CG Times" w:hAnsi="CG Times"/>
      <w:b/>
      <w:kern w:val="2"/>
      <w:sz w:val="30"/>
    </w:rPr>
  </w:style>
  <w:style w:type="character" w:customStyle="1" w:styleId="127">
    <w:name w:val="标题 6 Char"/>
    <w:basedOn w:val="54"/>
    <w:link w:val="13"/>
    <w:qFormat/>
    <w:uiPriority w:val="0"/>
    <w:rPr>
      <w:rFonts w:ascii="Arial" w:hAnsi="Arial" w:eastAsia="黑体"/>
      <w:b/>
      <w:kern w:val="2"/>
    </w:rPr>
  </w:style>
  <w:style w:type="character" w:customStyle="1" w:styleId="128">
    <w:name w:val="标题 7 Char"/>
    <w:basedOn w:val="54"/>
    <w:link w:val="14"/>
    <w:qFormat/>
    <w:uiPriority w:val="0"/>
    <w:rPr>
      <w:b/>
      <w:kern w:val="2"/>
    </w:rPr>
  </w:style>
  <w:style w:type="character" w:customStyle="1" w:styleId="129">
    <w:name w:val="标题 8 Char"/>
    <w:basedOn w:val="54"/>
    <w:link w:val="15"/>
    <w:qFormat/>
    <w:uiPriority w:val="0"/>
    <w:rPr>
      <w:rFonts w:ascii="Arial" w:hAnsi="Arial" w:eastAsia="黑体"/>
      <w:kern w:val="2"/>
    </w:rPr>
  </w:style>
  <w:style w:type="character" w:customStyle="1" w:styleId="130">
    <w:name w:val="标题 9 Char"/>
    <w:basedOn w:val="54"/>
    <w:link w:val="16"/>
    <w:qFormat/>
    <w:uiPriority w:val="0"/>
    <w:rPr>
      <w:rFonts w:ascii="Arial" w:hAnsi="Arial" w:eastAsia="黑体"/>
      <w:kern w:val="2"/>
      <w:sz w:val="21"/>
    </w:rPr>
  </w:style>
  <w:style w:type="character" w:customStyle="1" w:styleId="131">
    <w:name w:val="paragraph1 Char Char"/>
    <w:link w:val="132"/>
    <w:qFormat/>
    <w:uiPriority w:val="0"/>
    <w:rPr>
      <w:rFonts w:ascii="Arial" w:hAnsi="Arial"/>
      <w:kern w:val="2"/>
      <w:sz w:val="21"/>
      <w:szCs w:val="24"/>
    </w:rPr>
  </w:style>
  <w:style w:type="paragraph" w:customStyle="1" w:styleId="132">
    <w:name w:val="paragraph1"/>
    <w:basedOn w:val="1"/>
    <w:link w:val="131"/>
    <w:qFormat/>
    <w:uiPriority w:val="0"/>
    <w:pPr>
      <w:spacing w:afterLines="30" w:line="360" w:lineRule="auto"/>
      <w:ind w:firstLine="480" w:firstLineChars="200"/>
    </w:pPr>
    <w:rPr>
      <w:rFonts w:ascii="Arial" w:hAnsi="Arial"/>
      <w:szCs w:val="24"/>
    </w:rPr>
  </w:style>
  <w:style w:type="character" w:customStyle="1" w:styleId="133">
    <w:name w:val="章 Char Char"/>
    <w:qFormat/>
    <w:uiPriority w:val="0"/>
    <w:rPr>
      <w:rFonts w:eastAsia="宋体"/>
      <w:b/>
      <w:bCs/>
      <w:kern w:val="44"/>
      <w:sz w:val="44"/>
      <w:szCs w:val="44"/>
      <w:lang w:val="en-US" w:eastAsia="zh-CN" w:bidi="ar-SA"/>
    </w:rPr>
  </w:style>
  <w:style w:type="character" w:customStyle="1" w:styleId="134">
    <w:name w:val="com-1"/>
    <w:basedOn w:val="54"/>
    <w:qFormat/>
    <w:uiPriority w:val="0"/>
  </w:style>
  <w:style w:type="character" w:customStyle="1" w:styleId="135">
    <w:name w:val="ourfont1"/>
    <w:qFormat/>
    <w:uiPriority w:val="0"/>
    <w:rPr>
      <w:sz w:val="18"/>
      <w:szCs w:val="18"/>
    </w:rPr>
  </w:style>
  <w:style w:type="character" w:customStyle="1" w:styleId="136">
    <w:name w:val="正文首行缩进 Char"/>
    <w:qFormat/>
    <w:uiPriority w:val="0"/>
    <w:rPr>
      <w:kern w:val="2"/>
      <w:sz w:val="21"/>
      <w:szCs w:val="24"/>
    </w:rPr>
  </w:style>
  <w:style w:type="character" w:customStyle="1" w:styleId="137">
    <w:name w:val="Table Text Char Char"/>
    <w:qFormat/>
    <w:uiPriority w:val="0"/>
    <w:rPr>
      <w:rFonts w:ascii="Arial" w:hAnsi="Arial"/>
      <w:sz w:val="18"/>
      <w:lang w:val="en-US" w:eastAsia="zh-CN" w:bidi="ar-SA"/>
    </w:rPr>
  </w:style>
  <w:style w:type="character" w:customStyle="1" w:styleId="138">
    <w:name w:val="样式 (西文) 宋体 小四 首行缩进:  2 字符1 Char Char"/>
    <w:qFormat/>
    <w:uiPriority w:val="0"/>
    <w:rPr>
      <w:rFonts w:ascii="宋体" w:hAnsi="宋体" w:eastAsia="宋体" w:cs="宋体"/>
      <w:kern w:val="2"/>
      <w:sz w:val="24"/>
      <w:lang w:val="en-US" w:eastAsia="zh-CN" w:bidi="ar-SA"/>
    </w:rPr>
  </w:style>
  <w:style w:type="character" w:customStyle="1" w:styleId="139">
    <w:name w:val="表格内容 Char Char"/>
    <w:link w:val="140"/>
    <w:qFormat/>
    <w:uiPriority w:val="0"/>
    <w:rPr>
      <w:rFonts w:ascii="宋体"/>
      <w:kern w:val="2"/>
      <w:sz w:val="24"/>
    </w:rPr>
  </w:style>
  <w:style w:type="paragraph" w:customStyle="1" w:styleId="140">
    <w:name w:val="表格内容"/>
    <w:basedOn w:val="1"/>
    <w:link w:val="139"/>
    <w:qFormat/>
    <w:uiPriority w:val="0"/>
    <w:pPr>
      <w:jc w:val="center"/>
    </w:pPr>
    <w:rPr>
      <w:rFonts w:ascii="宋体"/>
      <w:sz w:val="24"/>
    </w:rPr>
  </w:style>
  <w:style w:type="character" w:customStyle="1" w:styleId="141">
    <w:name w:val="样式91"/>
    <w:qFormat/>
    <w:uiPriority w:val="0"/>
    <w:rPr>
      <w:rFonts w:eastAsia="宋体"/>
      <w:kern w:val="2"/>
      <w:sz w:val="14"/>
      <w:szCs w:val="14"/>
      <w:lang w:val="en-US" w:eastAsia="zh-CN" w:bidi="ar-SA"/>
    </w:rPr>
  </w:style>
  <w:style w:type="character" w:customStyle="1" w:styleId="142">
    <w:name w:val="Char Char11"/>
    <w:qFormat/>
    <w:uiPriority w:val="0"/>
    <w:rPr>
      <w:rFonts w:ascii="Arial" w:hAnsi="Arial" w:eastAsia="黑体"/>
      <w:b/>
      <w:bCs/>
      <w:kern w:val="2"/>
      <w:sz w:val="28"/>
      <w:szCs w:val="28"/>
      <w:lang w:val="en-US" w:eastAsia="zh-CN" w:bidi="ar-SA"/>
    </w:rPr>
  </w:style>
  <w:style w:type="character" w:customStyle="1" w:styleId="143">
    <w:name w:val="文档结构图 Char"/>
    <w:link w:val="22"/>
    <w:qFormat/>
    <w:uiPriority w:val="0"/>
    <w:rPr>
      <w:kern w:val="2"/>
      <w:sz w:val="21"/>
      <w:shd w:val="clear" w:color="auto" w:fill="000080"/>
    </w:rPr>
  </w:style>
  <w:style w:type="character" w:customStyle="1" w:styleId="144">
    <w:name w:val="样式 样式 小四 行距: 1.5 倍行距 首行缩进:  2 字符 + +中文正文 Char Char"/>
    <w:link w:val="145"/>
    <w:qFormat/>
    <w:locked/>
    <w:uiPriority w:val="0"/>
    <w:rPr>
      <w:rFonts w:ascii="宋体"/>
      <w:kern w:val="2"/>
      <w:sz w:val="24"/>
    </w:rPr>
  </w:style>
  <w:style w:type="paragraph" w:customStyle="1" w:styleId="145">
    <w:name w:val="样式 样式 小四 行距: 1.5 倍行距 首行缩进:  2 字符 + +中文正文"/>
    <w:basedOn w:val="1"/>
    <w:link w:val="144"/>
    <w:qFormat/>
    <w:uiPriority w:val="0"/>
    <w:pPr>
      <w:spacing w:line="360" w:lineRule="auto"/>
      <w:ind w:firstLine="480" w:firstLineChars="200"/>
    </w:pPr>
    <w:rPr>
      <w:rFonts w:ascii="宋体"/>
      <w:sz w:val="24"/>
    </w:rPr>
  </w:style>
  <w:style w:type="character" w:customStyle="1" w:styleId="146">
    <w:name w:val="批注文字 Char"/>
    <w:qFormat/>
    <w:uiPriority w:val="0"/>
    <w:rPr>
      <w:rFonts w:eastAsia="宋体"/>
      <w:kern w:val="2"/>
      <w:sz w:val="21"/>
      <w:lang w:val="en-US" w:eastAsia="zh-CN" w:bidi="ar-SA"/>
    </w:rPr>
  </w:style>
  <w:style w:type="character" w:customStyle="1" w:styleId="147">
    <w:name w:val="正文文本 Char"/>
    <w:qFormat/>
    <w:uiPriority w:val="0"/>
    <w:rPr>
      <w:kern w:val="2"/>
      <w:sz w:val="24"/>
    </w:rPr>
  </w:style>
  <w:style w:type="character" w:customStyle="1" w:styleId="148">
    <w:name w:val="a1"/>
    <w:qFormat/>
    <w:uiPriority w:val="0"/>
    <w:rPr>
      <w:rFonts w:eastAsia="宋体"/>
      <w:kern w:val="2"/>
      <w:sz w:val="24"/>
      <w:szCs w:val="24"/>
      <w:u w:val="none"/>
      <w:lang w:val="en-US" w:eastAsia="zh-CN" w:bidi="ar-SA"/>
    </w:rPr>
  </w:style>
  <w:style w:type="character" w:customStyle="1" w:styleId="149">
    <w:name w:val="样式 (西文) 宋体 小四 首行缩进:  2 字符1 Char Char Char Char Char2"/>
    <w:qFormat/>
    <w:uiPriority w:val="0"/>
    <w:rPr>
      <w:rFonts w:ascii="宋体" w:hAnsi="宋体" w:eastAsia="宋体" w:cs="宋体"/>
      <w:kern w:val="2"/>
      <w:sz w:val="24"/>
      <w:szCs w:val="24"/>
      <w:lang w:val="en-US" w:eastAsia="zh-CN" w:bidi="ar-SA"/>
    </w:rPr>
  </w:style>
  <w:style w:type="character" w:customStyle="1" w:styleId="150">
    <w:name w:val="样式31"/>
    <w:qFormat/>
    <w:uiPriority w:val="0"/>
    <w:rPr>
      <w:rFonts w:eastAsia="宋体"/>
      <w:color w:val="FFFFFF"/>
      <w:kern w:val="2"/>
      <w:sz w:val="24"/>
      <w:szCs w:val="24"/>
      <w:lang w:val="en-US" w:eastAsia="zh-CN" w:bidi="ar-SA"/>
    </w:rPr>
  </w:style>
  <w:style w:type="character" w:customStyle="1" w:styleId="151">
    <w:name w:val="分类格式 Char Char"/>
    <w:link w:val="152"/>
    <w:qFormat/>
    <w:uiPriority w:val="0"/>
    <w:rPr>
      <w:rFonts w:ascii="宋体" w:hAnsi="宋体"/>
      <w:kern w:val="2"/>
      <w:sz w:val="24"/>
    </w:rPr>
  </w:style>
  <w:style w:type="paragraph" w:customStyle="1" w:styleId="152">
    <w:name w:val="分类格式"/>
    <w:basedOn w:val="1"/>
    <w:link w:val="151"/>
    <w:qFormat/>
    <w:uiPriority w:val="0"/>
    <w:pPr>
      <w:tabs>
        <w:tab w:val="left" w:pos="170"/>
      </w:tabs>
      <w:spacing w:line="360" w:lineRule="auto"/>
      <w:ind w:left="200" w:leftChars="100" w:hanging="100" w:hangingChars="100"/>
    </w:pPr>
    <w:rPr>
      <w:rFonts w:ascii="宋体" w:hAnsi="宋体"/>
      <w:sz w:val="24"/>
    </w:rPr>
  </w:style>
  <w:style w:type="character" w:customStyle="1" w:styleId="153">
    <w:name w:val="Char Char51"/>
    <w:qFormat/>
    <w:uiPriority w:val="0"/>
    <w:rPr>
      <w:rFonts w:ascii="宋体" w:hAnsi="宋体" w:eastAsia="宋体"/>
      <w:b/>
      <w:kern w:val="2"/>
      <w:sz w:val="24"/>
      <w:szCs w:val="24"/>
      <w:lang w:val="en-US" w:eastAsia="zh-CN" w:bidi="ar-SA"/>
    </w:rPr>
  </w:style>
  <w:style w:type="character" w:customStyle="1" w:styleId="154">
    <w:name w:val="header odd Char"/>
    <w:qFormat/>
    <w:locked/>
    <w:uiPriority w:val="0"/>
    <w:rPr>
      <w:rFonts w:eastAsia="宋体"/>
      <w:kern w:val="2"/>
      <w:sz w:val="18"/>
      <w:lang w:val="en-US" w:eastAsia="zh-CN" w:bidi="ar-SA"/>
    </w:rPr>
  </w:style>
  <w:style w:type="character" w:customStyle="1" w:styleId="155">
    <w:name w:val="正文格式 Char"/>
    <w:qFormat/>
    <w:uiPriority w:val="0"/>
    <w:rPr>
      <w:rFonts w:ascii="Times New Roman" w:hAnsi="Times New Roman" w:eastAsia="宋体" w:cs="Times New Roman"/>
      <w:kern w:val="2"/>
      <w:sz w:val="24"/>
      <w:szCs w:val="24"/>
      <w:lang w:val="en-US" w:eastAsia="zh-CN" w:bidi="ar-SA"/>
    </w:rPr>
  </w:style>
  <w:style w:type="character" w:customStyle="1" w:styleId="156">
    <w:name w:val="样式 (西文) 宋体 小四 首行缩进:  2 字符1 Char1"/>
    <w:qFormat/>
    <w:uiPriority w:val="0"/>
    <w:rPr>
      <w:rFonts w:ascii="宋体" w:hAnsi="宋体" w:eastAsia="宋体" w:cs="宋体"/>
      <w:kern w:val="2"/>
      <w:sz w:val="24"/>
      <w:lang w:val="en-US" w:eastAsia="zh-CN" w:bidi="ar-SA"/>
    </w:rPr>
  </w:style>
  <w:style w:type="character" w:customStyle="1" w:styleId="157">
    <w:name w:val="font-121"/>
    <w:qFormat/>
    <w:uiPriority w:val="0"/>
    <w:rPr>
      <w:rFonts w:eastAsia="宋体"/>
      <w:color w:val="666666"/>
      <w:kern w:val="2"/>
      <w:sz w:val="18"/>
      <w:szCs w:val="24"/>
      <w:u w:val="none"/>
      <w:lang w:val="en-US" w:eastAsia="zh-CN" w:bidi="ar-SA"/>
    </w:rPr>
  </w:style>
  <w:style w:type="character" w:customStyle="1" w:styleId="158">
    <w:name w:val="段落 Char Char"/>
    <w:link w:val="159"/>
    <w:qFormat/>
    <w:uiPriority w:val="0"/>
    <w:rPr>
      <w:rFonts w:eastAsia="仿宋_GB2312"/>
      <w:kern w:val="2"/>
      <w:sz w:val="24"/>
      <w:lang w:val="en-US" w:eastAsia="zh-CN" w:bidi="ar-SA"/>
    </w:rPr>
  </w:style>
  <w:style w:type="paragraph" w:customStyle="1" w:styleId="159">
    <w:name w:val="段落"/>
    <w:link w:val="158"/>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lang w:val="en-US" w:eastAsia="zh-CN" w:bidi="ar-SA"/>
    </w:rPr>
  </w:style>
  <w:style w:type="character" w:customStyle="1" w:styleId="160">
    <w:name w:val="Char Char Char Char Char Char Char Char Char"/>
    <w:qFormat/>
    <w:uiPriority w:val="0"/>
    <w:rPr>
      <w:rFonts w:ascii="宋体" w:hAnsi="宋体"/>
      <w:sz w:val="24"/>
      <w:szCs w:val="24"/>
    </w:rPr>
  </w:style>
  <w:style w:type="character" w:customStyle="1" w:styleId="161">
    <w:name w:val="txt14p1"/>
    <w:qFormat/>
    <w:uiPriority w:val="0"/>
    <w:rPr>
      <w:rFonts w:eastAsia="宋体"/>
      <w:kern w:val="2"/>
      <w:sz w:val="21"/>
      <w:szCs w:val="21"/>
      <w:lang w:val="en-US" w:eastAsia="zh-CN" w:bidi="ar-SA"/>
    </w:rPr>
  </w:style>
  <w:style w:type="character" w:customStyle="1" w:styleId="162">
    <w:name w:val="Char Char111"/>
    <w:qFormat/>
    <w:uiPriority w:val="0"/>
    <w:rPr>
      <w:rFonts w:ascii="Arial" w:hAnsi="Arial" w:eastAsia="黑体"/>
      <w:b/>
      <w:bCs/>
      <w:kern w:val="2"/>
      <w:sz w:val="28"/>
      <w:szCs w:val="28"/>
      <w:lang w:val="en-US" w:eastAsia="zh-CN" w:bidi="ar-SA"/>
    </w:rPr>
  </w:style>
  <w:style w:type="character" w:customStyle="1" w:styleId="163">
    <w:name w:val="len-22 txt12p"/>
    <w:qFormat/>
    <w:uiPriority w:val="0"/>
    <w:rPr>
      <w:rFonts w:eastAsia="宋体"/>
      <w:kern w:val="2"/>
      <w:sz w:val="24"/>
      <w:szCs w:val="24"/>
      <w:lang w:val="en-US" w:eastAsia="zh-CN" w:bidi="ar-SA"/>
    </w:rPr>
  </w:style>
  <w:style w:type="character" w:customStyle="1" w:styleId="164">
    <w:name w:val="样式 (西文) 宋体 小四 首行缩进:  2 字符1 Char Char Char Char Char Char"/>
    <w:qFormat/>
    <w:uiPriority w:val="0"/>
    <w:rPr>
      <w:rFonts w:ascii="宋体" w:hAnsi="宋体" w:eastAsia="宋体" w:cs="宋体"/>
      <w:kern w:val="2"/>
      <w:sz w:val="24"/>
      <w:lang w:val="en-US" w:eastAsia="zh-CN" w:bidi="ar-SA"/>
    </w:rPr>
  </w:style>
  <w:style w:type="character" w:customStyle="1" w:styleId="165">
    <w:name w:val="Char31"/>
    <w:qFormat/>
    <w:uiPriority w:val="0"/>
    <w:rPr>
      <w:rFonts w:ascii="宋体" w:hAnsi="宋体" w:eastAsia="宋体"/>
      <w:b/>
      <w:kern w:val="2"/>
      <w:sz w:val="24"/>
      <w:szCs w:val="24"/>
      <w:lang w:val="en-US" w:eastAsia="zh-CN" w:bidi="ar-SA"/>
    </w:rPr>
  </w:style>
  <w:style w:type="character" w:customStyle="1" w:styleId="166">
    <w:name w:val="大汉方案正文 Char1"/>
    <w:link w:val="167"/>
    <w:qFormat/>
    <w:uiPriority w:val="0"/>
    <w:rPr>
      <w:rFonts w:ascii="Arial" w:hAnsi="Arial"/>
      <w:kern w:val="2"/>
      <w:sz w:val="24"/>
      <w:szCs w:val="24"/>
    </w:rPr>
  </w:style>
  <w:style w:type="paragraph" w:customStyle="1" w:styleId="167">
    <w:name w:val="大汉方案正文"/>
    <w:basedOn w:val="1"/>
    <w:link w:val="166"/>
    <w:qFormat/>
    <w:uiPriority w:val="0"/>
    <w:pPr>
      <w:spacing w:line="360" w:lineRule="auto"/>
      <w:ind w:firstLine="200" w:firstLineChars="200"/>
    </w:pPr>
    <w:rPr>
      <w:rFonts w:ascii="Arial" w:hAnsi="Arial"/>
      <w:sz w:val="24"/>
      <w:szCs w:val="24"/>
    </w:rPr>
  </w:style>
  <w:style w:type="character" w:customStyle="1" w:styleId="168">
    <w:name w:val="副标题 Char"/>
    <w:qFormat/>
    <w:uiPriority w:val="0"/>
    <w:rPr>
      <w:rFonts w:ascii="宋体" w:hAnsi="Courier New"/>
      <w:kern w:val="2"/>
      <w:sz w:val="21"/>
      <w:szCs w:val="24"/>
    </w:rPr>
  </w:style>
  <w:style w:type="character" w:customStyle="1" w:styleId="169">
    <w:name w:val="case31"/>
    <w:qFormat/>
    <w:uiPriority w:val="0"/>
    <w:rPr>
      <w:rFonts w:ascii="ˎ̥" w:hAnsi="ˎ̥" w:eastAsia="宋体"/>
      <w:kern w:val="2"/>
      <w:sz w:val="24"/>
      <w:szCs w:val="24"/>
      <w:lang w:val="en-US" w:eastAsia="zh-CN" w:bidi="ar-SA"/>
    </w:rPr>
  </w:style>
  <w:style w:type="character" w:customStyle="1" w:styleId="170">
    <w:name w:val="Char Char4"/>
    <w:qFormat/>
    <w:uiPriority w:val="0"/>
    <w:rPr>
      <w:rFonts w:eastAsia="宋体"/>
      <w:b/>
      <w:kern w:val="2"/>
      <w:sz w:val="24"/>
      <w:szCs w:val="24"/>
      <w:lang w:val="en-US" w:eastAsia="zh-CN" w:bidi="ar-SA"/>
    </w:rPr>
  </w:style>
  <w:style w:type="character" w:customStyle="1" w:styleId="171">
    <w:name w:val="Char Char5"/>
    <w:qFormat/>
    <w:uiPriority w:val="0"/>
    <w:rPr>
      <w:rFonts w:ascii="宋体" w:hAnsi="宋体" w:eastAsia="宋体"/>
      <w:b/>
      <w:kern w:val="2"/>
      <w:sz w:val="24"/>
      <w:szCs w:val="24"/>
      <w:lang w:val="en-US" w:eastAsia="zh-CN" w:bidi="ar-SA"/>
    </w:rPr>
  </w:style>
  <w:style w:type="character" w:customStyle="1" w:styleId="172">
    <w:name w:val="小 Char Char"/>
    <w:qFormat/>
    <w:uiPriority w:val="0"/>
    <w:rPr>
      <w:rFonts w:ascii="宋体" w:hAnsi="Courier New" w:eastAsia="宋体" w:cs="Courier New"/>
      <w:kern w:val="2"/>
      <w:sz w:val="21"/>
      <w:szCs w:val="21"/>
      <w:lang w:val="en-US" w:eastAsia="zh-CN" w:bidi="ar-SA"/>
    </w:rPr>
  </w:style>
  <w:style w:type="character" w:customStyle="1" w:styleId="173">
    <w:name w:val="Char Char41"/>
    <w:qFormat/>
    <w:uiPriority w:val="0"/>
    <w:rPr>
      <w:rFonts w:eastAsia="宋体"/>
      <w:b/>
      <w:kern w:val="2"/>
      <w:sz w:val="24"/>
      <w:szCs w:val="24"/>
      <w:lang w:val="en-US" w:eastAsia="zh-CN" w:bidi="ar-SA"/>
    </w:rPr>
  </w:style>
  <w:style w:type="character" w:customStyle="1" w:styleId="174">
    <w:name w:val="副标题 Char1"/>
    <w:qFormat/>
    <w:uiPriority w:val="11"/>
    <w:rPr>
      <w:rFonts w:ascii="Cambria" w:hAnsi="Cambria" w:eastAsia="宋体" w:cs="Times New Roman"/>
      <w:b/>
      <w:bCs/>
      <w:kern w:val="28"/>
      <w:sz w:val="32"/>
      <w:szCs w:val="32"/>
    </w:rPr>
  </w:style>
  <w:style w:type="character" w:customStyle="1" w:styleId="175">
    <w:name w:val="webdict1"/>
    <w:qFormat/>
    <w:uiPriority w:val="0"/>
    <w:rPr>
      <w:b/>
      <w:bCs/>
    </w:rPr>
  </w:style>
  <w:style w:type="character" w:customStyle="1" w:styleId="176">
    <w:name w:val="Heading 1 Char"/>
    <w:qFormat/>
    <w:locked/>
    <w:uiPriority w:val="0"/>
    <w:rPr>
      <w:rFonts w:eastAsia="宋体"/>
      <w:b/>
      <w:bCs/>
      <w:kern w:val="44"/>
      <w:sz w:val="44"/>
      <w:szCs w:val="44"/>
      <w:lang w:val="en-US" w:eastAsia="zh-CN" w:bidi="ar-SA"/>
    </w:rPr>
  </w:style>
  <w:style w:type="character" w:customStyle="1" w:styleId="177">
    <w:name w:val="Char Char21"/>
    <w:qFormat/>
    <w:uiPriority w:val="0"/>
    <w:rPr>
      <w:rFonts w:ascii="宋体" w:hAnsi="宋体" w:eastAsia="宋体" w:cs="宋体"/>
      <w:sz w:val="24"/>
      <w:szCs w:val="24"/>
      <w:lang w:val="en-US" w:eastAsia="zh-CN" w:bidi="ar-SA"/>
    </w:rPr>
  </w:style>
  <w:style w:type="character" w:customStyle="1" w:styleId="178">
    <w:name w:val="正文文本 3 Char"/>
    <w:qFormat/>
    <w:uiPriority w:val="0"/>
    <w:rPr>
      <w:rFonts w:ascii="黑体" w:eastAsia="黑体"/>
      <w:kern w:val="2"/>
      <w:sz w:val="84"/>
    </w:rPr>
  </w:style>
  <w:style w:type="character" w:customStyle="1" w:styleId="179">
    <w:name w:val="FA正文 Char Char"/>
    <w:link w:val="180"/>
    <w:qFormat/>
    <w:uiPriority w:val="0"/>
    <w:rPr>
      <w:rFonts w:hAnsi="宋体"/>
      <w:sz w:val="21"/>
      <w:szCs w:val="21"/>
    </w:rPr>
  </w:style>
  <w:style w:type="paragraph" w:customStyle="1" w:styleId="180">
    <w:name w:val="FA正文"/>
    <w:basedOn w:val="1"/>
    <w:link w:val="179"/>
    <w:qFormat/>
    <w:uiPriority w:val="0"/>
    <w:pPr>
      <w:spacing w:line="360" w:lineRule="auto"/>
      <w:ind w:firstLine="473" w:firstLineChars="225"/>
    </w:pPr>
    <w:rPr>
      <w:rFonts w:hAnsi="宋体"/>
      <w:kern w:val="0"/>
      <w:szCs w:val="21"/>
    </w:rPr>
  </w:style>
  <w:style w:type="character" w:customStyle="1" w:styleId="181">
    <w:name w:val="标题 8 Char Char"/>
    <w:qFormat/>
    <w:uiPriority w:val="0"/>
    <w:rPr>
      <w:rFonts w:ascii="宋体" w:hAnsi="宋体" w:eastAsia="宋体"/>
      <w:b/>
      <w:kern w:val="2"/>
      <w:sz w:val="24"/>
      <w:szCs w:val="24"/>
      <w:lang w:val="en-US" w:bidi="ar-SA"/>
    </w:rPr>
  </w:style>
  <w:style w:type="character" w:customStyle="1" w:styleId="182">
    <w:name w:val="正文首行缩进 2 Char"/>
    <w:qFormat/>
    <w:uiPriority w:val="0"/>
    <w:rPr>
      <w:kern w:val="2"/>
      <w:sz w:val="21"/>
      <w:szCs w:val="24"/>
    </w:rPr>
  </w:style>
  <w:style w:type="character" w:customStyle="1" w:styleId="183">
    <w:name w:val="首行缩进 Char"/>
    <w:link w:val="68"/>
    <w:qFormat/>
    <w:uiPriority w:val="0"/>
    <w:rPr>
      <w:rFonts w:ascii="宋体" w:hAnsi="宋体"/>
      <w:kern w:val="2"/>
      <w:sz w:val="21"/>
    </w:rPr>
  </w:style>
  <w:style w:type="character" w:customStyle="1" w:styleId="184">
    <w:name w:val="着重 Char Char"/>
    <w:link w:val="185"/>
    <w:qFormat/>
    <w:uiPriority w:val="0"/>
    <w:rPr>
      <w:rFonts w:ascii="宋体" w:hAnsi="宋体" w:cs="宋体"/>
      <w:b/>
      <w:bCs/>
      <w:kern w:val="2"/>
      <w:sz w:val="24"/>
      <w:szCs w:val="24"/>
      <w:u w:val="single"/>
    </w:rPr>
  </w:style>
  <w:style w:type="paragraph" w:customStyle="1" w:styleId="185">
    <w:name w:val="着重"/>
    <w:basedOn w:val="186"/>
    <w:next w:val="186"/>
    <w:link w:val="184"/>
    <w:qFormat/>
    <w:uiPriority w:val="0"/>
    <w:pPr>
      <w:spacing w:line="360" w:lineRule="auto"/>
    </w:pPr>
    <w:rPr>
      <w:b/>
      <w:bCs/>
      <w:kern w:val="2"/>
      <w:szCs w:val="24"/>
      <w:u w:val="single"/>
    </w:rPr>
  </w:style>
  <w:style w:type="paragraph" w:customStyle="1" w:styleId="186">
    <w:name w:val="正文格式"/>
    <w:basedOn w:val="1"/>
    <w:link w:val="222"/>
    <w:qFormat/>
    <w:uiPriority w:val="0"/>
    <w:pPr>
      <w:widowControl/>
      <w:adjustRightInd w:val="0"/>
      <w:snapToGrid w:val="0"/>
      <w:spacing w:line="360" w:lineRule="atLeast"/>
      <w:ind w:firstLine="482"/>
      <w:textAlignment w:val="baseline"/>
    </w:pPr>
    <w:rPr>
      <w:rFonts w:ascii="宋体" w:hAnsi="宋体"/>
      <w:kern w:val="0"/>
      <w:sz w:val="24"/>
    </w:rPr>
  </w:style>
  <w:style w:type="character" w:customStyle="1" w:styleId="187">
    <w:name w:val="页脚 Char"/>
    <w:link w:val="37"/>
    <w:qFormat/>
    <w:uiPriority w:val="99"/>
    <w:rPr>
      <w:kern w:val="2"/>
      <w:sz w:val="18"/>
    </w:rPr>
  </w:style>
  <w:style w:type="character" w:customStyle="1" w:styleId="188">
    <w:name w:val="批注文字 Char1"/>
    <w:semiHidden/>
    <w:qFormat/>
    <w:uiPriority w:val="99"/>
    <w:rPr>
      <w:rFonts w:ascii="Times New Roman" w:hAnsi="Times New Roman" w:eastAsia="宋体" w:cs="Times New Roman"/>
      <w:szCs w:val="20"/>
    </w:rPr>
  </w:style>
  <w:style w:type="character" w:customStyle="1" w:styleId="189">
    <w:name w:val="Item Step in Table Char Char"/>
    <w:link w:val="190"/>
    <w:qFormat/>
    <w:uiPriority w:val="0"/>
    <w:rPr>
      <w:rFonts w:ascii="Arial" w:hAnsi="Arial" w:cs="Arial"/>
      <w:sz w:val="18"/>
      <w:szCs w:val="18"/>
      <w:lang w:val="en-US" w:eastAsia="zh-CN" w:bidi="ar-SA"/>
    </w:rPr>
  </w:style>
  <w:style w:type="paragraph" w:customStyle="1" w:styleId="190">
    <w:name w:val="Item Step in Table"/>
    <w:link w:val="189"/>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character" w:customStyle="1" w:styleId="191">
    <w:name w:val="正文文本缩进 3 Char"/>
    <w:qFormat/>
    <w:uiPriority w:val="0"/>
    <w:rPr>
      <w:rFonts w:ascii="Arial" w:hAnsi="Arial"/>
      <w:color w:val="000000"/>
      <w:kern w:val="2"/>
      <w:sz w:val="28"/>
      <w:szCs w:val="24"/>
    </w:rPr>
  </w:style>
  <w:style w:type="character" w:customStyle="1" w:styleId="192">
    <w:name w:val="正文文本缩进 2 Char"/>
    <w:link w:val="34"/>
    <w:qFormat/>
    <w:uiPriority w:val="0"/>
    <w:rPr>
      <w:rFonts w:hAnsi="宋体"/>
      <w:kern w:val="2"/>
      <w:sz w:val="24"/>
    </w:rPr>
  </w:style>
  <w:style w:type="character" w:customStyle="1" w:styleId="193">
    <w:name w:val="content3"/>
    <w:qFormat/>
    <w:uiPriority w:val="0"/>
    <w:rPr>
      <w:rFonts w:ascii="ˎ̥" w:hAnsi="ˎ̥" w:eastAsia="宋体"/>
      <w:kern w:val="2"/>
      <w:sz w:val="14"/>
      <w:szCs w:val="14"/>
      <w:u w:val="none"/>
      <w:lang w:val="en-US" w:eastAsia="zh-CN" w:bidi="ar-SA"/>
    </w:rPr>
  </w:style>
  <w:style w:type="character" w:customStyle="1" w:styleId="194">
    <w:name w:val="尾注文本 Char"/>
    <w:qFormat/>
    <w:uiPriority w:val="0"/>
    <w:rPr>
      <w:kern w:val="2"/>
      <w:sz w:val="21"/>
      <w:szCs w:val="24"/>
    </w:rPr>
  </w:style>
  <w:style w:type="character" w:customStyle="1" w:styleId="195">
    <w:name w:val="标题 3 Char Char Char"/>
    <w:qFormat/>
    <w:uiPriority w:val="0"/>
    <w:rPr>
      <w:rFonts w:ascii="宋体" w:hAnsi="宋体" w:eastAsia="宋体"/>
      <w:b/>
      <w:bCs/>
      <w:kern w:val="2"/>
      <w:sz w:val="30"/>
      <w:szCs w:val="32"/>
      <w:lang w:val="en-US" w:eastAsia="zh-CN" w:bidi="ar-SA"/>
    </w:rPr>
  </w:style>
  <w:style w:type="character" w:customStyle="1" w:styleId="196">
    <w:name w:val="标题 6 Char Char"/>
    <w:qFormat/>
    <w:uiPriority w:val="0"/>
    <w:rPr>
      <w:rFonts w:ascii="宋体" w:hAnsi="宋体" w:eastAsia="宋体"/>
      <w:b/>
      <w:bCs/>
      <w:kern w:val="2"/>
      <w:sz w:val="24"/>
      <w:szCs w:val="21"/>
      <w:lang w:val="en-US" w:eastAsia="zh-CN" w:bidi="ar-SA"/>
    </w:rPr>
  </w:style>
  <w:style w:type="character" w:customStyle="1" w:styleId="197">
    <w:name w:val="注释标题 Char"/>
    <w:qFormat/>
    <w:uiPriority w:val="0"/>
    <w:rPr>
      <w:rFonts w:ascii="宋体" w:hAnsi="宋体" w:eastAsia="Times New Roman"/>
      <w:sz w:val="24"/>
      <w:szCs w:val="24"/>
    </w:rPr>
  </w:style>
  <w:style w:type="character" w:customStyle="1" w:styleId="198">
    <w:name w:val="HTML 预设格式 Char"/>
    <w:qFormat/>
    <w:uiPriority w:val="0"/>
    <w:rPr>
      <w:rFonts w:ascii="宋体" w:hAnsi="宋体" w:cs="宋体"/>
      <w:sz w:val="24"/>
      <w:szCs w:val="24"/>
    </w:rPr>
  </w:style>
  <w:style w:type="character" w:customStyle="1" w:styleId="199">
    <w:name w:val="批注框文本 Char"/>
    <w:link w:val="36"/>
    <w:qFormat/>
    <w:uiPriority w:val="0"/>
    <w:rPr>
      <w:kern w:val="2"/>
      <w:sz w:val="18"/>
    </w:rPr>
  </w:style>
  <w:style w:type="character" w:customStyle="1" w:styleId="200">
    <w:name w:val="apple-style-span"/>
    <w:basedOn w:val="54"/>
    <w:qFormat/>
    <w:uiPriority w:val="0"/>
  </w:style>
  <w:style w:type="character" w:customStyle="1" w:styleId="201">
    <w:name w:val="trans"/>
    <w:basedOn w:val="54"/>
    <w:qFormat/>
    <w:uiPriority w:val="0"/>
  </w:style>
  <w:style w:type="character" w:customStyle="1" w:styleId="202">
    <w:name w:val="textnormchn1"/>
    <w:qFormat/>
    <w:uiPriority w:val="0"/>
    <w:rPr>
      <w:rFonts w:hint="default" w:ascii="ˎ̥,Verdana,Arial" w:hAnsi="ˎ̥,Verdana,Arial"/>
      <w:color w:val="000000"/>
      <w:sz w:val="18"/>
      <w:szCs w:val="18"/>
    </w:rPr>
  </w:style>
  <w:style w:type="character" w:customStyle="1" w:styleId="203">
    <w:name w:val="Char Char2"/>
    <w:qFormat/>
    <w:uiPriority w:val="0"/>
    <w:rPr>
      <w:rFonts w:ascii="宋体" w:hAnsi="宋体" w:eastAsia="宋体" w:cs="宋体"/>
      <w:sz w:val="24"/>
      <w:szCs w:val="24"/>
      <w:lang w:val="en-US" w:eastAsia="zh-CN" w:bidi="ar-SA"/>
    </w:rPr>
  </w:style>
  <w:style w:type="character" w:customStyle="1" w:styleId="204">
    <w:name w:val="段落 Char"/>
    <w:qFormat/>
    <w:uiPriority w:val="0"/>
    <w:rPr>
      <w:rFonts w:eastAsia="仿宋_GB2312"/>
      <w:kern w:val="2"/>
      <w:sz w:val="24"/>
      <w:lang w:val="en-US" w:eastAsia="zh-CN" w:bidi="ar-SA"/>
    </w:rPr>
  </w:style>
  <w:style w:type="character" w:customStyle="1" w:styleId="205">
    <w:name w:val="Char Char9"/>
    <w:qFormat/>
    <w:uiPriority w:val="0"/>
    <w:rPr>
      <w:rFonts w:ascii="Arial" w:hAnsi="Arial" w:eastAsia="宋体"/>
      <w:b/>
      <w:sz w:val="40"/>
      <w:szCs w:val="21"/>
      <w:lang w:val="en-GB" w:eastAsia="en-US" w:bidi="ar-SA"/>
    </w:rPr>
  </w:style>
  <w:style w:type="character" w:customStyle="1" w:styleId="206">
    <w:name w:val="标题 5 Char Char"/>
    <w:qFormat/>
    <w:uiPriority w:val="0"/>
    <w:rPr>
      <w:rFonts w:eastAsia="宋体"/>
      <w:b/>
      <w:kern w:val="2"/>
      <w:sz w:val="24"/>
      <w:szCs w:val="24"/>
      <w:lang w:val="en-US" w:eastAsia="zh-CN" w:bidi="ar-SA"/>
    </w:rPr>
  </w:style>
  <w:style w:type="character" w:customStyle="1" w:styleId="207">
    <w:name w:val="main1"/>
    <w:basedOn w:val="54"/>
    <w:qFormat/>
    <w:uiPriority w:val="0"/>
  </w:style>
  <w:style w:type="character" w:customStyle="1" w:styleId="208">
    <w:name w:val="正文文本 Char Char"/>
    <w:qFormat/>
    <w:uiPriority w:val="0"/>
    <w:rPr>
      <w:rFonts w:eastAsia="宋体"/>
      <w:kern w:val="2"/>
      <w:sz w:val="21"/>
      <w:szCs w:val="24"/>
      <w:lang w:val="en-US" w:eastAsia="zh-CN" w:bidi="ar-SA"/>
    </w:rPr>
  </w:style>
  <w:style w:type="character" w:customStyle="1" w:styleId="209">
    <w:name w:val="标题 Char"/>
    <w:qFormat/>
    <w:uiPriority w:val="0"/>
    <w:rPr>
      <w:rFonts w:ascii="Cambria" w:hAnsi="Cambria"/>
      <w:b/>
      <w:bCs/>
      <w:kern w:val="2"/>
      <w:sz w:val="32"/>
      <w:szCs w:val="32"/>
    </w:rPr>
  </w:style>
  <w:style w:type="character" w:customStyle="1" w:styleId="210">
    <w:name w:val="标题 1 Char Char"/>
    <w:qFormat/>
    <w:uiPriority w:val="0"/>
    <w:rPr>
      <w:rFonts w:ascii="宋体" w:eastAsia="宋体"/>
      <w:b/>
      <w:bCs/>
      <w:kern w:val="44"/>
      <w:sz w:val="44"/>
      <w:szCs w:val="44"/>
      <w:lang w:val="en-US" w:eastAsia="zh-CN" w:bidi="ar-SA"/>
    </w:rPr>
  </w:style>
  <w:style w:type="character" w:customStyle="1" w:styleId="211">
    <w:name w:val="样式81"/>
    <w:qFormat/>
    <w:uiPriority w:val="0"/>
    <w:rPr>
      <w:rFonts w:eastAsia="宋体"/>
      <w:color w:val="FF9A00"/>
      <w:kern w:val="2"/>
      <w:sz w:val="24"/>
      <w:szCs w:val="24"/>
      <w:lang w:val="en-US" w:eastAsia="zh-CN" w:bidi="ar-SA"/>
    </w:rPr>
  </w:style>
  <w:style w:type="character" w:customStyle="1" w:styleId="212">
    <w:name w:val="批注主题 Char"/>
    <w:link w:val="51"/>
    <w:qFormat/>
    <w:uiPriority w:val="0"/>
    <w:rPr>
      <w:b/>
      <w:bCs/>
      <w:kern w:val="2"/>
      <w:sz w:val="21"/>
    </w:rPr>
  </w:style>
  <w:style w:type="character" w:customStyle="1" w:styleId="213">
    <w:name w:val="Char Char Char Char Char Char Char Char Char1"/>
    <w:qFormat/>
    <w:uiPriority w:val="0"/>
    <w:rPr>
      <w:rFonts w:ascii="宋体" w:hAnsi="宋体"/>
      <w:sz w:val="24"/>
      <w:szCs w:val="24"/>
    </w:rPr>
  </w:style>
  <w:style w:type="character" w:customStyle="1" w:styleId="214">
    <w:name w:val="bigword1"/>
    <w:qFormat/>
    <w:uiPriority w:val="0"/>
    <w:rPr>
      <w:sz w:val="21"/>
      <w:szCs w:val="21"/>
    </w:rPr>
  </w:style>
  <w:style w:type="character" w:customStyle="1" w:styleId="215">
    <w:name w:val="正文文本 2 Char"/>
    <w:qFormat/>
    <w:uiPriority w:val="0"/>
    <w:rPr>
      <w:rFonts w:ascii="宋体" w:hAnsi="宋体"/>
      <w:color w:val="000000"/>
      <w:kern w:val="2"/>
      <w:sz w:val="24"/>
      <w:szCs w:val="24"/>
    </w:rPr>
  </w:style>
  <w:style w:type="character" w:customStyle="1" w:styleId="216">
    <w:name w:val="正文文本缩进 Char"/>
    <w:qFormat/>
    <w:uiPriority w:val="0"/>
    <w:rPr>
      <w:kern w:val="2"/>
      <w:sz w:val="21"/>
    </w:rPr>
  </w:style>
  <w:style w:type="character" w:customStyle="1" w:styleId="217">
    <w:name w:val="Char Char91"/>
    <w:qFormat/>
    <w:uiPriority w:val="0"/>
    <w:rPr>
      <w:rFonts w:ascii="Arial" w:hAnsi="Arial" w:eastAsia="宋体"/>
      <w:b/>
      <w:sz w:val="40"/>
      <w:szCs w:val="21"/>
      <w:lang w:val="en-GB" w:eastAsia="en-US" w:bidi="ar-SA"/>
    </w:rPr>
  </w:style>
  <w:style w:type="character" w:customStyle="1" w:styleId="218">
    <w:name w:val="big1"/>
    <w:qFormat/>
    <w:uiPriority w:val="0"/>
    <w:rPr>
      <w:spacing w:val="320"/>
      <w:sz w:val="18"/>
      <w:szCs w:val="18"/>
    </w:rPr>
  </w:style>
  <w:style w:type="character" w:customStyle="1" w:styleId="219">
    <w:name w:val="正文首行缩进 Char Char"/>
    <w:basedOn w:val="208"/>
    <w:qFormat/>
    <w:uiPriority w:val="0"/>
    <w:rPr>
      <w:rFonts w:eastAsia="宋体"/>
      <w:kern w:val="2"/>
      <w:sz w:val="21"/>
      <w:szCs w:val="24"/>
      <w:lang w:val="en-US" w:eastAsia="zh-CN" w:bidi="ar-SA"/>
    </w:rPr>
  </w:style>
  <w:style w:type="character" w:customStyle="1" w:styleId="220">
    <w:name w:val="Heading 2 Char"/>
    <w:qFormat/>
    <w:locked/>
    <w:uiPriority w:val="0"/>
    <w:rPr>
      <w:rFonts w:ascii="Arial" w:hAnsi="Arial" w:eastAsia="黑体" w:cs="Arial"/>
      <w:b/>
      <w:bCs/>
      <w:kern w:val="2"/>
      <w:sz w:val="32"/>
      <w:szCs w:val="32"/>
      <w:lang w:val="en-US" w:eastAsia="zh-CN" w:bidi="ar-SA"/>
    </w:rPr>
  </w:style>
  <w:style w:type="character" w:customStyle="1" w:styleId="221">
    <w:name w:val="main12"/>
    <w:qFormat/>
    <w:uiPriority w:val="0"/>
    <w:rPr>
      <w:rFonts w:eastAsia="宋体"/>
      <w:kern w:val="2"/>
      <w:sz w:val="24"/>
      <w:szCs w:val="24"/>
      <w:lang w:val="en-US" w:eastAsia="zh-CN" w:bidi="ar-SA"/>
    </w:rPr>
  </w:style>
  <w:style w:type="character" w:customStyle="1" w:styleId="222">
    <w:name w:val="正文格式 Char Char"/>
    <w:link w:val="186"/>
    <w:qFormat/>
    <w:uiPriority w:val="0"/>
    <w:rPr>
      <w:rFonts w:ascii="宋体" w:hAnsi="宋体" w:cs="宋体"/>
      <w:sz w:val="24"/>
    </w:rPr>
  </w:style>
  <w:style w:type="character" w:customStyle="1" w:styleId="223">
    <w:name w:val="页眉 Char"/>
    <w:basedOn w:val="54"/>
    <w:link w:val="38"/>
    <w:qFormat/>
    <w:uiPriority w:val="99"/>
    <w:rPr>
      <w:kern w:val="2"/>
      <w:sz w:val="18"/>
      <w:szCs w:val="18"/>
    </w:rPr>
  </w:style>
  <w:style w:type="character" w:customStyle="1" w:styleId="224">
    <w:name w:val="样式 (西文) 宋体 小四 首行缩进:  2 字符1 Char2"/>
    <w:qFormat/>
    <w:uiPriority w:val="0"/>
    <w:rPr>
      <w:rFonts w:ascii="宋体" w:hAnsi="宋体" w:eastAsia="宋体" w:cs="宋体"/>
      <w:kern w:val="2"/>
      <w:sz w:val="24"/>
      <w:lang w:val="en-US" w:eastAsia="zh-CN" w:bidi="ar-SA"/>
    </w:rPr>
  </w:style>
  <w:style w:type="character" w:customStyle="1" w:styleId="225">
    <w:name w:val="Heading 3 Char"/>
    <w:qFormat/>
    <w:locked/>
    <w:uiPriority w:val="0"/>
    <w:rPr>
      <w:rFonts w:ascii="黑体" w:eastAsia="黑体" w:cs="黑体"/>
      <w:kern w:val="2"/>
      <w:sz w:val="30"/>
      <w:szCs w:val="30"/>
      <w:lang w:val="zh-CN" w:eastAsia="zh-CN" w:bidi="ar-SA"/>
    </w:rPr>
  </w:style>
  <w:style w:type="character" w:customStyle="1" w:styleId="226">
    <w:name w:val="font12-blue-bold1"/>
    <w:qFormat/>
    <w:uiPriority w:val="0"/>
    <w:rPr>
      <w:rFonts w:eastAsia="宋体"/>
      <w:b/>
      <w:bCs/>
      <w:color w:val="0249A5"/>
      <w:kern w:val="2"/>
      <w:sz w:val="18"/>
      <w:szCs w:val="18"/>
      <w:u w:val="none"/>
      <w:lang w:val="en-US" w:eastAsia="zh-CN" w:bidi="ar-SA"/>
    </w:rPr>
  </w:style>
  <w:style w:type="character" w:customStyle="1" w:styleId="227">
    <w:name w:val="标题 Char1"/>
    <w:qFormat/>
    <w:uiPriority w:val="10"/>
    <w:rPr>
      <w:rFonts w:ascii="Cambria" w:hAnsi="Cambria" w:eastAsia="宋体" w:cs="Times New Roman"/>
      <w:b/>
      <w:bCs/>
      <w:sz w:val="32"/>
      <w:szCs w:val="32"/>
    </w:rPr>
  </w:style>
  <w:style w:type="character" w:customStyle="1" w:styleId="228">
    <w:name w:val="标题 7 Char Char"/>
    <w:qFormat/>
    <w:uiPriority w:val="0"/>
    <w:rPr>
      <w:rFonts w:ascii="宋体" w:hAnsi="宋体" w:eastAsia="宋体"/>
      <w:b/>
      <w:bCs/>
      <w:kern w:val="2"/>
      <w:sz w:val="24"/>
      <w:szCs w:val="24"/>
      <w:lang w:val="en-US" w:eastAsia="zh-CN" w:bidi="ar-SA"/>
    </w:rPr>
  </w:style>
  <w:style w:type="character" w:customStyle="1" w:styleId="229">
    <w:name w:val="样式 (西文) 宋体 小四 首行缩进:  2 字符1 Char Char Char Char Char1"/>
    <w:qFormat/>
    <w:uiPriority w:val="0"/>
    <w:rPr>
      <w:rFonts w:ascii="宋体" w:hAnsi="宋体" w:eastAsia="宋体" w:cs="宋体"/>
      <w:kern w:val="2"/>
      <w:sz w:val="24"/>
      <w:lang w:val="en-US" w:eastAsia="zh-CN" w:bidi="ar-SA"/>
    </w:rPr>
  </w:style>
  <w:style w:type="character" w:customStyle="1" w:styleId="230">
    <w:name w:val="样式 (西文) 宋体 小四 首行缩进:  2 字符1 Char Char Char"/>
    <w:qFormat/>
    <w:uiPriority w:val="0"/>
    <w:rPr>
      <w:rFonts w:ascii="宋体" w:hAnsi="宋体" w:eastAsia="宋体" w:cs="宋体"/>
      <w:kern w:val="2"/>
      <w:sz w:val="24"/>
      <w:lang w:val="en-US" w:eastAsia="zh-CN" w:bidi="ar-SA"/>
    </w:rPr>
  </w:style>
  <w:style w:type="character" w:customStyle="1" w:styleId="231">
    <w:name w:val="apple-converted-space"/>
    <w:qFormat/>
    <w:uiPriority w:val="0"/>
  </w:style>
  <w:style w:type="character" w:customStyle="1" w:styleId="232">
    <w:name w:val="正文文本 3 Char1"/>
    <w:basedOn w:val="54"/>
    <w:link w:val="25"/>
    <w:qFormat/>
    <w:uiPriority w:val="99"/>
    <w:rPr>
      <w:kern w:val="2"/>
      <w:sz w:val="16"/>
      <w:szCs w:val="16"/>
    </w:rPr>
  </w:style>
  <w:style w:type="character" w:customStyle="1" w:styleId="233">
    <w:name w:val="尾注文本 Char1"/>
    <w:basedOn w:val="54"/>
    <w:link w:val="35"/>
    <w:qFormat/>
    <w:uiPriority w:val="99"/>
    <w:rPr>
      <w:kern w:val="2"/>
      <w:sz w:val="21"/>
    </w:rPr>
  </w:style>
  <w:style w:type="character" w:customStyle="1" w:styleId="234">
    <w:name w:val="正文文本缩进 Char1"/>
    <w:basedOn w:val="54"/>
    <w:semiHidden/>
    <w:qFormat/>
    <w:uiPriority w:val="0"/>
    <w:rPr>
      <w:kern w:val="2"/>
      <w:sz w:val="21"/>
    </w:rPr>
  </w:style>
  <w:style w:type="character" w:customStyle="1" w:styleId="235">
    <w:name w:val="正文文本 Char1"/>
    <w:basedOn w:val="54"/>
    <w:semiHidden/>
    <w:qFormat/>
    <w:uiPriority w:val="99"/>
    <w:rPr>
      <w:kern w:val="2"/>
      <w:sz w:val="21"/>
    </w:rPr>
  </w:style>
  <w:style w:type="character" w:customStyle="1" w:styleId="236">
    <w:name w:val="副标题 Char2"/>
    <w:basedOn w:val="54"/>
    <w:link w:val="41"/>
    <w:qFormat/>
    <w:uiPriority w:val="11"/>
    <w:rPr>
      <w:rFonts w:ascii="Cambria" w:hAnsi="Cambria" w:cs="Times New Roman"/>
      <w:b/>
      <w:bCs/>
      <w:kern w:val="28"/>
      <w:sz w:val="32"/>
      <w:szCs w:val="32"/>
    </w:rPr>
  </w:style>
  <w:style w:type="character" w:customStyle="1" w:styleId="237">
    <w:name w:val="批注文字 Char2"/>
    <w:basedOn w:val="54"/>
    <w:link w:val="23"/>
    <w:qFormat/>
    <w:uiPriority w:val="99"/>
    <w:rPr>
      <w:kern w:val="2"/>
      <w:sz w:val="21"/>
    </w:rPr>
  </w:style>
  <w:style w:type="character" w:customStyle="1" w:styleId="238">
    <w:name w:val="批注主题 Char1"/>
    <w:basedOn w:val="237"/>
    <w:semiHidden/>
    <w:qFormat/>
    <w:uiPriority w:val="99"/>
    <w:rPr>
      <w:b/>
      <w:bCs/>
      <w:kern w:val="2"/>
      <w:sz w:val="21"/>
    </w:rPr>
  </w:style>
  <w:style w:type="character" w:customStyle="1" w:styleId="239">
    <w:name w:val="日期 Char1"/>
    <w:basedOn w:val="54"/>
    <w:semiHidden/>
    <w:qFormat/>
    <w:uiPriority w:val="99"/>
    <w:rPr>
      <w:kern w:val="2"/>
      <w:sz w:val="21"/>
    </w:rPr>
  </w:style>
  <w:style w:type="character" w:customStyle="1" w:styleId="240">
    <w:name w:val="批注框文本 Char1"/>
    <w:basedOn w:val="54"/>
    <w:semiHidden/>
    <w:qFormat/>
    <w:uiPriority w:val="99"/>
    <w:rPr>
      <w:kern w:val="2"/>
      <w:sz w:val="18"/>
      <w:szCs w:val="18"/>
    </w:rPr>
  </w:style>
  <w:style w:type="character" w:customStyle="1" w:styleId="241">
    <w:name w:val="正文文本 2 Char1"/>
    <w:basedOn w:val="54"/>
    <w:link w:val="4"/>
    <w:qFormat/>
    <w:uiPriority w:val="99"/>
    <w:rPr>
      <w:kern w:val="2"/>
      <w:sz w:val="21"/>
    </w:rPr>
  </w:style>
  <w:style w:type="character" w:customStyle="1" w:styleId="242">
    <w:name w:val="HTML 预设格式 Char1"/>
    <w:basedOn w:val="54"/>
    <w:link w:val="47"/>
    <w:qFormat/>
    <w:uiPriority w:val="99"/>
    <w:rPr>
      <w:rFonts w:ascii="Courier New" w:hAnsi="Courier New" w:cs="Courier New"/>
      <w:kern w:val="2"/>
    </w:rPr>
  </w:style>
  <w:style w:type="character" w:customStyle="1" w:styleId="243">
    <w:name w:val="正文文本 Char2"/>
    <w:basedOn w:val="54"/>
    <w:link w:val="3"/>
    <w:qFormat/>
    <w:uiPriority w:val="0"/>
    <w:rPr>
      <w:kern w:val="2"/>
      <w:sz w:val="21"/>
    </w:rPr>
  </w:style>
  <w:style w:type="character" w:customStyle="1" w:styleId="244">
    <w:name w:val="正文首行缩进 Char1"/>
    <w:basedOn w:val="243"/>
    <w:link w:val="2"/>
    <w:qFormat/>
    <w:uiPriority w:val="99"/>
    <w:rPr>
      <w:kern w:val="2"/>
      <w:sz w:val="21"/>
    </w:rPr>
  </w:style>
  <w:style w:type="character" w:customStyle="1" w:styleId="245">
    <w:name w:val="注释标题 Char1"/>
    <w:basedOn w:val="54"/>
    <w:link w:val="19"/>
    <w:qFormat/>
    <w:uiPriority w:val="99"/>
    <w:rPr>
      <w:kern w:val="2"/>
      <w:sz w:val="21"/>
    </w:rPr>
  </w:style>
  <w:style w:type="character" w:customStyle="1" w:styleId="246">
    <w:name w:val="文档结构图 Char1"/>
    <w:basedOn w:val="54"/>
    <w:semiHidden/>
    <w:qFormat/>
    <w:uiPriority w:val="99"/>
    <w:rPr>
      <w:rFonts w:ascii="宋体"/>
      <w:kern w:val="2"/>
      <w:sz w:val="18"/>
      <w:szCs w:val="18"/>
    </w:rPr>
  </w:style>
  <w:style w:type="character" w:customStyle="1" w:styleId="247">
    <w:name w:val="正文文本缩进 2 Char1"/>
    <w:basedOn w:val="54"/>
    <w:semiHidden/>
    <w:qFormat/>
    <w:uiPriority w:val="99"/>
    <w:rPr>
      <w:kern w:val="2"/>
      <w:sz w:val="21"/>
    </w:rPr>
  </w:style>
  <w:style w:type="character" w:customStyle="1" w:styleId="248">
    <w:name w:val="页脚 Char1"/>
    <w:basedOn w:val="54"/>
    <w:semiHidden/>
    <w:qFormat/>
    <w:uiPriority w:val="99"/>
    <w:rPr>
      <w:kern w:val="2"/>
      <w:sz w:val="18"/>
      <w:szCs w:val="18"/>
    </w:rPr>
  </w:style>
  <w:style w:type="character" w:customStyle="1" w:styleId="249">
    <w:name w:val="正文文本缩进 3 Char1"/>
    <w:basedOn w:val="54"/>
    <w:link w:val="43"/>
    <w:qFormat/>
    <w:uiPriority w:val="99"/>
    <w:rPr>
      <w:kern w:val="2"/>
      <w:sz w:val="16"/>
      <w:szCs w:val="16"/>
    </w:rPr>
  </w:style>
  <w:style w:type="character" w:customStyle="1" w:styleId="250">
    <w:name w:val="正文文本缩进 Char2"/>
    <w:basedOn w:val="54"/>
    <w:link w:val="6"/>
    <w:qFormat/>
    <w:uiPriority w:val="0"/>
    <w:rPr>
      <w:rFonts w:ascii="宋体" w:hAnsi="宋体"/>
      <w:kern w:val="2"/>
    </w:rPr>
  </w:style>
  <w:style w:type="character" w:customStyle="1" w:styleId="251">
    <w:name w:val="正文首行缩进 2 Char1"/>
    <w:basedOn w:val="250"/>
    <w:link w:val="5"/>
    <w:qFormat/>
    <w:uiPriority w:val="99"/>
    <w:rPr>
      <w:rFonts w:ascii="宋体" w:hAnsi="宋体"/>
      <w:kern w:val="2"/>
    </w:rPr>
  </w:style>
  <w:style w:type="character" w:customStyle="1" w:styleId="252">
    <w:name w:val="标题 Char2"/>
    <w:basedOn w:val="54"/>
    <w:link w:val="50"/>
    <w:qFormat/>
    <w:uiPriority w:val="10"/>
    <w:rPr>
      <w:rFonts w:ascii="Cambria" w:hAnsi="Cambria" w:cs="Times New Roman"/>
      <w:b/>
      <w:bCs/>
      <w:kern w:val="2"/>
      <w:sz w:val="32"/>
      <w:szCs w:val="32"/>
    </w:rPr>
  </w:style>
  <w:style w:type="paragraph" w:customStyle="1" w:styleId="253">
    <w:name w:val="Char Char Char1 Char"/>
    <w:basedOn w:val="1"/>
    <w:qFormat/>
    <w:uiPriority w:val="0"/>
    <w:pPr>
      <w:spacing w:line="360" w:lineRule="auto"/>
      <w:ind w:firstLine="200" w:firstLineChars="200"/>
    </w:pPr>
    <w:rPr>
      <w:szCs w:val="24"/>
    </w:rPr>
  </w:style>
  <w:style w:type="paragraph" w:customStyle="1" w:styleId="254">
    <w:name w:val="xl11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55">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color w:val="000000"/>
      <w:kern w:val="0"/>
      <w:sz w:val="24"/>
      <w:szCs w:val="24"/>
    </w:rPr>
  </w:style>
  <w:style w:type="paragraph" w:customStyle="1" w:styleId="256">
    <w:name w:val="文字"/>
    <w:basedOn w:val="1"/>
    <w:qFormat/>
    <w:uiPriority w:val="0"/>
    <w:pPr>
      <w:tabs>
        <w:tab w:val="left" w:pos="8520"/>
      </w:tabs>
      <w:spacing w:line="312" w:lineRule="auto"/>
      <w:ind w:right="-210" w:firstLine="556"/>
    </w:pPr>
    <w:rPr>
      <w:rFonts w:ascii="楷体_GB2312" w:eastAsia="楷体_GB2312"/>
      <w:sz w:val="28"/>
    </w:rPr>
  </w:style>
  <w:style w:type="paragraph" w:customStyle="1" w:styleId="257">
    <w:name w:val="xl35"/>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color w:val="0000FF"/>
      <w:kern w:val="0"/>
      <w:sz w:val="20"/>
      <w:szCs w:val="21"/>
    </w:rPr>
  </w:style>
  <w:style w:type="paragraph" w:customStyle="1" w:styleId="258">
    <w:name w:val="Char1 Char Char Char Char Char Char Char Char Char Char Char1"/>
    <w:basedOn w:val="1"/>
    <w:qFormat/>
    <w:uiPriority w:val="0"/>
    <w:rPr>
      <w:rFonts w:ascii="Tahoma" w:hAnsi="Tahoma"/>
      <w:sz w:val="24"/>
    </w:rPr>
  </w:style>
  <w:style w:type="paragraph" w:customStyle="1" w:styleId="25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FF"/>
      <w:kern w:val="0"/>
      <w:sz w:val="24"/>
      <w:szCs w:val="24"/>
    </w:rPr>
  </w:style>
  <w:style w:type="paragraph" w:customStyle="1" w:styleId="260">
    <w:name w:val="分类格式缩进"/>
    <w:qFormat/>
    <w:uiPriority w:val="0"/>
    <w:pPr>
      <w:tabs>
        <w:tab w:val="left" w:pos="250"/>
        <w:tab w:val="left" w:pos="420"/>
      </w:tabs>
      <w:spacing w:line="360" w:lineRule="auto"/>
      <w:ind w:left="907" w:hanging="397"/>
    </w:pPr>
    <w:rPr>
      <w:rFonts w:ascii="宋体" w:hAnsi="宋体" w:eastAsia="宋体" w:cs="Times New Roman"/>
      <w:kern w:val="2"/>
      <w:sz w:val="24"/>
      <w:lang w:val="en-US" w:eastAsia="zh-CN" w:bidi="ar-SA"/>
    </w:rPr>
  </w:style>
  <w:style w:type="paragraph" w:customStyle="1" w:styleId="261">
    <w:name w:val="样式 标题 2第一章 标题 2Heading 2 HiddenHeading 2 CCBSheading 2H2h2..."/>
    <w:basedOn w:val="8"/>
    <w:qFormat/>
    <w:uiPriority w:val="0"/>
    <w:pPr>
      <w:keepNext w:val="0"/>
      <w:numPr>
        <w:ilvl w:val="0"/>
        <w:numId w:val="0"/>
      </w:numPr>
      <w:tabs>
        <w:tab w:val="left" w:pos="510"/>
        <w:tab w:val="left" w:pos="840"/>
      </w:tabs>
      <w:adjustRightInd w:val="0"/>
      <w:spacing w:line="415" w:lineRule="auto"/>
      <w:ind w:left="840" w:hanging="420"/>
      <w:jc w:val="both"/>
      <w:textAlignment w:val="baseline"/>
    </w:pPr>
    <w:rPr>
      <w:rFonts w:ascii="Arial" w:hAnsi="Arial" w:eastAsia="黑体"/>
      <w:sz w:val="32"/>
      <w:szCs w:val="24"/>
    </w:rPr>
  </w:style>
  <w:style w:type="paragraph" w:customStyle="1" w:styleId="262">
    <w:name w:val="infoblue"/>
    <w:basedOn w:val="1"/>
    <w:qFormat/>
    <w:uiPriority w:val="0"/>
    <w:pPr>
      <w:adjustRightInd w:val="0"/>
      <w:spacing w:after="120" w:line="240" w:lineRule="atLeast"/>
      <w:ind w:left="450"/>
      <w:textAlignment w:val="baseline"/>
    </w:pPr>
    <w:rPr>
      <w:rFonts w:eastAsia="楷体_GB2312"/>
      <w:i/>
      <w:color w:val="0000FF"/>
      <w:kern w:val="0"/>
      <w:szCs w:val="21"/>
    </w:rPr>
  </w:style>
  <w:style w:type="paragraph" w:customStyle="1" w:styleId="263">
    <w:name w:val="正文2"/>
    <w:basedOn w:val="1"/>
    <w:qFormat/>
    <w:uiPriority w:val="0"/>
    <w:pPr>
      <w:adjustRightInd w:val="0"/>
      <w:spacing w:before="156" w:line="360" w:lineRule="auto"/>
      <w:ind w:firstLine="510" w:firstLineChars="200"/>
      <w:textAlignment w:val="baseline"/>
    </w:pPr>
    <w:rPr>
      <w:sz w:val="24"/>
    </w:rPr>
  </w:style>
  <w:style w:type="paragraph" w:customStyle="1" w:styleId="264">
    <w:name w:val="Char Char1 Char Char2 Char Char"/>
    <w:basedOn w:val="1"/>
    <w:qFormat/>
    <w:uiPriority w:val="0"/>
    <w:pPr>
      <w:widowControl/>
      <w:spacing w:after="160" w:line="240" w:lineRule="exact"/>
      <w:jc w:val="left"/>
    </w:pPr>
    <w:rPr>
      <w:rFonts w:ascii="Verdana" w:hAnsi="Verdana" w:eastAsia="方正仿宋简体"/>
      <w:kern w:val="0"/>
      <w:sz w:val="20"/>
      <w:lang w:eastAsia="en-US"/>
    </w:rPr>
  </w:style>
  <w:style w:type="paragraph" w:customStyle="1" w:styleId="265">
    <w:name w:val="沈阳系统功能编号"/>
    <w:basedOn w:val="2"/>
    <w:qFormat/>
    <w:uiPriority w:val="0"/>
    <w:pPr>
      <w:tabs>
        <w:tab w:val="left" w:pos="360"/>
        <w:tab w:val="left" w:pos="420"/>
        <w:tab w:val="left" w:pos="1387"/>
      </w:tabs>
      <w:adjustRightInd w:val="0"/>
      <w:spacing w:after="0" w:line="300" w:lineRule="auto"/>
      <w:ind w:firstLine="0" w:firstLineChars="0"/>
      <w:textAlignment w:val="baseline"/>
    </w:pPr>
    <w:rPr>
      <w:kern w:val="0"/>
      <w:szCs w:val="21"/>
    </w:rPr>
  </w:style>
  <w:style w:type="paragraph" w:customStyle="1" w:styleId="266">
    <w:name w:val="目录标题"/>
    <w:basedOn w:val="1"/>
    <w:next w:val="1"/>
    <w:qFormat/>
    <w:uiPriority w:val="0"/>
    <w:pPr>
      <w:adjustRightInd w:val="0"/>
      <w:spacing w:before="240" w:after="240"/>
      <w:jc w:val="center"/>
      <w:textAlignment w:val="baseline"/>
    </w:pPr>
    <w:rPr>
      <w:rFonts w:eastAsia="黑体"/>
      <w:b/>
      <w:sz w:val="28"/>
      <w:szCs w:val="28"/>
    </w:rPr>
  </w:style>
  <w:style w:type="paragraph" w:customStyle="1" w:styleId="267">
    <w:name w:val="样式 小四 左侧:  2.86 厘米 首行缩进:  2 字符1"/>
    <w:basedOn w:val="1"/>
    <w:qFormat/>
    <w:uiPriority w:val="0"/>
    <w:pPr>
      <w:numPr>
        <w:ilvl w:val="0"/>
        <w:numId w:val="2"/>
      </w:numPr>
      <w:ind w:firstLine="200" w:firstLineChars="200"/>
    </w:pPr>
    <w:rPr>
      <w:rFonts w:cs="宋体"/>
      <w:sz w:val="24"/>
    </w:rPr>
  </w:style>
  <w:style w:type="paragraph" w:customStyle="1" w:styleId="268">
    <w:name w:val="样式 正文首行缩进 + 首行缩进:  1 字符1"/>
    <w:basedOn w:val="2"/>
    <w:qFormat/>
    <w:uiPriority w:val="0"/>
    <w:pPr>
      <w:adjustRightInd w:val="0"/>
      <w:spacing w:after="0" w:line="300" w:lineRule="auto"/>
      <w:ind w:firstLine="200" w:firstLineChars="200"/>
      <w:textAlignment w:val="baseline"/>
    </w:pPr>
    <w:rPr>
      <w:rFonts w:cs="宋体"/>
      <w:kern w:val="0"/>
      <w:szCs w:val="21"/>
    </w:rPr>
  </w:style>
  <w:style w:type="paragraph" w:customStyle="1" w:styleId="269">
    <w:name w:val="正文3级项目符号"/>
    <w:basedOn w:val="3"/>
    <w:qFormat/>
    <w:uiPriority w:val="0"/>
    <w:pPr>
      <w:adjustRightInd w:val="0"/>
      <w:spacing w:before="120" w:line="360" w:lineRule="exact"/>
      <w:textAlignment w:val="baseline"/>
    </w:pPr>
    <w:rPr>
      <w:kern w:val="0"/>
      <w:szCs w:val="21"/>
    </w:rPr>
  </w:style>
  <w:style w:type="paragraph" w:customStyle="1" w:styleId="270">
    <w:name w:val="投标 - 引用表格"/>
    <w:basedOn w:val="1"/>
    <w:qFormat/>
    <w:uiPriority w:val="0"/>
    <w:pPr>
      <w:adjustRightInd w:val="0"/>
      <w:snapToGrid w:val="0"/>
      <w:textAlignment w:val="baseline"/>
    </w:pPr>
    <w:rPr>
      <w:b/>
      <w:bCs/>
      <w:i/>
      <w:kern w:val="0"/>
      <w:szCs w:val="21"/>
    </w:rPr>
  </w:style>
  <w:style w:type="paragraph" w:customStyle="1" w:styleId="271">
    <w:name w:val="修订1"/>
    <w:semiHidden/>
    <w:qFormat/>
    <w:uiPriority w:val="0"/>
    <w:rPr>
      <w:rFonts w:ascii="Times New Roman" w:hAnsi="Times New Roman" w:eastAsia="宋体" w:cs="Times New Roman"/>
      <w:kern w:val="2"/>
      <w:sz w:val="24"/>
      <w:szCs w:val="24"/>
      <w:lang w:val="en-US" w:eastAsia="zh-CN" w:bidi="ar-SA"/>
    </w:rPr>
  </w:style>
  <w:style w:type="paragraph" w:customStyle="1" w:styleId="272">
    <w:name w:val="Char1 Char Char Char Char Char Char1 Char Char"/>
    <w:basedOn w:val="1"/>
    <w:semiHidden/>
    <w:qFormat/>
    <w:uiPriority w:val="0"/>
    <w:rPr>
      <w:rFonts w:ascii="Tahoma" w:hAnsi="Tahoma" w:cs="仿宋_GB2312"/>
      <w:sz w:val="24"/>
      <w:szCs w:val="28"/>
    </w:rPr>
  </w:style>
  <w:style w:type="paragraph" w:customStyle="1" w:styleId="273">
    <w:name w:val="a"/>
    <w:basedOn w:val="1"/>
    <w:qFormat/>
    <w:uiPriority w:val="0"/>
    <w:pPr>
      <w:adjustRightInd w:val="0"/>
      <w:spacing w:before="100" w:beforeAutospacing="1" w:after="100" w:afterAutospacing="1"/>
      <w:textAlignment w:val="baseline"/>
    </w:pPr>
    <w:rPr>
      <w:rFonts w:ascii="宋体" w:hAnsi="宋体"/>
      <w:kern w:val="0"/>
      <w:szCs w:val="24"/>
    </w:rPr>
  </w:style>
  <w:style w:type="paragraph" w:customStyle="1" w:styleId="274">
    <w:name w:val="图题"/>
    <w:basedOn w:val="1"/>
    <w:next w:val="1"/>
    <w:qFormat/>
    <w:uiPriority w:val="0"/>
    <w:pPr>
      <w:adjustRightInd w:val="0"/>
      <w:snapToGrid w:val="0"/>
      <w:spacing w:before="50" w:after="50"/>
      <w:jc w:val="center"/>
      <w:textAlignment w:val="baseline"/>
    </w:pPr>
    <w:rPr>
      <w:b/>
      <w:sz w:val="18"/>
      <w:szCs w:val="21"/>
    </w:rPr>
  </w:style>
  <w:style w:type="paragraph" w:customStyle="1" w:styleId="275">
    <w:name w:val="样式 (西文) 宋体 小四 首行缩进:  2 字符1"/>
    <w:basedOn w:val="1"/>
    <w:qFormat/>
    <w:uiPriority w:val="0"/>
    <w:pPr>
      <w:ind w:firstLine="480" w:firstLineChars="200"/>
    </w:pPr>
    <w:rPr>
      <w:rFonts w:ascii="宋体" w:hAnsi="宋体" w:cs="宋体"/>
      <w:sz w:val="24"/>
    </w:rPr>
  </w:style>
  <w:style w:type="paragraph" w:customStyle="1" w:styleId="276">
    <w:name w:val="Char Char Char Char Char Char Char11"/>
    <w:basedOn w:val="1"/>
    <w:qFormat/>
    <w:uiPriority w:val="0"/>
    <w:rPr>
      <w:rFonts w:ascii="Tahoma" w:hAnsi="Tahoma"/>
      <w:sz w:val="24"/>
    </w:rPr>
  </w:style>
  <w:style w:type="paragraph" w:customStyle="1" w:styleId="277">
    <w:name w:val="标题2"/>
    <w:basedOn w:val="8"/>
    <w:qFormat/>
    <w:uiPriority w:val="0"/>
    <w:pPr>
      <w:numPr>
        <w:ilvl w:val="0"/>
        <w:numId w:val="0"/>
      </w:numPr>
      <w:spacing w:before="120" w:after="120" w:line="240" w:lineRule="auto"/>
      <w:ind w:left="288" w:hanging="288"/>
      <w:jc w:val="both"/>
    </w:pPr>
    <w:rPr>
      <w:rFonts w:ascii="Times New Roman" w:hAnsi="Times New Roman" w:eastAsia="楷体_GB2312"/>
      <w:color w:val="003366"/>
      <w:sz w:val="32"/>
    </w:rPr>
  </w:style>
  <w:style w:type="paragraph" w:customStyle="1" w:styleId="278">
    <w:name w:val="样式 标题 7标题 7 Char + 行距: 固定值 18 磅"/>
    <w:basedOn w:val="14"/>
    <w:qFormat/>
    <w:uiPriority w:val="0"/>
    <w:pPr>
      <w:numPr>
        <w:ilvl w:val="0"/>
        <w:numId w:val="0"/>
      </w:numPr>
      <w:spacing w:before="0" w:after="0" w:line="360" w:lineRule="exact"/>
      <w:ind w:firstLine="357"/>
    </w:pPr>
    <w:rPr>
      <w:rFonts w:ascii="宋体" w:hAnsi="宋体" w:eastAsia="黑体" w:cs="宋体"/>
      <w:bCs/>
    </w:rPr>
  </w:style>
  <w:style w:type="paragraph" w:customStyle="1" w:styleId="279">
    <w:name w:val="Default Paragraph Font Para Char"/>
    <w:basedOn w:val="1"/>
    <w:qFormat/>
    <w:uiPriority w:val="0"/>
    <w:pPr>
      <w:widowControl/>
      <w:spacing w:after="160" w:line="240" w:lineRule="exact"/>
      <w:jc w:val="left"/>
    </w:pPr>
    <w:rPr>
      <w:rFonts w:ascii="Verdana" w:hAnsi="Verdana"/>
      <w:kern w:val="0"/>
      <w:sz w:val="20"/>
      <w:lang w:eastAsia="en-US"/>
    </w:rPr>
  </w:style>
  <w:style w:type="paragraph" w:customStyle="1" w:styleId="280">
    <w:name w:val="正文2级项目符号"/>
    <w:basedOn w:val="3"/>
    <w:qFormat/>
    <w:uiPriority w:val="0"/>
    <w:pPr>
      <w:numPr>
        <w:ilvl w:val="0"/>
        <w:numId w:val="3"/>
      </w:numPr>
      <w:tabs>
        <w:tab w:val="left" w:pos="1928"/>
      </w:tabs>
      <w:adjustRightInd w:val="0"/>
      <w:spacing w:before="120" w:line="360" w:lineRule="exact"/>
      <w:textAlignment w:val="baseline"/>
    </w:pPr>
    <w:rPr>
      <w:kern w:val="0"/>
      <w:szCs w:val="21"/>
    </w:rPr>
  </w:style>
  <w:style w:type="paragraph" w:customStyle="1" w:styleId="281">
    <w:name w:val="缺省文本"/>
    <w:basedOn w:val="1"/>
    <w:qFormat/>
    <w:uiPriority w:val="0"/>
    <w:pPr>
      <w:autoSpaceDE w:val="0"/>
      <w:autoSpaceDN w:val="0"/>
      <w:adjustRightInd w:val="0"/>
      <w:spacing w:before="20" w:after="20" w:line="400" w:lineRule="exact"/>
      <w:ind w:firstLine="504"/>
      <w:jc w:val="left"/>
    </w:pPr>
    <w:rPr>
      <w:kern w:val="0"/>
      <w:sz w:val="24"/>
    </w:rPr>
  </w:style>
  <w:style w:type="paragraph" w:customStyle="1" w:styleId="282">
    <w:name w:val="font10"/>
    <w:basedOn w:val="1"/>
    <w:qFormat/>
    <w:uiPriority w:val="0"/>
    <w:pPr>
      <w:adjustRightInd w:val="0"/>
      <w:spacing w:before="100" w:beforeAutospacing="1" w:after="100" w:afterAutospacing="1"/>
      <w:textAlignment w:val="baseline"/>
    </w:pPr>
    <w:rPr>
      <w:color w:val="0000FF"/>
      <w:kern w:val="0"/>
      <w:sz w:val="20"/>
      <w:szCs w:val="21"/>
    </w:rPr>
  </w:style>
  <w:style w:type="paragraph" w:customStyle="1" w:styleId="283">
    <w:name w:val="正文首行缩进4"/>
    <w:basedOn w:val="1"/>
    <w:qFormat/>
    <w:uiPriority w:val="0"/>
    <w:pPr>
      <w:adjustRightInd w:val="0"/>
      <w:spacing w:line="300" w:lineRule="auto"/>
      <w:ind w:firstLine="200" w:firstLineChars="200"/>
      <w:textAlignment w:val="baseline"/>
    </w:pPr>
    <w:rPr>
      <w:kern w:val="0"/>
      <w:szCs w:val="21"/>
    </w:rPr>
  </w:style>
  <w:style w:type="paragraph" w:customStyle="1" w:styleId="284">
    <w:name w:val="列项——（一级）"/>
    <w:qFormat/>
    <w:uiPriority w:val="0"/>
    <w:pPr>
      <w:widowControl w:val="0"/>
      <w:tabs>
        <w:tab w:val="left" w:pos="1140"/>
        <w:tab w:val="left" w:pos="3420"/>
      </w:tabs>
      <w:adjustRightInd w:val="0"/>
      <w:spacing w:line="560" w:lineRule="exact"/>
      <w:ind w:left="1140" w:hanging="720"/>
      <w:jc w:val="both"/>
      <w:textAlignment w:val="baseline"/>
    </w:pPr>
    <w:rPr>
      <w:rFonts w:ascii="宋体" w:hAnsi="宋体" w:eastAsia="宋体" w:cs="Times New Roman"/>
      <w:color w:val="000000"/>
      <w:kern w:val="2"/>
      <w:sz w:val="24"/>
      <w:lang w:val="en-US" w:eastAsia="zh-CN" w:bidi="ar-SA"/>
    </w:rPr>
  </w:style>
  <w:style w:type="paragraph" w:customStyle="1" w:styleId="285">
    <w:name w:val="Char Char1 Char Char Char"/>
    <w:basedOn w:val="22"/>
    <w:qFormat/>
    <w:uiPriority w:val="0"/>
    <w:rPr>
      <w:rFonts w:ascii="Tahoma" w:hAnsi="Tahoma"/>
      <w:sz w:val="24"/>
      <w:szCs w:val="24"/>
    </w:rPr>
  </w:style>
  <w:style w:type="paragraph" w:customStyle="1" w:styleId="286">
    <w:name w:val="样式 标题 3level_3PIM 3H3Level 3 Head + 行距: 多倍行距 1.73 字行"/>
    <w:basedOn w:val="9"/>
    <w:qFormat/>
    <w:uiPriority w:val="0"/>
    <w:pPr>
      <w:adjustRightInd w:val="0"/>
      <w:spacing w:line="415" w:lineRule="auto"/>
      <w:ind w:left="851" w:hanging="851"/>
      <w:textAlignment w:val="baseline"/>
    </w:pPr>
    <w:rPr>
      <w:rFonts w:eastAsia="黑体"/>
      <w:sz w:val="30"/>
      <w:szCs w:val="24"/>
    </w:rPr>
  </w:style>
  <w:style w:type="paragraph" w:customStyle="1" w:styleId="287">
    <w:name w:val="phead"/>
    <w:basedOn w:val="1"/>
    <w:qFormat/>
    <w:uiPriority w:val="0"/>
    <w:pPr>
      <w:widowControl/>
      <w:numPr>
        <w:ilvl w:val="0"/>
        <w:numId w:val="4"/>
      </w:numPr>
      <w:spacing w:before="100" w:beforeAutospacing="1" w:after="100" w:afterAutospacing="1"/>
      <w:jc w:val="left"/>
    </w:pPr>
    <w:rPr>
      <w:rFonts w:ascii="Verdana" w:hAnsi="Verdana" w:cs="宋体"/>
      <w:color w:val="000000"/>
      <w:kern w:val="0"/>
      <w:sz w:val="20"/>
    </w:rPr>
  </w:style>
  <w:style w:type="paragraph" w:customStyle="1" w:styleId="288">
    <w:name w:val="xl30"/>
    <w:basedOn w:val="1"/>
    <w:qFormat/>
    <w:uiPriority w:val="0"/>
    <w:pPr>
      <w:widowControl/>
      <w:pBdr>
        <w:bottom w:val="single" w:color="auto" w:sz="4" w:space="0"/>
        <w:right w:val="single" w:color="auto" w:sz="4" w:space="0"/>
      </w:pBdr>
      <w:spacing w:before="100" w:beforeAutospacing="1" w:after="100" w:afterAutospacing="1"/>
    </w:pPr>
    <w:rPr>
      <w:kern w:val="0"/>
    </w:rPr>
  </w:style>
  <w:style w:type="paragraph" w:customStyle="1" w:styleId="289">
    <w:name w:val="样式5"/>
    <w:basedOn w:val="12"/>
    <w:qFormat/>
    <w:uiPriority w:val="0"/>
    <w:pPr>
      <w:numPr>
        <w:ilvl w:val="0"/>
        <w:numId w:val="0"/>
      </w:numPr>
      <w:tabs>
        <w:tab w:val="left" w:pos="420"/>
        <w:tab w:val="left" w:pos="1130"/>
      </w:tabs>
      <w:spacing w:before="0" w:after="0" w:line="360" w:lineRule="auto"/>
      <w:ind w:left="420" w:hanging="420" w:firstLineChars="200"/>
    </w:pPr>
    <w:rPr>
      <w:rFonts w:ascii="宋体" w:hAnsi="宋体"/>
      <w:b w:val="0"/>
      <w:sz w:val="24"/>
      <w:szCs w:val="24"/>
    </w:rPr>
  </w:style>
  <w:style w:type="paragraph" w:customStyle="1" w:styleId="290">
    <w:name w:val="文档正文"/>
    <w:basedOn w:val="1"/>
    <w:qFormat/>
    <w:uiPriority w:val="0"/>
    <w:pPr>
      <w:adjustRightInd w:val="0"/>
      <w:spacing w:after="120" w:line="360" w:lineRule="auto"/>
      <w:ind w:firstLine="480" w:firstLineChars="200"/>
      <w:textAlignment w:val="baseline"/>
    </w:pPr>
    <w:rPr>
      <w:rFonts w:ascii="华文细黑" w:hAnsi="华文细黑" w:eastAsia="华文细黑"/>
      <w:color w:val="000000"/>
      <w:kern w:val="0"/>
    </w:rPr>
  </w:style>
  <w:style w:type="paragraph" w:customStyle="1" w:styleId="291">
    <w:name w:val="表内正文"/>
    <w:basedOn w:val="1"/>
    <w:qFormat/>
    <w:uiPriority w:val="0"/>
    <w:pPr>
      <w:keepNext/>
      <w:widowControl/>
      <w:adjustRightInd w:val="0"/>
      <w:spacing w:beforeLines="50"/>
      <w:jc w:val="left"/>
      <w:textAlignment w:val="baseline"/>
    </w:pPr>
    <w:rPr>
      <w:rFonts w:ascii="宋体" w:hAnsi="宋体"/>
      <w:kern w:val="0"/>
      <w:szCs w:val="21"/>
    </w:rPr>
  </w:style>
  <w:style w:type="paragraph" w:customStyle="1" w:styleId="292">
    <w:name w:val="Char Char Char Char Char Char Char Char Char Char Char Char Char Char Char Char Char Char Char Char Char Char"/>
    <w:basedOn w:val="1"/>
    <w:qFormat/>
    <w:uiPriority w:val="0"/>
    <w:rPr>
      <w:rFonts w:ascii="Tahoma" w:hAnsi="Tahoma"/>
      <w:sz w:val="24"/>
    </w:rPr>
  </w:style>
  <w:style w:type="paragraph" w:customStyle="1" w:styleId="293">
    <w:name w:val="沈阳设备性能编号"/>
    <w:basedOn w:val="294"/>
    <w:qFormat/>
    <w:uiPriority w:val="0"/>
    <w:pPr>
      <w:tabs>
        <w:tab w:val="left" w:pos="360"/>
        <w:tab w:val="left" w:pos="420"/>
        <w:tab w:val="left" w:pos="1387"/>
      </w:tabs>
    </w:pPr>
  </w:style>
  <w:style w:type="paragraph" w:customStyle="1" w:styleId="294">
    <w:name w:val="沈阳设备组成编号"/>
    <w:basedOn w:val="2"/>
    <w:qFormat/>
    <w:uiPriority w:val="0"/>
    <w:pPr>
      <w:tabs>
        <w:tab w:val="left" w:pos="360"/>
        <w:tab w:val="left" w:pos="420"/>
        <w:tab w:val="left" w:pos="1387"/>
      </w:tabs>
      <w:adjustRightInd w:val="0"/>
      <w:spacing w:after="0" w:line="300" w:lineRule="auto"/>
      <w:ind w:firstLine="0" w:firstLineChars="0"/>
      <w:textAlignment w:val="baseline"/>
    </w:pPr>
    <w:rPr>
      <w:kern w:val="0"/>
      <w:szCs w:val="21"/>
    </w:rPr>
  </w:style>
  <w:style w:type="paragraph" w:customStyle="1" w:styleId="295">
    <w:name w:val="font6"/>
    <w:basedOn w:val="1"/>
    <w:qFormat/>
    <w:uiPriority w:val="0"/>
    <w:pPr>
      <w:adjustRightInd w:val="0"/>
      <w:spacing w:before="100" w:beforeAutospacing="1" w:after="100" w:afterAutospacing="1"/>
      <w:textAlignment w:val="baseline"/>
    </w:pPr>
    <w:rPr>
      <w:rFonts w:hint="eastAsia" w:ascii="宋体" w:hAnsi="宋体"/>
      <w:kern w:val="0"/>
      <w:sz w:val="20"/>
      <w:szCs w:val="21"/>
    </w:rPr>
  </w:style>
  <w:style w:type="paragraph" w:customStyle="1" w:styleId="296">
    <w:name w:val="Char11"/>
    <w:basedOn w:val="1"/>
    <w:qFormat/>
    <w:uiPriority w:val="0"/>
    <w:rPr>
      <w:rFonts w:ascii="Tahoma" w:hAnsi="Tahoma"/>
      <w:sz w:val="24"/>
    </w:rPr>
  </w:style>
  <w:style w:type="paragraph" w:customStyle="1" w:styleId="297">
    <w:name w:val="xl37"/>
    <w:basedOn w:val="1"/>
    <w:qFormat/>
    <w:uiPriority w:val="0"/>
    <w:pPr>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textAlignment w:val="baseline"/>
    </w:pPr>
    <w:rPr>
      <w:rFonts w:ascii="宋体" w:hAnsi="宋体"/>
      <w:kern w:val="0"/>
      <w:sz w:val="20"/>
      <w:szCs w:val="21"/>
    </w:rPr>
  </w:style>
  <w:style w:type="paragraph" w:customStyle="1" w:styleId="298">
    <w:name w:val="文本框"/>
    <w:basedOn w:val="3"/>
    <w:next w:val="3"/>
    <w:qFormat/>
    <w:uiPriority w:val="0"/>
    <w:pPr>
      <w:adjustRightInd w:val="0"/>
      <w:snapToGrid w:val="0"/>
      <w:jc w:val="center"/>
      <w:textAlignment w:val="baseline"/>
    </w:pPr>
    <w:rPr>
      <w:kern w:val="0"/>
      <w:szCs w:val="21"/>
    </w:rPr>
  </w:style>
  <w:style w:type="paragraph" w:customStyle="1" w:styleId="299">
    <w:name w:val="标题(小)"/>
    <w:basedOn w:val="1"/>
    <w:next w:val="1"/>
    <w:qFormat/>
    <w:uiPriority w:val="0"/>
    <w:pPr>
      <w:adjustRightInd w:val="0"/>
      <w:spacing w:line="360" w:lineRule="atLeast"/>
      <w:jc w:val="center"/>
      <w:textAlignment w:val="baseline"/>
    </w:pPr>
    <w:rPr>
      <w:rFonts w:ascii="黑体" w:eastAsia="黑体"/>
      <w:sz w:val="32"/>
    </w:rPr>
  </w:style>
  <w:style w:type="paragraph" w:customStyle="1" w:styleId="300">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301">
    <w:name w:val="数字标题5"/>
    <w:basedOn w:val="12"/>
    <w:next w:val="1"/>
    <w:qFormat/>
    <w:uiPriority w:val="0"/>
    <w:pPr>
      <w:numPr>
        <w:ilvl w:val="5"/>
        <w:numId w:val="5"/>
      </w:numPr>
      <w:tabs>
        <w:tab w:val="left" w:pos="1440"/>
      </w:tabs>
      <w:spacing w:line="376" w:lineRule="auto"/>
      <w:ind w:left="1440"/>
    </w:pPr>
    <w:rPr>
      <w:bCs/>
      <w:szCs w:val="28"/>
    </w:rPr>
  </w:style>
  <w:style w:type="paragraph" w:customStyle="1" w:styleId="302">
    <w:name w:val="Char3 Char Char Char"/>
    <w:basedOn w:val="1"/>
    <w:qFormat/>
    <w:uiPriority w:val="0"/>
    <w:rPr>
      <w:rFonts w:ascii="Tahoma" w:hAnsi="Tahoma"/>
      <w:sz w:val="24"/>
    </w:rPr>
  </w:style>
  <w:style w:type="paragraph" w:customStyle="1" w:styleId="303">
    <w:name w:val="样式2潘"/>
    <w:basedOn w:val="1"/>
    <w:qFormat/>
    <w:uiPriority w:val="0"/>
    <w:rPr>
      <w:rFonts w:ascii="Arial" w:hAnsi="Arial" w:eastAsia="仿宋_GB2312"/>
      <w:szCs w:val="24"/>
    </w:rPr>
  </w:style>
  <w:style w:type="paragraph" w:customStyle="1" w:styleId="304">
    <w:name w:val="沈阳系统性能编号"/>
    <w:basedOn w:val="305"/>
    <w:qFormat/>
    <w:uiPriority w:val="0"/>
    <w:pPr>
      <w:numPr>
        <w:ilvl w:val="0"/>
        <w:numId w:val="6"/>
      </w:numPr>
      <w:tabs>
        <w:tab w:val="left" w:pos="0"/>
        <w:tab w:val="left" w:pos="360"/>
        <w:tab w:val="left" w:pos="420"/>
        <w:tab w:val="left" w:pos="1387"/>
      </w:tabs>
      <w:ind w:left="0" w:firstLine="420"/>
    </w:pPr>
  </w:style>
  <w:style w:type="paragraph" w:customStyle="1" w:styleId="305">
    <w:name w:val="沈阳系统组成编号"/>
    <w:basedOn w:val="2"/>
    <w:qFormat/>
    <w:uiPriority w:val="0"/>
    <w:pPr>
      <w:tabs>
        <w:tab w:val="left" w:pos="0"/>
        <w:tab w:val="left" w:pos="360"/>
        <w:tab w:val="left" w:pos="420"/>
        <w:tab w:val="left" w:pos="1387"/>
      </w:tabs>
      <w:adjustRightInd w:val="0"/>
      <w:spacing w:after="0" w:line="300" w:lineRule="auto"/>
      <w:ind w:firstLine="0" w:firstLineChars="0"/>
      <w:textAlignment w:val="baseline"/>
    </w:pPr>
    <w:rPr>
      <w:kern w:val="0"/>
      <w:szCs w:val="21"/>
    </w:rPr>
  </w:style>
  <w:style w:type="paragraph" w:customStyle="1" w:styleId="306">
    <w:name w:val="默认段落字体 Para Char Char Char Char Char Char Char Char Char1 Char Char Char Char Char Char Char"/>
    <w:basedOn w:val="22"/>
    <w:qFormat/>
    <w:uiPriority w:val="0"/>
    <w:rPr>
      <w:rFonts w:ascii="Tahoma" w:hAnsi="Tahoma"/>
      <w:sz w:val="24"/>
      <w:szCs w:val="24"/>
    </w:rPr>
  </w:style>
  <w:style w:type="paragraph" w:customStyle="1" w:styleId="307">
    <w:name w:val="Char Char Char Char Char Char Char Char Char Char Char Char Char"/>
    <w:basedOn w:val="1"/>
    <w:qFormat/>
    <w:uiPriority w:val="0"/>
    <w:rPr>
      <w:rFonts w:ascii="Tahoma" w:hAnsi="Tahoma"/>
      <w:sz w:val="24"/>
    </w:rPr>
  </w:style>
  <w:style w:type="paragraph" w:customStyle="1" w:styleId="308">
    <w:name w:val="lq_标题2"/>
    <w:basedOn w:val="1"/>
    <w:qFormat/>
    <w:uiPriority w:val="0"/>
    <w:pPr>
      <w:snapToGrid w:val="0"/>
      <w:spacing w:line="360" w:lineRule="auto"/>
      <w:ind w:firstLine="200" w:firstLineChars="200"/>
    </w:pPr>
    <w:rPr>
      <w:rFonts w:ascii="仿宋_GB2312" w:hAnsi="宋体" w:eastAsia="仿宋_GB2312"/>
      <w:b/>
      <w:bCs/>
      <w:color w:val="000000"/>
      <w:sz w:val="28"/>
      <w:szCs w:val="28"/>
    </w:rPr>
  </w:style>
  <w:style w:type="paragraph" w:customStyle="1" w:styleId="309">
    <w:name w:val="列表2"/>
    <w:basedOn w:val="1"/>
    <w:next w:val="1"/>
    <w:qFormat/>
    <w:uiPriority w:val="0"/>
    <w:pPr>
      <w:tabs>
        <w:tab w:val="left" w:pos="798"/>
      </w:tabs>
      <w:spacing w:line="360" w:lineRule="auto"/>
      <w:ind w:left="420" w:hanging="420"/>
    </w:pPr>
  </w:style>
  <w:style w:type="paragraph" w:customStyle="1" w:styleId="310">
    <w:name w:val="xl38"/>
    <w:basedOn w:val="1"/>
    <w:qFormat/>
    <w:uiPriority w:val="0"/>
    <w:pPr>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textAlignment w:val="baseline"/>
    </w:pPr>
    <w:rPr>
      <w:rFonts w:ascii="宋体" w:hAnsi="宋体"/>
      <w:color w:val="0000FF"/>
      <w:kern w:val="0"/>
      <w:sz w:val="20"/>
      <w:szCs w:val="21"/>
    </w:rPr>
  </w:style>
  <w:style w:type="paragraph" w:customStyle="1" w:styleId="31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12">
    <w:name w:val="Char Char2 Char Char Char Char Char Char Char Char Char Char"/>
    <w:basedOn w:val="1"/>
    <w:qFormat/>
    <w:uiPriority w:val="0"/>
    <w:rPr>
      <w:rFonts w:ascii="Tahoma" w:hAnsi="Tahoma"/>
      <w:sz w:val="24"/>
    </w:rPr>
  </w:style>
  <w:style w:type="paragraph" w:customStyle="1" w:styleId="313">
    <w:name w:val="Char2 Char Char Char Char Char Char Char Char Char Char Char Char"/>
    <w:basedOn w:val="1"/>
    <w:qFormat/>
    <w:uiPriority w:val="0"/>
    <w:pPr>
      <w:spacing w:line="360" w:lineRule="auto"/>
      <w:ind w:firstLine="200" w:firstLineChars="200"/>
    </w:pPr>
    <w:rPr>
      <w:rFonts w:ascii="Tahoma" w:hAnsi="Tahoma"/>
      <w:sz w:val="24"/>
      <w:szCs w:val="24"/>
    </w:rPr>
  </w:style>
  <w:style w:type="paragraph" w:customStyle="1" w:styleId="314">
    <w:name w:val="xl24"/>
    <w:basedOn w:val="1"/>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315">
    <w:name w:val="Char Char3"/>
    <w:basedOn w:val="1"/>
    <w:qFormat/>
    <w:uiPriority w:val="0"/>
    <w:pPr>
      <w:spacing w:line="360" w:lineRule="auto"/>
      <w:ind w:firstLine="200" w:firstLineChars="200"/>
    </w:pPr>
    <w:rPr>
      <w:rFonts w:ascii="Tahoma" w:hAnsi="Tahoma"/>
      <w:sz w:val="24"/>
      <w:szCs w:val="24"/>
    </w:rPr>
  </w:style>
  <w:style w:type="paragraph" w:customStyle="1" w:styleId="316">
    <w:name w:val="Char Char Char Char Char Char Char Char Char Char Char Char Char Char Char Char Char Char Char"/>
    <w:basedOn w:val="1"/>
    <w:qFormat/>
    <w:uiPriority w:val="0"/>
    <w:pPr>
      <w:tabs>
        <w:tab w:val="left" w:pos="420"/>
        <w:tab w:val="left" w:pos="907"/>
      </w:tabs>
      <w:ind w:left="907" w:hanging="453"/>
    </w:pPr>
    <w:rPr>
      <w:sz w:val="24"/>
      <w:szCs w:val="24"/>
    </w:rPr>
  </w:style>
  <w:style w:type="paragraph" w:customStyle="1" w:styleId="317">
    <w:name w:val="xl39"/>
    <w:basedOn w:val="1"/>
    <w:qFormat/>
    <w:uiPriority w:val="0"/>
    <w:pPr>
      <w:pBdr>
        <w:top w:val="single" w:color="auto" w:sz="4" w:space="0"/>
        <w:left w:val="single" w:color="auto" w:sz="4" w:space="0"/>
        <w:bottom w:val="single" w:color="auto" w:sz="4" w:space="0"/>
        <w:right w:val="double" w:color="auto" w:sz="6" w:space="0"/>
      </w:pBdr>
      <w:shd w:val="clear" w:color="auto" w:fill="FFFF99"/>
      <w:adjustRightInd w:val="0"/>
      <w:spacing w:before="100" w:beforeAutospacing="1" w:after="100" w:afterAutospacing="1"/>
      <w:textAlignment w:val="baseline"/>
    </w:pPr>
    <w:rPr>
      <w:rFonts w:ascii="宋体" w:hAnsi="宋体"/>
      <w:kern w:val="0"/>
      <w:sz w:val="20"/>
      <w:szCs w:val="21"/>
    </w:rPr>
  </w:style>
  <w:style w:type="paragraph" w:customStyle="1" w:styleId="318">
    <w:name w:val="Char3"/>
    <w:basedOn w:val="1"/>
    <w:qFormat/>
    <w:uiPriority w:val="0"/>
    <w:rPr>
      <w:rFonts w:ascii="Tahoma" w:hAnsi="Tahoma"/>
      <w:sz w:val="24"/>
    </w:rPr>
  </w:style>
  <w:style w:type="paragraph" w:customStyle="1" w:styleId="319">
    <w:name w:val="style2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Char Char Char Char Char Char Char Char Char1 Char Char Char Char"/>
    <w:basedOn w:val="1"/>
    <w:qFormat/>
    <w:uiPriority w:val="0"/>
    <w:rPr>
      <w:rFonts w:ascii="Tahoma" w:hAnsi="Tahoma"/>
      <w:sz w:val="24"/>
    </w:rPr>
  </w:style>
  <w:style w:type="paragraph" w:customStyle="1" w:styleId="321">
    <w:name w:val="沈阳设备功能编号"/>
    <w:basedOn w:val="2"/>
    <w:qFormat/>
    <w:uiPriority w:val="0"/>
    <w:pPr>
      <w:numPr>
        <w:ilvl w:val="0"/>
        <w:numId w:val="7"/>
      </w:numPr>
      <w:tabs>
        <w:tab w:val="left" w:pos="0"/>
        <w:tab w:val="left" w:pos="360"/>
        <w:tab w:val="left" w:pos="1387"/>
      </w:tabs>
      <w:adjustRightInd w:val="0"/>
      <w:spacing w:after="0" w:line="300" w:lineRule="auto"/>
      <w:ind w:left="0" w:firstLine="420" w:firstLineChars="0"/>
      <w:textAlignment w:val="baseline"/>
    </w:pPr>
    <w:rPr>
      <w:kern w:val="0"/>
      <w:szCs w:val="21"/>
    </w:rPr>
  </w:style>
  <w:style w:type="paragraph" w:customStyle="1" w:styleId="322">
    <w:name w:val="样式 段前: 7.8 磅 段后: 7.8 磅"/>
    <w:basedOn w:val="1"/>
    <w:qFormat/>
    <w:uiPriority w:val="0"/>
    <w:pPr>
      <w:adjustRightInd w:val="0"/>
      <w:spacing w:before="156" w:after="156" w:line="360" w:lineRule="auto"/>
      <w:ind w:firstLine="480" w:firstLineChars="200"/>
      <w:textAlignment w:val="baseline"/>
    </w:pPr>
    <w:rPr>
      <w:rFonts w:cs="宋体"/>
      <w:sz w:val="24"/>
    </w:rPr>
  </w:style>
  <w:style w:type="paragraph" w:customStyle="1" w:styleId="323">
    <w:name w:val="font7"/>
    <w:basedOn w:val="1"/>
    <w:qFormat/>
    <w:uiPriority w:val="0"/>
    <w:pPr>
      <w:adjustRightInd w:val="0"/>
      <w:spacing w:before="100" w:beforeAutospacing="1" w:after="100" w:afterAutospacing="1"/>
      <w:textAlignment w:val="baseline"/>
    </w:pPr>
    <w:rPr>
      <w:rFonts w:hint="eastAsia" w:ascii="宋体" w:hAnsi="宋体"/>
      <w:color w:val="FF0000"/>
      <w:kern w:val="0"/>
      <w:sz w:val="20"/>
      <w:szCs w:val="21"/>
    </w:rPr>
  </w:style>
  <w:style w:type="paragraph" w:customStyle="1" w:styleId="324">
    <w:name w:val="wtex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25">
    <w:name w:val="新正文"/>
    <w:basedOn w:val="1"/>
    <w:qFormat/>
    <w:uiPriority w:val="0"/>
    <w:pPr>
      <w:spacing w:after="120" w:line="360" w:lineRule="auto"/>
      <w:ind w:firstLine="200" w:firstLineChars="200"/>
    </w:pPr>
    <w:rPr>
      <w:sz w:val="24"/>
      <w:szCs w:val="24"/>
    </w:rPr>
  </w:style>
  <w:style w:type="paragraph" w:customStyle="1" w:styleId="326">
    <w:name w:val="6 Char Char Char Char Char 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27">
    <w:name w:val="Char1 Char Char Char Char Char Char Char Char Char"/>
    <w:basedOn w:val="1"/>
    <w:qFormat/>
    <w:uiPriority w:val="0"/>
    <w:pPr>
      <w:widowControl/>
      <w:spacing w:beforeLines="100" w:after="160" w:line="240" w:lineRule="exact"/>
      <w:jc w:val="left"/>
    </w:pPr>
    <w:rPr>
      <w:rFonts w:ascii="Verdana" w:hAnsi="Verdana"/>
      <w:kern w:val="0"/>
      <w:sz w:val="20"/>
      <w:lang w:eastAsia="en-US"/>
    </w:rPr>
  </w:style>
  <w:style w:type="paragraph" w:customStyle="1" w:styleId="328">
    <w:name w:val="图1"/>
    <w:basedOn w:val="1"/>
    <w:next w:val="1"/>
    <w:qFormat/>
    <w:uiPriority w:val="0"/>
    <w:pPr>
      <w:tabs>
        <w:tab w:val="left" w:pos="425"/>
      </w:tabs>
      <w:spacing w:beforeLines="50" w:afterLines="100" w:line="360" w:lineRule="auto"/>
      <w:ind w:left="1105" w:hanging="748"/>
    </w:pPr>
    <w:rPr>
      <w:kern w:val="0"/>
      <w:sz w:val="24"/>
      <w:szCs w:val="24"/>
    </w:rPr>
  </w:style>
  <w:style w:type="paragraph" w:customStyle="1" w:styleId="329">
    <w:name w:val="xl29"/>
    <w:basedOn w:val="1"/>
    <w:qFormat/>
    <w:uiPriority w:val="0"/>
    <w:pPr>
      <w:pBdr>
        <w:left w:val="single" w:color="auto" w:sz="4" w:space="0"/>
        <w:bottom w:val="single" w:color="auto" w:sz="4" w:space="0"/>
        <w:right w:val="double" w:color="auto" w:sz="6" w:space="0"/>
      </w:pBdr>
      <w:adjustRightInd w:val="0"/>
      <w:spacing w:before="100" w:beforeAutospacing="1" w:after="100" w:afterAutospacing="1"/>
      <w:textAlignment w:val="baseline"/>
    </w:pPr>
    <w:rPr>
      <w:rFonts w:ascii="宋体" w:hAnsi="宋体"/>
      <w:kern w:val="0"/>
      <w:sz w:val="20"/>
      <w:szCs w:val="21"/>
    </w:rPr>
  </w:style>
  <w:style w:type="paragraph" w:customStyle="1" w:styleId="330">
    <w:name w:val="列出段落1"/>
    <w:basedOn w:val="1"/>
    <w:link w:val="473"/>
    <w:qFormat/>
    <w:uiPriority w:val="34"/>
    <w:pPr>
      <w:ind w:firstLine="420" w:firstLineChars="200"/>
    </w:pPr>
    <w:rPr>
      <w:rFonts w:ascii="Calibri" w:hAnsi="Calibri"/>
      <w:szCs w:val="22"/>
    </w:rPr>
  </w:style>
  <w:style w:type="paragraph" w:customStyle="1" w:styleId="331">
    <w:name w:val="Char1 Char Char Char Char Char Char1"/>
    <w:basedOn w:val="1"/>
    <w:qFormat/>
    <w:uiPriority w:val="0"/>
    <w:rPr>
      <w:rFonts w:ascii="Tahoma" w:hAnsi="Tahoma"/>
      <w:sz w:val="24"/>
    </w:rPr>
  </w:style>
  <w:style w:type="paragraph" w:customStyle="1" w:styleId="332">
    <w:name w:val="样式2"/>
    <w:basedOn w:val="3"/>
    <w:qFormat/>
    <w:uiPriority w:val="0"/>
    <w:pPr>
      <w:spacing w:after="0" w:line="500" w:lineRule="exact"/>
      <w:jc w:val="center"/>
    </w:pPr>
    <w:rPr>
      <w:rFonts w:ascii="宋体" w:hAnsi="宋体"/>
      <w:b/>
      <w:kern w:val="44"/>
      <w:sz w:val="32"/>
      <w:szCs w:val="32"/>
      <w:lang w:val="en-GB"/>
    </w:rPr>
  </w:style>
  <w:style w:type="paragraph" w:customStyle="1" w:styleId="333">
    <w:name w:val="font9"/>
    <w:basedOn w:val="1"/>
    <w:qFormat/>
    <w:uiPriority w:val="0"/>
    <w:pPr>
      <w:adjustRightInd w:val="0"/>
      <w:spacing w:before="100" w:beforeAutospacing="1" w:after="100" w:afterAutospacing="1"/>
      <w:textAlignment w:val="baseline"/>
    </w:pPr>
    <w:rPr>
      <w:kern w:val="0"/>
      <w:sz w:val="20"/>
      <w:szCs w:val="21"/>
    </w:rPr>
  </w:style>
  <w:style w:type="paragraph" w:customStyle="1" w:styleId="334">
    <w:name w:val="Char Char Char1"/>
    <w:basedOn w:val="1"/>
    <w:qFormat/>
    <w:uiPriority w:val="0"/>
    <w:rPr>
      <w:rFonts w:ascii="Tahoma" w:hAnsi="Tahoma"/>
      <w:sz w:val="24"/>
    </w:rPr>
  </w:style>
  <w:style w:type="paragraph" w:customStyle="1" w:styleId="335">
    <w:name w:val="Char Char Char Char Char Char Char Char Char Char1"/>
    <w:basedOn w:val="1"/>
    <w:qFormat/>
    <w:uiPriority w:val="0"/>
    <w:rPr>
      <w:rFonts w:ascii="Tahoma" w:hAnsi="Tahoma"/>
      <w:sz w:val="24"/>
    </w:rPr>
  </w:style>
  <w:style w:type="paragraph" w:customStyle="1" w:styleId="336">
    <w:name w:val="样式 (西文) 宋体 小四 首行缩进:  2 字符1 Char Char Char Char"/>
    <w:basedOn w:val="1"/>
    <w:qFormat/>
    <w:uiPriority w:val="0"/>
    <w:pPr>
      <w:ind w:firstLine="480" w:firstLineChars="200"/>
    </w:pPr>
    <w:rPr>
      <w:rFonts w:ascii="宋体" w:hAnsi="宋体" w:cs="宋体"/>
      <w:sz w:val="24"/>
      <w:szCs w:val="24"/>
    </w:rPr>
  </w:style>
  <w:style w:type="paragraph" w:customStyle="1" w:styleId="337">
    <w:name w:val="1 Char"/>
    <w:basedOn w:val="1"/>
    <w:qFormat/>
    <w:uiPriority w:val="0"/>
    <w:pPr>
      <w:tabs>
        <w:tab w:val="left" w:pos="1571"/>
      </w:tabs>
      <w:ind w:left="1571" w:hanging="851"/>
    </w:pPr>
    <w:rPr>
      <w:sz w:val="24"/>
      <w:szCs w:val="24"/>
    </w:rPr>
  </w:style>
  <w:style w:type="paragraph" w:customStyle="1" w:styleId="338">
    <w:name w:val="Char Char2 Char Char Char Char Char Char Char"/>
    <w:basedOn w:val="1"/>
    <w:qFormat/>
    <w:uiPriority w:val="0"/>
    <w:rPr>
      <w:rFonts w:ascii="Tahoma" w:hAnsi="Tahoma"/>
      <w:sz w:val="24"/>
    </w:rPr>
  </w:style>
  <w:style w:type="paragraph" w:customStyle="1" w:styleId="339">
    <w:name w:val="默认段落字体 Para Char"/>
    <w:basedOn w:val="1"/>
    <w:qFormat/>
    <w:uiPriority w:val="0"/>
    <w:pPr>
      <w:adjustRightInd w:val="0"/>
      <w:spacing w:line="360" w:lineRule="auto"/>
    </w:pPr>
    <w:rPr>
      <w:kern w:val="0"/>
      <w:sz w:val="24"/>
    </w:rPr>
  </w:style>
  <w:style w:type="paragraph" w:customStyle="1" w:styleId="340">
    <w:name w:val="font5"/>
    <w:basedOn w:val="1"/>
    <w:qFormat/>
    <w:uiPriority w:val="0"/>
    <w:pPr>
      <w:adjustRightInd w:val="0"/>
      <w:spacing w:before="100" w:beforeAutospacing="1" w:after="100" w:afterAutospacing="1"/>
      <w:textAlignment w:val="baseline"/>
    </w:pPr>
    <w:rPr>
      <w:rFonts w:hint="eastAsia" w:ascii="宋体" w:hAnsi="宋体"/>
      <w:kern w:val="0"/>
      <w:sz w:val="18"/>
      <w:szCs w:val="18"/>
    </w:rPr>
  </w:style>
  <w:style w:type="paragraph" w:customStyle="1" w:styleId="341">
    <w:name w:val="章标题"/>
    <w:next w:val="1"/>
    <w:qFormat/>
    <w:uiPriority w:val="0"/>
    <w:pPr>
      <w:tabs>
        <w:tab w:val="left" w:pos="1145"/>
      </w:tabs>
      <w:spacing w:beforeLines="50" w:afterLines="50"/>
      <w:ind w:left="1145" w:hanging="420"/>
      <w:jc w:val="both"/>
      <w:outlineLvl w:val="1"/>
    </w:pPr>
    <w:rPr>
      <w:rFonts w:ascii="黑体" w:hAnsi="Times New Roman" w:eastAsia="黑体" w:cs="Times New Roman"/>
      <w:sz w:val="21"/>
      <w:lang w:val="en-US" w:eastAsia="zh-CN" w:bidi="ar-SA"/>
    </w:rPr>
  </w:style>
  <w:style w:type="paragraph" w:customStyle="1" w:styleId="342">
    <w:name w:val="Paragraph1"/>
    <w:basedOn w:val="1"/>
    <w:qFormat/>
    <w:uiPriority w:val="0"/>
    <w:pPr>
      <w:adjustRightInd w:val="0"/>
      <w:spacing w:before="80"/>
      <w:textAlignment w:val="baseline"/>
    </w:pPr>
    <w:rPr>
      <w:rFonts w:ascii="宋体"/>
      <w:kern w:val="0"/>
      <w:sz w:val="20"/>
      <w:szCs w:val="24"/>
    </w:rPr>
  </w:style>
  <w:style w:type="paragraph" w:customStyle="1" w:styleId="343">
    <w:name w:val="font8"/>
    <w:basedOn w:val="1"/>
    <w:qFormat/>
    <w:uiPriority w:val="0"/>
    <w:pPr>
      <w:adjustRightInd w:val="0"/>
      <w:spacing w:before="100" w:beforeAutospacing="1" w:after="100" w:afterAutospacing="1"/>
      <w:textAlignment w:val="baseline"/>
    </w:pPr>
    <w:rPr>
      <w:color w:val="FF0000"/>
      <w:kern w:val="0"/>
      <w:sz w:val="20"/>
      <w:szCs w:val="21"/>
    </w:rPr>
  </w:style>
  <w:style w:type="paragraph" w:customStyle="1" w:styleId="344">
    <w:name w:val="xl86"/>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345">
    <w:name w:val="Noident"/>
    <w:basedOn w:val="1"/>
    <w:qFormat/>
    <w:uiPriority w:val="0"/>
    <w:pPr>
      <w:widowControl/>
      <w:spacing w:line="300" w:lineRule="auto"/>
    </w:pPr>
    <w:rPr>
      <w:sz w:val="24"/>
    </w:rPr>
  </w:style>
  <w:style w:type="paragraph" w:customStyle="1" w:styleId="34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4"/>
      <w:szCs w:val="24"/>
    </w:rPr>
  </w:style>
  <w:style w:type="paragraph" w:customStyle="1" w:styleId="347">
    <w:name w:val="xl26"/>
    <w:basedOn w:val="1"/>
    <w:qFormat/>
    <w:uiPriority w:val="0"/>
    <w:pPr>
      <w:pBdr>
        <w:top w:val="double" w:color="auto" w:sz="6" w:space="0"/>
        <w:left w:val="single" w:color="auto" w:sz="4" w:space="0"/>
        <w:bottom w:val="double" w:color="auto" w:sz="6" w:space="0"/>
        <w:right w:val="double" w:color="auto" w:sz="6" w:space="0"/>
      </w:pBdr>
      <w:shd w:val="clear" w:color="auto" w:fill="FFFF99"/>
      <w:adjustRightInd w:val="0"/>
      <w:spacing w:before="100" w:beforeAutospacing="1" w:after="100" w:afterAutospacing="1"/>
      <w:jc w:val="center"/>
      <w:textAlignment w:val="baseline"/>
    </w:pPr>
    <w:rPr>
      <w:rFonts w:ascii="宋体" w:hAnsi="宋体"/>
      <w:b/>
      <w:bCs/>
      <w:kern w:val="0"/>
      <w:szCs w:val="24"/>
    </w:rPr>
  </w:style>
  <w:style w:type="paragraph" w:customStyle="1" w:styleId="348">
    <w:name w:val="样式 标题 5 + 小四"/>
    <w:basedOn w:val="12"/>
    <w:qFormat/>
    <w:uiPriority w:val="0"/>
    <w:pPr>
      <w:numPr>
        <w:ilvl w:val="0"/>
        <w:numId w:val="0"/>
      </w:numPr>
      <w:spacing w:before="0" w:after="0" w:line="360" w:lineRule="auto"/>
      <w:ind w:left="2072" w:hanging="992"/>
    </w:pPr>
    <w:rPr>
      <w:rFonts w:ascii="宋体" w:hAnsi="宋体"/>
      <w:b w:val="0"/>
      <w:szCs w:val="28"/>
    </w:rPr>
  </w:style>
  <w:style w:type="paragraph" w:customStyle="1" w:styleId="349">
    <w:name w:val="数字标题2"/>
    <w:basedOn w:val="8"/>
    <w:next w:val="1"/>
    <w:qFormat/>
    <w:uiPriority w:val="0"/>
    <w:pPr>
      <w:numPr>
        <w:ilvl w:val="0"/>
        <w:numId w:val="0"/>
      </w:numPr>
      <w:spacing w:before="0" w:after="0" w:line="416" w:lineRule="auto"/>
      <w:jc w:val="both"/>
    </w:pPr>
    <w:rPr>
      <w:rFonts w:ascii="宋体" w:hAnsi="宋体"/>
      <w:bCs/>
      <w:sz w:val="24"/>
      <w:szCs w:val="24"/>
    </w:rPr>
  </w:style>
  <w:style w:type="paragraph" w:customStyle="1" w:styleId="350">
    <w:name w:val="Table Text Char Char Char Char Char Char1"/>
    <w:qFormat/>
    <w:uiPriority w:val="0"/>
    <w:pPr>
      <w:snapToGrid w:val="0"/>
      <w:spacing w:before="80" w:after="80"/>
    </w:pPr>
    <w:rPr>
      <w:rFonts w:ascii="Arial" w:hAnsi="Arial" w:eastAsia="宋体" w:cs="Arial"/>
      <w:sz w:val="18"/>
      <w:szCs w:val="21"/>
      <w:lang w:val="en-US" w:eastAsia="zh-CN" w:bidi="ar-SA"/>
    </w:rPr>
  </w:style>
  <w:style w:type="paragraph" w:customStyle="1" w:styleId="35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52">
    <w:name w:val="序号正文"/>
    <w:basedOn w:val="1"/>
    <w:qFormat/>
    <w:uiPriority w:val="0"/>
    <w:pPr>
      <w:numPr>
        <w:ilvl w:val="0"/>
        <w:numId w:val="8"/>
      </w:numPr>
      <w:tabs>
        <w:tab w:val="left" w:pos="420"/>
      </w:tabs>
      <w:spacing w:beforeLines="50" w:afterLines="50" w:line="300" w:lineRule="auto"/>
    </w:pPr>
    <w:rPr>
      <w:sz w:val="24"/>
      <w:szCs w:val="21"/>
    </w:rPr>
  </w:style>
  <w:style w:type="paragraph" w:customStyle="1" w:styleId="353">
    <w:name w:val="正文1级项目符号"/>
    <w:basedOn w:val="3"/>
    <w:qFormat/>
    <w:uiPriority w:val="0"/>
    <w:pPr>
      <w:adjustRightInd w:val="0"/>
      <w:spacing w:before="120" w:line="360" w:lineRule="exact"/>
      <w:textAlignment w:val="baseline"/>
    </w:pPr>
    <w:rPr>
      <w:kern w:val="0"/>
      <w:szCs w:val="21"/>
    </w:rPr>
  </w:style>
  <w:style w:type="paragraph" w:customStyle="1" w:styleId="354">
    <w:name w:val="Char2 Char Char Char"/>
    <w:basedOn w:val="1"/>
    <w:qFormat/>
    <w:uiPriority w:val="0"/>
    <w:rPr>
      <w:rFonts w:ascii="Tahoma" w:hAnsi="Tahoma"/>
      <w:sz w:val="24"/>
    </w:rPr>
  </w:style>
  <w:style w:type="paragraph" w:customStyle="1" w:styleId="355">
    <w:name w:val="Char Char1 Char Char2 Char Char1"/>
    <w:basedOn w:val="1"/>
    <w:qFormat/>
    <w:uiPriority w:val="0"/>
    <w:pPr>
      <w:widowControl/>
      <w:spacing w:after="160" w:line="240" w:lineRule="exact"/>
      <w:jc w:val="left"/>
    </w:pPr>
    <w:rPr>
      <w:rFonts w:ascii="Verdana" w:hAnsi="Verdana" w:eastAsia="方正仿宋简体"/>
      <w:kern w:val="0"/>
      <w:sz w:val="20"/>
      <w:lang w:eastAsia="en-US"/>
    </w:rPr>
  </w:style>
  <w:style w:type="paragraph" w:customStyle="1" w:styleId="356">
    <w:name w:val="文档类别"/>
    <w:basedOn w:val="1"/>
    <w:qFormat/>
    <w:locked/>
    <w:uiPriority w:val="0"/>
    <w:pPr>
      <w:jc w:val="center"/>
    </w:pPr>
    <w:rPr>
      <w:rFonts w:eastAsia="黑体" w:cs="宋体"/>
      <w:bCs/>
      <w:sz w:val="30"/>
    </w:rPr>
  </w:style>
  <w:style w:type="paragraph" w:customStyle="1" w:styleId="357">
    <w:name w:val="xl31"/>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kern w:val="0"/>
      <w:sz w:val="20"/>
      <w:szCs w:val="21"/>
    </w:rPr>
  </w:style>
  <w:style w:type="paragraph" w:customStyle="1" w:styleId="358">
    <w:name w:val="xl75"/>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right"/>
      <w:textAlignment w:val="center"/>
    </w:pPr>
    <w:rPr>
      <w:rFonts w:ascii="宋体" w:hAnsi="宋体" w:cs="宋体"/>
      <w:color w:val="0000FF"/>
      <w:kern w:val="0"/>
      <w:sz w:val="24"/>
      <w:szCs w:val="24"/>
    </w:rPr>
  </w:style>
  <w:style w:type="paragraph" w:customStyle="1" w:styleId="359">
    <w:name w:val="xl33"/>
    <w:basedOn w:val="1"/>
    <w:qFormat/>
    <w:uiPriority w:val="0"/>
    <w:pPr>
      <w:pBdr>
        <w:top w:val="single" w:color="auto" w:sz="4" w:space="0"/>
        <w:left w:val="single" w:color="auto" w:sz="4" w:space="0"/>
        <w:bottom w:val="single" w:color="auto" w:sz="4" w:space="0"/>
        <w:right w:val="double" w:color="auto" w:sz="6" w:space="0"/>
      </w:pBdr>
      <w:adjustRightInd w:val="0"/>
      <w:spacing w:before="100" w:beforeAutospacing="1" w:after="100" w:afterAutospacing="1"/>
      <w:textAlignment w:val="baseline"/>
    </w:pPr>
    <w:rPr>
      <w:rFonts w:ascii="宋体" w:hAnsi="宋体"/>
      <w:kern w:val="0"/>
      <w:sz w:val="20"/>
      <w:szCs w:val="21"/>
    </w:rPr>
  </w:style>
  <w:style w:type="paragraph" w:customStyle="1" w:styleId="360">
    <w:name w:val="数字标题6"/>
    <w:basedOn w:val="13"/>
    <w:next w:val="1"/>
    <w:qFormat/>
    <w:uiPriority w:val="0"/>
    <w:pPr>
      <w:numPr>
        <w:ilvl w:val="0"/>
        <w:numId w:val="0"/>
      </w:numPr>
      <w:spacing w:line="320" w:lineRule="auto"/>
      <w:ind w:left="3002" w:hanging="420"/>
    </w:pPr>
    <w:rPr>
      <w:rFonts w:ascii="Times New Roman" w:hAnsi="Times New Roman" w:eastAsia="宋体"/>
      <w:bCs/>
      <w:i/>
      <w:szCs w:val="24"/>
    </w:rPr>
  </w:style>
  <w:style w:type="paragraph" w:customStyle="1" w:styleId="361">
    <w:name w:val="Char Char Char Char Char Char Char Char Char Char Char Char Char Char Char Char Char Char Char Char Char Char1"/>
    <w:basedOn w:val="1"/>
    <w:qFormat/>
    <w:uiPriority w:val="0"/>
    <w:rPr>
      <w:rFonts w:ascii="Tahoma" w:hAnsi="Tahoma"/>
      <w:sz w:val="24"/>
    </w:rPr>
  </w:style>
  <w:style w:type="paragraph" w:customStyle="1" w:styleId="362">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63">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3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24"/>
      <w:szCs w:val="24"/>
    </w:rPr>
  </w:style>
  <w:style w:type="paragraph" w:customStyle="1" w:styleId="365">
    <w:name w:val="样式 标题 3 + 段前: 0 磅 段后: 0 磅 行距: 单倍行距"/>
    <w:basedOn w:val="9"/>
    <w:next w:val="1"/>
    <w:qFormat/>
    <w:uiPriority w:val="0"/>
    <w:pPr>
      <w:keepLines w:val="0"/>
      <w:spacing w:before="0" w:after="0" w:line="240" w:lineRule="auto"/>
      <w:ind w:left="360"/>
    </w:pPr>
    <w:rPr>
      <w:rFonts w:ascii="宋体" w:hAnsi="宋体"/>
      <w:bCs/>
      <w:sz w:val="30"/>
      <w:szCs w:val="32"/>
    </w:rPr>
  </w:style>
  <w:style w:type="paragraph" w:customStyle="1" w:styleId="366">
    <w:name w:val="xl80"/>
    <w:basedOn w:val="1"/>
    <w:qFormat/>
    <w:uiPriority w:val="0"/>
    <w:pPr>
      <w:widowControl/>
      <w:pBdr>
        <w:top w:val="single" w:color="auto" w:sz="12" w:space="0"/>
        <w:left w:val="single" w:color="auto" w:sz="12"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36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FF"/>
      <w:kern w:val="0"/>
      <w:sz w:val="24"/>
      <w:szCs w:val="24"/>
    </w:rPr>
  </w:style>
  <w:style w:type="paragraph" w:customStyle="1" w:styleId="368">
    <w:name w:val="加点正文缩进"/>
    <w:basedOn w:val="1"/>
    <w:qFormat/>
    <w:uiPriority w:val="0"/>
    <w:pPr>
      <w:numPr>
        <w:ilvl w:val="0"/>
        <w:numId w:val="9"/>
      </w:numPr>
      <w:tabs>
        <w:tab w:val="left" w:pos="840"/>
      </w:tabs>
      <w:spacing w:beforeLines="50" w:afterLines="50" w:line="300" w:lineRule="auto"/>
    </w:pPr>
    <w:rPr>
      <w:sz w:val="24"/>
      <w:szCs w:val="24"/>
    </w:rPr>
  </w:style>
  <w:style w:type="paragraph" w:customStyle="1" w:styleId="369">
    <w:name w:val="正文1级编号"/>
    <w:basedOn w:val="3"/>
    <w:qFormat/>
    <w:uiPriority w:val="0"/>
    <w:pPr>
      <w:tabs>
        <w:tab w:val="left" w:pos="420"/>
        <w:tab w:val="left" w:pos="1474"/>
      </w:tabs>
      <w:adjustRightInd w:val="0"/>
      <w:snapToGrid w:val="0"/>
      <w:spacing w:before="120" w:line="360" w:lineRule="exact"/>
      <w:ind w:left="420" w:hanging="420"/>
      <w:textAlignment w:val="baseline"/>
    </w:pPr>
    <w:rPr>
      <w:kern w:val="0"/>
      <w:szCs w:val="21"/>
    </w:rPr>
  </w:style>
  <w:style w:type="paragraph" w:customStyle="1" w:styleId="370">
    <w:name w:val="样式 标题 1 + 小二 非加粗"/>
    <w:basedOn w:val="7"/>
    <w:qFormat/>
    <w:uiPriority w:val="0"/>
    <w:pPr>
      <w:numPr>
        <w:numId w:val="0"/>
      </w:numPr>
      <w:spacing w:line="578" w:lineRule="auto"/>
      <w:ind w:left="425" w:hanging="425"/>
      <w:jc w:val="both"/>
    </w:pPr>
    <w:rPr>
      <w:rFonts w:eastAsia="宋体"/>
      <w:szCs w:val="44"/>
    </w:rPr>
  </w:style>
  <w:style w:type="paragraph" w:customStyle="1" w:styleId="371">
    <w:name w:val="xl101"/>
    <w:basedOn w:val="1"/>
    <w:qFormat/>
    <w:uiPriority w:val="0"/>
    <w:pPr>
      <w:widowControl/>
      <w:pBdr>
        <w:top w:val="single" w:color="auto" w:sz="4" w:space="0"/>
        <w:left w:val="single" w:color="auto" w:sz="12"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color w:val="000000"/>
      <w:kern w:val="0"/>
      <w:sz w:val="24"/>
      <w:szCs w:val="24"/>
    </w:rPr>
  </w:style>
  <w:style w:type="paragraph" w:customStyle="1" w:styleId="372">
    <w:name w:val="xl93"/>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373">
    <w:name w:val="正文居中"/>
    <w:basedOn w:val="1"/>
    <w:qFormat/>
    <w:uiPriority w:val="0"/>
    <w:pPr>
      <w:spacing w:beforeLines="50" w:afterLines="50" w:line="300" w:lineRule="auto"/>
      <w:jc w:val="center"/>
    </w:pPr>
    <w:rPr>
      <w:sz w:val="24"/>
      <w:szCs w:val="24"/>
    </w:rPr>
  </w:style>
  <w:style w:type="paragraph" w:customStyle="1" w:styleId="374">
    <w:name w:val="Char Char Char Char Char Char Char Char Char1 Char Char Char Char Char Char Char Char Char Char"/>
    <w:basedOn w:val="1"/>
    <w:qFormat/>
    <w:uiPriority w:val="0"/>
    <w:pPr>
      <w:widowControl/>
      <w:adjustRightInd w:val="0"/>
      <w:spacing w:after="160" w:line="240" w:lineRule="exact"/>
      <w:jc w:val="left"/>
      <w:textAlignment w:val="baseline"/>
    </w:pPr>
    <w:rPr>
      <w:rFonts w:ascii="Verdana" w:hAnsi="Verdana" w:eastAsia="仿宋_GB2312"/>
      <w:kern w:val="0"/>
      <w:sz w:val="28"/>
      <w:lang w:eastAsia="en-US"/>
    </w:rPr>
  </w:style>
  <w:style w:type="paragraph" w:customStyle="1" w:styleId="375">
    <w:name w:val="图题2"/>
    <w:basedOn w:val="274"/>
    <w:next w:val="1"/>
    <w:qFormat/>
    <w:uiPriority w:val="0"/>
    <w:pPr>
      <w:numPr>
        <w:ilvl w:val="1"/>
        <w:numId w:val="10"/>
      </w:numPr>
      <w:tabs>
        <w:tab w:val="left" w:pos="720"/>
      </w:tabs>
      <w:snapToGrid/>
    </w:pPr>
  </w:style>
  <w:style w:type="paragraph" w:customStyle="1" w:styleId="376">
    <w:name w:val="Char2 Char Char Char1"/>
    <w:basedOn w:val="1"/>
    <w:qFormat/>
    <w:uiPriority w:val="0"/>
    <w:rPr>
      <w:rFonts w:ascii="Tahoma" w:hAnsi="Tahoma"/>
      <w:sz w:val="24"/>
    </w:rPr>
  </w:style>
  <w:style w:type="paragraph" w:customStyle="1" w:styleId="37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FF"/>
      <w:kern w:val="0"/>
      <w:sz w:val="24"/>
      <w:szCs w:val="24"/>
    </w:rPr>
  </w:style>
  <w:style w:type="paragraph" w:customStyle="1" w:styleId="378">
    <w:name w:val="xl25"/>
    <w:basedOn w:val="1"/>
    <w:qFormat/>
    <w:uiPriority w:val="0"/>
    <w:pPr>
      <w:pBdr>
        <w:top w:val="double" w:color="auto" w:sz="6" w:space="0"/>
        <w:left w:val="single" w:color="auto" w:sz="4" w:space="0"/>
        <w:bottom w:val="double" w:color="auto" w:sz="6" w:space="0"/>
        <w:right w:val="single" w:color="auto" w:sz="4" w:space="0"/>
      </w:pBdr>
      <w:shd w:val="clear" w:color="auto" w:fill="FFFF99"/>
      <w:adjustRightInd w:val="0"/>
      <w:spacing w:before="100" w:beforeAutospacing="1" w:after="100" w:afterAutospacing="1"/>
      <w:jc w:val="center"/>
      <w:textAlignment w:val="baseline"/>
    </w:pPr>
    <w:rPr>
      <w:rFonts w:ascii="宋体" w:hAnsi="宋体"/>
      <w:b/>
      <w:bCs/>
      <w:kern w:val="0"/>
      <w:szCs w:val="24"/>
    </w:rPr>
  </w:style>
  <w:style w:type="paragraph" w:customStyle="1" w:styleId="379">
    <w:name w:val="xl36"/>
    <w:basedOn w:val="1"/>
    <w:qFormat/>
    <w:uiPriority w:val="0"/>
    <w:pPr>
      <w:pBdr>
        <w:bottom w:val="single" w:color="auto" w:sz="4" w:space="0"/>
        <w:right w:val="single" w:color="auto" w:sz="4" w:space="0"/>
      </w:pBdr>
      <w:shd w:val="clear" w:color="auto" w:fill="FFFF99"/>
      <w:adjustRightInd w:val="0"/>
      <w:spacing w:before="100" w:beforeAutospacing="1" w:after="100" w:afterAutospacing="1"/>
      <w:textAlignment w:val="baseline"/>
    </w:pPr>
    <w:rPr>
      <w:rFonts w:ascii="宋体" w:hAnsi="宋体"/>
      <w:color w:val="008000"/>
      <w:kern w:val="0"/>
      <w:sz w:val="20"/>
      <w:szCs w:val="21"/>
    </w:rPr>
  </w:style>
  <w:style w:type="paragraph" w:customStyle="1" w:styleId="380">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381">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382">
    <w:name w:val="标题小四"/>
    <w:basedOn w:val="8"/>
    <w:qFormat/>
    <w:uiPriority w:val="0"/>
    <w:pPr>
      <w:keepNext w:val="0"/>
      <w:keepLines w:val="0"/>
      <w:numPr>
        <w:ilvl w:val="0"/>
        <w:numId w:val="0"/>
      </w:numPr>
      <w:spacing w:before="0" w:after="0" w:line="360" w:lineRule="auto"/>
      <w:ind w:right="90"/>
      <w:jc w:val="both"/>
      <w:outlineLvl w:val="9"/>
    </w:pPr>
    <w:rPr>
      <w:rFonts w:ascii="仿宋_GB2312" w:hAnsi="宋体" w:eastAsia="仿宋_GB2312" w:cs="Arial Unicode MS"/>
      <w:b w:val="0"/>
      <w:color w:val="000000"/>
      <w:sz w:val="21"/>
      <w:szCs w:val="21"/>
    </w:rPr>
  </w:style>
  <w:style w:type="paragraph" w:customStyle="1" w:styleId="383">
    <w:name w:val="Char Char1 Char Char Char1"/>
    <w:basedOn w:val="22"/>
    <w:qFormat/>
    <w:uiPriority w:val="0"/>
    <w:rPr>
      <w:rFonts w:ascii="Tahoma" w:hAnsi="Tahoma"/>
      <w:sz w:val="24"/>
      <w:szCs w:val="24"/>
    </w:rPr>
  </w:style>
  <w:style w:type="paragraph" w:customStyle="1" w:styleId="384">
    <w:name w:val="标题 4 + 小三"/>
    <w:basedOn w:val="9"/>
    <w:qFormat/>
    <w:uiPriority w:val="0"/>
    <w:pPr>
      <w:spacing w:before="0" w:after="0" w:line="400" w:lineRule="exact"/>
      <w:ind w:left="1260" w:hanging="420"/>
      <w:outlineLvl w:val="3"/>
    </w:pPr>
    <w:rPr>
      <w:bCs/>
      <w:sz w:val="28"/>
      <w:szCs w:val="28"/>
    </w:rPr>
  </w:style>
  <w:style w:type="paragraph" w:customStyle="1" w:styleId="385">
    <w:name w:val="9001"/>
    <w:basedOn w:val="1"/>
    <w:qFormat/>
    <w:uiPriority w:val="0"/>
    <w:pPr>
      <w:tabs>
        <w:tab w:val="left" w:pos="885"/>
      </w:tabs>
      <w:adjustRightInd w:val="0"/>
      <w:spacing w:before="40" w:after="40" w:line="360" w:lineRule="auto"/>
      <w:ind w:left="885" w:right="210" w:hanging="360"/>
      <w:textAlignment w:val="baseline"/>
    </w:pPr>
    <w:rPr>
      <w:szCs w:val="21"/>
    </w:rPr>
  </w:style>
  <w:style w:type="paragraph" w:customStyle="1" w:styleId="386">
    <w:name w:val="正文要求，小四"/>
    <w:basedOn w:val="1"/>
    <w:qFormat/>
    <w:uiPriority w:val="0"/>
    <w:pPr>
      <w:numPr>
        <w:ilvl w:val="0"/>
        <w:numId w:val="11"/>
      </w:numPr>
      <w:spacing w:line="360" w:lineRule="auto"/>
    </w:pPr>
    <w:rPr>
      <w:rFonts w:ascii="宋体" w:hAnsi="宋体"/>
      <w:sz w:val="24"/>
      <w:szCs w:val="24"/>
    </w:rPr>
  </w:style>
  <w:style w:type="paragraph" w:customStyle="1" w:styleId="387">
    <w:name w:val="È±Ê¡ÎÄ±¾"/>
    <w:basedOn w:val="1"/>
    <w:qFormat/>
    <w:uiPriority w:val="0"/>
    <w:pPr>
      <w:widowControl/>
      <w:overflowPunct w:val="0"/>
      <w:autoSpaceDE w:val="0"/>
      <w:autoSpaceDN w:val="0"/>
      <w:adjustRightInd w:val="0"/>
      <w:spacing w:line="360" w:lineRule="auto"/>
      <w:textAlignment w:val="baseline"/>
    </w:pPr>
    <w:rPr>
      <w:kern w:val="0"/>
    </w:rPr>
  </w:style>
  <w:style w:type="paragraph" w:customStyle="1" w:styleId="388">
    <w:name w:val="Char Char2 Char Char Char Char Char Char Char1"/>
    <w:basedOn w:val="1"/>
    <w:qFormat/>
    <w:uiPriority w:val="0"/>
    <w:rPr>
      <w:rFonts w:ascii="Tahoma" w:hAnsi="Tahoma"/>
      <w:sz w:val="24"/>
    </w:rPr>
  </w:style>
  <w:style w:type="paragraph" w:customStyle="1" w:styleId="389">
    <w:name w:val="Char3 Char Char Char1"/>
    <w:basedOn w:val="1"/>
    <w:qFormat/>
    <w:uiPriority w:val="0"/>
    <w:rPr>
      <w:rFonts w:ascii="Tahoma" w:hAnsi="Tahoma"/>
      <w:sz w:val="24"/>
    </w:rPr>
  </w:style>
  <w:style w:type="paragraph" w:customStyle="1" w:styleId="390">
    <w:name w:val="Table Text"/>
    <w:qFormat/>
    <w:uiPriority w:val="0"/>
    <w:pPr>
      <w:snapToGrid w:val="0"/>
      <w:spacing w:before="80" w:after="80"/>
    </w:pPr>
    <w:rPr>
      <w:rFonts w:ascii="Arial" w:hAnsi="Arial" w:eastAsia="宋体" w:cs="Times New Roman"/>
      <w:sz w:val="18"/>
      <w:lang w:val="en-US" w:eastAsia="en-US" w:bidi="ar-SA"/>
    </w:rPr>
  </w:style>
  <w:style w:type="paragraph" w:customStyle="1" w:styleId="391">
    <w:name w:val="xl28"/>
    <w:basedOn w:val="1"/>
    <w:qFormat/>
    <w:uiPriority w:val="0"/>
    <w:pPr>
      <w:pBdr>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kern w:val="0"/>
      <w:sz w:val="20"/>
      <w:szCs w:val="21"/>
    </w:rPr>
  </w:style>
  <w:style w:type="paragraph" w:customStyle="1" w:styleId="392">
    <w:name w:val="样式 正文文字缩进 + 左侧:  0.75 厘米 首行缩进:  1.12 厘米"/>
    <w:basedOn w:val="6"/>
    <w:qFormat/>
    <w:uiPriority w:val="0"/>
    <w:pPr>
      <w:adjustRightInd w:val="0"/>
      <w:spacing w:line="300" w:lineRule="auto"/>
      <w:ind w:firstLine="200" w:firstLineChars="200"/>
      <w:textAlignment w:val="baseline"/>
    </w:pPr>
    <w:rPr>
      <w:rFonts w:ascii="Times New Roman" w:hAnsi="Times New Roman"/>
      <w:sz w:val="21"/>
      <w:szCs w:val="21"/>
    </w:rPr>
  </w:style>
  <w:style w:type="paragraph" w:customStyle="1" w:styleId="393">
    <w:name w:val="样式 正文首行缩进 + 首行缩进:  1 字符2"/>
    <w:basedOn w:val="2"/>
    <w:qFormat/>
    <w:uiPriority w:val="0"/>
    <w:pPr>
      <w:adjustRightInd w:val="0"/>
      <w:spacing w:after="0" w:line="300" w:lineRule="auto"/>
      <w:ind w:firstLine="200" w:firstLineChars="200"/>
      <w:textAlignment w:val="baseline"/>
    </w:pPr>
    <w:rPr>
      <w:rFonts w:cs="宋体"/>
      <w:kern w:val="0"/>
      <w:szCs w:val="21"/>
    </w:rPr>
  </w:style>
  <w:style w:type="paragraph" w:customStyle="1" w:styleId="394">
    <w:name w:val="表格正文"/>
    <w:basedOn w:val="1"/>
    <w:qFormat/>
    <w:uiPriority w:val="0"/>
    <w:pPr>
      <w:spacing w:beforeLines="50"/>
    </w:pPr>
    <w:rPr>
      <w:rFonts w:ascii="Arial" w:hAnsi="Arial"/>
    </w:rPr>
  </w:style>
  <w:style w:type="paragraph" w:customStyle="1" w:styleId="395">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396">
    <w:name w:val="样式 小四 左侧:  2.86 厘米 首行缩进:  2 字符"/>
    <w:basedOn w:val="1"/>
    <w:qFormat/>
    <w:uiPriority w:val="0"/>
    <w:pPr>
      <w:ind w:firstLine="480" w:firstLineChars="200"/>
    </w:pPr>
    <w:rPr>
      <w:rFonts w:cs="宋体"/>
      <w:sz w:val="24"/>
      <w:szCs w:val="24"/>
    </w:rPr>
  </w:style>
  <w:style w:type="paragraph" w:customStyle="1" w:styleId="397">
    <w:name w:val="数字标题4"/>
    <w:basedOn w:val="10"/>
    <w:qFormat/>
    <w:uiPriority w:val="0"/>
    <w:pPr>
      <w:numPr>
        <w:ilvl w:val="4"/>
        <w:numId w:val="5"/>
      </w:numPr>
      <w:tabs>
        <w:tab w:val="left" w:pos="2520"/>
        <w:tab w:val="clear" w:pos="425"/>
      </w:tabs>
      <w:spacing w:before="0" w:line="376" w:lineRule="auto"/>
      <w:ind w:left="0" w:firstLine="0"/>
    </w:pPr>
    <w:rPr>
      <w:rFonts w:hAnsi="宋体"/>
      <w:bCs/>
      <w:sz w:val="24"/>
      <w:szCs w:val="24"/>
    </w:rPr>
  </w:style>
  <w:style w:type="paragraph" w:customStyle="1" w:styleId="398">
    <w:name w:val="xl10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9">
    <w:name w:val="xl92"/>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400">
    <w:name w:val="序号正文缩进"/>
    <w:basedOn w:val="352"/>
    <w:qFormat/>
    <w:uiPriority w:val="0"/>
    <w:pPr>
      <w:numPr>
        <w:ilvl w:val="0"/>
        <w:numId w:val="12"/>
      </w:numPr>
      <w:tabs>
        <w:tab w:val="left" w:pos="240"/>
        <w:tab w:val="left" w:pos="978"/>
        <w:tab w:val="left" w:pos="1120"/>
      </w:tabs>
      <w:adjustRightInd w:val="0"/>
      <w:snapToGrid w:val="0"/>
      <w:jc w:val="left"/>
    </w:pPr>
  </w:style>
  <w:style w:type="paragraph" w:customStyle="1" w:styleId="401">
    <w:name w:val="Table Heading Char"/>
    <w:qFormat/>
    <w:uiPriority w:val="0"/>
    <w:pPr>
      <w:snapToGrid w:val="0"/>
      <w:jc w:val="center"/>
    </w:pPr>
    <w:rPr>
      <w:rFonts w:ascii="Arial" w:hAnsi="Arial" w:eastAsia="黑体" w:cs="Times New Roman"/>
      <w:sz w:val="18"/>
      <w:lang w:val="en-US" w:eastAsia="zh-CN" w:bidi="ar-SA"/>
    </w:rPr>
  </w:style>
  <w:style w:type="paragraph" w:customStyle="1" w:styleId="402">
    <w:name w:val="数字标题3"/>
    <w:basedOn w:val="9"/>
    <w:next w:val="1"/>
    <w:qFormat/>
    <w:uiPriority w:val="0"/>
    <w:pPr>
      <w:spacing w:before="0" w:after="0" w:line="360" w:lineRule="auto"/>
      <w:ind w:firstLine="422" w:firstLineChars="200"/>
    </w:pPr>
    <w:rPr>
      <w:rFonts w:ascii="宋体" w:hAnsi="宋体"/>
      <w:bCs/>
      <w:sz w:val="21"/>
      <w:szCs w:val="21"/>
    </w:rPr>
  </w:style>
  <w:style w:type="paragraph" w:customStyle="1" w:styleId="403">
    <w:name w:val="封面标题"/>
    <w:basedOn w:val="1"/>
    <w:qFormat/>
    <w:uiPriority w:val="0"/>
    <w:pPr>
      <w:adjustRightInd w:val="0"/>
      <w:snapToGrid w:val="0"/>
      <w:spacing w:line="360" w:lineRule="auto"/>
      <w:jc w:val="center"/>
      <w:textAlignment w:val="baseline"/>
    </w:pPr>
    <w:rPr>
      <w:rFonts w:eastAsia="黑体"/>
      <w:kern w:val="0"/>
      <w:sz w:val="52"/>
      <w:szCs w:val="21"/>
    </w:rPr>
  </w:style>
  <w:style w:type="paragraph" w:customStyle="1" w:styleId="40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05">
    <w:name w:val="标题 9 + 小四"/>
    <w:basedOn w:val="16"/>
    <w:qFormat/>
    <w:uiPriority w:val="0"/>
    <w:pPr>
      <w:numPr>
        <w:ilvl w:val="0"/>
        <w:numId w:val="0"/>
      </w:numPr>
      <w:spacing w:line="320" w:lineRule="auto"/>
      <w:ind w:left="359" w:leftChars="171" w:hanging="420"/>
    </w:pPr>
    <w:rPr>
      <w:sz w:val="24"/>
      <w:szCs w:val="24"/>
    </w:rPr>
  </w:style>
  <w:style w:type="paragraph" w:customStyle="1" w:styleId="406">
    <w:name w:val="正文 + 宋体"/>
    <w:basedOn w:val="1"/>
    <w:qFormat/>
    <w:uiPriority w:val="0"/>
    <w:pPr>
      <w:ind w:firstLine="418" w:firstLineChars="174"/>
      <w:jc w:val="left"/>
    </w:pPr>
    <w:rPr>
      <w:sz w:val="24"/>
      <w:szCs w:val="24"/>
    </w:rPr>
  </w:style>
  <w:style w:type="paragraph" w:customStyle="1" w:styleId="407">
    <w:name w:val="Char1 Char Char1"/>
    <w:basedOn w:val="1"/>
    <w:qFormat/>
    <w:uiPriority w:val="0"/>
    <w:rPr>
      <w:rFonts w:ascii="Tahoma" w:hAnsi="Tahoma"/>
      <w:sz w:val="24"/>
    </w:rPr>
  </w:style>
  <w:style w:type="paragraph" w:customStyle="1" w:styleId="408">
    <w:name w:val="文档标题"/>
    <w:basedOn w:val="1"/>
    <w:qFormat/>
    <w:uiPriority w:val="0"/>
    <w:pPr>
      <w:tabs>
        <w:tab w:val="left" w:pos="0"/>
      </w:tabs>
      <w:autoSpaceDE w:val="0"/>
      <w:autoSpaceDN w:val="0"/>
      <w:adjustRightInd w:val="0"/>
      <w:spacing w:before="300" w:after="300" w:line="360" w:lineRule="auto"/>
      <w:jc w:val="center"/>
    </w:pPr>
    <w:rPr>
      <w:rFonts w:ascii="Arial" w:hAnsi="Arial" w:eastAsia="黑体"/>
      <w:kern w:val="0"/>
      <w:sz w:val="36"/>
      <w:szCs w:val="36"/>
    </w:rPr>
  </w:style>
  <w:style w:type="paragraph" w:customStyle="1" w:styleId="409">
    <w:name w:val="表格标题"/>
    <w:basedOn w:val="1"/>
    <w:next w:val="1"/>
    <w:qFormat/>
    <w:uiPriority w:val="0"/>
    <w:pPr>
      <w:tabs>
        <w:tab w:val="left" w:pos="420"/>
      </w:tabs>
      <w:jc w:val="center"/>
    </w:pPr>
    <w:rPr>
      <w:rFonts w:ascii="宋体"/>
      <w:b/>
      <w:sz w:val="24"/>
    </w:rPr>
  </w:style>
  <w:style w:type="paragraph" w:customStyle="1" w:styleId="410">
    <w:name w:val="Char Char Char Char Char Char Char1"/>
    <w:basedOn w:val="1"/>
    <w:qFormat/>
    <w:uiPriority w:val="0"/>
    <w:rPr>
      <w:rFonts w:ascii="Tahoma" w:hAnsi="Tahoma"/>
      <w:sz w:val="24"/>
    </w:rPr>
  </w:style>
  <w:style w:type="paragraph" w:customStyle="1" w:styleId="411">
    <w:name w:val="xl96"/>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412">
    <w:name w:val="Char1 Char Char Char Char Char Char Char Char Char Char Char"/>
    <w:basedOn w:val="1"/>
    <w:qFormat/>
    <w:uiPriority w:val="0"/>
    <w:rPr>
      <w:rFonts w:ascii="Tahoma" w:hAnsi="Tahoma"/>
      <w:sz w:val="24"/>
    </w:rPr>
  </w:style>
  <w:style w:type="paragraph" w:customStyle="1" w:styleId="413">
    <w:name w:val="样式 标题 4 + 小四"/>
    <w:basedOn w:val="10"/>
    <w:qFormat/>
    <w:uiPriority w:val="0"/>
    <w:pPr>
      <w:keepNext w:val="0"/>
      <w:keepLines w:val="0"/>
      <w:tabs>
        <w:tab w:val="clear" w:pos="425"/>
      </w:tabs>
      <w:spacing w:before="0" w:line="240" w:lineRule="auto"/>
      <w:ind w:left="0" w:firstLine="0"/>
    </w:pPr>
    <w:rPr>
      <w:rFonts w:ascii="Times New Roman"/>
      <w:b w:val="0"/>
      <w:sz w:val="24"/>
      <w:szCs w:val="24"/>
    </w:rPr>
  </w:style>
  <w:style w:type="paragraph" w:customStyle="1" w:styleId="414">
    <w:name w:val="Char1 Char Char"/>
    <w:basedOn w:val="1"/>
    <w:qFormat/>
    <w:uiPriority w:val="0"/>
    <w:rPr>
      <w:rFonts w:ascii="Tahoma" w:hAnsi="Tahoma"/>
      <w:sz w:val="24"/>
    </w:rPr>
  </w:style>
  <w:style w:type="paragraph" w:customStyle="1" w:styleId="415">
    <w:name w:val="政务正文"/>
    <w:basedOn w:val="1"/>
    <w:qFormat/>
    <w:uiPriority w:val="0"/>
    <w:pPr>
      <w:spacing w:before="93" w:after="93" w:line="440" w:lineRule="atLeast"/>
      <w:ind w:firstLine="480" w:firstLineChars="200"/>
    </w:pPr>
    <w:rPr>
      <w:rFonts w:hint="eastAsia" w:ascii="宋体" w:hAnsi="宋体" w:cs="Arial"/>
      <w:sz w:val="24"/>
      <w:szCs w:val="21"/>
    </w:rPr>
  </w:style>
  <w:style w:type="paragraph" w:customStyle="1" w:styleId="416">
    <w:name w:val="列出段落11"/>
    <w:basedOn w:val="1"/>
    <w:qFormat/>
    <w:uiPriority w:val="34"/>
    <w:pPr>
      <w:ind w:firstLine="420" w:firstLineChars="200"/>
    </w:pPr>
    <w:rPr>
      <w:rFonts w:ascii="Calibri" w:hAnsi="Calibri"/>
      <w:szCs w:val="22"/>
    </w:rPr>
  </w:style>
  <w:style w:type="paragraph" w:customStyle="1" w:styleId="417">
    <w:name w:val="xl34"/>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color w:val="FF0000"/>
      <w:kern w:val="0"/>
      <w:sz w:val="20"/>
      <w:szCs w:val="21"/>
    </w:rPr>
  </w:style>
  <w:style w:type="paragraph" w:customStyle="1" w:styleId="41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9">
    <w:name w:val="content5"/>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0">
    <w:name w:val="并列项-点"/>
    <w:basedOn w:val="1"/>
    <w:qFormat/>
    <w:uiPriority w:val="0"/>
    <w:pPr>
      <w:widowControl/>
      <w:tabs>
        <w:tab w:val="left" w:pos="851"/>
      </w:tabs>
      <w:adjustRightInd w:val="0"/>
      <w:snapToGrid w:val="0"/>
      <w:spacing w:line="360" w:lineRule="atLeast"/>
      <w:ind w:left="900" w:hanging="420"/>
      <w:textAlignment w:val="baseline"/>
    </w:pPr>
    <w:rPr>
      <w:kern w:val="0"/>
      <w:sz w:val="24"/>
    </w:rPr>
  </w:style>
  <w:style w:type="paragraph" w:customStyle="1" w:styleId="421">
    <w:name w:val="Char Char31"/>
    <w:basedOn w:val="1"/>
    <w:qFormat/>
    <w:uiPriority w:val="0"/>
    <w:pPr>
      <w:spacing w:line="360" w:lineRule="auto"/>
      <w:ind w:firstLine="200" w:firstLineChars="200"/>
    </w:pPr>
    <w:rPr>
      <w:rFonts w:ascii="Tahoma" w:hAnsi="Tahoma"/>
      <w:sz w:val="24"/>
      <w:szCs w:val="24"/>
    </w:rPr>
  </w:style>
  <w:style w:type="paragraph" w:customStyle="1" w:styleId="422">
    <w:name w:val="xl103"/>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textAlignment w:val="center"/>
    </w:pPr>
    <w:rPr>
      <w:rFonts w:ascii="宋体" w:hAnsi="宋体" w:cs="宋体"/>
      <w:color w:val="000000"/>
      <w:kern w:val="0"/>
      <w:sz w:val="24"/>
      <w:szCs w:val="24"/>
    </w:rPr>
  </w:style>
  <w:style w:type="paragraph" w:customStyle="1" w:styleId="42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424">
    <w:name w:val="样式 行距: 多倍行距 1.25 字行"/>
    <w:basedOn w:val="1"/>
    <w:qFormat/>
    <w:uiPriority w:val="0"/>
    <w:pPr>
      <w:adjustRightInd w:val="0"/>
      <w:spacing w:line="300" w:lineRule="auto"/>
      <w:ind w:firstLine="200" w:firstLineChars="200"/>
      <w:textAlignment w:val="baseline"/>
    </w:pPr>
    <w:rPr>
      <w:rFonts w:cs="宋体"/>
      <w:kern w:val="0"/>
      <w:szCs w:val="21"/>
    </w:rPr>
  </w:style>
  <w:style w:type="paragraph" w:customStyle="1" w:styleId="425">
    <w:name w:val="数字标题1"/>
    <w:basedOn w:val="7"/>
    <w:next w:val="1"/>
    <w:qFormat/>
    <w:uiPriority w:val="0"/>
    <w:pPr>
      <w:numPr>
        <w:numId w:val="0"/>
      </w:numPr>
      <w:spacing w:before="0" w:after="0" w:line="360" w:lineRule="auto"/>
      <w:ind w:firstLine="241" w:firstLineChars="100"/>
      <w:jc w:val="both"/>
    </w:pPr>
    <w:rPr>
      <w:rFonts w:ascii="宋体" w:hAnsi="宋体" w:eastAsia="宋体"/>
      <w:bCs/>
      <w:sz w:val="24"/>
      <w:szCs w:val="24"/>
    </w:rPr>
  </w:style>
  <w:style w:type="paragraph" w:customStyle="1" w:styleId="426">
    <w:name w:val="xl104"/>
    <w:basedOn w:val="1"/>
    <w:qFormat/>
    <w:uiPriority w:val="0"/>
    <w:pPr>
      <w:widowControl/>
      <w:pBdr>
        <w:top w:val="single" w:color="auto" w:sz="4" w:space="0"/>
        <w:bottom w:val="single" w:color="auto" w:sz="4" w:space="0"/>
        <w:right w:val="single" w:color="auto" w:sz="4" w:space="0"/>
      </w:pBdr>
      <w:shd w:val="clear" w:color="000000" w:fill="D8D8D8"/>
      <w:spacing w:before="100" w:beforeAutospacing="1" w:after="100" w:afterAutospacing="1"/>
      <w:jc w:val="left"/>
      <w:textAlignment w:val="center"/>
    </w:pPr>
    <w:rPr>
      <w:rFonts w:ascii="宋体" w:hAnsi="宋体" w:cs="宋体"/>
      <w:color w:val="000000"/>
      <w:kern w:val="0"/>
      <w:sz w:val="24"/>
      <w:szCs w:val="24"/>
    </w:rPr>
  </w:style>
  <w:style w:type="paragraph" w:customStyle="1" w:styleId="427">
    <w:name w:val="xl84"/>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428">
    <w:name w:val="xl66"/>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429">
    <w:name w:val="xl27"/>
    <w:basedOn w:val="1"/>
    <w:qFormat/>
    <w:uiPriority w:val="0"/>
    <w:pPr>
      <w:pBdr>
        <w:left w:val="double" w:color="auto" w:sz="6" w:space="0"/>
        <w:bottom w:val="single" w:color="auto" w:sz="4" w:space="0"/>
        <w:right w:val="single" w:color="auto" w:sz="4" w:space="0"/>
      </w:pBdr>
      <w:adjustRightInd w:val="0"/>
      <w:spacing w:before="100" w:beforeAutospacing="1" w:after="100" w:afterAutospacing="1"/>
      <w:jc w:val="center"/>
      <w:textAlignment w:val="baseline"/>
    </w:pPr>
    <w:rPr>
      <w:rFonts w:ascii="宋体" w:hAnsi="宋体"/>
      <w:kern w:val="0"/>
      <w:sz w:val="20"/>
      <w:szCs w:val="21"/>
    </w:rPr>
  </w:style>
  <w:style w:type="paragraph" w:customStyle="1" w:styleId="430">
    <w:name w:val="xl32"/>
    <w:basedOn w:val="1"/>
    <w:qFormat/>
    <w:uiPriority w:val="0"/>
    <w:pPr>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baseline"/>
    </w:pPr>
    <w:rPr>
      <w:rFonts w:ascii="宋体" w:hAnsi="宋体"/>
      <w:kern w:val="0"/>
      <w:sz w:val="20"/>
      <w:szCs w:val="21"/>
    </w:rPr>
  </w:style>
  <w:style w:type="paragraph" w:customStyle="1" w:styleId="431">
    <w:name w:val="标准正文"/>
    <w:basedOn w:val="6"/>
    <w:qFormat/>
    <w:uiPriority w:val="0"/>
    <w:pPr>
      <w:spacing w:before="60" w:after="60"/>
      <w:ind w:firstLine="482"/>
    </w:pPr>
    <w:rPr>
      <w:rFonts w:ascii="Times New Roman" w:hAnsi="Times New Roman"/>
    </w:rPr>
  </w:style>
  <w:style w:type="paragraph" w:customStyle="1" w:styleId="432">
    <w:name w:val="Char2 Char Char Char Char Char Char Char Char Char Char Char Char1"/>
    <w:basedOn w:val="1"/>
    <w:qFormat/>
    <w:uiPriority w:val="0"/>
    <w:pPr>
      <w:spacing w:line="360" w:lineRule="auto"/>
      <w:ind w:firstLine="200" w:firstLineChars="200"/>
    </w:pPr>
    <w:rPr>
      <w:rFonts w:ascii="Tahoma" w:hAnsi="Tahoma"/>
      <w:sz w:val="24"/>
      <w:szCs w:val="24"/>
    </w:rPr>
  </w:style>
  <w:style w:type="paragraph" w:customStyle="1" w:styleId="433">
    <w:name w:val="xl105"/>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4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435">
    <w:name w:val="样式 图题 + Helvetica 五号 段前: 7.8 磅 段后: 7.8 磅"/>
    <w:basedOn w:val="274"/>
    <w:qFormat/>
    <w:uiPriority w:val="0"/>
    <w:pPr>
      <w:snapToGrid/>
      <w:spacing w:before="0" w:after="0"/>
    </w:pPr>
    <w:rPr>
      <w:rFonts w:ascii="Helvetica" w:hAnsi="Helvetica"/>
      <w:bCs/>
      <w:sz w:val="21"/>
    </w:rPr>
  </w:style>
  <w:style w:type="paragraph" w:customStyle="1" w:styleId="436">
    <w:name w:val="标题8"/>
    <w:basedOn w:val="15"/>
    <w:qFormat/>
    <w:uiPriority w:val="0"/>
    <w:pPr>
      <w:numPr>
        <w:ilvl w:val="0"/>
        <w:numId w:val="0"/>
      </w:numPr>
      <w:spacing w:before="0" w:after="0" w:line="360" w:lineRule="auto"/>
      <w:ind w:hanging="420" w:firstLineChars="200"/>
      <w:outlineLvl w:val="4"/>
    </w:pPr>
    <w:rPr>
      <w:rFonts w:ascii="Times New Roman" w:hAnsi="Times New Roman" w:eastAsia="宋体"/>
      <w:szCs w:val="28"/>
    </w:rPr>
  </w:style>
  <w:style w:type="paragraph" w:customStyle="1" w:styleId="437">
    <w:name w:val="xl77"/>
    <w:basedOn w:val="1"/>
    <w:qFormat/>
    <w:uiPriority w:val="0"/>
    <w:pPr>
      <w:widowControl/>
      <w:spacing w:before="100" w:beforeAutospacing="1" w:after="100" w:afterAutospacing="1"/>
      <w:jc w:val="left"/>
      <w:textAlignment w:val="center"/>
    </w:pPr>
    <w:rPr>
      <w:rFonts w:ascii="楷体_GB2312" w:hAnsi="宋体" w:eastAsia="楷体_GB2312" w:cs="宋体"/>
      <w:b/>
      <w:bCs/>
      <w:kern w:val="0"/>
      <w:sz w:val="30"/>
      <w:szCs w:val="30"/>
    </w:rPr>
  </w:style>
  <w:style w:type="paragraph" w:customStyle="1" w:styleId="438">
    <w:name w:val="xl69"/>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439">
    <w:name w:val="正文文本缩进1"/>
    <w:basedOn w:val="1"/>
    <w:qFormat/>
    <w:uiPriority w:val="0"/>
    <w:pPr>
      <w:spacing w:line="500" w:lineRule="exact"/>
      <w:ind w:left="1588" w:leftChars="832" w:firstLine="433" w:firstLineChars="196"/>
    </w:pPr>
    <w:rPr>
      <w:sz w:val="24"/>
      <w:szCs w:val="24"/>
    </w:rPr>
  </w:style>
  <w:style w:type="paragraph" w:customStyle="1" w:styleId="440">
    <w:name w:val="表文"/>
    <w:qFormat/>
    <w:uiPriority w:val="0"/>
    <w:rPr>
      <w:rFonts w:ascii="Times New Roman" w:hAnsi="Times New Roman" w:eastAsia="宋体" w:cs="Times New Roman"/>
      <w:bCs/>
      <w:sz w:val="24"/>
      <w:lang w:val="en-US" w:eastAsia="zh-CN" w:bidi="ar-SA"/>
    </w:rPr>
  </w:style>
  <w:style w:type="paragraph" w:customStyle="1" w:styleId="441">
    <w:name w:val="xl78"/>
    <w:basedOn w:val="1"/>
    <w:qFormat/>
    <w:uiPriority w:val="0"/>
    <w:pPr>
      <w:widowControl/>
      <w:spacing w:before="100" w:beforeAutospacing="1" w:after="100" w:afterAutospacing="1"/>
      <w:jc w:val="center"/>
      <w:textAlignment w:val="center"/>
    </w:pPr>
    <w:rPr>
      <w:rFonts w:ascii="楷体_GB2312" w:hAnsi="宋体" w:eastAsia="楷体_GB2312" w:cs="宋体"/>
      <w:b/>
      <w:bCs/>
      <w:kern w:val="0"/>
      <w:sz w:val="30"/>
      <w:szCs w:val="30"/>
    </w:rPr>
  </w:style>
  <w:style w:type="paragraph" w:customStyle="1" w:styleId="4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443">
    <w:name w:val="加点正文"/>
    <w:basedOn w:val="1"/>
    <w:qFormat/>
    <w:uiPriority w:val="0"/>
    <w:pPr>
      <w:numPr>
        <w:ilvl w:val="0"/>
        <w:numId w:val="13"/>
      </w:numPr>
      <w:tabs>
        <w:tab w:val="left" w:pos="420"/>
      </w:tabs>
      <w:spacing w:beforeLines="50" w:afterLines="50" w:line="300" w:lineRule="auto"/>
    </w:pPr>
    <w:rPr>
      <w:sz w:val="24"/>
      <w:szCs w:val="24"/>
    </w:rPr>
  </w:style>
  <w:style w:type="paragraph" w:customStyle="1" w:styleId="444">
    <w:name w:val="样式 正文首行缩进 + 首行缩进:  1 字符"/>
    <w:basedOn w:val="2"/>
    <w:qFormat/>
    <w:uiPriority w:val="0"/>
    <w:pPr>
      <w:adjustRightInd w:val="0"/>
      <w:spacing w:after="0" w:line="300" w:lineRule="auto"/>
      <w:ind w:firstLine="200" w:firstLineChars="200"/>
      <w:textAlignment w:val="baseline"/>
    </w:pPr>
    <w:rPr>
      <w:rFonts w:cs="宋体"/>
      <w:kern w:val="0"/>
      <w:szCs w:val="21"/>
    </w:rPr>
  </w:style>
  <w:style w:type="paragraph" w:customStyle="1" w:styleId="445">
    <w:name w:val="xl74"/>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46">
    <w:name w:val="图标号"/>
    <w:basedOn w:val="1"/>
    <w:next w:val="1"/>
    <w:qFormat/>
    <w:uiPriority w:val="0"/>
    <w:pPr>
      <w:adjustRightInd w:val="0"/>
      <w:snapToGrid w:val="0"/>
      <w:jc w:val="center"/>
      <w:textAlignment w:val="baseline"/>
    </w:pPr>
    <w:rPr>
      <w:b/>
      <w:szCs w:val="21"/>
    </w:rPr>
  </w:style>
  <w:style w:type="paragraph" w:customStyle="1" w:styleId="447">
    <w:name w:val="xl90"/>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48">
    <w:name w:val="xl76"/>
    <w:basedOn w:val="1"/>
    <w:qFormat/>
    <w:uiPriority w:val="0"/>
    <w:pPr>
      <w:widowControl/>
      <w:spacing w:before="100" w:beforeAutospacing="1" w:after="100" w:afterAutospacing="1"/>
      <w:jc w:val="center"/>
      <w:textAlignment w:val="center"/>
    </w:pPr>
    <w:rPr>
      <w:rFonts w:ascii="楷体_GB2312" w:hAnsi="宋体" w:eastAsia="楷体_GB2312" w:cs="宋体"/>
      <w:b/>
      <w:bCs/>
      <w:color w:val="000000"/>
      <w:kern w:val="0"/>
      <w:sz w:val="30"/>
      <w:szCs w:val="30"/>
    </w:rPr>
  </w:style>
  <w:style w:type="paragraph" w:customStyle="1" w:styleId="449">
    <w:name w:val="正文首行缩进1"/>
    <w:basedOn w:val="1"/>
    <w:qFormat/>
    <w:uiPriority w:val="0"/>
    <w:pPr>
      <w:adjustRightInd w:val="0"/>
      <w:spacing w:line="300" w:lineRule="auto"/>
      <w:ind w:firstLine="200" w:firstLineChars="200"/>
      <w:textAlignment w:val="baseline"/>
    </w:pPr>
    <w:rPr>
      <w:rFonts w:cs="宋体"/>
      <w:kern w:val="0"/>
      <w:szCs w:val="21"/>
    </w:rPr>
  </w:style>
  <w:style w:type="paragraph" w:customStyle="1" w:styleId="450">
    <w:name w:val="xl81"/>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451">
    <w:name w:val="表格正文+小四号"/>
    <w:basedOn w:val="1"/>
    <w:qFormat/>
    <w:uiPriority w:val="0"/>
    <w:pPr>
      <w:jc w:val="center"/>
    </w:pPr>
    <w:rPr>
      <w:sz w:val="24"/>
      <w:szCs w:val="24"/>
    </w:rPr>
  </w:style>
  <w:style w:type="paragraph" w:customStyle="1" w:styleId="452">
    <w:name w:val="xl82"/>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453">
    <w:name w:val="表格正文+五号"/>
    <w:basedOn w:val="451"/>
    <w:qFormat/>
    <w:uiPriority w:val="0"/>
    <w:rPr>
      <w:rFonts w:ascii="宋体" w:hAnsi="宋体"/>
      <w:sz w:val="21"/>
      <w:szCs w:val="21"/>
    </w:rPr>
  </w:style>
  <w:style w:type="paragraph" w:customStyle="1" w:styleId="454">
    <w:name w:val="xl89"/>
    <w:basedOn w:val="1"/>
    <w:qFormat/>
    <w:uiPriority w:val="0"/>
    <w:pPr>
      <w:widowControl/>
      <w:pBdr>
        <w:top w:val="single" w:color="auto" w:sz="4" w:space="0"/>
        <w:left w:val="single" w:color="auto" w:sz="12" w:space="0"/>
        <w:bottom w:val="single" w:color="auto" w:sz="12"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455">
    <w:name w:val="图片"/>
    <w:basedOn w:val="1"/>
    <w:qFormat/>
    <w:uiPriority w:val="0"/>
    <w:pPr>
      <w:spacing w:beforeLines="100" w:afterLines="100"/>
      <w:jc w:val="center"/>
    </w:pPr>
    <w:rPr>
      <w:sz w:val="24"/>
      <w:szCs w:val="24"/>
    </w:rPr>
  </w:style>
  <w:style w:type="paragraph" w:customStyle="1" w:styleId="456">
    <w:name w:val="文本框正文+小四号"/>
    <w:basedOn w:val="1"/>
    <w:qFormat/>
    <w:uiPriority w:val="0"/>
    <w:pPr>
      <w:jc w:val="center"/>
    </w:pPr>
    <w:rPr>
      <w:sz w:val="24"/>
      <w:szCs w:val="24"/>
    </w:rPr>
  </w:style>
  <w:style w:type="paragraph" w:customStyle="1" w:styleId="457">
    <w:name w:val="文本框正文+五号"/>
    <w:basedOn w:val="456"/>
    <w:qFormat/>
    <w:uiPriority w:val="0"/>
    <w:rPr>
      <w:sz w:val="21"/>
      <w:szCs w:val="21"/>
    </w:rPr>
  </w:style>
  <w:style w:type="paragraph" w:customStyle="1" w:styleId="45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45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color w:val="0000FF"/>
      <w:kern w:val="0"/>
      <w:sz w:val="24"/>
      <w:szCs w:val="24"/>
    </w:rPr>
  </w:style>
  <w:style w:type="paragraph" w:customStyle="1" w:styleId="460">
    <w:name w:val="xl79"/>
    <w:basedOn w:val="1"/>
    <w:qFormat/>
    <w:uiPriority w:val="0"/>
    <w:pPr>
      <w:widowControl/>
      <w:spacing w:before="100" w:beforeAutospacing="1" w:after="100" w:afterAutospacing="1"/>
      <w:jc w:val="right"/>
      <w:textAlignment w:val="center"/>
    </w:pPr>
    <w:rPr>
      <w:rFonts w:ascii="楷体_GB2312" w:hAnsi="宋体" w:eastAsia="楷体_GB2312" w:cs="宋体"/>
      <w:b/>
      <w:bCs/>
      <w:kern w:val="0"/>
      <w:sz w:val="30"/>
      <w:szCs w:val="30"/>
    </w:rPr>
  </w:style>
  <w:style w:type="paragraph" w:customStyle="1" w:styleId="46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462">
    <w:name w:val="Char1 Char Char Char Char Char Char Char Char Char1"/>
    <w:basedOn w:val="1"/>
    <w:qFormat/>
    <w:uiPriority w:val="0"/>
    <w:pPr>
      <w:widowControl/>
      <w:spacing w:beforeLines="100" w:after="160" w:line="240" w:lineRule="exact"/>
      <w:jc w:val="left"/>
    </w:pPr>
    <w:rPr>
      <w:rFonts w:ascii="Verdana" w:hAnsi="Verdana"/>
      <w:kern w:val="0"/>
      <w:sz w:val="20"/>
      <w:lang w:eastAsia="en-US"/>
    </w:rPr>
  </w:style>
  <w:style w:type="paragraph" w:customStyle="1" w:styleId="46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4"/>
      <w:szCs w:val="24"/>
    </w:rPr>
  </w:style>
  <w:style w:type="paragraph" w:customStyle="1" w:styleId="46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kern w:val="0"/>
      <w:sz w:val="24"/>
      <w:szCs w:val="24"/>
    </w:rPr>
  </w:style>
  <w:style w:type="paragraph" w:customStyle="1" w:styleId="46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46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67">
    <w:name w:val="xl91"/>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468">
    <w:name w:val="Char Char Char Char Char Char Char Char Char1 Char Char Char Char1"/>
    <w:basedOn w:val="1"/>
    <w:qFormat/>
    <w:uiPriority w:val="0"/>
    <w:rPr>
      <w:rFonts w:ascii="Tahoma" w:hAnsi="Tahoma"/>
      <w:sz w:val="24"/>
    </w:rPr>
  </w:style>
  <w:style w:type="paragraph" w:customStyle="1" w:styleId="46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470">
    <w:name w:val="默认段落字体 Para Char Char Char Char Char Char Char Char Char Char Char Char Char Char Char Char"/>
    <w:basedOn w:val="1"/>
    <w:qFormat/>
    <w:uiPriority w:val="0"/>
    <w:rPr>
      <w:szCs w:val="24"/>
    </w:rPr>
  </w:style>
  <w:style w:type="paragraph" w:customStyle="1" w:styleId="471">
    <w:name w:val="Char Char2 Char Char Char Char Char Char Char Char Char Char1"/>
    <w:basedOn w:val="1"/>
    <w:qFormat/>
    <w:uiPriority w:val="0"/>
    <w:rPr>
      <w:rFonts w:ascii="Tahoma" w:hAnsi="Tahoma"/>
      <w:sz w:val="24"/>
    </w:rPr>
  </w:style>
  <w:style w:type="paragraph" w:customStyle="1" w:styleId="472">
    <w:name w:val="列出段落2"/>
    <w:basedOn w:val="1"/>
    <w:qFormat/>
    <w:uiPriority w:val="0"/>
    <w:pPr>
      <w:ind w:firstLine="420" w:firstLineChars="200"/>
    </w:pPr>
    <w:rPr>
      <w:rFonts w:ascii="Calibri" w:hAnsi="Calibri"/>
      <w:szCs w:val="22"/>
    </w:rPr>
  </w:style>
  <w:style w:type="character" w:customStyle="1" w:styleId="473">
    <w:name w:val="列出段落 Char"/>
    <w:link w:val="330"/>
    <w:qFormat/>
    <w:uiPriority w:val="34"/>
    <w:rPr>
      <w:rFonts w:ascii="Calibri" w:hAnsi="Calibri"/>
      <w:kern w:val="2"/>
      <w:sz w:val="21"/>
      <w:szCs w:val="22"/>
    </w:rPr>
  </w:style>
  <w:style w:type="table" w:customStyle="1" w:styleId="474">
    <w:name w:val="网格型1"/>
    <w:basedOn w:val="5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75">
    <w:name w:val="at_3"/>
    <w:basedOn w:val="54"/>
    <w:qFormat/>
    <w:uiPriority w:val="0"/>
  </w:style>
  <w:style w:type="character" w:customStyle="1" w:styleId="476">
    <w:name w:val="zw1"/>
    <w:qFormat/>
    <w:uiPriority w:val="0"/>
    <w:rPr>
      <w:sz w:val="24"/>
      <w:szCs w:val="24"/>
    </w:rPr>
  </w:style>
  <w:style w:type="character" w:customStyle="1" w:styleId="477">
    <w:name w:val="style281"/>
    <w:qFormat/>
    <w:uiPriority w:val="0"/>
    <w:rPr>
      <w:color w:val="000000"/>
    </w:rPr>
  </w:style>
  <w:style w:type="character" w:customStyle="1" w:styleId="478">
    <w:name w:val="at_4"/>
    <w:basedOn w:val="54"/>
    <w:qFormat/>
    <w:uiPriority w:val="0"/>
  </w:style>
  <w:style w:type="character" w:customStyle="1" w:styleId="479">
    <w:name w:val="gray s"/>
    <w:basedOn w:val="54"/>
    <w:qFormat/>
    <w:uiPriority w:val="0"/>
  </w:style>
  <w:style w:type="character" w:customStyle="1" w:styleId="480">
    <w:name w:val="Item Step in Table Char"/>
    <w:qFormat/>
    <w:uiPriority w:val="0"/>
    <w:rPr>
      <w:rFonts w:ascii="Arial" w:hAnsi="Arial" w:cs="Arial"/>
      <w:sz w:val="18"/>
      <w:szCs w:val="18"/>
    </w:rPr>
  </w:style>
  <w:style w:type="character" w:customStyle="1" w:styleId="481">
    <w:name w:val="font01"/>
    <w:qFormat/>
    <w:uiPriority w:val="0"/>
    <w:rPr>
      <w:rFonts w:hint="eastAsia" w:ascii="宋体" w:hAnsi="宋体" w:eastAsia="宋体" w:cs="宋体"/>
      <w:color w:val="FF0000"/>
      <w:sz w:val="20"/>
      <w:szCs w:val="20"/>
      <w:u w:val="none"/>
    </w:rPr>
  </w:style>
  <w:style w:type="paragraph" w:customStyle="1" w:styleId="482">
    <w:name w:val="Aufzählung"/>
    <w:basedOn w:val="1"/>
    <w:next w:val="1"/>
    <w:qFormat/>
    <w:uiPriority w:val="0"/>
    <w:pPr>
      <w:keepLines/>
      <w:widowControl/>
      <w:numPr>
        <w:ilvl w:val="0"/>
        <w:numId w:val="14"/>
      </w:numPr>
      <w:tabs>
        <w:tab w:val="left" w:pos="113"/>
        <w:tab w:val="clear" w:pos="360"/>
      </w:tabs>
      <w:spacing w:line="228" w:lineRule="exact"/>
      <w:jc w:val="left"/>
    </w:pPr>
    <w:rPr>
      <w:rFonts w:ascii="MetaPlusLF" w:hAnsi="MetaPlusLF"/>
      <w:kern w:val="0"/>
      <w:sz w:val="15"/>
      <w:lang w:val="de-DE" w:eastAsia="de-DE"/>
    </w:rPr>
  </w:style>
  <w:style w:type="paragraph" w:customStyle="1" w:styleId="483">
    <w:name w:val="正文宋体"/>
    <w:basedOn w:val="1"/>
    <w:qFormat/>
    <w:uiPriority w:val="0"/>
    <w:pPr>
      <w:ind w:left="855"/>
      <w:jc w:val="center"/>
    </w:pPr>
    <w:rPr>
      <w:sz w:val="28"/>
      <w:szCs w:val="28"/>
    </w:rPr>
  </w:style>
  <w:style w:type="paragraph" w:customStyle="1" w:styleId="484">
    <w:name w:val="typetxt3"/>
    <w:basedOn w:val="1"/>
    <w:qFormat/>
    <w:uiPriority w:val="0"/>
    <w:pPr>
      <w:widowControl/>
      <w:spacing w:before="100" w:beforeAutospacing="1" w:after="100" w:afterAutospacing="1" w:line="263" w:lineRule="atLeast"/>
      <w:jc w:val="left"/>
    </w:pPr>
    <w:rPr>
      <w:rFonts w:ascii="Times newman" w:hAnsi="Times newman" w:cs="宋体"/>
      <w:color w:val="000000"/>
      <w:kern w:val="0"/>
      <w:sz w:val="15"/>
      <w:szCs w:val="15"/>
    </w:rPr>
  </w:style>
  <w:style w:type="paragraph" w:customStyle="1" w:styleId="485">
    <w:name w:val="Char Char"/>
    <w:basedOn w:val="1"/>
    <w:qFormat/>
    <w:uiPriority w:val="0"/>
    <w:pPr>
      <w:adjustRightInd w:val="0"/>
      <w:spacing w:line="360" w:lineRule="auto"/>
    </w:pPr>
    <w:rPr>
      <w:kern w:val="0"/>
      <w:sz w:val="24"/>
    </w:rPr>
  </w:style>
  <w:style w:type="paragraph" w:customStyle="1" w:styleId="486">
    <w:name w:val="Char Char Char Char Char Char Char Char Char Char Char Char Char Char Char Char Char Char Char Char Char Char Char Char Char Char Char Char Char Char Char Char Char1 Char Char Char Char"/>
    <w:basedOn w:val="1"/>
    <w:qFormat/>
    <w:uiPriority w:val="0"/>
    <w:pPr>
      <w:widowControl/>
      <w:snapToGrid w:val="0"/>
      <w:spacing w:before="120" w:after="160" w:line="360" w:lineRule="auto"/>
      <w:ind w:right="-360"/>
      <w:jc w:val="left"/>
    </w:pPr>
    <w:rPr>
      <w:rFonts w:ascii="Arial" w:hAnsi="Arial"/>
      <w:kern w:val="0"/>
      <w:sz w:val="24"/>
      <w:szCs w:val="24"/>
      <w:lang w:eastAsia="en-US"/>
    </w:rPr>
  </w:style>
  <w:style w:type="paragraph" w:customStyle="1" w:styleId="487">
    <w:name w:val="样式 加粗 居中 段后: 0 磅 行距: 固定值 12 磅"/>
    <w:basedOn w:val="1"/>
    <w:qFormat/>
    <w:uiPriority w:val="0"/>
    <w:pPr>
      <w:spacing w:line="200" w:lineRule="exact"/>
      <w:jc w:val="center"/>
    </w:pPr>
    <w:rPr>
      <w:bCs/>
      <w:sz w:val="18"/>
      <w:szCs w:val="18"/>
    </w:rPr>
  </w:style>
  <w:style w:type="paragraph" w:customStyle="1" w:styleId="488">
    <w:name w:val="TOC 标题11"/>
    <w:basedOn w:val="7"/>
    <w:next w:val="1"/>
    <w:qFormat/>
    <w:uiPriority w:val="39"/>
    <w:pPr>
      <w:widowControl/>
      <w:numPr>
        <w:numId w:val="0"/>
      </w:numPr>
      <w:tabs>
        <w:tab w:val="left" w:pos="480"/>
      </w:tabs>
      <w:spacing w:before="480" w:after="0" w:line="276" w:lineRule="auto"/>
      <w:jc w:val="left"/>
      <w:outlineLvl w:val="9"/>
    </w:pPr>
    <w:rPr>
      <w:rFonts w:ascii="Cambria" w:hAnsi="Cambria" w:eastAsia="宋体"/>
      <w:bCs/>
      <w:color w:val="365F91"/>
      <w:kern w:val="0"/>
      <w:sz w:val="28"/>
      <w:szCs w:val="28"/>
    </w:rPr>
  </w:style>
  <w:style w:type="paragraph" w:customStyle="1" w:styleId="489">
    <w:name w:val="p17"/>
    <w:basedOn w:val="1"/>
    <w:qFormat/>
    <w:uiPriority w:val="0"/>
    <w:pPr>
      <w:widowControl/>
    </w:pPr>
    <w:rPr>
      <w:rFonts w:ascii="宋体" w:hAnsi="宋体" w:cs="宋体"/>
      <w:kern w:val="0"/>
      <w:szCs w:val="21"/>
    </w:rPr>
  </w:style>
  <w:style w:type="paragraph" w:customStyle="1" w:styleId="490">
    <w:name w:val="功能"/>
    <w:basedOn w:val="1"/>
    <w:qFormat/>
    <w:uiPriority w:val="0"/>
    <w:pPr>
      <w:adjustRightInd w:val="0"/>
      <w:spacing w:after="120" w:line="400" w:lineRule="atLeast"/>
      <w:ind w:left="840" w:hanging="358"/>
      <w:textAlignment w:val="baseline"/>
    </w:pPr>
    <w:rPr>
      <w:kern w:val="0"/>
      <w:sz w:val="24"/>
    </w:rPr>
  </w:style>
  <w:style w:type="paragraph" w:customStyle="1" w:styleId="491">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2">
    <w:name w:val="正文_180"/>
    <w:qFormat/>
    <w:uiPriority w:val="0"/>
    <w:pPr>
      <w:widowControl w:val="0"/>
      <w:jc w:val="both"/>
    </w:pPr>
    <w:rPr>
      <w:rFonts w:ascii="Calibri" w:hAnsi="Calibri" w:eastAsia="宋体" w:cs="Times New Roman"/>
      <w:kern w:val="2"/>
      <w:sz w:val="21"/>
      <w:szCs w:val="24"/>
      <w:lang w:val="en-US" w:eastAsia="zh-CN" w:bidi="ar-SA"/>
    </w:rPr>
  </w:style>
  <w:style w:type="character" w:customStyle="1" w:styleId="493">
    <w:name w:val="bumpedfont20"/>
    <w:qFormat/>
    <w:uiPriority w:val="0"/>
  </w:style>
  <w:style w:type="paragraph" w:customStyle="1" w:styleId="494">
    <w:name w:val="修订11"/>
    <w:hidden/>
    <w:unhideWhenUsed/>
    <w:qFormat/>
    <w:uiPriority w:val="99"/>
    <w:rPr>
      <w:rFonts w:ascii="Times New Roman" w:hAnsi="Times New Roman" w:eastAsia="宋体" w:cs="Times New Roman"/>
      <w:kern w:val="2"/>
      <w:sz w:val="21"/>
      <w:szCs w:val="24"/>
      <w:lang w:val="en-US" w:eastAsia="zh-CN" w:bidi="ar-SA"/>
    </w:rPr>
  </w:style>
  <w:style w:type="paragraph" w:customStyle="1" w:styleId="495">
    <w:name w:val="文"/>
    <w:basedOn w:val="1"/>
    <w:qFormat/>
    <w:uiPriority w:val="0"/>
    <w:pPr>
      <w:ind w:firstLine="480"/>
    </w:pPr>
    <w:rPr>
      <w:rFonts w:ascii="宋体" w:hAnsi="宋体"/>
    </w:rPr>
  </w:style>
  <w:style w:type="paragraph" w:customStyle="1" w:styleId="496">
    <w:name w:val="修订2"/>
    <w:hidden/>
    <w:semiHidden/>
    <w:qFormat/>
    <w:uiPriority w:val="99"/>
    <w:rPr>
      <w:rFonts w:ascii="Times New Roman" w:hAnsi="Times New Roman" w:eastAsia="宋体" w:cs="Times New Roman"/>
      <w:kern w:val="2"/>
      <w:sz w:val="21"/>
      <w:lang w:val="en-US" w:eastAsia="zh-CN" w:bidi="ar-SA"/>
    </w:rPr>
  </w:style>
  <w:style w:type="paragraph" w:customStyle="1" w:styleId="497">
    <w:name w:val="修订3"/>
    <w:hidden/>
    <w:semiHidden/>
    <w:qFormat/>
    <w:uiPriority w:val="99"/>
    <w:rPr>
      <w:rFonts w:ascii="Times New Roman" w:hAnsi="Times New Roman" w:eastAsia="宋体" w:cs="Times New Roman"/>
      <w:kern w:val="2"/>
      <w:sz w:val="21"/>
      <w:lang w:val="en-US" w:eastAsia="zh-CN" w:bidi="ar-SA"/>
    </w:rPr>
  </w:style>
  <w:style w:type="paragraph" w:customStyle="1" w:styleId="498">
    <w:name w:val="Table Paragraph"/>
    <w:basedOn w:val="1"/>
    <w:qFormat/>
    <w:uiPriority w:val="1"/>
  </w:style>
  <w:style w:type="paragraph" w:customStyle="1" w:styleId="499">
    <w:name w:val="null3"/>
    <w:hidden/>
    <w:qFormat/>
    <w:uiPriority w:val="0"/>
    <w:rPr>
      <w:rFonts w:hint="eastAsia" w:asciiTheme="minorHAnsi" w:hAnsiTheme="minorHAnsi" w:eastAsiaTheme="minorEastAsia" w:cstheme="minorBidi"/>
      <w:lang w:val="en-US" w:eastAsia="zh-CN" w:bidi="ar-SA"/>
    </w:rPr>
  </w:style>
  <w:style w:type="table" w:customStyle="1" w:styleId="500">
    <w:name w:val="网格型2"/>
    <w:basedOn w:val="5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1">
    <w:name w:val="网格型3"/>
    <w:basedOn w:val="5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2">
    <w:name w:val="网格型4"/>
    <w:basedOn w:val="5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3">
    <w:name w:val="网格型5"/>
    <w:basedOn w:val="5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62</Pages>
  <Words>40907</Words>
  <Characters>6347</Characters>
  <Lines>52</Lines>
  <Paragraphs>94</Paragraphs>
  <TotalTime>17</TotalTime>
  <ScaleCrop>false</ScaleCrop>
  <LinksUpToDate>false</LinksUpToDate>
  <CharactersWithSpaces>47160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2025-04-22T02:33:00Z</dcterms:created>
  <dc:creator>Administrator</dc:creator>
  <cp:lastModifiedBy>administrator</cp:lastModifiedBy>
  <cp:lastPrinted>2025-04-16T23:25:00Z</cp:lastPrinted>
  <dcterms:modified xsi:type="dcterms:W3CDTF">2025-05-12T14:57:49Z</dcterms:modified>
  <dc:title>福州市政府采购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88953E138C1A435F96F9EBC370C44AC8_13</vt:lpwstr>
  </property>
  <property fmtid="{D5CDD505-2E9C-101B-9397-08002B2CF9AE}" pid="4" name="KSOTemplateDocerSaveRecord">
    <vt:lpwstr>eyJoZGlkIjoiNmY5NmVhOTFjNTczNWYwZGEwYjMwMTI1MTAyODlkNTkiLCJ1c2VySWQiOiIxNDQzMjU1MzEyIn0=</vt:lpwstr>
  </property>
</Properties>
</file>